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Отчёт по выполнению лабораторной работы</w:t>
      </w:r>
    </w:p>
    <w:p>
      <w:pPr>
        <w:pStyle w:val="BodyText"/>
      </w:pPr>
      <w:r>
        <w:rPr>
          <w:b/>
          <w:bCs/>
        </w:rPr>
        <w:t xml:space="preserve">1. Цель работы</w:t>
      </w:r>
      <w:r>
        <w:br/>
      </w:r>
      <w:r>
        <w:t xml:space="preserve">Целью данной лабораторной работы является ознакомление с возможностями программного пакета Octave для построения различных типов графиков и визуализации математических функций. В ходе работы мы исследуем методы построения параметрических кривых, графиков в полярных координатах, неявно заданных функций, а также рассмотрим способы работы с комплексными числами и специальными функциями (в частности, гамма-функцией). Таким образом, мы отработаем навыки графической визуализации, анализа и интерпретации полученных данных, что является важной составляющей математического моделирования и исследования функций в среде Octave.</w:t>
      </w:r>
    </w:p>
    <w:p>
      <w:pPr>
        <w:pStyle w:val="BodyText"/>
      </w:pPr>
      <w:r>
        <w:rPr>
          <w:b/>
          <w:bCs/>
        </w:rPr>
        <w:t xml:space="preserve">2. Задание</w:t>
      </w:r>
      <w:r>
        <w:br/>
      </w:r>
      <w:r>
        <w:t xml:space="preserve">В рамках задания необходимо:</w:t>
      </w:r>
      <w:r>
        <w:br/>
      </w:r>
      <w:r>
        <w:t xml:space="preserve">- Построить параметрические графики (например, циклоиду), продемонстрировав использование параметрических уравнений для вывода сложных кривых.</w:t>
      </w:r>
      <w:r>
        <w:br/>
      </w:r>
      <w:r>
        <w:t xml:space="preserve">- Выполнить построение графиков в полярных координатах для кривых, заданных в виде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r>
              <m:t>θ</m:t>
            </m:r>
          </m:e>
        </m:d>
      </m:oMath>
      <w:r>
        <w:t xml:space="preserve">.</w:t>
      </w:r>
      <w:r>
        <w:br/>
      </w:r>
      <w:r>
        <w:t xml:space="preserve">- Реализовать визуализацию неявно заданных функций с использованием встроенных инструментов Octave.</w:t>
      </w:r>
      <w:r>
        <w:br/>
      </w:r>
      <w:r>
        <w:t xml:space="preserve">- Исследовать операции с комплексными числами и их графическую интерпретацию, в частности, сложение и умножение комплексных величин, а также их геометрическую репрезентацию на комплексной плоскости.</w:t>
      </w:r>
      <w:r>
        <w:br/>
      </w:r>
      <w:r>
        <w:t xml:space="preserve">- Рассмотреть использование специальных функций, в том числе гамма-функции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и сравнить её значения с факториалом</w:t>
      </w:r>
      <w:r>
        <w:t xml:space="preserve"> </w:t>
      </w:r>
      <m:oMath>
        <m:r>
          <m:t>n</m:t>
        </m:r>
        <m:r>
          <m:rPr>
            <m:sty m:val="p"/>
          </m:rPr>
          <m:t>!</m:t>
        </m:r>
      </m:oMath>
      <w:r>
        <w:t xml:space="preserve"> </w:t>
      </w:r>
      <w:r>
        <w:t xml:space="preserve">в соответствующих точках.</w:t>
      </w:r>
    </w:p>
    <w:p>
      <w:pPr>
        <w:pStyle w:val="BodyText"/>
      </w:pPr>
      <w:r>
        <w:rPr>
          <w:b/>
          <w:bCs/>
        </w:rPr>
        <w:t xml:space="preserve">3. Теоретическое введение</w:t>
      </w:r>
      <w:r>
        <w:br/>
      </w:r>
      <w:r>
        <w:rPr>
          <w:b/>
          <w:bCs/>
        </w:rPr>
        <w:t xml:space="preserve">Построение параметрических графиков:</w:t>
      </w:r>
      <w:r>
        <w:br/>
      </w:r>
      <w:r>
        <w:t xml:space="preserve">Параметрические уравнения позволяют задавать зависимости координат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от дополнительного параметра</w:t>
      </w:r>
      <w:r>
        <w:t xml:space="preserve"> </w:t>
      </w:r>
      <m:oMath>
        <m:r>
          <m:t>t</m:t>
        </m:r>
      </m:oMath>
      <w:r>
        <w:t xml:space="preserve">. Например, циклоидная кривая может быть задана как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r>
                <m:t>t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r>
                <m:t>t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радиус генерирующего круга, а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– параметр (обычно, угол поворота). Параметрические графики удобны для исследования кривых, полученных в результате движения точки.</w:t>
      </w:r>
    </w:p>
    <w:p>
      <w:pPr>
        <w:pStyle w:val="BodyText"/>
      </w:pPr>
      <w:r>
        <w:rPr>
          <w:b/>
          <w:bCs/>
        </w:rPr>
        <w:t xml:space="preserve">Построение графиков в полярных координатах:</w:t>
      </w:r>
      <w:r>
        <w:br/>
      </w:r>
      <w:r>
        <w:t xml:space="preserve">Полярные координаты выражают точку на плоскости через радиус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 угол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. Функции вида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позволяют строить красивые кривые, недоступные в элементарном декартовом представлении. Octave обеспечивает функции для конвертации и визуализации таких данных, позволяя наглядно исследовать формы кривых.</w:t>
      </w:r>
    </w:p>
    <w:p>
      <w:pPr>
        <w:pStyle w:val="BodyText"/>
      </w:pPr>
      <w:r>
        <w:rPr>
          <w:b/>
          <w:bCs/>
        </w:rPr>
        <w:t xml:space="preserve">Неявные функции и их графики:</w:t>
      </w:r>
      <w:r>
        <w:br/>
      </w:r>
      <w:r>
        <w:t xml:space="preserve">Неявно заданными функциями называются уравнения вида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в которых нет явного выражения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x</m:t>
        </m:r>
      </m:oMath>
      <w:r>
        <w:t xml:space="preserve">. Построение графиков таких функций требует численных методов или встроенных процедур (например,</w:t>
      </w:r>
      <w:r>
        <w:t xml:space="preserve"> </w:t>
      </w:r>
      <w:r>
        <w:rPr>
          <w:rStyle w:val="VerbatimChar"/>
        </w:rPr>
        <w:t xml:space="preserve">ezplot</w:t>
      </w:r>
      <w:r>
        <w:t xml:space="preserve">), чтобы отобразить множество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удовлетворяющих уравнению.</w:t>
      </w:r>
    </w:p>
    <w:p>
      <w:pPr>
        <w:pStyle w:val="BodyText"/>
      </w:pPr>
      <w:r>
        <w:rPr>
          <w:b/>
          <w:bCs/>
        </w:rPr>
        <w:t xml:space="preserve">Графики комплексных чисел:</w:t>
      </w:r>
      <w:r>
        <w:br/>
      </w:r>
      <w:r>
        <w:t xml:space="preserve">Комплексные числа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 </w:t>
      </w:r>
      <w:r>
        <w:t xml:space="preserve">можно интерпретировать как точки или векторы на комплексной плоскости. Визуализация таких чисел помогает наглядно представлять операции над ними, например, сложение, вычитание, умножение и деление. Инструмент</w:t>
      </w:r>
      <w:r>
        <w:t xml:space="preserve"> </w:t>
      </w:r>
      <w:r>
        <w:rPr>
          <w:rStyle w:val="VerbatimChar"/>
        </w:rPr>
        <w:t xml:space="preserve">compass</w:t>
      </w:r>
      <w:r>
        <w:t xml:space="preserve"> </w:t>
      </w:r>
      <w:r>
        <w:t xml:space="preserve">в Octave позволяет графически отразить направление и длину вектора, соответствующего комплексному числу.</w:t>
      </w:r>
    </w:p>
    <w:p>
      <w:pPr>
        <w:pStyle w:val="BodyText"/>
      </w:pPr>
      <w:r>
        <w:rPr>
          <w:b/>
          <w:bCs/>
        </w:rPr>
        <w:t xml:space="preserve">Специальные функции: гамма-функция:</w:t>
      </w:r>
      <w:r>
        <w:br/>
      </w:r>
      <w:r>
        <w:t xml:space="preserve">Гамма-функция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является обобщением факториала на вещественную (или даже комплексную) область чисел. Для натуральных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справедливо: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но гамма-функция определена и для нецелых аргументов. Исследование графика</w:t>
      </w:r>
      <w:r>
        <w:t xml:space="preserve"> </w:t>
      </w:r>
      <m:oMath>
        <m:r>
          <m:t>Γ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даёт представление о её поведении на различных интервалах, в том числе в отрицательной области, где функция имеет полюса.</w:t>
      </w:r>
    </w:p>
    <w:p>
      <w:pPr>
        <w:pStyle w:val="BodyText"/>
      </w:pPr>
      <w:r>
        <w:rPr>
          <w:b/>
          <w:bCs/>
        </w:rPr>
        <w:t xml:space="preserve">4. Выполнение лабораторной работы</w:t>
      </w:r>
      <w:r>
        <w:br/>
      </w:r>
      <w:r>
        <w:t xml:space="preserve">Ниже приводится используемый код Octave. Для удобства в отчёт будут добавлены графики в виде скриншотов результатов работы (в реальной версии отчёта следует вставить соответствующие изображения):</w:t>
      </w:r>
    </w:p>
    <w:p>
      <w:pPr>
        <w:pStyle w:val="SourceCode"/>
      </w:pPr>
      <w:r>
        <w:rPr>
          <w:rStyle w:val="CommentTok"/>
        </w:rPr>
        <w:t xml:space="preserve">% Параметрические графики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(t))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savefig cycloid.pdf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cycloid.pdf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dpng cycloid.png</w:t>
      </w:r>
      <w:r>
        <w:br/>
      </w:r>
      <w:r>
        <w:br/>
      </w:r>
      <w:r>
        <w:rPr>
          <w:rStyle w:val="CommentTok"/>
        </w:rPr>
        <w:t xml:space="preserve">% Графики в полярных координатах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(theta)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limacon.pdf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dpng llimacon.png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pi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(theta)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polar</w:t>
      </w:r>
      <w:r>
        <w:rPr>
          <w:rStyle w:val="NormalTok"/>
        </w:rPr>
        <w:t xml:space="preserve">(theta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limacon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polar.pdf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dpng llimacon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polar.png</w:t>
      </w:r>
      <w:r>
        <w:br/>
      </w:r>
      <w:r>
        <w:br/>
      </w:r>
      <w:r>
        <w:rPr>
          <w:rStyle w:val="CommentTok"/>
        </w:rPr>
        <w:t xml:space="preserve">% Графики неявных функций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ezplot</w:t>
      </w:r>
      <w:r>
        <w:rPr>
          <w:rStyle w:val="NormalTok"/>
        </w:rPr>
        <w:t xml:space="preserve">(f)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impl1.pdf</w:t>
      </w:r>
      <w:r>
        <w:br/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y) (x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.^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ezplot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impl2.pdf</w:t>
      </w:r>
      <w:r>
        <w:br/>
      </w:r>
      <w:r>
        <w:br/>
      </w:r>
      <w:r>
        <w:rPr>
          <w:rStyle w:val="CommentTok"/>
        </w:rPr>
        <w:t xml:space="preserve">% Операции с комплексными числами</w:t>
      </w:r>
      <w:r>
        <w:br/>
      </w:r>
      <w:r>
        <w:rPr>
          <w:rStyle w:val="NormalTok"/>
        </w:rPr>
        <w:t xml:space="preserve">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z2</w:t>
      </w:r>
      <w:r>
        <w:br/>
      </w:r>
      <w:r>
        <w:rPr>
          <w:rStyle w:val="NormalTok"/>
        </w:rPr>
        <w:t xml:space="preserve">z1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z2</w:t>
      </w:r>
      <w:r>
        <w:br/>
      </w:r>
      <w:r>
        <w:rPr>
          <w:rStyle w:val="NormalTok"/>
        </w:rPr>
        <w:t xml:space="preserve">z1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z2</w:t>
      </w:r>
      <w:r>
        <w:br/>
      </w:r>
      <w:r>
        <w:rPr>
          <w:rStyle w:val="NormalTok"/>
        </w:rPr>
        <w:t xml:space="preserve">z1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z2</w:t>
      </w:r>
      <w:r>
        <w:br/>
      </w:r>
      <w:r>
        <w:br/>
      </w:r>
      <w:r>
        <w:rPr>
          <w:rStyle w:val="FunctionTok"/>
        </w:rPr>
        <w:t xml:space="preserve">clf</w:t>
      </w:r>
      <w:r>
        <w:br/>
      </w:r>
      <w:r>
        <w:rPr>
          <w:rStyle w:val="NormalTok"/>
        </w:rPr>
        <w:t xml:space="preserve">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Function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(z2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compass</w:t>
      </w:r>
      <w:r>
        <w:rPr>
          <w:rStyle w:val="NormalTok"/>
        </w:rPr>
        <w:t xml:space="preserve">(z1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z2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'k--'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'z_1'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'z_2'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'z_1+z_2'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complex.pdf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3</w:t>
      </w:r>
      <w:r>
        <w:br/>
      </w:r>
      <w:r>
        <w:rPr>
          <w:rStyle w:val="FunctionTok"/>
        </w:rPr>
        <w:t xml:space="preserve">nthroot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% Специальные функции (Гамма-функция)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clf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 on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'n!'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'gamma(n+1)'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gamma.pdf</w:t>
      </w:r>
      <w:r>
        <w:br/>
      </w:r>
      <w:r>
        <w:br/>
      </w:r>
      <w:r>
        <w:rPr>
          <w:rStyle w:val="CommentTok"/>
        </w:rPr>
        <w:t xml:space="preserve">% То же самое но по отдельным интервалам</w:t>
      </w:r>
      <w:r>
        <w:br/>
      </w:r>
      <w:r>
        <w:rPr>
          <w:rStyle w:val="FunctionTok"/>
        </w:rPr>
        <w:t xml:space="preserve">clf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linspace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hold</w:t>
      </w:r>
      <w:r>
        <w:rPr>
          <w:rStyle w:val="NormalTok"/>
        </w:rPr>
        <w:t xml:space="preserve"> 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(x3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(x3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(x4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(x4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(x5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(x5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'n!'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"\\Gamma(n+1)"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dpdf gamma2.pdf</w:t>
      </w:r>
    </w:p>
    <w:bookmarkStart w:id="46" w:name="графики"/>
    <w:p>
      <w:pPr>
        <w:pStyle w:val="Heading4"/>
      </w:pPr>
      <w:r>
        <w:t xml:space="preserve">Графики</w:t>
      </w:r>
    </w:p>
    <w:p>
      <w:pPr>
        <w:pStyle w:val="CaptionedFigure"/>
      </w:pPr>
      <w:r>
        <w:drawing>
          <wp:inline>
            <wp:extent cx="5334000" cy="6902823"/>
            <wp:effectExtent b="0" l="0" r="0" t="0"/>
            <wp:docPr descr="График 1" title="" id="21" name="Picture"/>
            <a:graphic>
              <a:graphicData uri="http://schemas.openxmlformats.org/drawingml/2006/picture">
                <pic:pic>
                  <pic:nvPicPr>
                    <pic:cNvPr descr="./pictures/complex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1</w:t>
      </w:r>
    </w:p>
    <w:p>
      <w:pPr>
        <w:pStyle w:val="CaptionedFigure"/>
      </w:pPr>
      <w:r>
        <w:drawing>
          <wp:inline>
            <wp:extent cx="5334000" cy="3997018"/>
            <wp:effectExtent b="0" l="0" r="0" t="0"/>
            <wp:docPr descr="График 2" title="" id="24" name="Picture"/>
            <a:graphic>
              <a:graphicData uri="http://schemas.openxmlformats.org/drawingml/2006/picture">
                <pic:pic>
                  <pic:nvPicPr>
                    <pic:cNvPr descr="./pictures/cycloi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2</w:t>
      </w:r>
    </w:p>
    <w:p>
      <w:pPr>
        <w:pStyle w:val="CaptionedFigure"/>
      </w:pPr>
      <w:r>
        <w:drawing>
          <wp:inline>
            <wp:extent cx="5334000" cy="6902823"/>
            <wp:effectExtent b="0" l="0" r="0" t="0"/>
            <wp:docPr descr="График 3" title="" id="27" name="Picture"/>
            <a:graphic>
              <a:graphicData uri="http://schemas.openxmlformats.org/drawingml/2006/picture">
                <pic:pic>
                  <pic:nvPicPr>
                    <pic:cNvPr descr="./pictures/gamm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3</w:t>
      </w:r>
    </w:p>
    <w:p>
      <w:pPr>
        <w:pStyle w:val="CaptionedFigure"/>
      </w:pPr>
      <w:r>
        <w:drawing>
          <wp:inline>
            <wp:extent cx="5334000" cy="6902823"/>
            <wp:effectExtent b="0" l="0" r="0" t="0"/>
            <wp:docPr descr="График 4" title="" id="30" name="Picture"/>
            <a:graphic>
              <a:graphicData uri="http://schemas.openxmlformats.org/drawingml/2006/picture">
                <pic:pic>
                  <pic:nvPicPr>
                    <pic:cNvPr descr="./pictures/gamma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4</w:t>
      </w:r>
    </w:p>
    <w:p>
      <w:pPr>
        <w:pStyle w:val="CaptionedFigure"/>
      </w:pPr>
      <w:r>
        <w:drawing>
          <wp:inline>
            <wp:extent cx="5334000" cy="6902823"/>
            <wp:effectExtent b="0" l="0" r="0" t="0"/>
            <wp:docPr descr="График 5" title="" id="33" name="Picture"/>
            <a:graphic>
              <a:graphicData uri="http://schemas.openxmlformats.org/drawingml/2006/picture">
                <pic:pic>
                  <pic:nvPicPr>
                    <pic:cNvPr descr="./pictures/impl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5</w:t>
      </w:r>
    </w:p>
    <w:p>
      <w:pPr>
        <w:pStyle w:val="CaptionedFigure"/>
      </w:pPr>
      <w:r>
        <w:drawing>
          <wp:inline>
            <wp:extent cx="5334000" cy="6902823"/>
            <wp:effectExtent b="0" l="0" r="0" t="0"/>
            <wp:docPr descr="График 6" title="" id="36" name="Picture"/>
            <a:graphic>
              <a:graphicData uri="http://schemas.openxmlformats.org/drawingml/2006/picture">
                <pic:pic>
                  <pic:nvPicPr>
                    <pic:cNvPr descr="./pictures/impl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6</w:t>
      </w:r>
    </w:p>
    <w:p>
      <w:pPr>
        <w:pStyle w:val="CaptionedFigure"/>
      </w:pPr>
      <w:r>
        <w:drawing>
          <wp:inline>
            <wp:extent cx="5334000" cy="3997018"/>
            <wp:effectExtent b="0" l="0" r="0" t="0"/>
            <wp:docPr descr="График 7" title="" id="39" name="Picture"/>
            <a:graphic>
              <a:graphicData uri="http://schemas.openxmlformats.org/drawingml/2006/picture">
                <pic:pic>
                  <pic:nvPicPr>
                    <pic:cNvPr descr="./pictures/lLimacon-pola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7</w:t>
      </w:r>
    </w:p>
    <w:p>
      <w:pPr>
        <w:pStyle w:val="CaptionedFigure"/>
      </w:pPr>
      <w:r>
        <w:drawing>
          <wp:inline>
            <wp:extent cx="5334000" cy="3997018"/>
            <wp:effectExtent b="0" l="0" r="0" t="0"/>
            <wp:docPr descr="График 8" title="" id="42" name="Picture"/>
            <a:graphic>
              <a:graphicData uri="http://schemas.openxmlformats.org/drawingml/2006/picture">
                <pic:pic>
                  <pic:nvPicPr>
                    <pic:cNvPr descr="./pictures/lLimac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8</w:t>
      </w:r>
    </w:p>
    <w:p>
      <w:pPr>
        <w:pStyle w:val="BodyText"/>
      </w:pPr>
      <w:r>
        <w:t xml:space="preserve">В приведенном коде:</w:t>
      </w:r>
      <w:r>
        <w:br/>
      </w:r>
      <w:r>
        <w:t xml:space="preserve">- Используются команды</w:t>
      </w:r>
      <w:r>
        <w:t xml:space="preserve"> </w:t>
      </w:r>
      <w:r>
        <w:rPr>
          <w:rStyle w:val="VerbatimChar"/>
        </w:rPr>
        <w:t xml:space="preserve">linspace</w:t>
      </w:r>
      <w:r>
        <w:t xml:space="preserve"> </w:t>
      </w:r>
      <w:r>
        <w:t xml:space="preserve">для формирования равномерных сеток по аргументу.</w:t>
      </w:r>
      <w:r>
        <w:br/>
      </w:r>
      <w:r>
        <w:t xml:space="preserve">- Параметрические кривые, неявные функции и графики в полярных координатах строятся с помощью функций</w:t>
      </w:r>
      <w:r>
        <w:t xml:space="preserve"> </w:t>
      </w:r>
      <w:r>
        <w:rPr>
          <w:rStyle w:val="VerbatimChar"/>
        </w:rPr>
        <w:t xml:space="preserve">plot</w:t>
      </w:r>
      <w:r>
        <w:t xml:space="preserve">,</w:t>
      </w:r>
      <w:r>
        <w:t xml:space="preserve"> </w:t>
      </w:r>
      <w:r>
        <w:rPr>
          <w:rStyle w:val="VerbatimChar"/>
        </w:rPr>
        <w:t xml:space="preserve">polar</w:t>
      </w:r>
      <w:r>
        <w:t xml:space="preserve">,</w:t>
      </w:r>
      <w:r>
        <w:t xml:space="preserve"> </w:t>
      </w:r>
      <w:r>
        <w:rPr>
          <w:rStyle w:val="VerbatimChar"/>
        </w:rPr>
        <w:t xml:space="preserve">ezplot</w:t>
      </w:r>
      <w:r>
        <w:t xml:space="preserve">.</w:t>
      </w:r>
      <w:r>
        <w:br/>
      </w:r>
      <w:r>
        <w:t xml:space="preserve">- Применяется функция</w:t>
      </w:r>
      <w:r>
        <w:t xml:space="preserve"> </w:t>
      </w:r>
      <w:r>
        <w:rPr>
          <w:rStyle w:val="VerbatimChar"/>
        </w:rPr>
        <w:t xml:space="preserve">compass</w:t>
      </w:r>
      <w:r>
        <w:t xml:space="preserve"> </w:t>
      </w:r>
      <w:r>
        <w:t xml:space="preserve">для отображения комплексных чисел на комплексной плоскости.</w:t>
      </w:r>
      <w:r>
        <w:br/>
      </w:r>
      <w:r>
        <w:t xml:space="preserve">- Используются функции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для анализа и сравнения факториала и гамма-функции.</w:t>
      </w:r>
      <w:r>
        <w:br/>
      </w:r>
      <w:r>
        <w:t xml:space="preserve">- Готовые результаты сохраняются в файлы форматов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.png</w:t>
      </w:r>
      <w:r>
        <w:t xml:space="preserve"> </w:t>
      </w: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.</w:t>
      </w:r>
    </w:p>
    <w:p>
      <w:pPr>
        <w:pStyle w:val="BodyText"/>
      </w:pPr>
      <w:r>
        <w:t xml:space="preserve">Все полученные графики были сохранены и могут быть включены в отчёт для наглядной демонстрации результатов.</w:t>
      </w:r>
    </w:p>
    <w:p>
      <w:pPr>
        <w:pStyle w:val="BodyText"/>
      </w:pPr>
      <w:r>
        <w:rPr>
          <w:b/>
          <w:bCs/>
        </w:rPr>
        <w:t xml:space="preserve">5. Выводы</w:t>
      </w:r>
      <w:r>
        <w:br/>
      </w:r>
      <w:r>
        <w:t xml:space="preserve">В ходе выполненной лабораторной работы мы освоили основные методы визуализации математических объектов в среде Octave. Параметрические графики позволяют исследовать сложные кривые, заданные через промежуточный параметр. Графики в полярных координатах обеспечивают удобный инструмент для анализа форм кривых, естественно заданных через радиус и угол. Использование функций для построения неявных графиков существенно облегчает анализ сложных уравнений. Наглядная интерпретация комплексных чисел в виде векторов на плоскости помогает лучше понять операции над ними. Наконец, сравнение факториала и гамма-функции демонстрирует расширение понятий элементарных функций на континуум вещественной оси. Таким образом, работа продемонстрировала широкие возможности Octave в визуализации и анализе математических данных.</w:t>
      </w:r>
    </w:p>
    <w:p>
      <w:pPr>
        <w:pStyle w:val="BodyText"/>
      </w:pPr>
      <w:r>
        <w:rPr>
          <w:b/>
          <w:bCs/>
        </w:rPr>
        <w:t xml:space="preserve">6. Список литературы</w:t>
      </w:r>
      <w:r>
        <w:br/>
      </w:r>
      <w:r>
        <w:t xml:space="preserve">1. Eaton, J. W., Bateman, D., Hauberg, S., &amp; Wehbring, R. (2017).</w:t>
      </w:r>
      <w:r>
        <w:t xml:space="preserve"> </w:t>
      </w:r>
      <w:r>
        <w:rPr>
          <w:i/>
          <w:iCs/>
        </w:rPr>
        <w:t xml:space="preserve">GNU Octave Manual Version 4</w:t>
      </w:r>
      <w:r>
        <w:t xml:space="preserve">. Free Software Foundation.</w:t>
      </w:r>
      <w:r>
        <w:br/>
      </w:r>
      <w:r>
        <w:t xml:space="preserve">2. Official GNU Octave documentation:</w:t>
      </w:r>
      <w:r>
        <w:t xml:space="preserve"> </w:t>
      </w:r>
      <w:hyperlink r:id="rId44">
        <w:r>
          <w:rPr>
            <w:rStyle w:val="Hyperlink"/>
          </w:rPr>
          <w:t xml:space="preserve">https://docs.octave.org</w:t>
        </w:r>
      </w:hyperlink>
      <w:r>
        <w:br/>
      </w:r>
      <w:r>
        <w:t xml:space="preserve">3. Weisstein, Eric W.</w:t>
      </w:r>
      <w:r>
        <w:t xml:space="preserve"> </w:t>
      </w:r>
      <w:r>
        <w:t xml:space="preserve">“Gamma Function.”</w:t>
      </w:r>
      <w:r>
        <w:t xml:space="preserve"> </w:t>
      </w:r>
      <w:r>
        <w:rPr>
          <w:i/>
          <w:iCs/>
        </w:rPr>
        <w:t xml:space="preserve">From MathWorld–A Wolfram Web Resource.</w:t>
      </w:r>
      <w:r>
        <w:t xml:space="preserve"> </w:t>
      </w:r>
      <w:hyperlink r:id="rId45">
        <w:r>
          <w:rPr>
            <w:rStyle w:val="Hyperlink"/>
          </w:rPr>
          <w:t xml:space="preserve">https://mathworld.wolfram.com/GammaFunction.html</w:t>
        </w:r>
      </w:hyperlink>
      <w:r>
        <w:br/>
      </w:r>
      <w:r>
        <w:t xml:space="preserve">4. Higham, N. J. (2002).</w:t>
      </w:r>
      <w:r>
        <w:t xml:space="preserve"> </w:t>
      </w:r>
      <w:r>
        <w:rPr>
          <w:i/>
          <w:iCs/>
        </w:rPr>
        <w:t xml:space="preserve">Accuracy and Stability of Numerical Algorithms.</w:t>
      </w:r>
      <w:r>
        <w:t xml:space="preserve"> </w:t>
      </w:r>
      <w:r>
        <w:t xml:space="preserve">Society for Industrial and Applied Mathematics.</w:t>
      </w:r>
      <w:r>
        <w:br/>
      </w:r>
      <w:r>
        <w:t xml:space="preserve">5. Press, W. H., Teukolsky, S. A., Vetterling, W. T., &amp; Flannery, B. P. (2007).</w:t>
      </w:r>
      <w:r>
        <w:t xml:space="preserve"> </w:t>
      </w:r>
      <w:r>
        <w:rPr>
          <w:i/>
          <w:iCs/>
        </w:rPr>
        <w:t xml:space="preserve">Numerical Recipes: The Art of Scientific Computing</w:t>
      </w:r>
      <w:r>
        <w:t xml:space="preserve">. Cambridge University Press.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4" Target="https://docs.octave.org" TargetMode="External" /><Relationship Type="http://schemas.openxmlformats.org/officeDocument/2006/relationships/hyperlink" Id="rId45" Target="https://mathworld.wolfram.com/GammaFunc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octave.org" TargetMode="External" /><Relationship Type="http://schemas.openxmlformats.org/officeDocument/2006/relationships/hyperlink" Id="rId45" Target="https://mathworld.wolfram.com/GammaFun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2024-12-07T20:25:21Z</dcterms:created>
  <dcterms:modified xsi:type="dcterms:W3CDTF">2024-12-07T20:25:21Z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