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Design Phase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October 2026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SWTID-2026-6670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 Client Script &amp; UI Policy (Incident)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/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Architecture: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Architecture Diagram: Incident data validation in ServiceNow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sa" descr="Architecture and data flow of the Incident validation solution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Architecture and data flow of the Incident Client Script &amp; UI Policy solution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 flow:</w:t>
      </w:r>
    </w:p>
    <w:p>
      <w:pPr>
        <w:spacing w:after="4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1. The Service Desk Agent works on the Incident form (Option A) or the Incident list (Option B).</w:t>
      </w:r>
    </w:p>
    <w:p>
      <w:pPr>
        <w:spacing w:after="4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2. On the form, the UI Policy makes Assignment group mandatory and Urgency read-only when Impact = High; the onChange script sets Urgency to High.</w:t>
      </w:r>
    </w:p>
    <w:p>
      <w:pPr>
        <w:spacing w:after="4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3. On save, the onSubmit script blocks the record if Assigned To is empty; in the list, the onCellEdit script blocks State edits.</w:t>
      </w:r>
    </w:p>
    <w:p>
      <w:pPr>
        <w:spacing w:after="4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4. Valid records are sent to the ServiceNow server, inserted or updated in the Incident table and stored in the cloud instance database.</w:t>
      </w:r>
    </w:p>
    <w:p>
      <w:pPr>
        <w:spacing w:after="4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5. The Administrator maintains the UI Policies and Client Scripts, which the browser loads at runtime.</w:t>
      </w:r>
    </w:p>
    <w:sectPr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599782a4aeb00e9e4f62c00bf55313b8a2e75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2026-10-02T06:22:53.105Z</dcterms:created>
  <dcterms:modified xsi:type="dcterms:W3CDTF">2026-10-02T06:22:53.105Z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