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SWTID-2026-6670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>No AI/ML model is used in this project. The solution is a rule-based ServiceNow configuration: UI Policy "High Impact Control" plus onChange, onSubmit and onCellEdit Client Scripts on the Incident table.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  <w:p>
            <w:r>
              <w:drawing>
                <wp:inline>
                  <wp:extent cx="1087120" cy="6039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603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Training Accuracy - Not applicable (no trained model)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Validation Accuracy - Not applicable (no trained model)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Equivalent measure: UAT test pass rate = 9 / 9 = 100%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  <w:p>
            <w:r>
              <w:drawing>
                <wp:inline>
                  <wp:extent cx="1087120" cy="5218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09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521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Validation Accuracy - Not applicable. Refinement done instead: onChange and onCellEdit scripts and the documentation were aligned (BG-001 to BG-003).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  <w:p>
            <w:r>
              <w:drawing>
                <wp:inline>
                  <wp:extent cx="1087120" cy="49774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0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4977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