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SWTID-2026-6670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>Regression Model: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MAE, MSE, RMSE, R2 score - Not applicable (no numeric prediction)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>Classification Model (block / allow outcomes of the validation rules):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Confusion Matrix - Should block &amp; blocked: 2 (TC-005, TC-008); Should block &amp; allowed: 0; Should allow &amp; allowed: 3 (TC-006, TC-007, TC-009); Should allow &amp; blocked: 0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Accuracy Score - 100% (5 / 5 gate cases); all 9 test cases passed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Classification Report - Precision 1.00, Recall 1.00, F1-score 1.00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  <w:p>
            <w:r>
              <w:drawing>
                <wp:inline>
                  <wp:extent cx="1087120" cy="5218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21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Hyperparameter Tuning - Not applicable (rule-based; no trainable parameters)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Validation Method - Manual UAT with positive and negative scenarios (TC-001 to TC-009) on a ServiceNow developer instance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