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SWTID-2026-6670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Implement Client Script &amp; UI Policy (Incident)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Rendered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>
              <w:rPr>
                <w:rtl w:val="0"/>
              </w:rPr>
              <w:t>Incident records are rendered in the ServiceNow Incident list (Incident &gt; Open / All) and on the Incident form. The Active list shows 41 records.</w:t>
            </w:r>
          </w:p>
          <w:p>
            <w:r>
              <w:drawing>
                <wp:inline>
                  <wp:extent cx="1087120" cy="51172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-012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7120" cy="5117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Preprocessing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>
              <w:rPr>
                <w:rtl w:val="0"/>
              </w:rPr>
              <w:t>No separate preprocessing is required. The data is native to the Incident table; data quality is enforced at entry by the UI Policy and Client Scripts (mandatory Assignment group, auto-set Urgency, Assigned To check).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Utilization of Data Filters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  <w:t>UI Policy condition: Impact is 1 - High (Reverse if false enabled).</w:t>
            </w:r>
          </w:p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  <w:t>List filter: Active = true.</w:t>
            </w:r>
          </w:p>
          <w:p>
            <w:r>
              <w:drawing>
                <wp:inline>
                  <wp:extent cx="1087120" cy="51172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-001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7120" cy="5117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DAX Queries Used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  <w:t>Not applicable (Power BI / DAX not used). Equivalent logic is client-side JavaScript: onSubmit blocks the save when impact == '1' and assigned_to is empty; onChange sets urgency to '1' when impact is '1'.</w:t>
            </w:r>
          </w:p>
          <w:p>
            <w:r>
              <w:drawing>
                <wp:inline>
                  <wp:extent cx="1087120" cy="49929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-006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7120" cy="4992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Dashboard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No of Visualizations / Graphs - 0 (no custom dashboard built; the Home page shows the default ServiceNow admin dashboard)</w:t>
            </w:r>
          </w:p>
          <w:p>
            <w:r>
              <w:drawing>
                <wp:inline>
                  <wp:extent cx="1087120" cy="51405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-008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7120" cy="514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Report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No of Visualizations / Graphs - 0 (no custom report built; the Incident list view is used to review results)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jpg"/><Relationship Id="rId9" Type="http://schemas.openxmlformats.org/officeDocument/2006/relationships/image" Target="media/image3.jpg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