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w:t>
      </w:r>
      <w:r>
        <w:t xml:space="preserve"> </w:t>
      </w:r>
      <w:r>
        <w:t xml:space="preserve">to</w:t>
      </w:r>
      <w:r>
        <w:t xml:space="preserve"> </w:t>
      </w:r>
      <w:r>
        <w:t xml:space="preserve">'Common</w:t>
      </w:r>
      <w:r>
        <w:t xml:space="preserve"> </w:t>
      </w:r>
      <w:r>
        <w:t xml:space="preserve">or</w:t>
      </w:r>
      <w:r>
        <w:t xml:space="preserve"> </w:t>
      </w:r>
      <w:r>
        <w:t xml:space="preserve">Distinct</w:t>
      </w:r>
      <w:r>
        <w:t xml:space="preserve"> </w:t>
      </w:r>
      <w:r>
        <w:t xml:space="preserve">Attention</w:t>
      </w:r>
      <w:r>
        <w:t xml:space="preserve"> </w:t>
      </w:r>
      <w:r>
        <w:t xml:space="preserve">Mechanisms</w:t>
      </w:r>
      <w:r>
        <w:t xml:space="preserve"> </w:t>
      </w:r>
      <w:r>
        <w:t xml:space="preserve">for</w:t>
      </w:r>
      <w:r>
        <w:t xml:space="preserve"> </w:t>
      </w:r>
      <w:r>
        <w:t xml:space="preserve">Contrast</w:t>
      </w:r>
      <w:r>
        <w:t xml:space="preserve"> </w:t>
      </w:r>
      <w:r>
        <w:t xml:space="preserve">and</w:t>
      </w:r>
      <w:r>
        <w:t xml:space="preserve"> </w:t>
      </w:r>
      <w:r>
        <w:t xml:space="preserve">Assimilation?'</w:t>
      </w:r>
    </w:p>
    <w:tbl>
      <w:tblPr>
        <w:tblStyle w:val="TableNormal"/>
        <w:tblW w:type="pct" w:w="0.0"/>
        <w:tblLook/>
      </w:tblPr>
      <w:tblGrid/>
      <w:tr>
        <w:tc>
          <w:p>
            <w:pPr>
              <w:pStyle w:val="Compact"/>
              <w:jc w:val="center"/>
            </w:pPr>
            <w:r>
              <w:t xml:space="preserve">Hope K. Snyder</w:t>
            </w:r>
            <w:r>
              <w:rPr>
                <w:vertAlign w:val="superscript"/>
              </w:rPr>
              <w:t xml:space="preserve">1</w:t>
            </w:r>
            <w:r>
              <w:t xml:space="preserve">, Sean M. Rafferty</w:t>
            </w:r>
            <w:r>
              <w:rPr>
                <w:vertAlign w:val="superscript"/>
              </w:rPr>
              <w:t xml:space="preserve">1</w:t>
            </w:r>
            <w:r>
              <w:t xml:space="preserve">, Julia M. Haaf</w:t>
            </w:r>
            <w:r>
              <w:rPr>
                <w:vertAlign w:val="superscript"/>
              </w:rPr>
              <w:t xml:space="preserve">1</w:t>
            </w:r>
            <w:r>
              <w:t xml:space="preserve">, &amp; Jeffery N. Rouder</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Missouri</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This document was written in R-Markdown with code for data analysis integrated into the text. The Markdown script is open and freely available at</w:t>
      </w:r>
      <w:r>
        <w:t xml:space="preserve"> </w:t>
      </w:r>
      <w:hyperlink r:id="rId22">
        <w:r>
          <w:rPr>
            <w:rStyle w:val="Hyperlink"/>
          </w:rPr>
          <w:t xml:space="preserve">https://github.com/PerceptionAndCognitionLab/ctx-flanker/tree/public/papers/current</w:t>
        </w:r>
      </w:hyperlink>
      <w:r>
        <w:t xml:space="preserve">. The data were</w:t>
      </w:r>
      <w:r>
        <w:t xml:space="preserve"> </w:t>
      </w:r>
      <w:r>
        <w:rPr>
          <w:i/>
        </w:rPr>
        <w:t xml:space="preserve">born open</w:t>
      </w:r>
      <w:r>
        <w:t xml:space="preserve"> </w:t>
      </w:r>
      <w:r>
        <w:t xml:space="preserve">(Rouder, 2016)</w:t>
      </w:r>
      <w:r>
        <w:t xml:space="preserve"> </w:t>
      </w:r>
      <w:r>
        <w:t xml:space="preserve">and are freely available at</w:t>
      </w:r>
      <w:r>
        <w:t xml:space="preserve"> </w:t>
      </w:r>
      <w:hyperlink r:id="rId23">
        <w:r>
          <w:rPr>
            <w:rStyle w:val="Hyperlink"/>
          </w:rPr>
          <w:t xml:space="preserve">https://github.com/PerceptionCognitionLab/data1/tree/master/ctxIndDif/flankerMorph4</w:t>
        </w:r>
      </w:hyperlink>
    </w:p>
    <w:p>
      <w:pPr>
        <w:pStyle w:val="Textkrper"/>
      </w:pPr>
      <w:r>
        <w:t xml:space="preserve">Correspondence concerning this article should be addressed to Hope K. Snyder, . E-mail:</w:t>
      </w:r>
      <w:r>
        <w:t xml:space="preserve"> </w:t>
      </w:r>
      <w:hyperlink r:id="rId24">
        <w:r>
          <w:rPr>
            <w:rStyle w:val="Hyperlink"/>
          </w:rPr>
          <w:t xml:space="preserve">hks7w2@mail.missouri.edu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5" w:name="abstract"/>
      <w:bookmarkEnd w:id="25"/>
      <w:r>
        <w:t xml:space="preserve">Abstract</w:t>
      </w:r>
    </w:p>
    <w:p>
      <w:pPr>
        <w:pStyle w:val="FirstParagraph"/>
      </w:pPr>
      <w:r>
        <w:rPr>
          <w:i/>
        </w:rPr>
        <w:t xml:space="preserve">Keywords:</w:t>
      </w:r>
      <w:r>
        <w:t xml:space="preserve"> </w:t>
      </w:r>
      <w:r>
        <w:t xml:space="preserve">Inhibition, Selective Attention, Contrast Effects, Assimilation Effects</w:t>
      </w:r>
    </w:p>
    <w:p>
      <w:pPr>
        <w:pStyle w:val="Textkrper"/>
      </w:pPr>
      <w:r>
        <w:t xml:space="preserve">Word count: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6" w:name="supplement-to-common-or-distinct-attention-mechanisms-for-contrast-and-assimilation"/>
      <w:bookmarkEnd w:id="26"/>
      <w:r>
        <w:t xml:space="preserve">Supplement to 'Common or Distinct Attention Mechanisms for Contrast and Assimilation?'</w:t>
      </w:r>
    </w:p>
    <w:p>
      <w:pPr>
        <w:pStyle w:val="FirstParagraph"/>
      </w:pPr>
      <w:r>
        <w:t xml:space="preserve">This document is the supplement to "Common or Distinct Attention Mechanisms for Contrast and Assimilation?". It provides the specification and analysis of a hierarchical Bayesian probit model for assessing the correlation across individuals' abilities to inhibit distractors in assimilation and contrast contexts.</w:t>
      </w:r>
    </w:p>
    <w:p>
      <w:pPr>
        <w:pStyle w:val="Heading1"/>
      </w:pPr>
      <w:bookmarkStart w:id="27" w:name="model-specification"/>
      <w:bookmarkEnd w:id="27"/>
      <w:r>
        <w:t xml:space="preserve">Model Specification</w:t>
      </w:r>
    </w:p>
    <w:p>
      <w:pPr>
        <w:pStyle w:val="FirstParagraph"/>
      </w:pPr>
      <w:r>
        <w:t xml:space="preserve">Let</w:t>
      </w:r>
      <w:r>
        <w:t xml:space="preserve"> </w:t>
      </w:r>
      <m:oMath>
        <m:r>
          <m:rPr/>
          <m:t>Y</m:t>
        </m:r>
        <m:r>
          <m:rPr/>
          <m:t>=</m:t>
        </m:r>
        <m:r>
          <m:rPr/>
          <m:t>0</m:t>
        </m:r>
        <m:r>
          <m:rPr/>
          <m:t>,</m:t>
        </m:r>
        <m:r>
          <m:rPr/>
          <m:t>1</m:t>
        </m:r>
      </m:oMath>
      <w:r>
        <w:t xml:space="preserve"> </w:t>
      </w:r>
      <w:r>
        <w:t xml:space="preserve">denote whether a response is "A" or "H", respectively. Further, let</w:t>
      </w:r>
      <w:r>
        <w:t xml:space="preserve"> </w:t>
      </w:r>
      <m:oMath>
        <m:sSub>
          <m:e>
            <m:r>
              <m:rPr/>
              <m:t>Y</m:t>
            </m:r>
          </m:e>
          <m:sub>
            <m:r>
              <m:rPr/>
              <m:t>i</m:t>
            </m:r>
            <m:r>
              <m:rPr/>
              <m:t>j</m:t>
            </m:r>
            <m:r>
              <m:rPr/>
              <m:t>k</m:t>
            </m:r>
            <m:r>
              <m:rPr/>
              <m:t>ℓ</m:t>
            </m:r>
            <m:r>
              <m:rPr/>
              <m:t>m</m:t>
            </m:r>
          </m:sub>
        </m:sSub>
      </m:oMath>
      <w:r>
        <w:t xml:space="preserve"> </w:t>
      </w:r>
      <w:r>
        <w:t xml:space="preserve">denote the response for the</w:t>
      </w:r>
      <w:r>
        <w:t xml:space="preserve"> </w:t>
      </w:r>
      <m:oMath>
        <m:r>
          <m:rPr/>
          <m:t>i</m:t>
        </m:r>
      </m:oMath>
      <w:r>
        <w:t xml:space="preserve">th participant,</w:t>
      </w:r>
      <w:r>
        <w:t xml:space="preserve"> </w:t>
      </w:r>
      <m:oMath>
        <m:r>
          <m:rPr/>
          <m:t>i</m:t>
        </m:r>
        <m:r>
          <m:rPr/>
          <m:t>=</m:t>
        </m:r>
        <m:r>
          <m:rPr/>
          <m:t>1</m:t>
        </m:r>
        <m:r>
          <m:rPr/>
          <m:t>,</m:t>
        </m:r>
        <m:r>
          <m:rPr/>
          <m:t>…</m:t>
        </m:r>
        <m:r>
          <m:rPr/>
          <m:t>,</m:t>
        </m:r>
        <m:r>
          <m:rPr/>
          <m:t>I</m:t>
        </m:r>
      </m:oMath>
      <w:r>
        <w:t xml:space="preserve">, in the</w:t>
      </w:r>
      <w:r>
        <w:t xml:space="preserve"> </w:t>
      </w:r>
      <m:oMath>
        <m:r>
          <m:rPr/>
          <m:t>j</m:t>
        </m:r>
      </m:oMath>
      <w:r>
        <w:t xml:space="preserve">th context type (</w:t>
      </w:r>
      <m:oMath>
        <m:r>
          <m:rPr/>
          <m:t>j</m:t>
        </m:r>
        <m:r>
          <m:rPr/>
          <m:t>=</m:t>
        </m:r>
        <m:r>
          <m:rPr/>
          <m:t>1</m:t>
        </m:r>
        <m:r>
          <m:rPr/>
          <m:t>,</m:t>
        </m:r>
        <m:r>
          <m:rPr/>
          <m:t>2</m:t>
        </m:r>
      </m:oMath>
      <w:r>
        <w:t xml:space="preserve"> </w:t>
      </w:r>
      <w:r>
        <w:t xml:space="preserve">for word and letter contexts, respectively), for the</w:t>
      </w:r>
      <w:r>
        <w:t xml:space="preserve"> </w:t>
      </w:r>
      <m:oMath>
        <m:r>
          <m:rPr/>
          <m:t>k</m:t>
        </m:r>
      </m:oMath>
      <w:r>
        <w:t xml:space="preserve">th context direction (</w:t>
      </w:r>
      <m:oMath>
        <m:r>
          <m:rPr/>
          <m:t>k</m:t>
        </m:r>
        <m:r>
          <m:rPr/>
          <m:t>=</m:t>
        </m:r>
        <m:r>
          <m:rPr/>
          <m:t>1</m:t>
        </m:r>
        <m:r>
          <m:rPr/>
          <m:t>,</m:t>
        </m:r>
        <m:r>
          <m:rPr/>
          <m:t>2</m:t>
        </m:r>
      </m:oMath>
      <w:r>
        <w:t xml:space="preserve">, for contexts that promote "A" and "H" responses, respectively), for the</w:t>
      </w:r>
      <w:r>
        <w:t xml:space="preserve"> </w:t>
      </w:r>
      <m:oMath>
        <m:r>
          <m:rPr/>
          <m:t>ℓ</m:t>
        </m:r>
      </m:oMath>
      <w:r>
        <w:t xml:space="preserve">th target,</w:t>
      </w:r>
      <w:r>
        <w:t xml:space="preserve"> </w:t>
      </w:r>
      <m:oMath>
        <m:r>
          <m:rPr/>
          <m:t>ℓ</m:t>
        </m:r>
        <m:r>
          <m:rPr/>
          <m:t>=</m:t>
        </m:r>
        <m:r>
          <m:rPr/>
          <m:t>1</m:t>
        </m:r>
        <m:r>
          <m:rPr/>
          <m:t>,</m:t>
        </m:r>
        <m:r>
          <m:rPr/>
          <m:t>…</m:t>
        </m:r>
        <m:r>
          <m:rPr/>
          <m:t>,</m:t>
        </m:r>
        <m:r>
          <m:rPr/>
          <m:t>L</m:t>
        </m:r>
      </m:oMath>
      <w:r>
        <w:t xml:space="preserve">, and for the</w:t>
      </w:r>
      <w:r>
        <w:t xml:space="preserve"> </w:t>
      </w:r>
      <m:oMath>
        <m:r>
          <m:rPr/>
          <m:t>m</m:t>
        </m:r>
      </m:oMath>
      <w:r>
        <w:t xml:space="preserve">th replicate,</w:t>
      </w:r>
      <w:r>
        <w:t xml:space="preserve"> </w:t>
      </w:r>
      <m:oMath>
        <m:r>
          <m:rPr/>
          <m:t>m</m:t>
        </m:r>
        <m:r>
          <m:rPr/>
          <m:t>=</m:t>
        </m:r>
        <m:r>
          <m:rPr/>
          <m:t>1</m:t>
        </m:r>
        <m:r>
          <m:rPr/>
          <m:t>,</m:t>
        </m:r>
        <m:r>
          <m:rPr/>
          <m:t>…</m:t>
        </m:r>
        <m:r>
          <m:rPr/>
          <m:t>,</m:t>
        </m:r>
        <m:sSub>
          <m:e>
            <m:r>
              <m:rPr/>
              <m:t>M</m:t>
            </m:r>
          </m:e>
          <m:sub>
            <m:r>
              <m:rPr/>
              <m:t>i</m:t>
            </m:r>
            <m:r>
              <m:rPr/>
              <m:t>j</m:t>
            </m:r>
            <m:r>
              <m:rPr/>
              <m:t>k</m:t>
            </m:r>
            <m:r>
              <m:rPr/>
              <m:t>ℓ</m:t>
            </m:r>
          </m:sub>
        </m:sSub>
      </m:oMath>
      <w:r>
        <w:t xml:space="preserve">. The context assignments are displayed in the following table:</w:t>
      </w:r>
    </w:p>
    <w:tbl>
      <w:tblPr>
        <w:tblStyle w:val="TableNormal"/>
        <w:tblW w:type="pct" w:w="2847.222222222222"/>
        <w:tblLook w:firstRow="1"/>
      </w:tblPr>
      <w:tblGrid>
        <w:gridCol w:w="1100"/>
        <w:gridCol w:w="77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Style w:val="Compact"/>
          </w:p>
        </w:tc>
        <w:tc>
          <w:tcPr>
            <w:tcBorders>
              <w:bottom w:val="single"/>
            </w:tcBorders>
            <w:vAlign w:val="bottom"/>
          </w:tcPr>
          <w:p>
            <w:pPr>
              <w:pStyle w:val="Compact"/>
              <w:jc w:val="center"/>
            </w:pPr>
            <w:r>
              <w:t xml:space="preserve">k=1</w:t>
            </w:r>
          </w:p>
        </w:tc>
        <w:tc>
          <w:tcPr>
            <w:tcBorders>
              <w:bottom w:val="single"/>
            </w:tcBorders>
            <w:vAlign w:val="bottom"/>
          </w:tcPr>
          <w:p>
            <w:pPr>
              <w:pStyle w:val="Compact"/>
              <w:jc w:val="center"/>
            </w:pPr>
            <w:r>
              <w:t xml:space="preserve">k=2</w:t>
            </w:r>
          </w:p>
        </w:tc>
      </w:tr>
      <w:tr>
        <w:tc>
          <w:p>
            <w:pStyle w:val="Compact"/>
          </w:p>
        </w:tc>
        <w:tc>
          <w:p>
            <w:pStyle w:val="Compact"/>
          </w:p>
        </w:tc>
        <w:tc>
          <w:p>
            <w:pPr>
              <w:pStyle w:val="Compact"/>
              <w:jc w:val="center"/>
            </w:pPr>
            <w:r>
              <w:t xml:space="preserve">A-promoting</w:t>
            </w:r>
          </w:p>
        </w:tc>
        <w:tc>
          <w:p>
            <w:pPr>
              <w:pStyle w:val="Compact"/>
              <w:jc w:val="center"/>
            </w:pPr>
            <w:r>
              <w:t xml:space="preserve">H-promoting</w:t>
            </w:r>
          </w:p>
        </w:tc>
      </w:tr>
      <w:tr>
        <w:tc>
          <w:p>
            <w:pPr>
              <w:pStyle w:val="Compact"/>
              <w:jc w:val="center"/>
            </w:pPr>
            <w:r>
              <w:rPr>
                <w:b/>
              </w:rPr>
              <w:t xml:space="preserve">j=1</w:t>
            </w:r>
          </w:p>
        </w:tc>
        <w:tc>
          <w:p>
            <w:pPr>
              <w:pStyle w:val="Compact"/>
              <w:jc w:val="left"/>
            </w:pPr>
            <w:r>
              <w:t xml:space="preserve">word</w:t>
            </w:r>
          </w:p>
        </w:tc>
        <w:tc>
          <w:p>
            <w:pPr>
              <w:pStyle w:val="Compact"/>
              <w:jc w:val="center"/>
            </w:pPr>
            <w:r>
              <w:t xml:space="preserve">C_T</w:t>
            </w:r>
          </w:p>
        </w:tc>
        <w:tc>
          <w:p>
            <w:pPr>
              <w:pStyle w:val="Compact"/>
              <w:jc w:val="center"/>
            </w:pPr>
            <w:r>
              <w:t xml:space="preserve">T_E</w:t>
            </w:r>
          </w:p>
        </w:tc>
      </w:tr>
      <w:tr>
        <w:tc>
          <w:p>
            <w:pPr>
              <w:pStyle w:val="Compact"/>
              <w:jc w:val="center"/>
            </w:pPr>
            <w:r>
              <w:rPr>
                <w:b/>
              </w:rPr>
              <w:t xml:space="preserve">j=2</w:t>
            </w:r>
          </w:p>
        </w:tc>
        <w:tc>
          <w:p>
            <w:pPr>
              <w:pStyle w:val="Compact"/>
              <w:jc w:val="left"/>
            </w:pPr>
            <w:r>
              <w:t xml:space="preserve">letter</w:t>
            </w:r>
          </w:p>
        </w:tc>
        <w:tc>
          <w:p>
            <w:pPr>
              <w:pStyle w:val="Compact"/>
              <w:jc w:val="center"/>
            </w:pPr>
            <w:r>
              <w:t xml:space="preserve">H</w:t>
            </w:r>
          </w:p>
        </w:tc>
        <w:tc>
          <w:p>
            <w:pPr>
              <w:pStyle w:val="Compact"/>
              <w:jc w:val="center"/>
            </w:pPr>
            <w:r>
              <w:t xml:space="preserve">A</w:t>
            </w:r>
          </w:p>
        </w:tc>
      </w:tr>
    </w:tbl>
    <w:p>
      <w:pPr>
        <w:pStyle w:val="Textkrper"/>
      </w:pPr>
      <w:r>
        <w:t xml:space="preserve">Observations</w:t>
      </w:r>
      <w:r>
        <w:t xml:space="preserve"> </w:t>
      </w:r>
      <m:oMath>
        <m:sSub>
          <m:e>
            <m:r>
              <m:rPr/>
              <m:t>Y</m:t>
            </m:r>
          </m:e>
          <m:sub>
            <m:r>
              <m:rPr/>
              <m:t>i</m:t>
            </m:r>
            <m:r>
              <m:rPr/>
              <m:t>j</m:t>
            </m:r>
            <m:r>
              <m:rPr/>
              <m:t>k</m:t>
            </m:r>
            <m:r>
              <m:rPr/>
              <m:t>ℓ</m:t>
            </m:r>
            <m:r>
              <m:rPr/>
              <m:t>m</m:t>
            </m:r>
          </m:sub>
        </m:sSub>
      </m:oMath>
      <w:r>
        <w:t xml:space="preserve"> </w:t>
      </w:r>
      <w:r>
        <w:t xml:space="preserve">are dichotomous. To model the effect of covariates in dichotomous observations, we use a probit-regression specification:</w:t>
      </w:r>
    </w:p>
    <w:p>
      <w:pPr>
        <w:pStyle w:val="Textkrper"/>
      </w:pPr>
      <m:oMathPara>
        <m:oMathParaPr>
          <m:jc m:val="center"/>
        </m:oMathParaPr>
        <m:oMath>
          <m:sSub>
            <m:e>
              <m:r>
                <m:rPr/>
                <m:t>Y</m:t>
              </m:r>
            </m:e>
            <m:sub>
              <m:r>
                <m:rPr/>
                <m:t>i</m:t>
              </m:r>
              <m:r>
                <m:rPr/>
                <m:t>j</m:t>
              </m:r>
              <m:r>
                <m:rPr/>
                <m:t>k</m:t>
              </m:r>
              <m:r>
                <m:rPr/>
                <m:t>ℓ</m:t>
              </m:r>
              <m:r>
                <m:rPr/>
                <m:t>m</m:t>
              </m:r>
            </m:sub>
          </m:sSub>
          <m:limUpp>
            <m:e>
              <m:r>
                <m:rPr/>
                <m:t>∼</m:t>
              </m:r>
            </m:e>
            <m:lim>
              <m:r>
                <m:rPr/>
                <m:t>i</m:t>
              </m:r>
              <m:r>
                <m:rPr/>
                <m:t>n</m:t>
              </m:r>
              <m:r>
                <m:rPr/>
                <m:t>d</m:t>
              </m:r>
            </m:lim>
          </m:limUpp>
          <m:r>
            <m:rPr>
              <m:sty m:val="p"/>
            </m:rPr>
            <m:t>Bernoulli</m:t>
          </m:r>
          <m:d>
            <m:dPr>
              <m:begChr m:val="["/>
              <m:endChr m:val="]"/>
              <m:grow/>
            </m:dPr>
            <m:e>
              <m:r>
                <m:rPr/>
                <m:t>Φ</m:t>
              </m:r>
              <m:r>
                <m:rPr/>
                <m:t>(</m:t>
              </m:r>
              <m:sSub>
                <m:e>
                  <m:r>
                    <m:rPr/>
                    <m:t>μ</m:t>
                  </m:r>
                </m:e>
                <m:sub>
                  <m:r>
                    <m:rPr/>
                    <m:t>i</m:t>
                  </m:r>
                  <m:r>
                    <m:rPr/>
                    <m:t>j</m:t>
                  </m:r>
                  <m:r>
                    <m:rPr/>
                    <m:t>k</m:t>
                  </m:r>
                  <m:r>
                    <m:rPr/>
                    <m:t>ℓ</m:t>
                  </m:r>
                </m:sub>
              </m:sSub>
              <m:r>
                <m:rPr/>
                <m:t>)</m:t>
              </m:r>
            </m:e>
          </m:d>
          <m:r>
            <m:rPr/>
            <m:t>.</m:t>
          </m:r>
        </m:oMath>
      </m:oMathPara>
    </w:p>
    <w:p>
      <w:pPr>
        <w:pStyle w:val="Textkrper"/>
      </w:pPr>
      <w:r>
        <w:t xml:space="preserve">Here,</w:t>
      </w:r>
      <w:r>
        <w:t xml:space="preserve"> </w:t>
      </w:r>
      <m:oMath>
        <m:r>
          <m:rPr/>
          <m:t>Φ</m:t>
        </m:r>
      </m:oMath>
      <w:r>
        <w:t xml:space="preserve">, the cumulative distribution function of the standard normal, is the link, and</w:t>
      </w:r>
      <w:r>
        <w:t xml:space="preserve"> </w:t>
      </w:r>
      <m:oMath>
        <m:sSub>
          <m:e>
            <m:r>
              <m:rPr/>
              <m:t>μ</m:t>
            </m:r>
          </m:e>
          <m:sub>
            <m:r>
              <m:rPr/>
              <m:t>i</m:t>
            </m:r>
            <m:r>
              <m:rPr/>
              <m:t>j</m:t>
            </m:r>
            <m:r>
              <m:rPr/>
              <m:t>k</m:t>
            </m:r>
            <m:r>
              <m:rPr/>
              <m:t>ℓ</m:t>
            </m:r>
          </m:sub>
        </m:sSub>
        <m:r>
          <m:rPr/>
          <m:t>∈</m:t>
        </m:r>
        <m:r>
          <m:rPr/>
          <m:t>(</m:t>
        </m:r>
        <m:r>
          <m:rPr/>
          <m:t>∞</m:t>
        </m:r>
        <m:r>
          <m:rPr/>
          <m:t>,</m:t>
        </m:r>
        <m:r>
          <m:rPr/>
          <m:t>∞</m:t>
        </m:r>
        <m:r>
          <m:rPr/>
          <m:t>)</m:t>
        </m:r>
      </m:oMath>
      <w:r>
        <w:t xml:space="preserve"> </w:t>
      </w:r>
      <w:r>
        <w:t xml:space="preserve">is the combined effect of people, conditions, and the target.</w:t>
      </w:r>
    </w:p>
    <w:p>
      <w:pPr>
        <w:pStyle w:val="Textkrper"/>
      </w:pPr>
      <w:r>
        <w:t xml:space="preserve">To model individual inhibition effects, we additively decompose</w:t>
      </w:r>
      <w:r>
        <w:t xml:space="preserve"> </w:t>
      </w:r>
      <m:oMath>
        <m:sSub>
          <m:e>
            <m:r>
              <m:rPr/>
              <m:t>μ</m:t>
            </m:r>
          </m:e>
          <m:sub>
            <m:r>
              <m:rPr/>
              <m:t>i</m:t>
            </m:r>
            <m:r>
              <m:rPr/>
              <m:t>j</m:t>
            </m:r>
            <m:r>
              <m:rPr/>
              <m:t>k</m:t>
            </m:r>
            <m:r>
              <m:rPr/>
              <m:t>ℓ</m:t>
            </m:r>
          </m:sub>
        </m:sSub>
      </m:oMath>
      <w:r>
        <w:t xml:space="preserve"> </w:t>
      </w:r>
      <w:r>
        <w:t xml:space="preserve">into the effect of the target for a particular participant,</w:t>
      </w:r>
      <w:r>
        <w:t xml:space="preserve"> </w:t>
      </w:r>
      <m:oMath>
        <m:sSub>
          <m:e>
            <m:r>
              <m:rPr/>
              <m:t>γ</m:t>
            </m:r>
          </m:e>
          <m:sub>
            <m:r>
              <m:rPr/>
              <m:t>i</m:t>
            </m:r>
            <m:r>
              <m:rPr/>
              <m:t>ℓ</m:t>
            </m:r>
          </m:sub>
        </m:sSub>
      </m:oMath>
      <w:r>
        <w:t xml:space="preserve">, the individual's</w:t>
      </w:r>
      <w:r>
        <w:t xml:space="preserve"> </w:t>
      </w:r>
      <w:r>
        <w:rPr>
          <w:i/>
        </w:rPr>
        <w:t xml:space="preserve">assimilation</w:t>
      </w:r>
      <w:r>
        <w:t xml:space="preserve"> </w:t>
      </w:r>
      <w:r>
        <w:t xml:space="preserve">effect when the background context is a word,</w:t>
      </w:r>
      <w:r>
        <w:t xml:space="preserve"> </w:t>
      </w:r>
      <m:oMath>
        <m:sSub>
          <m:e>
            <m:r>
              <m:rPr/>
              <m:t>α</m:t>
            </m:r>
          </m:e>
          <m:sub>
            <m:r>
              <m:rPr/>
              <m:t>i</m:t>
            </m:r>
          </m:sub>
        </m:sSub>
      </m:oMath>
      <w:r>
        <w:t xml:space="preserve"> </w:t>
      </w:r>
      <w:r>
        <w:t xml:space="preserve">and the individual's</w:t>
      </w:r>
      <w:r>
        <w:t xml:space="preserve"> </w:t>
      </w:r>
      <w:r>
        <w:rPr>
          <w:i/>
        </w:rPr>
        <w:t xml:space="preserve">contrast</w:t>
      </w:r>
      <w:r>
        <w:t xml:space="preserve"> </w:t>
      </w:r>
      <w:r>
        <w:t xml:space="preserve">effect when the background context is a letter frame,</w:t>
      </w:r>
      <w:r>
        <w:t xml:space="preserve"> </w:t>
      </w:r>
      <m:oMath>
        <m:sSub>
          <m:e>
            <m:r>
              <m:rPr/>
              <m:t>β</m:t>
            </m:r>
          </m:e>
          <m:sub>
            <m:r>
              <m:rPr/>
              <m:t>i</m:t>
            </m:r>
          </m:sub>
        </m:sSub>
      </m:oMath>
      <w:r>
        <w:t xml:space="preserve">. The decomposition is:</w:t>
      </w:r>
    </w:p>
    <w:p>
      <w:pPr>
        <w:pStyle w:val="Textkrper"/>
      </w:pPr>
      <m:oMathPara>
        <m:oMathParaPr>
          <m:jc m:val="center"/>
        </m:oMathParaPr>
        <m:oMath>
          <m:sSub>
            <m:e>
              <m:r>
                <m:rPr/>
                <m:t>μ</m:t>
              </m:r>
            </m:e>
            <m:sub>
              <m:r>
                <m:rPr/>
                <m:t>i</m:t>
              </m:r>
              <m:r>
                <m:rPr/>
                <m:t>j</m:t>
              </m:r>
              <m:r>
                <m:rPr/>
                <m:t>k</m:t>
              </m:r>
              <m:r>
                <m:rPr/>
                <m:t>ℓ</m:t>
              </m:r>
            </m:sub>
          </m:sSub>
          <m:r>
            <m:rPr/>
            <m:t>=</m:t>
          </m:r>
          <m:sSub>
            <m:e>
              <m:r>
                <m:rPr/>
                <m:t>γ</m:t>
              </m:r>
            </m:e>
            <m:sub>
              <m:r>
                <m:rPr/>
                <m:t>i</m:t>
              </m:r>
              <m:r>
                <m:rPr/>
                <m:t>ℓ</m:t>
              </m:r>
            </m:sub>
          </m:sSub>
          <m:r>
            <m:rPr/>
            <m:t>+</m:t>
          </m:r>
          <m:sSub>
            <m:e>
              <m:r>
                <m:rPr/>
                <m:t>v</m:t>
              </m:r>
            </m:e>
            <m:sub>
              <m:r>
                <m:rPr/>
                <m:t>j</m:t>
              </m:r>
            </m:sub>
          </m:sSub>
          <m:sSub>
            <m:e>
              <m:r>
                <m:rPr/>
                <m:t>x</m:t>
              </m:r>
            </m:e>
            <m:sub>
              <m:r>
                <m:rPr/>
                <m:t>k</m:t>
              </m:r>
            </m:sub>
          </m:sSub>
          <m:sSub>
            <m:e>
              <m:r>
                <m:rPr/>
                <m:t>α</m:t>
              </m:r>
            </m:e>
            <m:sub>
              <m:r>
                <m:rPr/>
                <m:t>i</m:t>
              </m:r>
            </m:sub>
          </m:sSub>
          <m:r>
            <m:rPr/>
            <m:t>+</m:t>
          </m:r>
          <m:r>
            <m:rPr/>
            <m:t>(</m:t>
          </m:r>
          <m:r>
            <m:rPr/>
            <m:t>1</m:t>
          </m:r>
          <m:r>
            <m:rPr/>
            <m:t>−</m:t>
          </m:r>
          <m:sSub>
            <m:e>
              <m:r>
                <m:rPr/>
                <m:t>v</m:t>
              </m:r>
            </m:e>
            <m:sub>
              <m:r>
                <m:rPr/>
                <m:t>j</m:t>
              </m:r>
            </m:sub>
          </m:sSub>
          <m:r>
            <m:rPr/>
            <m:t>)</m:t>
          </m:r>
          <m:sSub>
            <m:e>
              <m:r>
                <m:rPr/>
                <m:t>x</m:t>
              </m:r>
            </m:e>
            <m:sub>
              <m:r>
                <m:rPr/>
                <m:t>k</m:t>
              </m:r>
            </m:sub>
          </m:sSub>
          <m:sSub>
            <m:e>
              <m:r>
                <m:rPr/>
                <m:t>β</m:t>
              </m:r>
            </m:e>
            <m:sub>
              <m:r>
                <m:rPr/>
                <m:t>i</m:t>
              </m:r>
            </m:sub>
          </m:sSub>
          <m:r>
            <m:rPr/>
            <m:t>.</m:t>
          </m:r>
        </m:oMath>
      </m:oMathPara>
    </w:p>
    <w:p>
      <w:pPr>
        <w:pStyle w:val="Textkrper"/>
      </w:pPr>
      <w:r>
        <w:t xml:space="preserve">The quantities</w:t>
      </w:r>
      <w:r>
        <w:t xml:space="preserve"> </w:t>
      </w:r>
      <m:oMath>
        <m:sSub>
          <m:e>
            <m:r>
              <m:rPr/>
              <m:t>v</m:t>
            </m:r>
          </m:e>
          <m:sub>
            <m:r>
              <m:rPr/>
              <m:t>j</m:t>
            </m:r>
          </m:sub>
        </m:sSub>
      </m:oMath>
      <w:r>
        <w:t xml:space="preserve"> </w:t>
      </w:r>
      <w:r>
        <w:t xml:space="preserve">and</w:t>
      </w:r>
      <w:r>
        <w:t xml:space="preserve"> </w:t>
      </w:r>
      <m:oMath>
        <m:sSub>
          <m:e>
            <m:r>
              <m:rPr/>
              <m:t>x</m:t>
            </m:r>
          </m:e>
          <m:sub>
            <m:r>
              <m:rPr/>
              <m:t>k</m:t>
            </m:r>
          </m:sub>
        </m:sSub>
      </m:oMath>
      <w:r>
        <w:t xml:space="preserve"> </w:t>
      </w:r>
      <w:r>
        <w:t xml:space="preserve">are indicators of the context type and direction, as follows:</w:t>
      </w:r>
    </w:p>
    <w:p>
      <w:pPr>
        <w:pStyle w:val="Textkrper"/>
      </w:pPr>
      <w:r>
        <w:t xml:space="preserve">$$ v_j=
  \begin{dcases}
      0 &amp; \quad \text{if} \quad j =2  \text{ (letters)}\\
      1 &amp; \quad \text{if} \quad j =1 \text{ (word)}
  \end{dcases}
  \qquad
  x_k=
  \begin{dcases}
      \frac{-1}{2} &amp; \quad \text{if} \quad k =1  \text{ (A-promoting)}\\
      \frac{1}{2}  &amp; \quad \text{if} \quad k =2 \text{ (H-promoting)}
  \end{dcases}
$$</w:t>
      </w:r>
    </w:p>
    <w:p>
      <w:pPr>
        <w:pStyle w:val="Textkrper"/>
      </w:pPr>
      <w:r>
        <w:t xml:space="preserve">Prior distributions are needed for</w:t>
      </w:r>
      <w:r>
        <w:t xml:space="preserve"> </w:t>
      </w:r>
      <m:oMath>
        <m:sSub>
          <m:e>
            <m:r>
              <m:rPr/>
              <m:t>α</m:t>
            </m:r>
          </m:e>
          <m:sub>
            <m:r>
              <m:rPr/>
              <m:t>i</m:t>
            </m:r>
          </m:sub>
        </m:sSub>
        <m:r>
          <m:rPr/>
          <m:t>,</m:t>
        </m:r>
        <m:sSub>
          <m:e>
            <m:r>
              <m:rPr/>
              <m:t>β</m:t>
            </m:r>
          </m:e>
          <m:sub>
            <m:r>
              <m:rPr/>
              <m:t>i</m:t>
            </m:r>
          </m:sub>
        </m:sSub>
        <m:r>
          <m:rPr/>
          <m:t>,</m:t>
        </m:r>
        <m:r>
          <m:rPr>
            <m:sty m:val="p"/>
          </m:rPr>
          <m:t> and </m:t>
        </m:r>
        <m:sSub>
          <m:e>
            <m:r>
              <m:rPr/>
              <m:t>γ</m:t>
            </m:r>
          </m:e>
          <m:sub>
            <m:r>
              <m:rPr/>
              <m:t>i</m:t>
            </m:r>
            <m:r>
              <m:rPr/>
              <m:t>ℓ</m:t>
            </m:r>
          </m:sub>
        </m:sSub>
      </m:oMath>
      <w:r>
        <w:t xml:space="preserve">. We start with</w:t>
      </w:r>
      <w:r>
        <w:t xml:space="preserve"> </w:t>
      </w:r>
      <m:oMath>
        <m:sSub>
          <m:e>
            <m:r>
              <m:rPr/>
              <m:t>γ</m:t>
            </m:r>
          </m:e>
          <m:sub>
            <m:r>
              <m:rPr/>
              <m:t>i</m:t>
            </m:r>
            <m:r>
              <m:rPr/>
              <m:t>ℓ</m:t>
            </m:r>
          </m:sub>
        </m:sSub>
      </m:oMath>
      <w:r>
        <w:t xml:space="preserve">, the effect of the target for a particular participant. These parameters are not of primary concern, and we use a broad hierarchical prior given by:</w:t>
      </w:r>
      <w:r>
        <w:t xml:space="preserve"> </w:t>
      </w:r>
      <m:oMath>
        <m:sSub>
          <m:e>
            <m:r>
              <m:rPr/>
              <m:t>γ</m:t>
            </m:r>
          </m:e>
          <m:sub>
            <m:r>
              <m:rPr/>
              <m:t>i</m:t>
            </m:r>
            <m:r>
              <m:rPr/>
              <m:t>ℓ</m:t>
            </m:r>
          </m:sub>
        </m:sSub>
        <m:r>
          <m:rPr/>
          <m:t>∼</m:t>
        </m:r>
        <m:r>
          <m:rPr>
            <m:sty m:val="p"/>
          </m:rPr>
          <m:t>N</m:t>
        </m:r>
        <m:r>
          <m:rPr/>
          <m:t>(</m:t>
        </m:r>
        <m:sSub>
          <m:e>
            <m:r>
              <m:rPr/>
              <m:t>ν</m:t>
            </m:r>
          </m:e>
          <m:sub>
            <m:r>
              <m:rPr/>
              <m:t>ℓ</m:t>
            </m:r>
          </m:sub>
        </m:sSub>
        <m:r>
          <m:rPr/>
          <m:t>,</m:t>
        </m:r>
        <m:sSub>
          <m:e>
            <m:r>
              <m:rPr/>
              <m:t>δ</m:t>
            </m:r>
          </m:e>
          <m:sub>
            <m:r>
              <m:rPr/>
              <m:t>ℓ</m:t>
            </m:r>
          </m:sub>
        </m:sSub>
        <m:r>
          <m:rPr/>
          <m:t>)</m:t>
        </m:r>
      </m:oMath>
      <w:r>
        <w:t xml:space="preserve"> </w:t>
      </w:r>
      <w:r>
        <w:t xml:space="preserve">with hyper priors of</w:t>
      </w:r>
      <w:r>
        <w:t xml:space="preserve"> </w:t>
      </w:r>
      <m:oMath>
        <m:sSub>
          <m:e>
            <m:r>
              <m:rPr/>
              <m:t>ν</m:t>
            </m:r>
          </m:e>
          <m:sub>
            <m:r>
              <m:rPr/>
              <m:t>ℓ</m:t>
            </m:r>
          </m:sub>
        </m:sSub>
        <m:r>
          <m:rPr/>
          <m:t>∼</m:t>
        </m:r>
        <m:r>
          <m:rPr>
            <m:sty m:val="p"/>
          </m:rPr>
          <m:t>N</m:t>
        </m:r>
        <m:r>
          <m:rPr/>
          <m:t>(</m:t>
        </m:r>
        <m:r>
          <m:rPr/>
          <m:t>0</m:t>
        </m:r>
        <m:r>
          <m:rPr/>
          <m:t>,</m:t>
        </m:r>
        <m:r>
          <m:rPr/>
          <m:t>1</m:t>
        </m:r>
        <m:r>
          <m:rPr/>
          <m:t>)</m:t>
        </m:r>
      </m:oMath>
      <w:r>
        <w:t xml:space="preserve"> </w:t>
      </w:r>
      <w:r>
        <w:t xml:space="preserve">and</w:t>
      </w:r>
      <w:r>
        <w:t xml:space="preserve"> </w:t>
      </w:r>
      <m:oMath>
        <m:sSub>
          <m:e>
            <m:r>
              <m:rPr/>
              <m:t>δ</m:t>
            </m:r>
          </m:e>
          <m:sub>
            <m:r>
              <m:rPr/>
              <m:t>ℓ</m:t>
            </m:r>
          </m:sub>
        </m:sSub>
        <m:r>
          <m:rPr/>
          <m:t>∼</m:t>
        </m:r>
        <m:r>
          <m:rPr>
            <m:sty m:val="p"/>
          </m:rPr>
          <m:t>I</m:t>
        </m:r>
        <m:r>
          <m:rPr>
            <m:sty m:val="p"/>
          </m:rPr>
          <m:t>n</m:t>
        </m:r>
        <m:r>
          <m:rPr>
            <m:sty m:val="p"/>
          </m:rPr>
          <m:t>v</m:t>
        </m:r>
        <m:r>
          <m:rPr>
            <m:sty m:val="p"/>
          </m:rPr>
          <m:t>e</m:t>
        </m:r>
        <m:r>
          <m:rPr>
            <m:sty m:val="p"/>
          </m:rPr>
          <m:t>r</m:t>
        </m:r>
        <m:r>
          <m:rPr>
            <m:sty m:val="p"/>
          </m:rPr>
          <m:t>s</m:t>
        </m:r>
        <m:r>
          <m:rPr>
            <m:sty m:val="p"/>
          </m:rPr>
          <m:t>e</m:t>
        </m:r>
        <m:r>
          <m:rPr>
            <m:sty m:val="p"/>
          </m:rPr>
          <m:t>G</m:t>
        </m:r>
        <m:r>
          <m:rPr>
            <m:sty m:val="p"/>
          </m:rPr>
          <m:t>a</m:t>
        </m:r>
        <m:r>
          <m:rPr>
            <m:sty m:val="p"/>
          </m:rPr>
          <m:t>m</m:t>
        </m:r>
        <m:r>
          <m:rPr>
            <m:sty m:val="p"/>
          </m:rPr>
          <m:t>m</m:t>
        </m:r>
        <m:r>
          <m:rPr>
            <m:sty m:val="p"/>
          </m:rPr>
          <m:t>a</m:t>
        </m:r>
        <m:r>
          <m:rPr/>
          <m:t>(</m:t>
        </m:r>
        <m:r>
          <m:rPr/>
          <m:t>.5</m:t>
        </m:r>
        <m:r>
          <m:rPr/>
          <m:t>,</m:t>
        </m:r>
        <m:r>
          <m:rPr/>
          <m:t>.01</m:t>
        </m:r>
        <m:r>
          <m:rPr/>
          <m:t>)</m:t>
        </m:r>
      </m:oMath>
      <w:r>
        <w:t xml:space="preserve">.</w:t>
      </w:r>
      <w:r>
        <w:br w:type="textWrapping"/>
      </w:r>
      <w:r>
        <w:t xml:space="preserve">The effects of interest are an individual's assimilation effect,</w:t>
      </w:r>
      <w:r>
        <w:t xml:space="preserve"> </w:t>
      </w:r>
      <m:oMath>
        <m:sSub>
          <m:e>
            <m:r>
              <m:rPr/>
              <m:t>α</m:t>
            </m:r>
          </m:e>
          <m:sub>
            <m:r>
              <m:rPr/>
              <m:t>i</m:t>
            </m:r>
          </m:sub>
        </m:sSub>
      </m:oMath>
      <w:r>
        <w:t xml:space="preserve">, and an individual's contrast effect,</w:t>
      </w:r>
      <w:r>
        <w:t xml:space="preserve"> </w:t>
      </w:r>
      <m:oMath>
        <m:sSub>
          <m:e>
            <m:r>
              <m:rPr/>
              <m:t>β</m:t>
            </m:r>
          </m:e>
          <m:sub>
            <m:r>
              <m:rPr/>
              <m:t>i</m:t>
            </m:r>
          </m:sub>
        </m:sSub>
      </m:oMath>
      <w:r>
        <w:t xml:space="preserve">. We follow the development in</w:t>
      </w:r>
      <w:r>
        <w:t xml:space="preserve"> </w:t>
      </w:r>
      <w:r>
        <w:t xml:space="preserve">Rouder et al. (2007)</w:t>
      </w:r>
      <w:r>
        <w:t xml:space="preserve"> </w:t>
      </w:r>
      <w:r>
        <w:t xml:space="preserve">who describe Bayesian analyses in these settings. The joint prior over these parameter is</w:t>
      </w:r>
    </w:p>
    <w:p>
      <w:pPr>
        <w:pStyle w:val="Textkrper"/>
      </w:pPr>
      <m:oMathPara>
        <m:oMathParaPr>
          <m:jc m:val="center"/>
        </m:oMathParaPr>
        <m:oMath>
          <m:d>
            <m:dPr>
              <m:begChr m:val="("/>
              <m:endChr m:val=")"/>
              <m:grow/>
            </m:dPr>
            <m:e>
              <m:m>
                <m:mPr>
                  <m:baseJc m:val="center"/>
                  <m:plcHide m:val="on"/>
                  <m:mcs>
                    <m:mc>
                      <m:mcPr>
                        <m:mcJc m:val="center"/>
                      </m:mcPr>
                    </m:mc>
                    <m:mc>
                      <m:mcPr>
                        <m:mcJc m:val="left"/>
                      </m:mcPr>
                    </m:mc>
                  </m:mcs>
                </m:mPr>
                <m:mr>
                  <m:e>
                    <m:sSub>
                      <m:e>
                        <m:r>
                          <m:rPr/>
                          <m:t>α</m:t>
                        </m:r>
                      </m:e>
                      <m:sub>
                        <m:r>
                          <m:rPr/>
                          <m:t>i</m:t>
                        </m:r>
                      </m:sub>
                    </m:sSub>
                  </m:e>
                </m:mr>
                <m:mr>
                  <m:e>
                    <m:sSub>
                      <m:e>
                        <m:r>
                          <m:rPr/>
                          <m:t>β</m:t>
                        </m:r>
                      </m:e>
                      <m:sub>
                        <m:r>
                          <m:rPr/>
                          <m:t>i</m:t>
                        </m:r>
                      </m:sub>
                    </m:sSub>
                  </m:e>
                </m:mr>
              </m:m>
            </m:e>
          </m:d>
          <m:r>
            <m:rPr/>
            <m:t>=</m:t>
          </m:r>
          <m:r>
            <m:rPr>
              <m:sty m:val="p"/>
            </m:rPr>
            <m:t>N</m:t>
          </m:r>
          <m:r>
            <m:rPr/>
            <m:t>(</m:t>
          </m:r>
          <m:r>
            <m:rPr>
              <m:sty m:val="b"/>
            </m:rPr>
            <m:t>λ</m:t>
          </m:r>
          <m:r>
            <m:rPr/>
            <m:t>,</m:t>
          </m:r>
          <m:r>
            <m:rPr>
              <m:sty m:val="b"/>
            </m:rPr>
            <m:t>Σ</m:t>
          </m:r>
          <m:r>
            <m:rPr/>
            <m:t>)</m:t>
          </m:r>
          <m:r>
            <m:rPr/>
            <m:t>,</m:t>
          </m:r>
        </m:oMath>
      </m:oMathPara>
    </w:p>
    <w:p>
      <w:pPr>
        <w:pStyle w:val="Textkrper"/>
      </w:pPr>
      <w:r>
        <w:t xml:space="preserve">where</w:t>
      </w:r>
      <w:r>
        <w:t xml:space="preserve"> </w:t>
      </w:r>
      <m:oMath>
        <m:r>
          <m:rPr>
            <m:sty m:val="b"/>
          </m:rPr>
          <m:t>λ</m:t>
        </m:r>
      </m:oMath>
      <w:r>
        <w:t xml:space="preserve"> </w:t>
      </w:r>
      <w:r>
        <w:t xml:space="preserve">is the vector</w:t>
      </w:r>
      <w:r>
        <w:t xml:space="preserve"> </w:t>
      </w:r>
      <m:oMath>
        <m:r>
          <m:rPr/>
          <m:t>(</m:t>
        </m:r>
        <m:sSub>
          <m:e>
            <m:r>
              <m:rPr/>
              <m:t>μ</m:t>
            </m:r>
          </m:e>
          <m:sub>
            <m:r>
              <m:rPr/>
              <m:t>α</m:t>
            </m:r>
          </m:sub>
        </m:sSub>
        <m:r>
          <m:rPr/>
          <m:t>,</m:t>
        </m:r>
        <m:sSub>
          <m:e>
            <m:r>
              <m:rPr/>
              <m:t>μ</m:t>
            </m:r>
          </m:e>
          <m:sub>
            <m:r>
              <m:rPr/>
              <m:t>β</m:t>
            </m:r>
          </m:sub>
        </m:sSub>
        <m:r>
          <m:rPr/>
          <m:t>)</m:t>
        </m:r>
      </m:oMath>
      <w:r>
        <w:t xml:space="preserve"> </w:t>
      </w:r>
      <w:r>
        <w:t xml:space="preserve">and</w:t>
      </w:r>
      <w:r>
        <w:t xml:space="preserve"> </w:t>
      </w:r>
      <m:oMath>
        <m:r>
          <m:rPr>
            <m:sty m:val="b"/>
          </m:rPr>
          <m:t>Σ</m:t>
        </m:r>
        <m:r>
          <m:rPr/>
          <m:t>=</m:t>
        </m:r>
        <m:d>
          <m:dPr>
            <m:begChr m:val="("/>
            <m:endChr m:val=")"/>
            <m:grow/>
          </m:dPr>
          <m:e>
            <m:m>
              <m:mPr>
                <m:baseJc m:val="center"/>
                <m:plcHide m:val="on"/>
                <m:mcs>
                  <m:mc>
                    <m:mcPr>
                      <m:mcJc m:val="center"/>
                    </m:mcPr>
                  </m:mc>
                  <m:mc>
                    <m:mcPr>
                      <m:mcJc m:val="center"/>
                    </m:mcPr>
                  </m:mc>
                </m:mcs>
              </m:mPr>
              <m:mr>
                <m:e>
                  <m:sSub>
                    <m:e>
                      <m:r>
                        <m:rPr/>
                        <m:t>Σ</m:t>
                      </m:r>
                    </m:e>
                    <m:sub>
                      <m:r>
                        <m:rPr/>
                        <m:t>1</m:t>
                      </m:r>
                      <m:r>
                        <m:rPr/>
                        <m:t>,</m:t>
                      </m:r>
                      <m:r>
                        <m:rPr/>
                        <m:t>1</m:t>
                      </m:r>
                    </m:sub>
                  </m:sSub>
                </m:e>
                <m:e>
                  <m:sSub>
                    <m:e>
                      <m:r>
                        <m:rPr/>
                        <m:t>Σ</m:t>
                      </m:r>
                    </m:e>
                    <m:sub>
                      <m:r>
                        <m:rPr/>
                        <m:t>1</m:t>
                      </m:r>
                      <m:r>
                        <m:rPr/>
                        <m:t>,</m:t>
                      </m:r>
                      <m:r>
                        <m:rPr/>
                        <m:t>2</m:t>
                      </m:r>
                    </m:sub>
                  </m:sSub>
                </m:e>
              </m:mr>
              <m:mr>
                <m:e>
                  <m:sSub>
                    <m:e>
                      <m:r>
                        <m:rPr/>
                        <m:t>Σ</m:t>
                      </m:r>
                    </m:e>
                    <m:sub>
                      <m:r>
                        <m:rPr/>
                        <m:t>2</m:t>
                      </m:r>
                      <m:r>
                        <m:rPr/>
                        <m:t>,</m:t>
                      </m:r>
                      <m:r>
                        <m:rPr/>
                        <m:t>1</m:t>
                      </m:r>
                    </m:sub>
                  </m:sSub>
                </m:e>
                <m:e>
                  <m:sSub>
                    <m:e>
                      <m:r>
                        <m:rPr/>
                        <m:t>Σ</m:t>
                      </m:r>
                    </m:e>
                    <m:sub>
                      <m:r>
                        <m:rPr/>
                        <m:t>2</m:t>
                      </m:r>
                      <m:r>
                        <m:rPr/>
                        <m:t>,</m:t>
                      </m:r>
                      <m:r>
                        <m:rPr/>
                        <m:t>2</m:t>
                      </m:r>
                    </m:sub>
                  </m:sSub>
                </m:e>
              </m:mr>
            </m:m>
          </m:e>
        </m:d>
      </m:oMath>
      <w:r>
        <w:t xml:space="preserve"> </w:t>
      </w:r>
      <w:r>
        <w:t xml:space="preserve">is a covariance matrix.</w:t>
      </w:r>
    </w:p>
    <w:p>
      <w:pPr>
        <w:pStyle w:val="Textkrper"/>
      </w:pPr>
      <w:r>
        <w:t xml:space="preserve">Following</w:t>
      </w:r>
      <w:r>
        <w:t xml:space="preserve"> </w:t>
      </w:r>
      <w:r>
        <w:t xml:space="preserve">Rouder et al. (2007)</w:t>
      </w:r>
      <w:r>
        <w:t xml:space="preserve">, the hyperpriors for</w:t>
      </w:r>
      <w:r>
        <w:t xml:space="preserve"> </w:t>
      </w:r>
      <m:oMath>
        <m:sSub>
          <m:e>
            <m:r>
              <m:rPr/>
              <m:t>μ</m:t>
            </m:r>
          </m:e>
          <m:sub>
            <m:r>
              <m:rPr/>
              <m:t>α</m:t>
            </m:r>
          </m:sub>
        </m:sSub>
      </m:oMath>
      <w:r>
        <w:t xml:space="preserve"> </w:t>
      </w:r>
      <w:r>
        <w:t xml:space="preserve">and</w:t>
      </w:r>
      <w:r>
        <w:t xml:space="preserve"> </w:t>
      </w:r>
      <m:oMath>
        <m:sSub>
          <m:e>
            <m:r>
              <m:rPr/>
              <m:t>μ</m:t>
            </m:r>
          </m:e>
          <m:sub>
            <m:r>
              <m:rPr/>
              <m:t>β</m:t>
            </m:r>
          </m:sub>
        </m:sSub>
      </m:oMath>
      <w:r>
        <w:t xml:space="preserve"> </w:t>
      </w:r>
      <w:r>
        <w:t xml:space="preserve">are given by</w:t>
      </w:r>
    </w:p>
    <w:p>
      <w:pPr>
        <w:pStyle w:val="Textkrper"/>
      </w:pPr>
      <m:oMathPara>
        <m:oMathParaPr>
          <m:jc m:val="center"/>
        </m:oMathParaPr>
        <m:oMath>
          <m:sSub>
            <m:e>
              <m:r>
                <m:rPr/>
                <m:t>μ</m:t>
              </m:r>
            </m:e>
            <m:sub>
              <m:r>
                <m:rPr/>
                <m:t>α</m:t>
              </m:r>
            </m:sub>
          </m:sSub>
          <m:r>
            <m:rPr/>
            <m:t>∼</m:t>
          </m:r>
          <m:r>
            <m:rPr/>
            <m:t>N</m:t>
          </m:r>
          <m:r>
            <m:rPr/>
            <m:t>(</m:t>
          </m:r>
          <m:r>
            <m:rPr/>
            <m:t>0</m:t>
          </m:r>
          <m:r>
            <m:rPr/>
            <m:t>,</m:t>
          </m:r>
          <m:r>
            <m:rPr/>
            <m:t>1</m:t>
          </m:r>
          <m:r>
            <m:rPr/>
            <m:t>)</m:t>
          </m:r>
          <m:r>
            <m:rPr/>
            <m:t>,</m:t>
          </m:r>
        </m:oMath>
      </m:oMathPara>
    </w:p>
    <w:p>
      <w:pPr>
        <w:pStyle w:val="Textkrper"/>
      </w:pPr>
      <m:oMathPara>
        <m:oMathParaPr>
          <m:jc m:val="center"/>
        </m:oMathParaPr>
        <m:oMath>
          <m:sSub>
            <m:e>
              <m:r>
                <m:rPr/>
                <m:t>μ</m:t>
              </m:r>
            </m:e>
            <m:sub>
              <m:r>
                <m:rPr/>
                <m:t>β</m:t>
              </m:r>
            </m:sub>
          </m:sSub>
          <m:r>
            <m:rPr/>
            <m:t>∼</m:t>
          </m:r>
          <m:r>
            <m:rPr/>
            <m:t>N</m:t>
          </m:r>
          <m:r>
            <m:rPr/>
            <m:t>(</m:t>
          </m:r>
          <m:r>
            <m:rPr/>
            <m:t>0</m:t>
          </m:r>
          <m:r>
            <m:rPr/>
            <m:t>,</m:t>
          </m:r>
          <m:r>
            <m:rPr/>
            <m:t>1</m:t>
          </m:r>
          <m:r>
            <m:rPr/>
            <m:t>)</m:t>
          </m:r>
          <m:r>
            <m:rPr/>
            <m:t>.</m:t>
          </m:r>
        </m:oMath>
      </m:oMathPara>
    </w:p>
    <w:p>
      <w:pPr>
        <w:pStyle w:val="Textkrper"/>
      </w:pPr>
      <w:r>
        <w:t xml:space="preserve">The hyperprior for</w:t>
      </w:r>
      <w:r>
        <w:t xml:space="preserve"> </w:t>
      </w:r>
      <m:oMath>
        <m:r>
          <m:rPr>
            <m:sty m:val="b"/>
          </m:rPr>
          <m:t>Σ</m:t>
        </m:r>
      </m:oMath>
      <w:r>
        <w:t xml:space="preserve"> </w:t>
      </w:r>
      <w:r>
        <w:t xml:space="preserve">is</w:t>
      </w:r>
    </w:p>
    <w:p>
      <w:pPr>
        <w:pStyle w:val="Textkrper"/>
      </w:pPr>
      <m:oMathPara>
        <m:oMathParaPr>
          <m:jc m:val="center"/>
        </m:oMathParaPr>
        <m:oMath>
          <m:r>
            <m:rPr>
              <m:sty m:val="b"/>
            </m:rPr>
            <m:t>Σ</m:t>
          </m:r>
          <m:r>
            <m:rPr/>
            <m:t>∼</m:t>
          </m:r>
          <m:r>
            <m:rPr>
              <m:sty m:val="p"/>
            </m:rPr>
            <m:t>I</m:t>
          </m:r>
          <m:r>
            <m:rPr>
              <m:sty m:val="p"/>
            </m:rPr>
            <m:t>n</m:t>
          </m:r>
          <m:r>
            <m:rPr>
              <m:sty m:val="p"/>
            </m:rPr>
            <m:t>v</m:t>
          </m:r>
          <m:r>
            <m:rPr>
              <m:sty m:val="p"/>
            </m:rPr>
            <m:t>e</m:t>
          </m:r>
          <m:r>
            <m:rPr>
              <m:sty m:val="p"/>
            </m:rPr>
            <m:t>r</m:t>
          </m:r>
          <m:r>
            <m:rPr>
              <m:sty m:val="p"/>
            </m:rPr>
            <m:t>s</m:t>
          </m:r>
          <m:r>
            <m:rPr>
              <m:sty m:val="p"/>
            </m:rPr>
            <m:t>e</m:t>
          </m:r>
          <m:r>
            <m:rPr>
              <m:sty m:val="p"/>
            </m:rPr>
            <m:t>W</m:t>
          </m:r>
          <m:r>
            <m:rPr>
              <m:sty m:val="p"/>
            </m:rPr>
            <m:t>i</m:t>
          </m:r>
          <m:r>
            <m:rPr>
              <m:sty m:val="p"/>
            </m:rPr>
            <m:t>s</m:t>
          </m:r>
          <m:r>
            <m:rPr>
              <m:sty m:val="p"/>
            </m:rPr>
            <m:t>h</m:t>
          </m:r>
          <m:r>
            <m:rPr>
              <m:sty m:val="p"/>
            </m:rPr>
            <m:t>e</m:t>
          </m:r>
          <m:r>
            <m:rPr>
              <m:sty m:val="p"/>
            </m:rPr>
            <m:t>r</m:t>
          </m:r>
          <m:r>
            <m:rPr>
              <m:sty m:val="p"/>
            </m:rPr>
            <m:t>t</m:t>
          </m:r>
          <m:r>
            <m:rPr/>
            <m:t>(</m:t>
          </m:r>
          <m:r>
            <m:rPr/>
            <m:t>3</m:t>
          </m:r>
          <m:r>
            <m:rPr/>
            <m:t>,</m:t>
          </m:r>
          <m:r>
            <m:rPr/>
            <m:t>Ω</m:t>
          </m:r>
          <m:r>
            <m:rPr/>
            <m:t>)</m:t>
          </m:r>
          <m:r>
            <m:rPr/>
            <m:t>,</m:t>
          </m:r>
        </m:oMath>
      </m:oMathPara>
    </w:p>
    <w:p>
      <w:pPr>
        <w:pStyle w:val="Textkrper"/>
      </w:pPr>
      <w:r>
        <w:t xml:space="preserve">where</w:t>
      </w:r>
      <w:r>
        <w:t xml:space="preserve"> </w:t>
      </w:r>
      <m:oMath>
        <m:r>
          <m:rPr/>
          <m:t>Ω</m:t>
        </m:r>
        <m:r>
          <m:rPr/>
          <m:t>=</m:t>
        </m:r>
        <m:d>
          <m:dPr>
            <m:begChr m:val="∣"/>
            <m:endChr m:val="∣"/>
            <m:grow/>
          </m:dPr>
          <m:e>
            <m:m>
              <m:mPr>
                <m:baseJc m:val="center"/>
                <m:plcHide m:val="on"/>
                <m:mcs>
                  <m:mc>
                    <m:mcPr>
                      <m:mcJc m:val="center"/>
                    </m:mcPr>
                  </m:mc>
                  <m:mc>
                    <m:mcPr>
                      <m:mcJc m:val="center"/>
                    </m:mcPr>
                  </m:mc>
                </m:mcs>
              </m:mPr>
              <m:mr>
                <m:e>
                  <m:r>
                    <m:rPr/>
                    <m:t>.05</m:t>
                  </m:r>
                </m:e>
                <m:e>
                  <m:r>
                    <m:rPr/>
                    <m:t>0</m:t>
                  </m:r>
                </m:e>
              </m:mr>
              <m:mr>
                <m:e>
                  <m:r>
                    <m:rPr/>
                    <m:t>0</m:t>
                  </m:r>
                </m:e>
                <m:e>
                  <m:r>
                    <m:rPr/>
                    <m:t>.05</m:t>
                  </m:r>
                </m:e>
              </m:mr>
            </m:m>
          </m:e>
        </m:d>
      </m:oMath>
      <w:r>
        <w:t xml:space="preserve">. A key property of the above specification is that population covariance in</w:t>
      </w:r>
      <w:r>
        <w:t xml:space="preserve"> </w:t>
      </w:r>
      <m:oMath>
        <m:r>
          <m:rPr>
            <m:sty m:val="b"/>
          </m:rPr>
          <m:t>Σ</m:t>
        </m:r>
      </m:oMath>
      <w:r>
        <w:t xml:space="preserve"> </w:t>
      </w:r>
      <w:r>
        <w:t xml:space="preserve">is an explicit parameter given by</w:t>
      </w:r>
      <w:r>
        <w:t xml:space="preserve"> </w:t>
      </w:r>
      <m:oMath>
        <m:sSub>
          <m:e>
            <m:r>
              <m:rPr/>
              <m:t>Σ</m:t>
            </m:r>
          </m:e>
          <m:sub>
            <m:r>
              <m:rPr/>
              <m:t>1</m:t>
            </m:r>
            <m:r>
              <m:rPr/>
              <m:t>,</m:t>
            </m:r>
            <m:r>
              <m:rPr/>
              <m:t>2</m:t>
            </m:r>
          </m:sub>
        </m:sSub>
      </m:oMath>
      <w:r>
        <w:t xml:space="preserve">. Hence, a population correlation is well defined, and subsequent inferences generalize to new data from new participants.</w:t>
      </w:r>
    </w:p>
    <w:p>
      <w:pPr>
        <w:pStyle w:val="Textkrper"/>
      </w:pPr>
      <w:r>
        <w:t xml:space="preserve">The choices we make above are all reasonable given the expected degree of variability in proportions. The standard normal prior in the probit space on</w:t>
      </w:r>
      <w:r>
        <w:t xml:space="preserve"> </w:t>
      </w:r>
      <m:oMath>
        <m:sSub>
          <m:e>
            <m:r>
              <m:rPr/>
              <m:t>μ</m:t>
            </m:r>
          </m:e>
          <m:sub>
            <m:r>
              <m:rPr/>
              <m:t>β</m:t>
            </m:r>
          </m:sub>
        </m:sSub>
      </m:oMath>
      <w:r>
        <w:t xml:space="preserve"> </w:t>
      </w:r>
      <w:r>
        <w:t xml:space="preserve">and</w:t>
      </w:r>
      <w:r>
        <w:t xml:space="preserve"> </w:t>
      </w:r>
      <m:oMath>
        <m:sSub>
          <m:e>
            <m:r>
              <m:rPr/>
              <m:t>μ</m:t>
            </m:r>
          </m:e>
          <m:sub>
            <m:r>
              <m:rPr/>
              <m:t>α</m:t>
            </m:r>
          </m:sub>
        </m:sSub>
      </m:oMath>
      <w:r>
        <w:t xml:space="preserve"> </w:t>
      </w:r>
      <w:r>
        <w:t xml:space="preserve">corresponds to flat priors in the space of proportions, and the shape value of</w:t>
      </w:r>
      <w:r>
        <w:t xml:space="preserve"> </w:t>
      </w:r>
      <m:oMath>
        <m:r>
          <m:rPr/>
          <m:t>3</m:t>
        </m:r>
      </m:oMath>
      <w:r>
        <w:t xml:space="preserve"> </w:t>
      </w:r>
      <w:r>
        <w:t xml:space="preserve">in the Inverse Wishert corresponds to a flat prior on the population-level correlation coefficient. The only substantive choice are the values</w:t>
      </w:r>
      <w:r>
        <w:t xml:space="preserve"> </w:t>
      </w:r>
      <m:oMath>
        <m:r>
          <m:rPr/>
          <m:t>.05</m:t>
        </m:r>
      </m:oMath>
      <w:r>
        <w:t xml:space="preserve"> </w:t>
      </w:r>
      <w:r>
        <w:t xml:space="preserve">in the scale of the Inverse Wishert. This small value of precision corresponds to a vaguely informative prior on effects. Additional details are provided in</w:t>
      </w:r>
      <w:r>
        <w:t xml:space="preserve"> </w:t>
      </w:r>
      <w:r>
        <w:t xml:space="preserve">Rouder et al. (2007)</w:t>
      </w:r>
      <w:r>
        <w:t xml:space="preserve">.</w:t>
      </w:r>
    </w:p>
    <w:p>
      <w:pPr>
        <w:pStyle w:val="Heading1"/>
      </w:pPr>
      <w:bookmarkStart w:id="28" w:name="analyses-and-results"/>
      <w:bookmarkEnd w:id="28"/>
      <w:r>
        <w:t xml:space="preserve">Analyses and Results</w:t>
      </w:r>
    </w:p>
    <w:p>
      <w:pPr>
        <w:pStyle w:val="FirstParagraph"/>
      </w:pPr>
      <w:r>
        <w:t xml:space="preserve">The estimation of probit-transformed parameters follows from</w:t>
      </w:r>
      <w:r>
        <w:t xml:space="preserve"> </w:t>
      </w:r>
      <w:r>
        <w:t xml:space="preserve">Albert and Chib (1995)</w:t>
      </w:r>
      <w:r>
        <w:t xml:space="preserve">. Accordingly, a new set of latent variables is introduced for each observation, and we denote them</w:t>
      </w:r>
      <w:r>
        <w:t xml:space="preserve"> </w:t>
      </w:r>
      <m:oMath>
        <m:sSub>
          <m:e>
            <m:r>
              <m:rPr/>
              <m:t>w</m:t>
            </m:r>
          </m:e>
          <m:sub>
            <m:r>
              <m:rPr/>
              <m:t>i</m:t>
            </m:r>
            <m:r>
              <m:rPr/>
              <m:t>j</m:t>
            </m:r>
            <m:r>
              <m:rPr/>
              <m:t>k</m:t>
            </m:r>
            <m:r>
              <m:rPr/>
              <m:t>ℓ</m:t>
            </m:r>
            <m:r>
              <m:rPr/>
              <m:t>m</m:t>
            </m:r>
          </m:sub>
        </m:sSub>
      </m:oMath>
      <w:r>
        <w:t xml:space="preserve">. These variables are defined as follows:</w:t>
      </w:r>
    </w:p>
    <w:p>
      <w:pPr>
        <w:pStyle w:val="Textkrper"/>
      </w:pPr>
      <w:r>
        <w:t xml:space="preserve">$$y_{ijk\ell m}=
  \begin{dcases}
      0 &amp; \text{ then }  w_{ijk\ell m} &lt; 0 \\ 
      1  &amp; \text{ then }  w_{ijk\ell m} \geq 0
  \end{dcases}
$$</w:t>
      </w:r>
    </w:p>
    <w:p>
      <w:pPr>
        <w:pStyle w:val="Textkrper"/>
      </w:pPr>
      <w:r>
        <w:t xml:space="preserve">Without loss of generality, the variable</w:t>
      </w:r>
      <w:r>
        <w:t xml:space="preserve"> </w:t>
      </w:r>
      <m:oMath>
        <m:sSub>
          <m:e>
            <m:r>
              <m:rPr/>
              <m:t>w</m:t>
            </m:r>
          </m:e>
          <m:sub>
            <m:r>
              <m:rPr/>
              <m:t>i</m:t>
            </m:r>
            <m:r>
              <m:rPr/>
              <m:t>j</m:t>
            </m:r>
            <m:r>
              <m:rPr/>
              <m:t>k</m:t>
            </m:r>
            <m:r>
              <m:rPr/>
              <m:t>ℓ</m:t>
            </m:r>
            <m:r>
              <m:rPr/>
              <m:t>m</m:t>
            </m:r>
          </m:sub>
        </m:sSub>
      </m:oMath>
      <w:r>
        <w:t xml:space="preserve"> </w:t>
      </w:r>
      <w:r>
        <w:t xml:space="preserve">is assumed to be distributed as a normal with a variance of one and the mean of</w:t>
      </w:r>
      <w:r>
        <w:t xml:space="preserve"> </w:t>
      </w:r>
      <m:oMath>
        <m:sSub>
          <m:e>
            <m:r>
              <m:rPr/>
              <m:t>μ</m:t>
            </m:r>
          </m:e>
          <m:sub>
            <m:r>
              <m:rPr/>
              <m:t>i</m:t>
            </m:r>
            <m:r>
              <m:rPr/>
              <m:t>j</m:t>
            </m:r>
            <m:r>
              <m:rPr/>
              <m:t>k</m:t>
            </m:r>
            <m:r>
              <m:rPr/>
              <m:t>ℓ</m:t>
            </m:r>
          </m:sub>
        </m:sSub>
      </m:oMath>
      <w:r>
        <w:t xml:space="preserve">. Thus, the parameters of interest at this level are</w:t>
      </w:r>
      <w:r>
        <w:t xml:space="preserve"> </w:t>
      </w:r>
      <m:oMath>
        <m:sSub>
          <m:e>
            <m:r>
              <m:rPr/>
              <m:t>w</m:t>
            </m:r>
          </m:e>
          <m:sub>
            <m:r>
              <m:rPr/>
              <m:t>i</m:t>
            </m:r>
            <m:r>
              <m:rPr/>
              <m:t>j</m:t>
            </m:r>
            <m:r>
              <m:rPr/>
              <m:t>k</m:t>
            </m:r>
            <m:r>
              <m:rPr/>
              <m:t>ℓ</m:t>
            </m:r>
            <m:r>
              <m:rPr/>
              <m:t>m</m:t>
            </m:r>
          </m:sub>
        </m:sSub>
      </m:oMath>
      <w:r>
        <w:t xml:space="preserve"> </w:t>
      </w:r>
      <w:r>
        <w:t xml:space="preserve">and</w:t>
      </w:r>
      <w:r>
        <w:t xml:space="preserve"> </w:t>
      </w:r>
      <m:oMath>
        <m:sSub>
          <m:e>
            <m:r>
              <m:rPr/>
              <m:t>μ</m:t>
            </m:r>
          </m:e>
          <m:sub>
            <m:r>
              <m:rPr/>
              <m:t>i</m:t>
            </m:r>
            <m:r>
              <m:rPr/>
              <m:t>j</m:t>
            </m:r>
            <m:r>
              <m:rPr/>
              <m:t>k</m:t>
            </m:r>
            <m:r>
              <m:rPr/>
              <m:t>ℓ</m:t>
            </m:r>
          </m:sub>
        </m:sSub>
      </m:oMath>
      <w:r>
        <w:t xml:space="preserve">. It is easy to compute the posterior of</w:t>
      </w:r>
      <w:r>
        <w:t xml:space="preserve"> </w:t>
      </w:r>
      <m:oMath>
        <m:r>
          <m:rPr>
            <m:sty m:val="b"/>
          </m:rPr>
          <m:t>w</m:t>
        </m:r>
      </m:oMath>
      <w:r>
        <w:t xml:space="preserve"> </w:t>
      </w:r>
      <w:r>
        <w:t xml:space="preserve">given the vector of</w:t>
      </w:r>
      <w:r>
        <w:t xml:space="preserve"> </w:t>
      </w:r>
      <m:oMath>
        <m:r>
          <m:rPr>
            <m:sty m:val="b"/>
          </m:rPr>
          <m:t>μ</m:t>
        </m:r>
      </m:oMath>
      <w:r>
        <w:t xml:space="preserve"> </w:t>
      </w:r>
      <w:r>
        <w:t xml:space="preserve">and, conversely, it is easy to compute the posterior of</w:t>
      </w:r>
      <w:r>
        <w:t xml:space="preserve"> </w:t>
      </w:r>
      <m:oMath>
        <m:r>
          <m:rPr>
            <m:sty m:val="b"/>
          </m:rPr>
          <m:t>μ</m:t>
        </m:r>
      </m:oMath>
      <w:r>
        <w:t xml:space="preserve"> </w:t>
      </w:r>
      <w:r>
        <w:t xml:space="preserve">given the</w:t>
      </w:r>
      <w:r>
        <w:t xml:space="preserve"> </w:t>
      </w:r>
      <m:oMath>
        <m:r>
          <m:rPr>
            <m:sty m:val="b"/>
          </m:rPr>
          <m:t>w</m:t>
        </m:r>
      </m:oMath>
      <w:r>
        <w:t xml:space="preserve">'s. Hence, the marginals of each may be found by Markov chain Monte Carlo (MCMC) sampling. The conditional posterior distribution of</w:t>
      </w:r>
      <w:r>
        <w:t xml:space="preserve"> </w:t>
      </w:r>
      <m:oMath>
        <m:r>
          <m:rPr>
            <m:sty m:val="b"/>
          </m:rPr>
          <m:t>w</m:t>
        </m:r>
      </m:oMath>
      <w:r>
        <w:t xml:space="preserve"> </w:t>
      </w:r>
      <w:r>
        <w:t xml:space="preserve">is a truncated normal:</w:t>
      </w:r>
    </w:p>
    <w:p>
      <w:pPr>
        <w:pStyle w:val="Textkrper"/>
      </w:pPr>
      <w:r>
        <w:t xml:space="preserve">$$w_{ijk\ell m}|y_{ijk\ell m} \sim 
  \begin{dcases} 
    \text{N}_-(\mu_{ijk\ell},1) &amp; \text{ if }  y_{ijk\ell m}=0 \\
    \text{N}_+(\mu_{ijk\ell},1) &amp; \text{ if }  y_{ijk\ell m}=1, 
  \end{dcases}
$$</w:t>
      </w:r>
    </w:p>
    <w:p>
      <w:pPr>
        <w:pStyle w:val="Textkrper"/>
      </w:pPr>
      <w:r>
        <w:t xml:space="preserve">where</w:t>
      </w:r>
      <w:r>
        <w:t xml:space="preserve"> </w:t>
      </w:r>
      <m:oMath>
        <m:sSub>
          <m:e>
            <m:r>
              <m:rPr/>
              <m:t>N</m:t>
            </m:r>
          </m:e>
          <m:sub>
            <m:r>
              <m:rPr/>
              <m:t>+</m:t>
            </m:r>
          </m:sub>
        </m:sSub>
      </m:oMath>
      <w:r>
        <w:t xml:space="preserve"> </w:t>
      </w:r>
      <w:r>
        <w:t xml:space="preserve">and</w:t>
      </w:r>
      <w:r>
        <w:t xml:space="preserve"> </w:t>
      </w:r>
      <m:oMath>
        <m:sSub>
          <m:e>
            <m:r>
              <m:rPr/>
              <m:t>N</m:t>
            </m:r>
          </m:e>
          <m:sub>
            <m:r>
              <m:rPr/>
              <m:t>−</m:t>
            </m:r>
          </m:sub>
        </m:sSub>
      </m:oMath>
      <w:r>
        <w:t xml:space="preserve"> </w:t>
      </w:r>
      <w:r>
        <w:t xml:space="preserve">denote normals distributions truncated at zero from below and above, respectively.</w:t>
      </w:r>
    </w:p>
    <w:p>
      <w:pPr>
        <w:pStyle w:val="Textkrper"/>
      </w:pPr>
      <w:r>
        <w:t xml:space="preserve">Posterior distributions for remaining parameters may also be sampled with MCMC. In all cases, conditional posterior distributions of parameters may be derived directly from the proportional form of Bayes rule</w:t>
      </w:r>
      <w:r>
        <w:t xml:space="preserve"> </w:t>
      </w:r>
      <w:r>
        <w:t xml:space="preserve">(Jackman, 2009; Rouder &amp; Lu, 2005)</w:t>
      </w:r>
      <w:r>
        <w:t xml:space="preserve">. Priors were chosen to be conjugate, and consequently, posterior distributions may be sampled from known distributions in Gibbs steps.</w:t>
      </w:r>
    </w:p>
    <w:p>
      <w:pPr>
        <w:pStyle w:val="Textkrper"/>
      </w:pPr>
      <w:r>
        <w:t xml:space="preserve">Critical parameters are individual estimates of contrast and assimilation, and the population-level correlation of these abilities. Individual estimates are parameters</w:t>
      </w:r>
      <w:r>
        <w:t xml:space="preserve"> </w:t>
      </w:r>
      <m:oMath>
        <m:sSub>
          <m:e>
            <m:r>
              <m:rPr/>
              <m:t>α</m:t>
            </m:r>
          </m:e>
          <m:sub>
            <m:r>
              <m:rPr/>
              <m:t>i</m:t>
            </m:r>
          </m:sub>
        </m:sSub>
      </m:oMath>
      <w:r>
        <w:t xml:space="preserve"> </w:t>
      </w:r>
      <w:r>
        <w:t xml:space="preserve">and</w:t>
      </w:r>
      <w:r>
        <w:t xml:space="preserve"> </w:t>
      </w:r>
      <m:oMath>
        <m:sSub>
          <m:e>
            <m:r>
              <m:rPr/>
              <m:t>β</m:t>
            </m:r>
          </m:e>
          <m:sub>
            <m:r>
              <m:rPr/>
              <m:t>i</m:t>
            </m:r>
          </m:sub>
        </m:sSub>
      </m:oMath>
      <w:r>
        <w:t xml:space="preserve">. Posterior means and posterior standard deviations of these parameters are shown as points and ellipses, respectively, in Figure 4A in the main paper. The most critical parameter is the population correlation. On each iteration of the MCMC chain, we calculated</w:t>
      </w:r>
      <w:r>
        <w:t xml:space="preserve"> </w:t>
      </w:r>
      <m:oMath>
        <m:r>
          <m:rPr/>
          <m:t>ρ</m:t>
        </m:r>
        <m:r>
          <m:rPr/>
          <m:t>=</m:t>
        </m:r>
        <m:sSub>
          <m:e>
            <m:r>
              <m:rPr/>
              <m:t>Σ</m:t>
            </m:r>
          </m:e>
          <m:sub>
            <m:r>
              <m:rPr/>
              <m:t>1</m:t>
            </m:r>
            <m:r>
              <m:rPr/>
              <m:t>,</m:t>
            </m:r>
            <m:r>
              <m:rPr/>
              <m:t>2</m:t>
            </m:r>
          </m:sub>
        </m:sSub>
        <m:r>
          <m:rPr/>
          <m:t>/</m:t>
        </m:r>
        <m:rad>
          <m:radPr>
            <m:degHide m:val="on"/>
          </m:radPr>
          <m:deg/>
          <m:e>
            <m:sSub>
              <m:e>
                <m:r>
                  <m:rPr/>
                  <m:t>Σ</m:t>
                </m:r>
              </m:e>
              <m:sub>
                <m:r>
                  <m:rPr/>
                  <m:t>1</m:t>
                </m:r>
                <m:r>
                  <m:rPr/>
                  <m:t>,</m:t>
                </m:r>
                <m:r>
                  <m:rPr/>
                  <m:t>1</m:t>
                </m:r>
              </m:sub>
            </m:sSub>
            <m:r>
              <m:rPr/>
              <m:t>×</m:t>
            </m:r>
            <m:sSub>
              <m:e>
                <m:r>
                  <m:rPr/>
                  <m:t>Σ</m:t>
                </m:r>
              </m:e>
              <m:sub>
                <m:r>
                  <m:rPr/>
                  <m:t>2</m:t>
                </m:r>
                <m:r>
                  <m:rPr/>
                  <m:t>,</m:t>
                </m:r>
                <m:r>
                  <m:rPr/>
                  <m:t>2</m:t>
                </m:r>
              </m:sub>
            </m:sSub>
          </m:e>
        </m:rad>
      </m:oMath>
      <w:r>
        <w:t xml:space="preserve">. The prior and posterior distribution of</w:t>
      </w:r>
      <w:r>
        <w:t xml:space="preserve"> </w:t>
      </w:r>
      <m:oMath>
        <m:r>
          <m:rPr/>
          <m:t>ρ</m:t>
        </m:r>
      </m:oMath>
      <w:r>
        <w:t xml:space="preserve"> </w:t>
      </w:r>
      <w:r>
        <w:t xml:space="preserve">is shown in Figure 4B. A full description of the results may be found in the main paper.</w:t>
      </w:r>
    </w:p>
    <w:p>
      <w:pPr>
        <w:pStyle w:val="Heading1"/>
      </w:pPr>
      <w:bookmarkStart w:id="29" w:name="references"/>
      <w:bookmarkEnd w:id="29"/>
      <w:r>
        <w:t xml:space="preserve">References</w:t>
      </w:r>
    </w:p>
    <w:p>
      <w:pPr>
        <w:pStyle w:val="FirstParagraph"/>
      </w:pPr>
      <w:r>
        <w:t xml:space="preserve"> </w:t>
      </w:r>
    </w:p>
    <w:p>
      <w:pPr>
        <w:pStyle w:val="Bibliography"/>
      </w:pPr>
      <w:r>
        <w:t xml:space="preserve">Albert, J. H., &amp; Chib, S. (1995). Bayesian residual analysis for binary response regression models.</w:t>
      </w:r>
      <w:r>
        <w:t xml:space="preserve"> </w:t>
      </w:r>
      <w:r>
        <w:rPr>
          <w:i/>
        </w:rPr>
        <w:t xml:space="preserve">Biometrika</w:t>
      </w:r>
      <w:r>
        <w:t xml:space="preserve">,</w:t>
      </w:r>
      <w:r>
        <w:t xml:space="preserve"> </w:t>
      </w:r>
      <w:r>
        <w:rPr>
          <w:i/>
        </w:rPr>
        <w:t xml:space="preserve">82</w:t>
      </w:r>
      <w:r>
        <w:t xml:space="preserve">, 747–759.</w:t>
      </w:r>
    </w:p>
    <w:p>
      <w:pPr>
        <w:pStyle w:val="Bibliography"/>
      </w:pPr>
      <w:r>
        <w:t xml:space="preserve">Jackman, S. (2009).</w:t>
      </w:r>
      <w:r>
        <w:t xml:space="preserve"> </w:t>
      </w:r>
      <w:r>
        <w:rPr>
          <w:i/>
        </w:rPr>
        <w:t xml:space="preserve">Bayesian analysis for the social sciences</w:t>
      </w:r>
      <w:r>
        <w:t xml:space="preserve">. Chichester, United Kingdom: John Wiley &amp; Sons.</w:t>
      </w:r>
    </w:p>
    <w:p>
      <w:pPr>
        <w:pStyle w:val="Bibliography"/>
      </w:pPr>
      <w:r>
        <w:t xml:space="preserve">Rouder, J. N. (2016). The what, why, and how of born-open data.</w:t>
      </w:r>
      <w:r>
        <w:t xml:space="preserve"> </w:t>
      </w:r>
      <w:r>
        <w:rPr>
          <w:i/>
        </w:rPr>
        <w:t xml:space="preserve">Behavioral Research Methods</w:t>
      </w:r>
      <w:r>
        <w:t xml:space="preserve">,</w:t>
      </w:r>
      <w:r>
        <w:t xml:space="preserve"> </w:t>
      </w:r>
      <w:r>
        <w:rPr>
          <w:i/>
        </w:rPr>
        <w:t xml:space="preserve">48</w:t>
      </w:r>
      <w:r>
        <w:t xml:space="preserve">, 1062–1069. Retrieved from</w:t>
      </w:r>
      <w:r>
        <w:t xml:space="preserve"> </w:t>
      </w:r>
      <w:hyperlink r:id="rId30">
        <w:r>
          <w:rPr>
            <w:rStyle w:val="Hyperlink"/>
          </w:rPr>
          <w:t xml:space="preserve">10.3758/s13428-015-0630-z</w:t>
        </w:r>
      </w:hyperlink>
    </w:p>
    <w:p>
      <w:pPr>
        <w:pStyle w:val="Bibliography"/>
      </w:pPr>
      <w:r>
        <w:t xml:space="preserve">Rouder, J. N., &amp; Lu, J. (2005). An introduction to Bayesian hierarchical models with an application in the theory of signal detection.</w:t>
      </w:r>
      <w:r>
        <w:t xml:space="preserve"> </w:t>
      </w:r>
      <w:r>
        <w:rPr>
          <w:i/>
        </w:rPr>
        <w:t xml:space="preserve">Psychonomic Bulletin and Review</w:t>
      </w:r>
      <w:r>
        <w:t xml:space="preserve">,</w:t>
      </w:r>
      <w:r>
        <w:t xml:space="preserve"> </w:t>
      </w:r>
      <w:r>
        <w:rPr>
          <w:i/>
        </w:rPr>
        <w:t xml:space="preserve">12</w:t>
      </w:r>
      <w:r>
        <w:t xml:space="preserve">, 573–604.</w:t>
      </w:r>
    </w:p>
    <w:p>
      <w:pPr>
        <w:pStyle w:val="Bibliography"/>
      </w:pPr>
      <w:r>
        <w:t xml:space="preserve">Rouder, J. N., Lu, J., Sun, D., Speckman, P. L., Morey, R. D., &amp; Naveh-Benjamin, M. (2007). Signal detection models with random participant and item effects.</w:t>
      </w:r>
      <w:r>
        <w:t xml:space="preserve"> </w:t>
      </w:r>
      <w:r>
        <w:rPr>
          <w:i/>
        </w:rPr>
        <w:t xml:space="preserve">Psychometrika</w:t>
      </w:r>
      <w:r>
        <w:t xml:space="preserve">,</w:t>
      </w:r>
      <w:r>
        <w:t xml:space="preserve"> </w:t>
      </w:r>
      <w:r>
        <w:rPr>
          <w:i/>
        </w:rPr>
        <w:t xml:space="preserve">72</w:t>
      </w:r>
      <w:r>
        <w:t xml:space="preserve">, 621–642.</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09675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10.3758/s13428-015-0630-z" TargetMode="External" /><Relationship Type="http://schemas.openxmlformats.org/officeDocument/2006/relationships/hyperlink" Id="rId22" Target="https://github.com/PerceptionAndCognitionLab/ctx-flanker/tree/public/papers/current" TargetMode="External" /><Relationship Type="http://schemas.openxmlformats.org/officeDocument/2006/relationships/hyperlink" Id="rId23" Target="https://github.com/PerceptionCognitionLab/data1/tree/master/ctxIndDif/flankerMorph4" TargetMode="External" /><Relationship Type="http://schemas.openxmlformats.org/officeDocument/2006/relationships/hyperlink" Id="rId24" Target="mailto:hks7w2@mail.missouri.edu" TargetMode="External" /></Relationships>
</file>

<file path=word/_rels/footnotes.xml.rels><?xml version="1.0" encoding="UTF-8"?>
<Relationships xmlns="http://schemas.openxmlformats.org/package/2006/relationships"><Relationship Type="http://schemas.openxmlformats.org/officeDocument/2006/relationships/hyperlink" Id="rId30" Target="10.3758/s13428-015-0630-z" TargetMode="External" /><Relationship Type="http://schemas.openxmlformats.org/officeDocument/2006/relationships/hyperlink" Id="rId22" Target="https://github.com/PerceptionAndCognitionLab/ctx-flanker/tree/public/papers/current" TargetMode="External" /><Relationship Type="http://schemas.openxmlformats.org/officeDocument/2006/relationships/hyperlink" Id="rId23" Target="https://github.com/PerceptionCognitionLab/data1/tree/master/ctxIndDif/flankerMorph4" TargetMode="External" /><Relationship Type="http://schemas.openxmlformats.org/officeDocument/2006/relationships/hyperlink" Id="rId24" Target="mailto:hks7w2@mail.missour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to 'Common or Distinct Attention Mechanisms for Contrast and Assimilation?'</dc:title>
  <dc:creator/>
</cp:coreProperties>
</file>