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 w:after="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1A1A2E"/>
          <w:sz w:val="56"/>
          <w:szCs w:val="56"/>
        </w:rPr>
        <w:t xml:space="preserve">Product Requirements Document</w:t>
      </w:r>
    </w:p>
    <w:p>
      <w:pPr>
        <w:spacing w:before="200" w:after="0"/>
      </w:pPr>
    </w:p>
    <w:p>
      <w:pPr>
        <w:pBdr>
          <w:top w:val="single" w:color="0F3460" w:sz="6" w:space="1"/>
        </w:pBdr>
        <w:spacing w:before="200"/>
        <w:jc w:val="left"/>
      </w:pPr>
      <w:r>
        <w:rPr>
          <w:rFonts w:ascii="Calibri" w:cs="Calibri" w:eastAsia="Calibri" w:hAnsi="Calibri"/>
          <w:color w:val="0F3460"/>
          <w:sz w:val="40"/>
          <w:szCs w:val="40"/>
        </w:rPr>
        <w:t xml:space="preserve">Five Dysfunctions of a Team</w:t>
      </w:r>
    </w:p>
    <w:p>
      <w:pPr>
        <w:jc w:val="left"/>
      </w:pPr>
      <w:r>
        <w:rPr>
          <w:rFonts w:ascii="Calibri" w:cs="Calibri" w:eastAsia="Calibri" w:hAnsi="Calibri"/>
          <w:color w:val="666666"/>
          <w:sz w:val="32"/>
          <w:szCs w:val="32"/>
        </w:rPr>
        <w:t xml:space="preserve">Team Assessment Questionnaire Platform</w:t>
      </w:r>
    </w:p>
    <w:p>
      <w:pPr>
        <w:spacing w:before="1600" w:after="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</w:tblGrid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20"/>
                <w:szCs w:val="20"/>
              </w:rPr>
              <w:t xml:space="preserve">Date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20"/>
                <w:szCs w:val="20"/>
              </w:rPr>
              <w:t xml:space="preserve">Author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Future Firm / Bollenstreek Digitaal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20"/>
                <w:szCs w:val="20"/>
              </w:rPr>
              <w:t xml:space="preserve">Client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Atradius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60"/>
      </w:pPr>
      <w:r>
        <w:rPr>
          <w:rFonts w:ascii="Calibri" w:cs="Calibri" w:eastAsia="Calibri" w:hAnsi="Calibri"/>
        </w:rPr>
        <w:t xml:space="preserve">1. Executive Summary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This document specifies the requirements for a web-based team assessment tool based on Patrick Lencioni’s Five Dysfunctions of a Team framework. The tool enables organizations to administer a standardized 15-question questionnaire to teams, departments, or entire companies, and produces structured scoring across five dysfunction dimensions.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primary goal is to create a low-friction, honest assessment experience that discourages overthinking and encourages candid responses, while providing meaningful results at both the individual and aggregate level.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Target deployment: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thefuturefirm.com, with the tool available as a service that The Future Firm offers to its clients as part of team and culture transformation engagements.</w:t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</w:rPr>
        <w:t xml:space="preserve">2. Background &amp; Context</w:t>
      </w:r>
    </w:p>
    <w:p>
      <w:pPr>
        <w:pStyle w:val="Heading2"/>
        <w:spacing w:before="360" w:after="160"/>
      </w:pPr>
      <w:r>
        <w:rPr>
          <w:rFonts w:ascii="Calibri" w:cs="Calibri" w:eastAsia="Calibri" w:hAnsi="Calibri"/>
        </w:rPr>
        <w:t xml:space="preserve">2.1 The Five Dysfunctions Framework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Lencioni’s model identifies five interrelated dysfunctions that undermine team performance. Each dysfunction is measured by three statements, scored on a 3-point scale (Rarely = 1, Sometimes = 2, Usually = 3), producing a per-dysfunction score range of 3–9.</w:t>
      </w:r>
    </w:p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36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Dysfunction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Absence of Trust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4, 6, 12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3–9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Members don’t show vulnerability or admit mistakes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Fear of Conflict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1, 7, 10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3–9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Team avoids passionate, unfiltered debate of ideas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Lack of Commitment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3, 8, 13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3–9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Without open debate, members don’t buy in to decisions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Avoidance of Accountability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2, 11, 14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3–9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Without commitment, peers hesitate to hold each other accountable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Inattention to Results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5, 9, 15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3–9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Individual needs placed above collective team goals</w:t>
            </w:r>
          </w:p>
        </w:tc>
      </w:tr>
    </w:tbl>
    <w:p>
      <w:pPr>
        <w:spacing w:before="80" w:after="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Scoring thresholds: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8–9 = Healthy (green), 6–7 = Possible issue (orange), 3–5 = Needs attention (red).</w:t>
      </w:r>
    </w:p>
    <w:p>
      <w:pPr>
        <w:pStyle w:val="Heading2"/>
        <w:spacing w:before="360" w:after="160"/>
      </w:pPr>
      <w:r>
        <w:rPr>
          <w:rFonts w:ascii="Calibri" w:cs="Calibri" w:eastAsia="Calibri" w:hAnsi="Calibri"/>
        </w:rPr>
        <w:t xml:space="preserve">2.2 Strategic Context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Future Firm uses this assessment as a diagnostic instrument in its culture and strategy transformation consulting practice. The tool must be professional enough to deploy with enterprise clients like Atradius, while remaining simple enough for a team of 12–13 people to complete in under 10 minutes. The platform should be scalable to serve multiple clients, each with their own organizational structure (companies, departments, journeys).</w:t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</w:rPr>
        <w:t xml:space="preserve">3. Scope &amp; Organisational Model</w:t>
      </w:r>
    </w:p>
    <w:p>
      <w:pPr>
        <w:pStyle w:val="Heading2"/>
        <w:spacing w:before="360" w:after="160"/>
      </w:pPr>
      <w:r>
        <w:rPr>
          <w:rFonts w:ascii="Calibri" w:cs="Calibri" w:eastAsia="Calibri" w:hAnsi="Calibri"/>
        </w:rPr>
        <w:t xml:space="preserve">3.1 Hierarchy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system must support a flexible organizational hierarchy to accommodate different client structures: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Company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Top-level entity. A client organization (e.g. “Atradius”).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Department / Journey / Team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A subdivision within a company. The naming should be configurable (some clients think in “departments”, others in “journeys” or “teams”). Each has its own set of participants and produces its own aggregate report.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Assessment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A single administration of the questionnaire for a given group. Timestamped so that the same team can be re-assessed over time to track progress.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Participant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An individual who completes the assessment. Identified by email address (or optionally anonymous).</w:t>
      </w:r>
    </w:p>
    <w:p>
      <w:pPr>
        <w:pStyle w:val="Heading2"/>
        <w:spacing w:before="360" w:after="160"/>
      </w:pPr>
      <w:r>
        <w:rPr>
          <w:rFonts w:ascii="Calibri" w:cs="Calibri" w:eastAsia="Calibri" w:hAnsi="Calibri"/>
        </w:rPr>
        <w:t xml:space="preserve">3.2 Multi-Assessment Support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team or department may run the assessment multiple times (e.g. quarterly). Each assessment is a distinct snapshot. The results dashboard should support comparing assessments over time to visualize improvement or regression.</w:t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</w:rPr>
        <w:t xml:space="preserve">4. Response Collection Modes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tool must support three distinct modes for collecting responses, each suited to different facilitation contexts:</w:t>
      </w:r>
    </w:p>
    <w:p>
      <w:pPr>
        <w:pStyle w:val="Heading2"/>
        <w:spacing w:before="360" w:after="160"/>
      </w:pPr>
      <w:r>
        <w:rPr>
          <w:rFonts w:ascii="Calibri" w:cs="Calibri" w:eastAsia="Calibri" w:hAnsi="Calibri"/>
        </w:rPr>
        <w:t xml:space="preserve">4.1 Shared Device Mode (“Kiosk”)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For in-person workshops or team sessions where a single device (laptop, tablet) is passed around or displayed centrally.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facilitator opens the assessment on one device.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participant list is displayed. Each person taps their name.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They answer all 15 questions and see their personal results.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screen returns to the participant list for the next person.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Privacy consideration: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previous participant’s results must not be visible to the next. The results screen shows only the current person’s scores and then resets.</w:t>
      </w:r>
    </w:p>
    <w:p>
      <w:pPr>
        <w:pStyle w:val="Heading2"/>
        <w:spacing w:before="360" w:after="160"/>
      </w:pPr>
      <w:r>
        <w:rPr>
          <w:rFonts w:ascii="Calibri" w:cs="Calibri" w:eastAsia="Calibri" w:hAnsi="Calibri"/>
        </w:rPr>
        <w:t xml:space="preserve">4.2 Unique Link Mode (“Remote”)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For distributed teams or asynchronous completion. Each participant receives a unique URL via email or chat.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admin enters email addresses and the system generates unique links.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Links can be shared manually (copy/paste) or via an integrated email function.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Each link can only be used once. Revisiting shows the results, not the questionnaire.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Identification: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the response is linked to the participant’s email address, so results are attributable.</w:t>
      </w:r>
    </w:p>
    <w:p>
      <w:pPr>
        <w:pStyle w:val="Heading2"/>
        <w:spacing w:before="360" w:after="160"/>
      </w:pPr>
      <w:r>
        <w:rPr>
          <w:rFonts w:ascii="Calibri" w:cs="Calibri" w:eastAsia="Calibri" w:hAnsi="Calibri"/>
        </w:rPr>
        <w:t xml:space="preserve">4.3 Anonymous Mode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For situations where complete anonymity is required to maximize honest responses.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admin generates a single shared link or QR code.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Anyone with the link can complete the assessment once (tracked by browser fingerprint or session cookie — best-effort, not airtight).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 email, name, or identifier is stored.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Results appear only in aggregate; individual responses cannot be traced.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Trade-off: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anonymity maximizes honesty but prevents individual coaching conversations. The admin should be informed of this trade-off when selecting this mode.</w:t>
      </w:r>
    </w:p>
    <w:p>
      <w:pPr>
        <w:pStyle w:val="Heading2"/>
        <w:spacing w:before="360" w:after="160"/>
      </w:pPr>
      <w:r>
        <w:rPr>
          <w:rFonts w:ascii="Calibri" w:cs="Calibri" w:eastAsia="Calibri" w:hAnsi="Calibri"/>
        </w:rPr>
        <w:t xml:space="preserve">4.4 Mode Selection &amp; Implications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2"/>
        <w:gridCol w:w="2342"/>
        <w:gridCol w:w="2342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Shared Device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Unique Link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Anonymous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Setting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In-person / workshop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Remote / async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Any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Identification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Name (tap to start)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Individual results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Shown to participant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Shown to participant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Not available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Admin sees individual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 — aggregate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Repeat protection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Name greyed out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Link deactivated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Best-effort (cookie)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Best for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Facilitated sessions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Distributed teams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Sensitive environments</w:t>
            </w:r>
          </w:p>
        </w:tc>
      </w:tr>
    </w:tbl>
    <w:p>
      <w:pPr>
        <w:pStyle w:val="Heading1"/>
        <w:spacing w:before="360" w:after="160"/>
      </w:pPr>
      <w:r>
        <w:rPr>
          <w:rFonts w:ascii="Calibri" w:cs="Calibri" w:eastAsia="Calibri" w:hAnsi="Calibri"/>
        </w:rPr>
        <w:t xml:space="preserve">5. User Experience Design</w:t>
      </w:r>
    </w:p>
    <w:p>
      <w:pPr>
        <w:pStyle w:val="Heading2"/>
        <w:spacing w:before="360" w:after="160"/>
      </w:pPr>
      <w:r>
        <w:rPr>
          <w:rFonts w:ascii="Calibri" w:cs="Calibri" w:eastAsia="Calibri" w:hAnsi="Calibri"/>
        </w:rPr>
        <w:t xml:space="preserve">5.1 Design Principles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assessment experience must be designed to minimize overthinking and encourage honest, gut-level responses: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Speed over deliberation.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Questions should be answerable in seconds. The three-option scale (Rarely / Sometimes / Usually) is intentionally simple — do not add a 5-point or 7-point scale.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No going back.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Consider making answers final once selected (no “change answer” button) to discourage second-guessing. This is a design decision to be validated with user testing.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Progress visibility.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 progress bar showing completion (e.g. “7 / 15”) creates momentum and reduces abandonment.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Warm, non-corporate tone.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The interface should feel inviting, not like a performance review. Use conversational copy and a clean, modern design.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Immediate personal feedback.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After submission, the participant immediately sees their personal dysfunction scores on a visual number line. This creates a sense of value received, not just value extracted.</w:t>
      </w:r>
    </w:p>
    <w:p>
      <w:pPr>
        <w:pStyle w:val="Heading2"/>
        <w:spacing w:before="360" w:after="160"/>
      </w:pPr>
      <w:r>
        <w:rPr>
          <w:rFonts w:ascii="Calibri" w:cs="Calibri" w:eastAsia="Calibri" w:hAnsi="Calibri"/>
        </w:rPr>
        <w:t xml:space="preserve">5.2 Participant Flow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participant experience follows a linear flow: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Participant opens the assessment (via link or name tap).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Brief introduction screen with instructions (“Be honest, don’t overthink”).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15 questions presented sequentially or all at once (configurable).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Each question offers three options: Rarely (1), Sometimes (2), Usually (3).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On completion, the submit button activates.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Results screen: five dysfunction scores displayed on color-coded number lines (3–9 scale, with red/orange/green zones).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In Shared Device mode: a “Done” button returns to the participant list.</w:t>
      </w:r>
    </w:p>
    <w:p>
      <w:pPr>
        <w:pStyle w:val="Heading2"/>
        <w:spacing w:before="360" w:after="160"/>
      </w:pPr>
      <w:r>
        <w:rPr>
          <w:rFonts w:ascii="Calibri" w:cs="Calibri" w:eastAsia="Calibri" w:hAnsi="Calibri"/>
        </w:rPr>
        <w:t xml:space="preserve">5.3 Admin Flow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administrator (consultant or team lead) manages assessments through a dashboard: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Create or select an organization (company / department / journey).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Start a new assessment: choose response mode (Shared Device, Unique Link, or Anonymous).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Add participants (by email for Unique Link, by name for Shared Device, or set participant count for Anonymous).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Monitor progress: see who has completed, who hasn’t.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View results: aggregate scores per dysfunction, per-question breakdowns, per-participant detail (except in Anonymous mode).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Compare assessments over time (if the same group has been assessed before).</w:t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</w:rPr>
        <w:t xml:space="preserve">6. Results &amp; Reporting</w:t>
      </w:r>
    </w:p>
    <w:p>
      <w:pPr>
        <w:pStyle w:val="Heading2"/>
        <w:spacing w:before="360" w:after="160"/>
      </w:pPr>
      <w:r>
        <w:rPr>
          <w:rFonts w:ascii="Calibri" w:cs="Calibri" w:eastAsia="Calibri" w:hAnsi="Calibri"/>
        </w:rPr>
        <w:t xml:space="preserve">6.1 Participant Results View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Shown to each participant immediately after submitting (and on revisit in Unique Link mode):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Five dysfunction scores, each on a visual number line from 3 to 9.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number line is divided into three color zones: red (3–5), orange (6–7), green (8–9).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circular marker highlights the participant’s score on each line.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Each dysfunction includes a brief description of what it means.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status label (Needs attention / Possible issue / Healthy) accompanies each score.</w:t>
      </w:r>
    </w:p>
    <w:p>
      <w:pPr>
        <w:pStyle w:val="Heading2"/>
        <w:spacing w:before="360" w:after="160"/>
      </w:pPr>
      <w:r>
        <w:rPr>
          <w:rFonts w:ascii="Calibri" w:cs="Calibri" w:eastAsia="Calibri" w:hAnsi="Calibri"/>
        </w:rPr>
        <w:t xml:space="preserve">6.2 Admin Results Dashboard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admin dashboard provides three levels of insight:</w:t>
      </w:r>
    </w:p>
    <w:p>
      <w:pPr>
        <w:spacing w:before="40" w:after="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Aggregate dysfunction scores.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Average score per dysfunction across all participants, displayed as color-coded cards with bar indicators. This is the primary diagnostic view.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Per-question breakdown.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 table showing each of the 15 questions with the average score, min, max, and each participant’s individual score. This helps identify specific statements where the team diverges or aligns.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Per-participant dysfunction scores.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 matrix showing each participant’s score for each dysfunction, plus their total. Cells are color-coded by threshold. Not available in Anonymous mode.</w:t>
      </w:r>
    </w:p>
    <w:p>
      <w:pPr>
        <w:pStyle w:val="Heading2"/>
        <w:spacing w:before="360" w:after="160"/>
      </w:pPr>
      <w:r>
        <w:rPr>
          <w:rFonts w:ascii="Calibri" w:cs="Calibri" w:eastAsia="Calibri" w:hAnsi="Calibri"/>
        </w:rPr>
        <w:t xml:space="preserve">6.3 Longitudinal Comparison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When a team has multiple assessments over time, the dashboard should support a comparison view showing how dysfunction scores have changed between assessments. This could be visualized as a line chart or a side-by-side bar chart. This feature is a Phase 2 enhancement.</w:t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</w:rPr>
        <w:t xml:space="preserve">7. Build vs. Buy: FormBridge &amp; Alternatives</w:t>
      </w:r>
    </w:p>
    <w:p>
      <w:pPr>
        <w:pStyle w:val="Heading2"/>
        <w:spacing w:before="360" w:after="160"/>
      </w:pPr>
      <w:r>
        <w:rPr>
          <w:rFonts w:ascii="Calibri" w:cs="Calibri" w:eastAsia="Calibri" w:hAnsi="Calibri"/>
        </w:rPr>
        <w:t xml:space="preserve">7.1 FormBridge (Kintone)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FormBridge is a web form builder tightly coupled with Cybozu’s Kintone platform. It offers drag-and-drop form creation, conditional branching, auto-reply emails, and stores submissions directly in Kintone’s database.</w:t>
      </w:r>
    </w:p>
    <w:p>
      <w:pPr>
        <w:spacing w:before="40" w:after="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Pros: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No-code form creation with flexible field types.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Built-in access control (user management, IP restriction, password protection).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SSL encryption, reCAPTCHA spam protection.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Can embed forms on external websites.</w:t>
      </w:r>
    </w:p>
    <w:p>
      <w:pPr>
        <w:spacing w:before="40" w:after="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Cons for this use case: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Requires a Kintone subscription as the data backend — additional cost and vendor dependency.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 native support for the scoring/results visualization we need (number lines, color-coded thresholds). Would require significant custom development.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 concept of “assessment” as a first-class entity — would need workarounds for organizational hierarchy and longitudinal tracking.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Primarily Japanese market; English documentation and support are limited.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“Shared Device” mode (kiosk-style) is not natively supported.</w:t>
      </w:r>
    </w:p>
    <w:p>
      <w:pPr>
        <w:pStyle w:val="Heading2"/>
        <w:spacing w:before="360" w:after="160"/>
      </w:pPr>
      <w:r>
        <w:rPr>
          <w:rFonts w:ascii="Calibri" w:cs="Calibri" w:eastAsia="Calibri" w:hAnsi="Calibri"/>
        </w:rPr>
        <w:t xml:space="preserve">7.2 Alternative Form Builders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Several general-purpose form builders were evaluated: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Typeform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Beautiful UX, one-question-at-a-time flow matches our design intent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 native scoring visualization, no org hierarchy, no kiosk mode, per-response pricing at scale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Tally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Free tier, GDPR-compliant (EU-hosted), Notion-like builder, supports calculations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 custom results page with number lines, no multi-assessment tracking, no kiosk mode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Google Forms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Free, familiar, integrates with Sheets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 branding control, no custom results, no unique link per participant, ugly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Formstack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Enterprise-grade, Salesforce integration, workflow automation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Overkill for this use case, expensive, still needs custom results layer</w:t>
            </w:r>
          </w:p>
        </w:tc>
      </w:tr>
    </w:tbl>
    <w:p>
      <w:pPr>
        <w:pStyle w:val="Heading2"/>
        <w:spacing w:before="360" w:after="160"/>
      </w:pPr>
      <w:r>
        <w:rPr>
          <w:rFonts w:ascii="Calibri" w:cs="Calibri" w:eastAsia="Calibri" w:hAnsi="Calibri"/>
        </w:rPr>
        <w:t xml:space="preserve">7.3 Recommendation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Build custom.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None of the evaluated form builders natively support the combination of features required: three response modes (shared device, unique link, anonymous), custom scoring visualization with color-coded number lines, organizational hierarchy (company/department/assessment), and longitudinal comparison. The custom-build approach using React + Supabase (PostgreSQL) provides full control over the experience at minimal hosting cost, and can be deployed on thefuturefirm.com as a branded tool.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form builder like Typeform or Tally could be used as a quick proof-of-concept for the questionnaire itself, but would need a separate results visualization layer. For the production tool, custom development is strongly recommended.</w:t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</w:rPr>
        <w:t xml:space="preserve">8. Technical Architecture</w:t>
      </w:r>
    </w:p>
    <w:p>
      <w:pPr>
        <w:pStyle w:val="Heading2"/>
        <w:spacing w:before="360" w:after="160"/>
      </w:pPr>
      <w:r>
        <w:rPr>
          <w:rFonts w:ascii="Calibri" w:cs="Calibri" w:eastAsia="Calibri" w:hAnsi="Calibri"/>
        </w:rPr>
        <w:t xml:space="preserve">8.1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13"/>
        <w:gridCol w:w="39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Fast build, modern DX, static output deployable anywhere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Supabase (auto-generated REST)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Postgres + instant API, free tier covers this scale, no server to manage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PostgreSQL (via Supabase)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Relational model fits org hierarchy, JSONB for flexible answer 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Supabase Auth (Phase 2)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Email magic links for admin; participant access via unique tokens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Static on thefuturefirm.com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npm run build → upload dist/ folder, or Vercel/Netlify with CNAME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Inline styles / Tailwind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 external CSS framework dependency for the assessment pages</w:t>
            </w:r>
          </w:p>
        </w:tc>
      </w:tr>
    </w:tbl>
    <w:p>
      <w:pPr>
        <w:pStyle w:val="Heading2"/>
        <w:spacing w:before="360" w:after="160"/>
      </w:pPr>
      <w:r>
        <w:rPr>
          <w:rFonts w:ascii="Calibri" w:cs="Calibri" w:eastAsia="Calibri" w:hAnsi="Calibri"/>
        </w:rPr>
        <w:t xml:space="preserve">8.2 Data Model</w:t>
      </w:r>
    </w:p>
    <w:p>
      <w:pPr>
        <w:spacing w:after="12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database schema supports the organizational hierarchy and multiple response modes:</w:t>
      </w:r>
    </w:p>
    <w:p>
      <w:pPr>
        <w:spacing w:before="40" w:after="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organizations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id, name, created_at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groups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id, organization_id, name, label_type (department/journey/team), created_at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assessments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id, group_id, mode (shared_device/unique_link/anonymous), created_at, status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participants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id, assessment_id, email (nullable for anonymous), name (nullable), token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responses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— participant_id, answers (JSONB: {1: 2, 2: 3, ...}), submitted_at</w:t>
      </w:r>
    </w:p>
    <w:p>
      <w:pPr>
        <w:pStyle w:val="Heading2"/>
        <w:spacing w:before="360" w:after="160"/>
      </w:pPr>
      <w:r>
        <w:rPr>
          <w:rFonts w:ascii="Calibri" w:cs="Calibri" w:eastAsia="Calibri" w:hAnsi="Calibri"/>
        </w:rPr>
        <w:t xml:space="preserve">8.3 Security Considerations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Participant tokens are cryptographically random 8-character strings — unguessable but short enough to embed in URLs.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In Anonymous mode, no personal identifiers are stored. The response record links only to a session identifier that cannot be traced back.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Admin access should be protected by authentication (Phase 2: Supabase Auth with email magic links).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All data in transit is encrypted via HTTPS (provided by Supabase and the hosting provider).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GDPR compliance: email addresses are stored only for the duration of the assessment. A data retention policy should allow automatic deletion after a configurable period.</w:t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</w:rPr>
        <w:t xml:space="preserve">9. Phasing &amp; Roadmap</w:t>
      </w:r>
    </w:p>
    <w:p>
      <w:pPr>
        <w:pStyle w:val="Heading2"/>
        <w:spacing w:before="360" w:after="160"/>
      </w:pPr>
      <w:r>
        <w:rPr>
          <w:rFonts w:ascii="Calibri" w:cs="Calibri" w:eastAsia="Calibri" w:hAnsi="Calibri"/>
        </w:rPr>
        <w:t xml:space="preserve">9.1 Phase 1: MVP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Target: 2–3 weeks development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Single-organization, single-assessment support.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Unique Link mode fully functional.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Admin dashboard: add participants by email, generate links, view results.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Participant experience: answer 15 questions, see personal results on number lines.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Deploy on thefuturefirm.com.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First live use: Atradius team assessment.</w:t>
      </w:r>
    </w:p>
    <w:p>
      <w:pPr>
        <w:pStyle w:val="Heading2"/>
        <w:spacing w:before="360" w:after="160"/>
      </w:pPr>
      <w:r>
        <w:rPr>
          <w:rFonts w:ascii="Calibri" w:cs="Calibri" w:eastAsia="Calibri" w:hAnsi="Calibri"/>
        </w:rPr>
        <w:t xml:space="preserve">9.2 Phase 2: Multi-Mode &amp; Organizations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Target: 4–6 weeks after Phase 1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Shared Device (kiosk) mode.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Anonymous mode.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Organization / group hierarchy with admin dashboard.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Admin authentication (Supabase Auth).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Email integration: send unique links directly from the platform.</w:t>
      </w:r>
    </w:p>
    <w:p>
      <w:pPr>
        <w:pStyle w:val="Heading2"/>
        <w:spacing w:before="360" w:after="160"/>
      </w:pPr>
      <w:r>
        <w:rPr>
          <w:rFonts w:ascii="Calibri" w:cs="Calibri" w:eastAsia="Calibri" w:hAnsi="Calibri"/>
        </w:rPr>
        <w:t xml:space="preserve">9.3 Phase 3: Longitudinal &amp; Insights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Target: 8–12 weeks after Phase 1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Multiple assessments per group with timeline comparison.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PDF/DOCX export of results reports.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Benchmark data: compare a team’s scores against anonymized averages across all clients.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Facilitator notes: ability to annotate results with observations.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White-label / theming: allow different clients to see their own branding.</w:t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</w:rPr>
        <w:t xml:space="preserve">10. Success Metrics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Completion rate: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Target &gt;95% of invited participants complete the assessment within the collection window.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Time to complete: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Target &lt;5 minutes average per participant.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Admin setup time: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Target &lt;10 minutes to create an assessment and distribute links.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Client satisfaction: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Qualitative feedback from The Future Firm consultants and their clients after the first three deployments.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Repeat usage: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At least 2 clients request a follow-up assessment within 6 months (validation of longitudinal value).</w:t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</w:rPr>
        <w:t xml:space="preserve">11. Open Questions &amp; Decisions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Answer finality: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Should participants be able to change their answers before submitting, or should each answer lock immediately? The “lock immediately” approach reduces overthinking but may frustrate users who tap accidentally.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Question presentation: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All 15 questions on one scrollable page (current implementation) vs. one-at-a-time (Typeform-style). One-at-a-time increases focus but adds more clicks.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Shared Device privacy: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How to ensure a participant’s results are not seen by the next person in line. Options: require a “Clear” tap, auto-timeout after 10 seconds, or require the facilitator to advance.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Anonymous mode fraud: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How to prevent one person from submitting multiple times in Anonymous mode. Cookie-based tracking is easily circumvented. Accept as a known limitation, or require a simple access code?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Admin authentication timeline: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For Phase 1, the admin page is “hidden” by URL obscurity. Is this acceptable for the Atradius deployment, or do we need auth from day one?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Branding: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Should the tool be branded as a Future Firm product, or white-labeled per client? This affects URL structure, logo placement, and color theming.</w:t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</w:rPr>
        <w:t xml:space="preserve">12. Appendix: The 15 Assessment Statements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226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Dysfunction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Team members are passionate and unguarded in their discussion of issues.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Fear of Conflict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Team members call out one another’s deficiencies or unproductive behaviors.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Avoidance of Accountability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Team members know what their peers are working on and how they contribute to the collective good of the team.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Lack of Commitment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Team members quickly and genuinely apologize to one another when they say or do something inappropriate or possibly damaging to the team.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Absence of Trust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Team members willingly make sacrifices (such as budget, turf, head count) in their departments or areas of expertise for the good of the team.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Inattention to Results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Team members openly admit their weaknesses and mistakes.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Absence of Trust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Team meetings are compelling, and not boring.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Fear of Conflict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Team members leave meetings confident that their peers are completely committed to the decisions that were agreed on, even if there was initial disagreement.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Lack of Commitment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Morale is significantly affected by the failure to achieve team goals.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Inattention to Results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During team meetings, the most important — and difficult — issues are put on the table to be resolved.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Fear of Conflict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Team members are deeply concerned about the prospect of letting down their peers.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Avoidance of Accountability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Team members know about one another’s personal lives and are comfortable discussing them.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Absence of Trust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Team members end discussions with clear and specific resolutions and calls to action.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Lack of Commitment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Team members challenge one another about their plans and approaches.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Avoidance of Accountability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Team members are slow to seek credit for their own contributions, but quick to point out those of others.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Inattention to Results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AAAAAA"/>
        <w:sz w:val="16"/>
        <w:szCs w:val="16"/>
      </w:rPr>
      <w:t xml:space="preserve">Confidential — The Future Firm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AAAAAA"/>
        <w:sz w:val="16"/>
        <w:szCs w:val="16"/>
      </w:rPr>
      <w:t xml:space="preserve">PRD — Five Dysfunctions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Calibri" w:cs="Calibri" w:eastAsia="Calibri" w:hAnsi="Calibri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Calibri" w:cs="Calibri" w:eastAsia="Calibri" w:hAnsi="Calibri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Calibri" w:cs="Calibri" w:eastAsia="Calibri" w:hAnsi="Calibri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2026-03-09T12:45:36.632Z</dcterms:created>
  <dcterms:modified xsi:type="dcterms:W3CDTF">2026-03-09T12:45:36.633Z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