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line="320" w:lineRule="auto"/>
        <w:jc w:val="center"/>
      </w:pPr>
      <w:r>
        <w:rPr>
          <w:rFonts w:ascii="Calibri" w:hAnsi="Calibri"/>
          <w:b/>
          <w:i w:val="0"/>
          <w:color w:val="2E74B5"/>
          <w:sz w:val="22"/>
        </w:rPr>
        <w:t>TRABAJO FINAL ESCALONADO · ENTREGA T2</w:t>
      </w:r>
    </w:p>
    <w:p>
      <w:pPr>
        <w:pStyle w:val="Title"/>
        <w:jc w:val="center"/>
      </w:pPr>
      <w:r>
        <w:rPr>
          <w:rFonts w:ascii="Calibri" w:hAnsi="Calibri"/>
          <w:b w:val="0"/>
          <w:i w:val="0"/>
          <w:color w:val="1F4D78"/>
          <w:sz w:val="60"/>
        </w:rPr>
        <w:t>Predicción automática de respuesta sísmica mediante Machine Learning</w:t>
      </w:r>
    </w:p>
    <w:p>
      <w:pPr>
        <w:spacing w:after="680" w:line="320" w:lineRule="auto"/>
        <w:jc w:val="center"/>
      </w:pPr>
      <w:r>
        <w:rPr>
          <w:rFonts w:ascii="Calibri" w:hAnsi="Calibri"/>
          <w:b w:val="0"/>
          <w:i/>
          <w:color w:val="666666"/>
          <w:sz w:val="22"/>
        </w:rPr>
        <w:t>Análisis exploratorio de datos y plan algorítmico</w:t>
      </w:r>
    </w:p>
    <w:p>
      <w:pPr>
        <w:spacing w:after="160" w:line="320" w:lineRule="auto"/>
        <w:jc w:val="center"/>
      </w:pPr>
      <w:r>
        <w:rPr>
          <w:rFonts w:ascii="Calibri" w:hAnsi="Calibri"/>
          <w:b/>
          <w:i w:val="0"/>
          <w:color w:val="000000"/>
          <w:sz w:val="22"/>
        </w:rPr>
        <w:t>Curso: Aplicaciones de IA en Estructuras</w:t>
      </w:r>
    </w:p>
    <w:p>
      <w:pPr>
        <w:spacing w:after="160" w:line="320" w:lineRule="auto"/>
        <w:jc w:val="center"/>
      </w:pPr>
      <w:r>
        <w:rPr>
          <w:rFonts w:ascii="Calibri" w:hAnsi="Calibri"/>
          <w:b w:val="0"/>
          <w:i w:val="0"/>
          <w:color w:val="000000"/>
          <w:sz w:val="22"/>
        </w:rPr>
        <w:t>Docente: Ing. Kurt Soncco Sinchi</w:t>
      </w:r>
    </w:p>
    <w:p>
      <w:pPr>
        <w:spacing w:after="560" w:line="320" w:lineRule="auto"/>
        <w:jc w:val="center"/>
      </w:pPr>
      <w:r>
        <w:rPr>
          <w:rFonts w:ascii="Calibri" w:hAnsi="Calibri"/>
          <w:b w:val="0"/>
          <w:i w:val="0"/>
          <w:color w:val="000000"/>
          <w:sz w:val="22"/>
        </w:rPr>
        <w:t>Julio de 2026</w:t>
      </w:r>
    </w:p>
    <w:tbl>
      <w:tblPr>
        <w:tblStyle w:val="TableGrid"/>
        <w:tblW w:type="dxa" w:w="9360"/>
        <w:jc w:val="left"/>
        <w:tblLayout w:type="fixed"/>
        <w:tblLook w:firstColumn="1" w:firstRow="1" w:lastColumn="0" w:lastRow="0" w:noHBand="0" w:noVBand="1" w:val="04A0"/>
        <w:tblInd w:w="120" w:type="dxa"/>
      </w:tblPr>
      <w:tblGrid>
        <w:gridCol w:w="4200"/>
        <w:gridCol w:w="5160"/>
      </w:tblGrid>
      <w:tr>
        <w:tc>
          <w:tcPr>
            <w:tcW w:type="dxa" w:w="4680"/>
            <w:tcW w:w="4200" w:type="dxa"/>
            <w:shd w:fill="E8EEF5"/>
          </w:tcPr>
          <w:p>
            <w:r>
              <w:rPr>
                <w:rFonts w:ascii="Calibri" w:hAnsi="Calibri"/>
                <w:b/>
                <w:i w:val="0"/>
                <w:color w:val="1F4D78"/>
                <w:sz w:val="18"/>
              </w:rPr>
              <w:t>Integrante</w:t>
            </w:r>
          </w:p>
        </w:tc>
        <w:tc>
          <w:tcPr>
            <w:tcW w:type="dxa" w:w="4680"/>
            <w:tcW w:w="5160" w:type="dxa"/>
            <w:shd w:fill="E8EEF5"/>
          </w:tcPr>
          <w:p>
            <w:r>
              <w:rPr>
                <w:rFonts w:ascii="Calibri" w:hAnsi="Calibri"/>
                <w:b/>
                <w:i w:val="0"/>
                <w:color w:val="1F4D78"/>
                <w:sz w:val="18"/>
              </w:rPr>
              <w:t>Participación declarada en T1</w:t>
            </w:r>
          </w:p>
        </w:tc>
      </w:tr>
      <w:tr>
        <w:tc>
          <w:tcPr>
            <w:tcW w:type="dxa" w:w="4200"/>
            <w:tcW w:w="4200" w:type="dxa"/>
            <w:vAlign w:val="center"/>
          </w:tcPr>
          <w:p>
            <w:r>
              <w:rPr>
                <w:rFonts w:ascii="Calibri" w:hAnsi="Calibri"/>
                <w:b w:val="0"/>
                <w:i w:val="0"/>
                <w:color w:val="000000"/>
                <w:sz w:val="18"/>
              </w:rPr>
              <w:t>Percy Luey Espinoza</w:t>
            </w:r>
          </w:p>
        </w:tc>
        <w:tc>
          <w:tcPr>
            <w:tcW w:type="dxa" w:w="5160"/>
            <w:tcW w:w="5160" w:type="dxa"/>
            <w:vAlign w:val="center"/>
          </w:tcPr>
          <w:p>
            <w:r>
              <w:rPr>
                <w:rFonts w:ascii="Calibri" w:hAnsi="Calibri"/>
                <w:b w:val="0"/>
                <w:i w:val="0"/>
                <w:color w:val="000000"/>
                <w:sz w:val="18"/>
              </w:rPr>
              <w:t>Aportó al desarrollo</w:t>
            </w:r>
          </w:p>
        </w:tc>
      </w:tr>
      <w:tr>
        <w:tc>
          <w:tcPr>
            <w:tcW w:type="dxa" w:w="4200"/>
            <w:tcW w:w="4200" w:type="dxa"/>
            <w:vAlign w:val="center"/>
          </w:tcPr>
          <w:p>
            <w:r>
              <w:rPr>
                <w:rFonts w:ascii="Calibri" w:hAnsi="Calibri"/>
                <w:b w:val="0"/>
                <w:i w:val="0"/>
                <w:color w:val="000000"/>
                <w:sz w:val="18"/>
              </w:rPr>
              <w:t>Delarc Dario Ayala Cacha</w:t>
            </w:r>
          </w:p>
        </w:tc>
        <w:tc>
          <w:tcPr>
            <w:tcW w:type="dxa" w:w="5160"/>
            <w:tcW w:w="5160" w:type="dxa"/>
            <w:vAlign w:val="center"/>
          </w:tcPr>
          <w:p>
            <w:r>
              <w:rPr>
                <w:rFonts w:ascii="Calibri" w:hAnsi="Calibri"/>
                <w:b w:val="0"/>
                <w:i w:val="0"/>
                <w:color w:val="000000"/>
                <w:sz w:val="18"/>
              </w:rPr>
              <w:t>No aportó al desarrollo</w:t>
            </w:r>
          </w:p>
        </w:tc>
      </w:tr>
      <w:tr>
        <w:tc>
          <w:tcPr>
            <w:tcW w:type="dxa" w:w="4200"/>
            <w:tcW w:w="4200" w:type="dxa"/>
            <w:vAlign w:val="center"/>
          </w:tcPr>
          <w:p>
            <w:r>
              <w:rPr>
                <w:rFonts w:ascii="Calibri" w:hAnsi="Calibri"/>
                <w:b w:val="0"/>
                <w:i w:val="0"/>
                <w:color w:val="000000"/>
                <w:sz w:val="18"/>
              </w:rPr>
              <w:t>Martin Eduardo Suarez Cruz</w:t>
            </w:r>
          </w:p>
        </w:tc>
        <w:tc>
          <w:tcPr>
            <w:tcW w:type="dxa" w:w="5160"/>
            <w:tcW w:w="5160" w:type="dxa"/>
            <w:vAlign w:val="center"/>
          </w:tcPr>
          <w:p>
            <w:r>
              <w:rPr>
                <w:rFonts w:ascii="Calibri" w:hAnsi="Calibri"/>
                <w:b w:val="0"/>
                <w:i w:val="0"/>
                <w:color w:val="000000"/>
                <w:sz w:val="18"/>
              </w:rPr>
              <w:t>Aportó al desarrollo</w:t>
            </w:r>
          </w:p>
        </w:tc>
      </w:tr>
    </w:tbl>
    <w:p>
      <w:pPr>
        <w:spacing w:after="20"/>
      </w:pPr>
    </w:p>
    <w:p>
      <w:pPr>
        <w:spacing w:after="160" w:line="320" w:lineRule="auto"/>
        <w:jc w:val="center"/>
      </w:pPr>
      <w:r>
        <w:rPr>
          <w:rFonts w:ascii="Calibri" w:hAnsi="Calibri"/>
          <w:b w:val="0"/>
          <w:i/>
          <w:color w:val="666666"/>
          <w:sz w:val="22"/>
        </w:rPr>
        <w:t>Repositorio: Trabajo-Final-Escalonado-Grupo-8</w:t>
      </w:r>
    </w:p>
    <w:p>
      <w:r>
        <w:br w:type="page"/>
      </w:r>
    </w:p>
    <w:p>
      <w:pPr>
        <w:pStyle w:val="Heading1"/>
      </w:pPr>
      <w:r>
        <w:t>Resumen ejecutivo</w:t>
      </w:r>
    </w:p>
    <w:p>
      <w:pPr>
        <w:spacing w:after="160" w:line="320" w:lineRule="auto"/>
      </w:pPr>
      <w:r>
        <w:rPr>
          <w:rFonts w:ascii="Calibri" w:hAnsi="Calibri"/>
          <w:b w:val="0"/>
          <w:i w:val="0"/>
          <w:color w:val="000000"/>
          <w:sz w:val="22"/>
        </w:rPr>
        <w:t>Este informe consolida el planteamiento T1 y desarrolla la entrega T2: incorporación del dataset completo, control de calidad, análisis exploratorio reproducible en Python, plan de algoritmos y criterios de evaluación. El problema se formula como un metamodelo de preevaluación de respuesta sísmica de edificaciones, orientado a priorizar escenarios de análisis en ingeniería civil.</w:t>
      </w:r>
    </w:p>
    <w:p>
      <w:pPr>
        <w:spacing w:after="60" w:line="320" w:lineRule="auto"/>
      </w:pPr>
      <w:r>
        <w:rPr>
          <w:rFonts w:ascii="Calibri" w:hAnsi="Calibri"/>
          <w:b/>
          <w:i w:val="0"/>
          <w:color w:val="1F4D78"/>
          <w:sz w:val="22"/>
        </w:rPr>
        <w:t>Hallazgo principal.</w:t>
      </w:r>
    </w:p>
    <w:p>
      <w:pPr>
        <w:spacing w:after="160" w:line="320" w:lineRule="auto"/>
      </w:pPr>
      <w:r>
        <w:rPr>
          <w:rFonts w:ascii="Calibri" w:hAnsi="Calibri"/>
          <w:b w:val="0"/>
          <w:i w:val="0"/>
          <w:color w:val="000000"/>
          <w:sz w:val="22"/>
        </w:rPr>
        <w:t>El archivo completo contiene 1,000 observaciones y 26 variables, sin nulos ni duplicados. Sin embargo, las correlaciones de Spearman entre las entradas y cada respuesta son extremadamente pequeñas (máximo absoluto aproximado de 0.066). Además, la probabilidad de colapso es exactamente cien veces el índice de daño. Estos resultados sugieren datos sintéticos con respuestas débilmente vinculadas a los predictores y una redundancia determinística entre dos objetivos. Por ello, T3 debe demostrar valor frente a una línea base y no asumir de antemano que existe señal predictiva útil.</w:t>
      </w:r>
    </w:p>
    <w:p>
      <w:pPr>
        <w:pStyle w:val="Heading1"/>
      </w:pPr>
      <w:r>
        <w:t>1. Problema de ingeniería estructural</w:t>
      </w:r>
    </w:p>
    <w:p>
      <w:pPr>
        <w:pStyle w:val="Heading2"/>
      </w:pPr>
      <w:r>
        <w:t>1.1 Contexto y objetivo</w:t>
      </w:r>
    </w:p>
    <w:p>
      <w:pPr>
        <w:spacing w:after="160" w:line="320" w:lineRule="auto"/>
      </w:pPr>
      <w:r>
        <w:rPr>
          <w:rFonts w:ascii="Calibri" w:hAnsi="Calibri"/>
          <w:b w:val="0"/>
          <w:i w:val="0"/>
          <w:color w:val="000000"/>
          <w:sz w:val="22"/>
        </w:rPr>
        <w:t>La evaluación sísmica rigurosa requiere modelos estructurales, propiedades de materiales, acciones, condiciones de sitio y procedimientos compatibles con la normativa aplicable. Para estudios preliminares de múltiples alternativas, un metamodelo puede aproximar salidas de simulaciones y reducir el número de análisis detallados. El objetivo es estimar, con incertidumbre explícita, deriva máxima de entrepiso y desplazamiento máximo de techo; otras respuestas se tratarán como objetivos secundarios.</w:t>
      </w:r>
    </w:p>
    <w:p>
      <w:pPr>
        <w:pStyle w:val="Heading2"/>
      </w:pPr>
      <w:r>
        <w:t>1.2 Alcance responsable</w:t>
      </w:r>
    </w:p>
    <w:p>
      <w:pPr>
        <w:pStyle w:val="ListBullet"/>
        <w:spacing w:after="80" w:line="290" w:lineRule="auto"/>
        <w:ind w:left="540" w:hanging="279"/>
      </w:pPr>
      <w:r>
        <w:rPr>
          <w:rFonts w:ascii="Calibri" w:hAnsi="Calibri"/>
          <w:b w:val="0"/>
          <w:i w:val="0"/>
          <w:color w:val="000000"/>
          <w:sz w:val="22"/>
        </w:rPr>
        <w:t>Uso previsto: clasificación preliminar de escenarios y apoyo académico a la comparación de modelos de ML.</w:t>
      </w:r>
    </w:p>
    <w:p>
      <w:pPr>
        <w:pStyle w:val="ListBullet"/>
        <w:spacing w:after="80" w:line="290" w:lineRule="auto"/>
        <w:ind w:left="540" w:hanging="279"/>
      </w:pPr>
      <w:r>
        <w:rPr>
          <w:rFonts w:ascii="Calibri" w:hAnsi="Calibri"/>
          <w:b w:val="0"/>
          <w:i w:val="0"/>
          <w:color w:val="000000"/>
          <w:sz w:val="22"/>
        </w:rPr>
        <w:t>Fuera de alcance: diseño, certificación, evaluación de seguridad o reemplazo de análisis modal, tiempo-historia o no lineal.</w:t>
      </w:r>
    </w:p>
    <w:p>
      <w:pPr>
        <w:pStyle w:val="ListBullet"/>
        <w:spacing w:after="80" w:line="290" w:lineRule="auto"/>
        <w:ind w:left="540" w:hanging="279"/>
      </w:pPr>
      <w:r>
        <w:rPr>
          <w:rFonts w:ascii="Calibri" w:hAnsi="Calibri"/>
          <w:b w:val="0"/>
          <w:i w:val="0"/>
          <w:color w:val="000000"/>
          <w:sz w:val="22"/>
        </w:rPr>
        <w:t>Condición para uso futuro: validación externa con modelos estructurales trazables o mediciones reales y revisión de un ingeniero competente.</w:t>
      </w:r>
    </w:p>
    <w:p>
      <w:pPr>
        <w:pStyle w:val="Heading1"/>
      </w:pPr>
      <w:r>
        <w:t>2. Dataset y trazabilidad</w:t>
      </w:r>
    </w:p>
    <w:p>
      <w:pPr>
        <w:spacing w:after="160" w:line="320" w:lineRule="auto"/>
      </w:pPr>
      <w:r>
        <w:rPr>
          <w:rFonts w:ascii="Calibri" w:hAnsi="Calibri"/>
          <w:b w:val="0"/>
          <w:i w:val="0"/>
          <w:color w:val="000000"/>
          <w:sz w:val="22"/>
        </w:rPr>
        <w:t>Fuente: “Pre-Earthquake Prediction Dataset”, publicado por Ziya en Kaggle bajo licencia CC0. El archivo descargado es seismic_data.csv y ocupa aproximadamente 415 kB. La ficha declara que integra amenaza, movimiento del suelo, sitio, atributos estructurales e indicadores de respuesta. URL: https://www.kaggle.com/datasets/ziya07/pre-earthquake-prediction-dataset</w:t>
      </w:r>
    </w:p>
    <w:tbl>
      <w:tblPr>
        <w:tblStyle w:val="TableGrid"/>
        <w:tblW w:type="dxa" w:w="9360"/>
        <w:jc w:val="left"/>
        <w:tblLayout w:type="fixed"/>
        <w:tblLook w:firstColumn="1" w:firstRow="1" w:lastColumn="0" w:lastRow="0" w:noHBand="0" w:noVBand="1" w:val="04A0"/>
        <w:tblInd w:w="120" w:type="dxa"/>
      </w:tblPr>
      <w:tblGrid>
        <w:gridCol w:w="2200"/>
        <w:gridCol w:w="7160"/>
      </w:tblGrid>
      <w:tr>
        <w:tc>
          <w:tcPr>
            <w:tcW w:type="dxa" w:w="4680"/>
            <w:tcW w:w="2200" w:type="dxa"/>
            <w:shd w:fill="E8EEF5"/>
          </w:tcPr>
          <w:p>
            <w:r>
              <w:rPr>
                <w:rFonts w:ascii="Calibri" w:hAnsi="Calibri"/>
                <w:b/>
                <w:i w:val="0"/>
                <w:color w:val="1F4D78"/>
                <w:sz w:val="18"/>
              </w:rPr>
              <w:t>Grupo</w:t>
            </w:r>
          </w:p>
        </w:tc>
        <w:tc>
          <w:tcPr>
            <w:tcW w:type="dxa" w:w="4680"/>
            <w:tcW w:w="7160" w:type="dxa"/>
            <w:shd w:fill="E8EEF5"/>
          </w:tcPr>
          <w:p>
            <w:r>
              <w:rPr>
                <w:rFonts w:ascii="Calibri" w:hAnsi="Calibri"/>
                <w:b/>
                <w:i w:val="0"/>
                <w:color w:val="1F4D78"/>
                <w:sz w:val="18"/>
              </w:rPr>
              <w:t>Variables principales</w:t>
            </w:r>
          </w:p>
        </w:tc>
      </w:tr>
      <w:tr>
        <w:tc>
          <w:tcPr>
            <w:tcW w:type="dxa" w:w="2200"/>
            <w:tcW w:w="2200" w:type="dxa"/>
            <w:vAlign w:val="center"/>
          </w:tcPr>
          <w:p>
            <w:r>
              <w:rPr>
                <w:rFonts w:ascii="Calibri" w:hAnsi="Calibri"/>
                <w:b w:val="0"/>
                <w:i w:val="0"/>
                <w:color w:val="000000"/>
                <w:sz w:val="18"/>
              </w:rPr>
              <w:t>Amenaza y movimiento</w:t>
            </w:r>
          </w:p>
        </w:tc>
        <w:tc>
          <w:tcPr>
            <w:tcW w:type="dxa" w:w="7160"/>
            <w:tcW w:w="7160" w:type="dxa"/>
            <w:vAlign w:val="center"/>
          </w:tcPr>
          <w:p>
            <w:r>
              <w:rPr>
                <w:rFonts w:ascii="Calibri" w:hAnsi="Calibri"/>
                <w:b w:val="0"/>
                <w:i w:val="0"/>
                <w:color w:val="000000"/>
                <w:sz w:val="18"/>
              </w:rPr>
              <w:t>Zona sísmica, PGA, PGV, PGD, aceleración espectral, magnitud, distancia a falla y frecuencia</w:t>
            </w:r>
          </w:p>
        </w:tc>
      </w:tr>
      <w:tr>
        <w:tc>
          <w:tcPr>
            <w:tcW w:type="dxa" w:w="2200"/>
            <w:tcW w:w="2200" w:type="dxa"/>
            <w:vAlign w:val="center"/>
          </w:tcPr>
          <w:p>
            <w:r>
              <w:rPr>
                <w:rFonts w:ascii="Calibri" w:hAnsi="Calibri"/>
                <w:b w:val="0"/>
                <w:i w:val="0"/>
                <w:color w:val="000000"/>
                <w:sz w:val="18"/>
              </w:rPr>
              <w:t>Sitio</w:t>
            </w:r>
          </w:p>
        </w:tc>
        <w:tc>
          <w:tcPr>
            <w:tcW w:type="dxa" w:w="7160"/>
            <w:tcW w:w="7160" w:type="dxa"/>
            <w:vAlign w:val="center"/>
          </w:tcPr>
          <w:p>
            <w:r>
              <w:rPr>
                <w:rFonts w:ascii="Calibri" w:hAnsi="Calibri"/>
                <w:b w:val="0"/>
                <w:i w:val="0"/>
                <w:color w:val="000000"/>
                <w:sz w:val="18"/>
              </w:rPr>
              <w:t>Tipo de suelo y factor de amplificación</w:t>
            </w:r>
          </w:p>
        </w:tc>
      </w:tr>
      <w:tr>
        <w:tc>
          <w:tcPr>
            <w:tcW w:type="dxa" w:w="2200"/>
            <w:tcW w:w="2200" w:type="dxa"/>
            <w:vAlign w:val="center"/>
          </w:tcPr>
          <w:p>
            <w:r>
              <w:rPr>
                <w:rFonts w:ascii="Calibri" w:hAnsi="Calibri"/>
                <w:b w:val="0"/>
                <w:i w:val="0"/>
                <w:color w:val="000000"/>
                <w:sz w:val="18"/>
              </w:rPr>
              <w:t>Estructura</w:t>
            </w:r>
          </w:p>
        </w:tc>
        <w:tc>
          <w:tcPr>
            <w:tcW w:type="dxa" w:w="7160"/>
            <w:tcW w:w="7160" w:type="dxa"/>
            <w:vAlign w:val="center"/>
          </w:tcPr>
          <w:p>
            <w:r>
              <w:rPr>
                <w:rFonts w:ascii="Calibri" w:hAnsi="Calibri"/>
                <w:b w:val="0"/>
                <w:i w:val="0"/>
                <w:color w:val="000000"/>
                <w:sz w:val="18"/>
              </w:rPr>
              <w:t>Altura, pisos, material, cimentación, frecuencia natural, amortiguamiento, masa, rigideces y sistema lateral</w:t>
            </w:r>
          </w:p>
        </w:tc>
      </w:tr>
      <w:tr>
        <w:tc>
          <w:tcPr>
            <w:tcW w:type="dxa" w:w="2200"/>
            <w:tcW w:w="2200" w:type="dxa"/>
            <w:vAlign w:val="center"/>
          </w:tcPr>
          <w:p>
            <w:r>
              <w:rPr>
                <w:rFonts w:ascii="Calibri" w:hAnsi="Calibri"/>
                <w:b w:val="0"/>
                <w:i w:val="0"/>
                <w:color w:val="000000"/>
                <w:sz w:val="18"/>
              </w:rPr>
              <w:t>Objetivos</w:t>
            </w:r>
          </w:p>
        </w:tc>
        <w:tc>
          <w:tcPr>
            <w:tcW w:type="dxa" w:w="7160"/>
            <w:tcW w:w="7160" w:type="dxa"/>
            <w:vAlign w:val="center"/>
          </w:tcPr>
          <w:p>
            <w:r>
              <w:rPr>
                <w:rFonts w:ascii="Calibri" w:hAnsi="Calibri"/>
                <w:b w:val="0"/>
                <w:i w:val="0"/>
                <w:color w:val="000000"/>
                <w:sz w:val="18"/>
              </w:rPr>
              <w:t>Deriva, desplazamiento de techo, cortante basal, aceleración, daño y colapso</w:t>
            </w:r>
          </w:p>
        </w:tc>
      </w:tr>
    </w:tbl>
    <w:p>
      <w:pPr>
        <w:spacing w:after="20"/>
      </w:pPr>
    </w:p>
    <w:p>
      <w:pPr>
        <w:spacing w:after="160" w:line="320" w:lineRule="auto"/>
      </w:pPr>
      <w:r>
        <w:rPr>
          <w:rFonts w:ascii="Calibri" w:hAnsi="Calibri"/>
          <w:b w:val="0"/>
          <w:i/>
          <w:color w:val="666666"/>
          <w:sz w:val="22"/>
        </w:rPr>
        <w:t>La versión parcial existente en el repositorio contenía solo diez variables de amenaza y sitio. Para T2 se incorporó el archivo completo de 26 columnas en data/raw, conservando el archivo parcial como antecedente.</w:t>
      </w:r>
    </w:p>
    <w:p>
      <w:pPr>
        <w:pStyle w:val="Heading1"/>
      </w:pPr>
      <w:r>
        <w:t>3. Metodología del EDA</w:t>
      </w:r>
    </w:p>
    <w:p>
      <w:pPr>
        <w:spacing w:after="160" w:line="320" w:lineRule="auto"/>
      </w:pPr>
      <w:r>
        <w:rPr>
          <w:rFonts w:ascii="Calibri" w:hAnsi="Calibri"/>
          <w:b w:val="0"/>
          <w:i w:val="0"/>
          <w:color w:val="000000"/>
          <w:sz w:val="22"/>
        </w:rPr>
        <w:t>El script src/eda.py implementa un flujo reproducible: lectura del CSV, clasificación de tipos, conteo de nulos y duplicados, resúmenes descriptivos, inspección de categorías, correlación de Spearman y visualizaciones. Spearman se seleccionó porque detecta relaciones monótonas sin exigir normalidad y es menos sensible a escalas diferentes.</w:t>
      </w:r>
    </w:p>
    <w:tbl>
      <w:tblPr>
        <w:tblStyle w:val="TableGrid"/>
        <w:tblW w:type="dxa" w:w="9360"/>
        <w:jc w:val="left"/>
        <w:tblLayout w:type="fixed"/>
        <w:tblLook w:firstColumn="1" w:firstRow="1" w:lastColumn="0" w:lastRow="0" w:noHBand="0" w:noVBand="1" w:val="04A0"/>
        <w:tblInd w:w="120" w:type="dxa"/>
      </w:tblPr>
      <w:tblGrid>
        <w:gridCol w:w="1900"/>
        <w:gridCol w:w="1800"/>
        <w:gridCol w:w="5660"/>
      </w:tblGrid>
      <w:tr>
        <w:tc>
          <w:tcPr>
            <w:tcW w:type="dxa" w:w="3120"/>
            <w:tcW w:w="1900" w:type="dxa"/>
            <w:shd w:fill="E8EEF5"/>
          </w:tcPr>
          <w:p>
            <w:r>
              <w:rPr>
                <w:rFonts w:ascii="Calibri" w:hAnsi="Calibri"/>
                <w:b/>
                <w:i w:val="0"/>
                <w:color w:val="1F4D78"/>
                <w:sz w:val="18"/>
              </w:rPr>
              <w:t>Control</w:t>
            </w:r>
          </w:p>
        </w:tc>
        <w:tc>
          <w:tcPr>
            <w:tcW w:type="dxa" w:w="3120"/>
            <w:tcW w:w="1800" w:type="dxa"/>
            <w:shd w:fill="E8EEF5"/>
          </w:tcPr>
          <w:p>
            <w:r>
              <w:rPr>
                <w:rFonts w:ascii="Calibri" w:hAnsi="Calibri"/>
                <w:b/>
                <w:i w:val="0"/>
                <w:color w:val="1F4D78"/>
                <w:sz w:val="18"/>
              </w:rPr>
              <w:t>Resultado</w:t>
            </w:r>
          </w:p>
        </w:tc>
        <w:tc>
          <w:tcPr>
            <w:tcW w:type="dxa" w:w="3120"/>
            <w:tcW w:w="5660" w:type="dxa"/>
            <w:shd w:fill="E8EEF5"/>
          </w:tcPr>
          <w:p>
            <w:r>
              <w:rPr>
                <w:rFonts w:ascii="Calibri" w:hAnsi="Calibri"/>
                <w:b/>
                <w:i w:val="0"/>
                <w:color w:val="1F4D78"/>
                <w:sz w:val="18"/>
              </w:rPr>
              <w:t>Decisión</w:t>
            </w:r>
          </w:p>
        </w:tc>
      </w:tr>
      <w:tr>
        <w:tc>
          <w:tcPr>
            <w:tcW w:type="dxa" w:w="1900"/>
            <w:tcW w:w="1900" w:type="dxa"/>
            <w:vAlign w:val="center"/>
          </w:tcPr>
          <w:p>
            <w:r>
              <w:rPr>
                <w:rFonts w:ascii="Calibri" w:hAnsi="Calibri"/>
                <w:b w:val="0"/>
                <w:i w:val="0"/>
                <w:color w:val="000000"/>
                <w:sz w:val="18"/>
              </w:rPr>
              <w:t>Dimensiones</w:t>
            </w:r>
          </w:p>
        </w:tc>
        <w:tc>
          <w:tcPr>
            <w:tcW w:type="dxa" w:w="1800"/>
            <w:tcW w:w="1800" w:type="dxa"/>
            <w:vAlign w:val="center"/>
          </w:tcPr>
          <w:p>
            <w:r>
              <w:rPr>
                <w:rFonts w:ascii="Calibri" w:hAnsi="Calibri"/>
                <w:b w:val="0"/>
                <w:i w:val="0"/>
                <w:color w:val="000000"/>
                <w:sz w:val="18"/>
              </w:rPr>
              <w:t>1,000 × 26</w:t>
            </w:r>
          </w:p>
        </w:tc>
        <w:tc>
          <w:tcPr>
            <w:tcW w:type="dxa" w:w="5660"/>
            <w:tcW w:w="5660" w:type="dxa"/>
            <w:vAlign w:val="center"/>
          </w:tcPr>
          <w:p>
            <w:r>
              <w:rPr>
                <w:rFonts w:ascii="Calibri" w:hAnsi="Calibri"/>
                <w:b w:val="0"/>
                <w:i w:val="0"/>
                <w:color w:val="000000"/>
                <w:sz w:val="18"/>
              </w:rPr>
              <w:t>Trabajar con el archivo completo</w:t>
            </w:r>
          </w:p>
        </w:tc>
      </w:tr>
      <w:tr>
        <w:tc>
          <w:tcPr>
            <w:tcW w:type="dxa" w:w="1900"/>
            <w:tcW w:w="1900" w:type="dxa"/>
            <w:vAlign w:val="center"/>
          </w:tcPr>
          <w:p>
            <w:r>
              <w:rPr>
                <w:rFonts w:ascii="Calibri" w:hAnsi="Calibri"/>
                <w:b w:val="0"/>
                <w:i w:val="0"/>
                <w:color w:val="000000"/>
                <w:sz w:val="18"/>
              </w:rPr>
              <w:t>Tipos</w:t>
            </w:r>
          </w:p>
        </w:tc>
        <w:tc>
          <w:tcPr>
            <w:tcW w:type="dxa" w:w="1800"/>
            <w:tcW w:w="1800" w:type="dxa"/>
            <w:vAlign w:val="center"/>
          </w:tcPr>
          <w:p>
            <w:r>
              <w:rPr>
                <w:rFonts w:ascii="Calibri" w:hAnsi="Calibri"/>
                <w:b w:val="0"/>
                <w:i w:val="0"/>
                <w:color w:val="000000"/>
                <w:sz w:val="18"/>
              </w:rPr>
              <w:t>21 numéricas; 5 categóricas</w:t>
            </w:r>
          </w:p>
        </w:tc>
        <w:tc>
          <w:tcPr>
            <w:tcW w:type="dxa" w:w="5660"/>
            <w:tcW w:w="5660" w:type="dxa"/>
            <w:vAlign w:val="center"/>
          </w:tcPr>
          <w:p>
            <w:r>
              <w:rPr>
                <w:rFonts w:ascii="Calibri" w:hAnsi="Calibri"/>
                <w:b w:val="0"/>
                <w:i w:val="0"/>
                <w:color w:val="000000"/>
                <w:sz w:val="18"/>
              </w:rPr>
              <w:t>Codificación dentro del pipeline</w:t>
            </w:r>
          </w:p>
        </w:tc>
      </w:tr>
      <w:tr>
        <w:tc>
          <w:tcPr>
            <w:tcW w:type="dxa" w:w="1900"/>
            <w:tcW w:w="1900" w:type="dxa"/>
            <w:vAlign w:val="center"/>
          </w:tcPr>
          <w:p>
            <w:r>
              <w:rPr>
                <w:rFonts w:ascii="Calibri" w:hAnsi="Calibri"/>
                <w:b w:val="0"/>
                <w:i w:val="0"/>
                <w:color w:val="000000"/>
                <w:sz w:val="18"/>
              </w:rPr>
              <w:t>Valores nulos</w:t>
            </w:r>
          </w:p>
        </w:tc>
        <w:tc>
          <w:tcPr>
            <w:tcW w:type="dxa" w:w="1800"/>
            <w:tcW w:w="1800" w:type="dxa"/>
            <w:vAlign w:val="center"/>
          </w:tcPr>
          <w:p>
            <w:r>
              <w:rPr>
                <w:rFonts w:ascii="Calibri" w:hAnsi="Calibri"/>
                <w:b w:val="0"/>
                <w:i w:val="0"/>
                <w:color w:val="000000"/>
                <w:sz w:val="18"/>
              </w:rPr>
              <w:t>0</w:t>
            </w:r>
          </w:p>
        </w:tc>
        <w:tc>
          <w:tcPr>
            <w:tcW w:type="dxa" w:w="5660"/>
            <w:tcW w:w="5660" w:type="dxa"/>
            <w:vAlign w:val="center"/>
          </w:tcPr>
          <w:p>
            <w:r>
              <w:rPr>
                <w:rFonts w:ascii="Calibri" w:hAnsi="Calibri"/>
                <w:b w:val="0"/>
                <w:i w:val="0"/>
                <w:color w:val="000000"/>
                <w:sz w:val="18"/>
              </w:rPr>
              <w:t>Mantener imputador preventivo para datos futuros</w:t>
            </w:r>
          </w:p>
        </w:tc>
      </w:tr>
      <w:tr>
        <w:tc>
          <w:tcPr>
            <w:tcW w:type="dxa" w:w="1900"/>
            <w:tcW w:w="1900" w:type="dxa"/>
            <w:vAlign w:val="center"/>
          </w:tcPr>
          <w:p>
            <w:r>
              <w:rPr>
                <w:rFonts w:ascii="Calibri" w:hAnsi="Calibri"/>
                <w:b w:val="0"/>
                <w:i w:val="0"/>
                <w:color w:val="000000"/>
                <w:sz w:val="18"/>
              </w:rPr>
              <w:t>Duplicados</w:t>
            </w:r>
          </w:p>
        </w:tc>
        <w:tc>
          <w:tcPr>
            <w:tcW w:type="dxa" w:w="1800"/>
            <w:tcW w:w="1800" w:type="dxa"/>
            <w:vAlign w:val="center"/>
          </w:tcPr>
          <w:p>
            <w:r>
              <w:rPr>
                <w:rFonts w:ascii="Calibri" w:hAnsi="Calibri"/>
                <w:b w:val="0"/>
                <w:i w:val="0"/>
                <w:color w:val="000000"/>
                <w:sz w:val="18"/>
              </w:rPr>
              <w:t>0</w:t>
            </w:r>
          </w:p>
        </w:tc>
        <w:tc>
          <w:tcPr>
            <w:tcW w:type="dxa" w:w="5660"/>
            <w:tcW w:w="5660" w:type="dxa"/>
            <w:vAlign w:val="center"/>
          </w:tcPr>
          <w:p>
            <w:r>
              <w:rPr>
                <w:rFonts w:ascii="Calibri" w:hAnsi="Calibri"/>
                <w:b w:val="0"/>
                <w:i w:val="0"/>
                <w:color w:val="000000"/>
                <w:sz w:val="18"/>
              </w:rPr>
              <w:t>No eliminar registros</w:t>
            </w:r>
          </w:p>
        </w:tc>
      </w:tr>
      <w:tr>
        <w:tc>
          <w:tcPr>
            <w:tcW w:type="dxa" w:w="1900"/>
            <w:tcW w:w="1900" w:type="dxa"/>
            <w:vAlign w:val="center"/>
          </w:tcPr>
          <w:p>
            <w:r>
              <w:rPr>
                <w:rFonts w:ascii="Calibri" w:hAnsi="Calibri"/>
                <w:b w:val="0"/>
                <w:i w:val="0"/>
                <w:color w:val="000000"/>
                <w:sz w:val="18"/>
              </w:rPr>
              <w:t>Memoria</w:t>
            </w:r>
          </w:p>
        </w:tc>
        <w:tc>
          <w:tcPr>
            <w:tcW w:type="dxa" w:w="1800"/>
            <w:tcW w:w="1800" w:type="dxa"/>
            <w:vAlign w:val="center"/>
          </w:tcPr>
          <w:p>
            <w:r>
              <w:rPr>
                <w:rFonts w:ascii="Calibri" w:hAnsi="Calibri"/>
                <w:b w:val="0"/>
                <w:i w:val="0"/>
                <w:color w:val="000000"/>
                <w:sz w:val="18"/>
              </w:rPr>
              <w:t>0.427 MB</w:t>
            </w:r>
          </w:p>
        </w:tc>
        <w:tc>
          <w:tcPr>
            <w:tcW w:type="dxa" w:w="5660"/>
            <w:tcW w:w="5660" w:type="dxa"/>
            <w:vAlign w:val="center"/>
          </w:tcPr>
          <w:p>
            <w:r>
              <w:rPr>
                <w:rFonts w:ascii="Calibri" w:hAnsi="Calibri"/>
                <w:b w:val="0"/>
                <w:i w:val="0"/>
                <w:color w:val="000000"/>
                <w:sz w:val="18"/>
              </w:rPr>
              <w:t>Ejecución local/Colab viable</w:t>
            </w:r>
          </w:p>
        </w:tc>
      </w:tr>
    </w:tbl>
    <w:p>
      <w:pPr>
        <w:spacing w:after="20"/>
      </w:pPr>
    </w:p>
    <w:p>
      <w:pPr>
        <w:pStyle w:val="Heading1"/>
      </w:pPr>
      <w:r>
        <w:t>4. Resultados exploratorios</w:t>
      </w:r>
    </w:p>
    <w:p>
      <w:pPr>
        <w:pStyle w:val="Heading2"/>
      </w:pPr>
      <w:r>
        <w:t>4.1 Distribución de respuestas</w:t>
      </w:r>
    </w:p>
    <w:tbl>
      <w:tblPr>
        <w:tblStyle w:val="TableGrid"/>
        <w:tblW w:type="dxa" w:w="9360"/>
        <w:jc w:val="left"/>
        <w:tblLayout w:type="fixed"/>
        <w:tblLook w:firstColumn="1" w:firstRow="1" w:lastColumn="0" w:lastRow="0" w:noHBand="0" w:noVBand="1" w:val="04A0"/>
        <w:tblInd w:w="120" w:type="dxa"/>
      </w:tblPr>
      <w:tblGrid>
        <w:gridCol w:w="3600"/>
        <w:gridCol w:w="1500"/>
        <w:gridCol w:w="1900"/>
        <w:gridCol w:w="2360"/>
      </w:tblGrid>
      <w:tr>
        <w:tc>
          <w:tcPr>
            <w:tcW w:type="dxa" w:w="2340"/>
            <w:tcW w:w="3600" w:type="dxa"/>
            <w:shd w:fill="E8EEF5"/>
          </w:tcPr>
          <w:p>
            <w:r>
              <w:rPr>
                <w:rFonts w:ascii="Calibri" w:hAnsi="Calibri"/>
                <w:b/>
                <w:i w:val="0"/>
                <w:color w:val="1F4D78"/>
                <w:sz w:val="18"/>
              </w:rPr>
              <w:t>Objetivo</w:t>
            </w:r>
          </w:p>
        </w:tc>
        <w:tc>
          <w:tcPr>
            <w:tcW w:type="dxa" w:w="2340"/>
            <w:tcW w:w="1500" w:type="dxa"/>
            <w:shd w:fill="E8EEF5"/>
          </w:tcPr>
          <w:p>
            <w:r>
              <w:rPr>
                <w:rFonts w:ascii="Calibri" w:hAnsi="Calibri"/>
                <w:b/>
                <w:i w:val="0"/>
                <w:color w:val="1F4D78"/>
                <w:sz w:val="18"/>
              </w:rPr>
              <w:t>Media</w:t>
            </w:r>
          </w:p>
        </w:tc>
        <w:tc>
          <w:tcPr>
            <w:tcW w:type="dxa" w:w="2340"/>
            <w:tcW w:w="1900" w:type="dxa"/>
            <w:shd w:fill="E8EEF5"/>
          </w:tcPr>
          <w:p>
            <w:r>
              <w:rPr>
                <w:rFonts w:ascii="Calibri" w:hAnsi="Calibri"/>
                <w:b/>
                <w:i w:val="0"/>
                <w:color w:val="1F4D78"/>
                <w:sz w:val="18"/>
              </w:rPr>
              <w:t>Desv. estándar</w:t>
            </w:r>
          </w:p>
        </w:tc>
        <w:tc>
          <w:tcPr>
            <w:tcW w:type="dxa" w:w="2340"/>
            <w:tcW w:w="2360" w:type="dxa"/>
            <w:shd w:fill="E8EEF5"/>
          </w:tcPr>
          <w:p>
            <w:r>
              <w:rPr>
                <w:rFonts w:ascii="Calibri" w:hAnsi="Calibri"/>
                <w:b/>
                <w:i w:val="0"/>
                <w:color w:val="1F4D78"/>
                <w:sz w:val="18"/>
              </w:rPr>
              <w:t>Mín.–Máx.</w:t>
            </w:r>
          </w:p>
        </w:tc>
      </w:tr>
      <w:tr>
        <w:tc>
          <w:tcPr>
            <w:tcW w:type="dxa" w:w="3600"/>
            <w:tcW w:w="3600" w:type="dxa"/>
            <w:vAlign w:val="center"/>
          </w:tcPr>
          <w:p>
            <w:r>
              <w:rPr>
                <w:rFonts w:ascii="Calibri" w:hAnsi="Calibri"/>
                <w:b w:val="0"/>
                <w:i w:val="0"/>
                <w:color w:val="000000"/>
                <w:sz w:val="18"/>
              </w:rPr>
              <w:t>Deriva máxima (%)</w:t>
            </w:r>
          </w:p>
        </w:tc>
        <w:tc>
          <w:tcPr>
            <w:tcW w:type="dxa" w:w="1500"/>
            <w:tcW w:w="1500" w:type="dxa"/>
            <w:vAlign w:val="center"/>
          </w:tcPr>
          <w:p>
            <w:r>
              <w:rPr>
                <w:rFonts w:ascii="Calibri" w:hAnsi="Calibri"/>
                <w:b w:val="0"/>
                <w:i w:val="0"/>
                <w:color w:val="000000"/>
                <w:sz w:val="18"/>
              </w:rPr>
              <w:t>2.514</w:t>
            </w:r>
          </w:p>
        </w:tc>
        <w:tc>
          <w:tcPr>
            <w:tcW w:type="dxa" w:w="1900"/>
            <w:tcW w:w="1900" w:type="dxa"/>
            <w:vAlign w:val="center"/>
          </w:tcPr>
          <w:p>
            <w:r>
              <w:rPr>
                <w:rFonts w:ascii="Calibri" w:hAnsi="Calibri"/>
                <w:b w:val="0"/>
                <w:i w:val="0"/>
                <w:color w:val="000000"/>
                <w:sz w:val="18"/>
              </w:rPr>
              <w:t>1.428</w:t>
            </w:r>
          </w:p>
        </w:tc>
        <w:tc>
          <w:tcPr>
            <w:tcW w:type="dxa" w:w="2360"/>
            <w:tcW w:w="2360" w:type="dxa"/>
            <w:vAlign w:val="center"/>
          </w:tcPr>
          <w:p>
            <w:r>
              <w:rPr>
                <w:rFonts w:ascii="Calibri" w:hAnsi="Calibri"/>
                <w:b w:val="0"/>
                <w:i w:val="0"/>
                <w:color w:val="000000"/>
                <w:sz w:val="18"/>
              </w:rPr>
              <w:t>0.104–4.994</w:t>
            </w:r>
          </w:p>
        </w:tc>
      </w:tr>
      <w:tr>
        <w:tc>
          <w:tcPr>
            <w:tcW w:type="dxa" w:w="3600"/>
            <w:tcW w:w="3600" w:type="dxa"/>
            <w:vAlign w:val="center"/>
          </w:tcPr>
          <w:p>
            <w:r>
              <w:rPr>
                <w:rFonts w:ascii="Calibri" w:hAnsi="Calibri"/>
                <w:b w:val="0"/>
                <w:i w:val="0"/>
                <w:color w:val="000000"/>
                <w:sz w:val="18"/>
              </w:rPr>
              <w:t>Desplazamiento de techo (m)</w:t>
            </w:r>
          </w:p>
        </w:tc>
        <w:tc>
          <w:tcPr>
            <w:tcW w:type="dxa" w:w="1500"/>
            <w:tcW w:w="1500" w:type="dxa"/>
            <w:vAlign w:val="center"/>
          </w:tcPr>
          <w:p>
            <w:r>
              <w:rPr>
                <w:rFonts w:ascii="Calibri" w:hAnsi="Calibri"/>
                <w:b w:val="0"/>
                <w:i w:val="0"/>
                <w:color w:val="000000"/>
                <w:sz w:val="18"/>
              </w:rPr>
              <w:t>1.011</w:t>
            </w:r>
          </w:p>
        </w:tc>
        <w:tc>
          <w:tcPr>
            <w:tcW w:type="dxa" w:w="1900"/>
            <w:tcW w:w="1900" w:type="dxa"/>
            <w:vAlign w:val="center"/>
          </w:tcPr>
          <w:p>
            <w:r>
              <w:rPr>
                <w:rFonts w:ascii="Calibri" w:hAnsi="Calibri"/>
                <w:b w:val="0"/>
                <w:i w:val="0"/>
                <w:color w:val="000000"/>
                <w:sz w:val="18"/>
              </w:rPr>
              <w:t>0.575</w:t>
            </w:r>
          </w:p>
        </w:tc>
        <w:tc>
          <w:tcPr>
            <w:tcW w:type="dxa" w:w="2360"/>
            <w:tcW w:w="2360" w:type="dxa"/>
            <w:vAlign w:val="center"/>
          </w:tcPr>
          <w:p>
            <w:r>
              <w:rPr>
                <w:rFonts w:ascii="Calibri" w:hAnsi="Calibri"/>
                <w:b w:val="0"/>
                <w:i w:val="0"/>
                <w:color w:val="000000"/>
                <w:sz w:val="18"/>
              </w:rPr>
              <w:t>0.010–1.999</w:t>
            </w:r>
          </w:p>
        </w:tc>
      </w:tr>
      <w:tr>
        <w:tc>
          <w:tcPr>
            <w:tcW w:type="dxa" w:w="3600"/>
            <w:tcW w:w="3600" w:type="dxa"/>
            <w:vAlign w:val="center"/>
          </w:tcPr>
          <w:p>
            <w:r>
              <w:rPr>
                <w:rFonts w:ascii="Calibri" w:hAnsi="Calibri"/>
                <w:b w:val="0"/>
                <w:i w:val="0"/>
                <w:color w:val="000000"/>
                <w:sz w:val="18"/>
              </w:rPr>
              <w:t>Cortante basal (kN)</w:t>
            </w:r>
          </w:p>
        </w:tc>
        <w:tc>
          <w:tcPr>
            <w:tcW w:type="dxa" w:w="1500"/>
            <w:tcW w:w="1500" w:type="dxa"/>
            <w:vAlign w:val="center"/>
          </w:tcPr>
          <w:p>
            <w:r>
              <w:rPr>
                <w:rFonts w:ascii="Calibri" w:hAnsi="Calibri"/>
                <w:b w:val="0"/>
                <w:i w:val="0"/>
                <w:color w:val="000000"/>
                <w:sz w:val="18"/>
              </w:rPr>
              <w:t>2,523.310</w:t>
            </w:r>
          </w:p>
        </w:tc>
        <w:tc>
          <w:tcPr>
            <w:tcW w:type="dxa" w:w="1900"/>
            <w:tcW w:w="1900" w:type="dxa"/>
            <w:vAlign w:val="center"/>
          </w:tcPr>
          <w:p>
            <w:r>
              <w:rPr>
                <w:rFonts w:ascii="Calibri" w:hAnsi="Calibri"/>
                <w:b w:val="0"/>
                <w:i w:val="0"/>
                <w:color w:val="000000"/>
                <w:sz w:val="18"/>
              </w:rPr>
              <w:t>1,432.974</w:t>
            </w:r>
          </w:p>
        </w:tc>
        <w:tc>
          <w:tcPr>
            <w:tcW w:type="dxa" w:w="2360"/>
            <w:tcW w:w="2360" w:type="dxa"/>
            <w:vAlign w:val="center"/>
          </w:tcPr>
          <w:p>
            <w:r>
              <w:rPr>
                <w:rFonts w:ascii="Calibri" w:hAnsi="Calibri"/>
                <w:b w:val="0"/>
                <w:i w:val="0"/>
                <w:color w:val="000000"/>
                <w:sz w:val="18"/>
              </w:rPr>
              <w:t>51.648–4,997.439</w:t>
            </w:r>
          </w:p>
        </w:tc>
      </w:tr>
      <w:tr>
        <w:tc>
          <w:tcPr>
            <w:tcW w:type="dxa" w:w="3600"/>
            <w:tcW w:w="3600" w:type="dxa"/>
            <w:vAlign w:val="center"/>
          </w:tcPr>
          <w:p>
            <w:r>
              <w:rPr>
                <w:rFonts w:ascii="Calibri" w:hAnsi="Calibri"/>
                <w:b w:val="0"/>
                <w:i w:val="0"/>
                <w:color w:val="000000"/>
                <w:sz w:val="18"/>
              </w:rPr>
              <w:t>Aceleración estructural (m/s²)</w:t>
            </w:r>
          </w:p>
        </w:tc>
        <w:tc>
          <w:tcPr>
            <w:tcW w:type="dxa" w:w="1500"/>
            <w:tcW w:w="1500" w:type="dxa"/>
            <w:vAlign w:val="center"/>
          </w:tcPr>
          <w:p>
            <w:r>
              <w:rPr>
                <w:rFonts w:ascii="Calibri" w:hAnsi="Calibri"/>
                <w:b w:val="0"/>
                <w:i w:val="0"/>
                <w:color w:val="000000"/>
                <w:sz w:val="18"/>
              </w:rPr>
              <w:t>2.499</w:t>
            </w:r>
          </w:p>
        </w:tc>
        <w:tc>
          <w:tcPr>
            <w:tcW w:type="dxa" w:w="1900"/>
            <w:tcW w:w="1900" w:type="dxa"/>
            <w:vAlign w:val="center"/>
          </w:tcPr>
          <w:p>
            <w:r>
              <w:rPr>
                <w:rFonts w:ascii="Calibri" w:hAnsi="Calibri"/>
                <w:b w:val="0"/>
                <w:i w:val="0"/>
                <w:color w:val="000000"/>
                <w:sz w:val="18"/>
              </w:rPr>
              <w:t>1.432</w:t>
            </w:r>
          </w:p>
        </w:tc>
        <w:tc>
          <w:tcPr>
            <w:tcW w:type="dxa" w:w="2360"/>
            <w:tcW w:w="2360" w:type="dxa"/>
            <w:vAlign w:val="center"/>
          </w:tcPr>
          <w:p>
            <w:r>
              <w:rPr>
                <w:rFonts w:ascii="Calibri" w:hAnsi="Calibri"/>
                <w:b w:val="0"/>
                <w:i w:val="0"/>
                <w:color w:val="000000"/>
                <w:sz w:val="18"/>
              </w:rPr>
              <w:t>0.105–4.995</w:t>
            </w:r>
          </w:p>
        </w:tc>
      </w:tr>
      <w:tr>
        <w:tc>
          <w:tcPr>
            <w:tcW w:type="dxa" w:w="3600"/>
            <w:tcW w:w="3600" w:type="dxa"/>
            <w:vAlign w:val="center"/>
          </w:tcPr>
          <w:p>
            <w:r>
              <w:rPr>
                <w:rFonts w:ascii="Calibri" w:hAnsi="Calibri"/>
                <w:b w:val="0"/>
                <w:i w:val="0"/>
                <w:color w:val="000000"/>
                <w:sz w:val="18"/>
              </w:rPr>
              <w:t>Índice de daño</w:t>
            </w:r>
          </w:p>
        </w:tc>
        <w:tc>
          <w:tcPr>
            <w:tcW w:type="dxa" w:w="1500"/>
            <w:tcW w:w="1500" w:type="dxa"/>
            <w:vAlign w:val="center"/>
          </w:tcPr>
          <w:p>
            <w:r>
              <w:rPr>
                <w:rFonts w:ascii="Calibri" w:hAnsi="Calibri"/>
                <w:b w:val="0"/>
                <w:i w:val="0"/>
                <w:color w:val="000000"/>
                <w:sz w:val="18"/>
              </w:rPr>
              <w:t>0.512</w:t>
            </w:r>
          </w:p>
        </w:tc>
        <w:tc>
          <w:tcPr>
            <w:tcW w:type="dxa" w:w="1900"/>
            <w:tcW w:w="1900" w:type="dxa"/>
            <w:vAlign w:val="center"/>
          </w:tcPr>
          <w:p>
            <w:r>
              <w:rPr>
                <w:rFonts w:ascii="Calibri" w:hAnsi="Calibri"/>
                <w:b w:val="0"/>
                <w:i w:val="0"/>
                <w:color w:val="000000"/>
                <w:sz w:val="18"/>
              </w:rPr>
              <w:t>0.286</w:t>
            </w:r>
          </w:p>
        </w:tc>
        <w:tc>
          <w:tcPr>
            <w:tcW w:type="dxa" w:w="2360"/>
            <w:tcW w:w="2360" w:type="dxa"/>
            <w:vAlign w:val="center"/>
          </w:tcPr>
          <w:p>
            <w:r>
              <w:rPr>
                <w:rFonts w:ascii="Calibri" w:hAnsi="Calibri"/>
                <w:b w:val="0"/>
                <w:i w:val="0"/>
                <w:color w:val="000000"/>
                <w:sz w:val="18"/>
              </w:rPr>
              <w:t>0.001–1.000</w:t>
            </w:r>
          </w:p>
        </w:tc>
      </w:tr>
      <w:tr>
        <w:tc>
          <w:tcPr>
            <w:tcW w:type="dxa" w:w="3600"/>
            <w:tcW w:w="3600" w:type="dxa"/>
            <w:vAlign w:val="center"/>
          </w:tcPr>
          <w:p>
            <w:r>
              <w:rPr>
                <w:rFonts w:ascii="Calibri" w:hAnsi="Calibri"/>
                <w:b w:val="0"/>
                <w:i w:val="0"/>
                <w:color w:val="000000"/>
                <w:sz w:val="18"/>
              </w:rPr>
              <w:t>Probabilidad de colapso (%)</w:t>
            </w:r>
          </w:p>
        </w:tc>
        <w:tc>
          <w:tcPr>
            <w:tcW w:type="dxa" w:w="1500"/>
            <w:tcW w:w="1500" w:type="dxa"/>
            <w:vAlign w:val="center"/>
          </w:tcPr>
          <w:p>
            <w:r>
              <w:rPr>
                <w:rFonts w:ascii="Calibri" w:hAnsi="Calibri"/>
                <w:b w:val="0"/>
                <w:i w:val="0"/>
                <w:color w:val="000000"/>
                <w:sz w:val="18"/>
              </w:rPr>
              <w:t>51.177</w:t>
            </w:r>
          </w:p>
        </w:tc>
        <w:tc>
          <w:tcPr>
            <w:tcW w:type="dxa" w:w="1900"/>
            <w:tcW w:w="1900" w:type="dxa"/>
            <w:vAlign w:val="center"/>
          </w:tcPr>
          <w:p>
            <w:r>
              <w:rPr>
                <w:rFonts w:ascii="Calibri" w:hAnsi="Calibri"/>
                <w:b w:val="0"/>
                <w:i w:val="0"/>
                <w:color w:val="000000"/>
                <w:sz w:val="18"/>
              </w:rPr>
              <w:t>28.553</w:t>
            </w:r>
          </w:p>
        </w:tc>
        <w:tc>
          <w:tcPr>
            <w:tcW w:type="dxa" w:w="2360"/>
            <w:tcW w:w="2360" w:type="dxa"/>
            <w:vAlign w:val="center"/>
          </w:tcPr>
          <w:p>
            <w:r>
              <w:rPr>
                <w:rFonts w:ascii="Calibri" w:hAnsi="Calibri"/>
                <w:b w:val="0"/>
                <w:i w:val="0"/>
                <w:color w:val="000000"/>
                <w:sz w:val="18"/>
              </w:rPr>
              <w:t>0.123–99.952</w:t>
            </w:r>
          </w:p>
        </w:tc>
      </w:tr>
    </w:tbl>
    <w:p>
      <w:pPr>
        <w:spacing w:after="20"/>
      </w:pPr>
    </w:p>
    <w:p>
      <w:pPr>
        <w:jc w:val="center"/>
      </w:pPr>
      <w:r>
        <w:drawing>
          <wp:inline xmlns:a="http://schemas.openxmlformats.org/drawingml/2006/main" xmlns:pic="http://schemas.openxmlformats.org/drawingml/2006/picture">
            <wp:extent cx="5715000" cy="3942118"/>
            <wp:docPr id="1" name="Picture 1"/>
            <wp:cNvGraphicFramePr>
              <a:graphicFrameLocks noChangeAspect="1"/>
            </wp:cNvGraphicFramePr>
            <a:graphic>
              <a:graphicData uri="http://schemas.openxmlformats.org/drawingml/2006/picture">
                <pic:pic>
                  <pic:nvPicPr>
                    <pic:cNvPr id="0" name="01_distribucion_objetivos.png"/>
                    <pic:cNvPicPr/>
                  </pic:nvPicPr>
                  <pic:blipFill>
                    <a:blip r:embed="rId11"/>
                    <a:stretch>
                      <a:fillRect/>
                    </a:stretch>
                  </pic:blipFill>
                  <pic:spPr>
                    <a:xfrm>
                      <a:off x="0" y="0"/>
                      <a:ext cx="5715000" cy="3942118"/>
                    </a:xfrm>
                    <a:prstGeom prst="rect"/>
                  </pic:spPr>
                </pic:pic>
              </a:graphicData>
            </a:graphic>
          </wp:inline>
        </w:drawing>
      </w:r>
    </w:p>
    <w:p>
      <w:pPr>
        <w:spacing w:after="200" w:line="320" w:lineRule="auto"/>
        <w:jc w:val="center"/>
      </w:pPr>
      <w:r>
        <w:rPr>
          <w:rFonts w:ascii="Calibri" w:hAnsi="Calibri"/>
          <w:b w:val="0"/>
          <w:i/>
          <w:color w:val="666666"/>
          <w:sz w:val="18"/>
        </w:rPr>
        <w:t>Figura 1. Distribuciones de las seis respuestas provistas por el dataset.</w:t>
      </w:r>
    </w:p>
    <w:p>
      <w:pPr>
        <w:pStyle w:val="Heading2"/>
      </w:pPr>
      <w:r>
        <w:t>4.2 Correlaciones y coherencia física</w:t>
      </w:r>
    </w:p>
    <w:p>
      <w:pPr>
        <w:spacing w:after="160" w:line="320" w:lineRule="auto"/>
      </w:pPr>
      <w:r>
        <w:rPr>
          <w:rFonts w:ascii="Calibri" w:hAnsi="Calibri"/>
          <w:b w:val="0"/>
          <w:i w:val="0"/>
          <w:color w:val="000000"/>
          <w:sz w:val="22"/>
        </w:rPr>
        <w:t>La mayor correlación absoluta observada entre una entrada y un objetivo fue aproximadamente 0.066 (rigidez axial frente a índice de daño/colapso). Para deriva, la mayor fue PGA con ρ≈−0.055; para desplazamiento de techo, PGA con ρ≈0.056. Estos valores y algunos signos poco intuitivos no prueban ausencia total de relaciones no lineales, pero sí advierten que los modelos podrían no superar una predicción constante fuera de muestra.</w:t>
      </w:r>
    </w:p>
    <w:p>
      <w:pPr>
        <w:jc w:val="center"/>
      </w:pPr>
      <w:r>
        <w:drawing>
          <wp:inline xmlns:a="http://schemas.openxmlformats.org/drawingml/2006/main" xmlns:pic="http://schemas.openxmlformats.org/drawingml/2006/picture">
            <wp:extent cx="5303520" cy="4532660"/>
            <wp:docPr id="2" name="Picture 2"/>
            <wp:cNvGraphicFramePr>
              <a:graphicFrameLocks noChangeAspect="1"/>
            </wp:cNvGraphicFramePr>
            <a:graphic>
              <a:graphicData uri="http://schemas.openxmlformats.org/drawingml/2006/picture">
                <pic:pic>
                  <pic:nvPicPr>
                    <pic:cNvPr id="0" name="02_matriz_correlacion.png"/>
                    <pic:cNvPicPr/>
                  </pic:nvPicPr>
                  <pic:blipFill>
                    <a:blip r:embed="rId12"/>
                    <a:stretch>
                      <a:fillRect/>
                    </a:stretch>
                  </pic:blipFill>
                  <pic:spPr>
                    <a:xfrm>
                      <a:off x="0" y="0"/>
                      <a:ext cx="5303520" cy="4532660"/>
                    </a:xfrm>
                    <a:prstGeom prst="rect"/>
                  </pic:spPr>
                </pic:pic>
              </a:graphicData>
            </a:graphic>
          </wp:inline>
        </w:drawing>
      </w:r>
    </w:p>
    <w:p>
      <w:pPr>
        <w:spacing w:after="200" w:line="320" w:lineRule="auto"/>
        <w:jc w:val="center"/>
      </w:pPr>
      <w:r>
        <w:rPr>
          <w:rFonts w:ascii="Calibri" w:hAnsi="Calibri"/>
          <w:b w:val="0"/>
          <w:i/>
          <w:color w:val="666666"/>
          <w:sz w:val="18"/>
        </w:rPr>
        <w:t>Figura 2. Matriz de correlaciones de Spearman. La ausencia de bandas intensas entre entradas y objetivos indica señal monótona débil.</w:t>
      </w:r>
    </w:p>
    <w:p>
      <w:pPr>
        <w:spacing w:after="160" w:line="320" w:lineRule="auto"/>
      </w:pPr>
      <w:r>
        <w:rPr>
          <w:rFonts w:ascii="Calibri" w:hAnsi="Calibri"/>
          <w:b w:val="0"/>
          <w:i w:val="0"/>
          <w:color w:val="000000"/>
          <w:sz w:val="22"/>
        </w:rPr>
        <w:t>Se comprobó además que Collapse Probability (%) = 100 × Damage Index para todas las filas, con discrepancia numérica máxima del orden de 10⁻¹⁴. Ambos objetivos no deben usarse simultáneamente como predictores y salidas; bastará modelar uno o reportar la relación determinística.</w:t>
      </w:r>
    </w:p>
    <w:p>
      <w:pPr>
        <w:jc w:val="center"/>
      </w:pPr>
      <w:r>
        <w:drawing>
          <wp:inline xmlns:a="http://schemas.openxmlformats.org/drawingml/2006/main" xmlns:pic="http://schemas.openxmlformats.org/drawingml/2006/picture">
            <wp:extent cx="5715000" cy="2251689"/>
            <wp:docPr id="3" name="Picture 3"/>
            <wp:cNvGraphicFramePr>
              <a:graphicFrameLocks noChangeAspect="1"/>
            </wp:cNvGraphicFramePr>
            <a:graphic>
              <a:graphicData uri="http://schemas.openxmlformats.org/drawingml/2006/picture">
                <pic:pic>
                  <pic:nvPicPr>
                    <pic:cNvPr id="0" name="03_respuesta_por_sistema.png"/>
                    <pic:cNvPicPr/>
                  </pic:nvPicPr>
                  <pic:blipFill>
                    <a:blip r:embed="rId13"/>
                    <a:stretch>
                      <a:fillRect/>
                    </a:stretch>
                  </pic:blipFill>
                  <pic:spPr>
                    <a:xfrm>
                      <a:off x="0" y="0"/>
                      <a:ext cx="5715000" cy="2251689"/>
                    </a:xfrm>
                    <a:prstGeom prst="rect"/>
                  </pic:spPr>
                </pic:pic>
              </a:graphicData>
            </a:graphic>
          </wp:inline>
        </w:drawing>
      </w:r>
    </w:p>
    <w:p>
      <w:pPr>
        <w:spacing w:after="200" w:line="320" w:lineRule="auto"/>
        <w:jc w:val="center"/>
      </w:pPr>
      <w:r>
        <w:rPr>
          <w:rFonts w:ascii="Calibri" w:hAnsi="Calibri"/>
          <w:b w:val="0"/>
          <w:i/>
          <w:color w:val="666666"/>
          <w:sz w:val="18"/>
        </w:rPr>
        <w:t>Figura 3. Comparación exploratoria de respuesta por material y sistema resistente.</w:t>
      </w:r>
    </w:p>
    <w:p>
      <w:pPr>
        <w:jc w:val="center"/>
      </w:pPr>
      <w:r>
        <w:drawing>
          <wp:inline xmlns:a="http://schemas.openxmlformats.org/drawingml/2006/main" xmlns:pic="http://schemas.openxmlformats.org/drawingml/2006/picture">
            <wp:extent cx="5303520" cy="3609549"/>
            <wp:docPr id="4" name="Picture 4"/>
            <wp:cNvGraphicFramePr>
              <a:graphicFrameLocks noChangeAspect="1"/>
            </wp:cNvGraphicFramePr>
            <a:graphic>
              <a:graphicData uri="http://schemas.openxmlformats.org/drawingml/2006/picture">
                <pic:pic>
                  <pic:nvPicPr>
                    <pic:cNvPr id="0" name="04_pga_aceleracion.png"/>
                    <pic:cNvPicPr/>
                  </pic:nvPicPr>
                  <pic:blipFill>
                    <a:blip r:embed="rId14"/>
                    <a:stretch>
                      <a:fillRect/>
                    </a:stretch>
                  </pic:blipFill>
                  <pic:spPr>
                    <a:xfrm>
                      <a:off x="0" y="0"/>
                      <a:ext cx="5303520" cy="3609549"/>
                    </a:xfrm>
                    <a:prstGeom prst="rect"/>
                  </pic:spPr>
                </pic:pic>
              </a:graphicData>
            </a:graphic>
          </wp:inline>
        </w:drawing>
      </w:r>
    </w:p>
    <w:p>
      <w:pPr>
        <w:spacing w:after="200" w:line="320" w:lineRule="auto"/>
        <w:jc w:val="center"/>
      </w:pPr>
      <w:r>
        <w:rPr>
          <w:rFonts w:ascii="Calibri" w:hAnsi="Calibri"/>
          <w:b w:val="0"/>
          <w:i/>
          <w:color w:val="666666"/>
          <w:sz w:val="18"/>
        </w:rPr>
        <w:t>Figura 4. PGA frente a aceleración estructural, diferenciada por tipo de suelo.</w:t>
      </w:r>
    </w:p>
    <w:p>
      <w:pPr>
        <w:pStyle w:val="Heading1"/>
      </w:pPr>
      <w:r>
        <w:t>5. Plan algorítmico para T3</w:t>
      </w:r>
    </w:p>
    <w:tbl>
      <w:tblPr>
        <w:tblStyle w:val="TableGrid"/>
        <w:tblW w:type="dxa" w:w="9360"/>
        <w:jc w:val="left"/>
        <w:tblLayout w:type="fixed"/>
        <w:tblLook w:firstColumn="1" w:firstRow="1" w:lastColumn="0" w:lastRow="0" w:noHBand="0" w:noVBand="1" w:val="04A0"/>
        <w:tblInd w:w="120" w:type="dxa"/>
      </w:tblPr>
      <w:tblGrid>
        <w:gridCol w:w="1900"/>
        <w:gridCol w:w="2600"/>
        <w:gridCol w:w="4860"/>
      </w:tblGrid>
      <w:tr>
        <w:tc>
          <w:tcPr>
            <w:tcW w:type="dxa" w:w="3120"/>
            <w:tcW w:w="1900" w:type="dxa"/>
            <w:shd w:fill="E8EEF5"/>
          </w:tcPr>
          <w:p>
            <w:r>
              <w:rPr>
                <w:rFonts w:ascii="Calibri" w:hAnsi="Calibri"/>
                <w:b/>
                <w:i w:val="0"/>
                <w:color w:val="1F4D78"/>
                <w:sz w:val="18"/>
              </w:rPr>
              <w:t>Modelo</w:t>
            </w:r>
          </w:p>
        </w:tc>
        <w:tc>
          <w:tcPr>
            <w:tcW w:type="dxa" w:w="3120"/>
            <w:tcW w:w="2600" w:type="dxa"/>
            <w:shd w:fill="E8EEF5"/>
          </w:tcPr>
          <w:p>
            <w:r>
              <w:rPr>
                <w:rFonts w:ascii="Calibri" w:hAnsi="Calibri"/>
                <w:b/>
                <w:i w:val="0"/>
                <w:color w:val="1F4D78"/>
                <w:sz w:val="18"/>
              </w:rPr>
              <w:t>Función en el estudio</w:t>
            </w:r>
          </w:p>
        </w:tc>
        <w:tc>
          <w:tcPr>
            <w:tcW w:type="dxa" w:w="3120"/>
            <w:tcW w:w="4860" w:type="dxa"/>
            <w:shd w:fill="E8EEF5"/>
          </w:tcPr>
          <w:p>
            <w:r>
              <w:rPr>
                <w:rFonts w:ascii="Calibri" w:hAnsi="Calibri"/>
                <w:b/>
                <w:i w:val="0"/>
                <w:color w:val="1F4D78"/>
                <w:sz w:val="18"/>
              </w:rPr>
              <w:t>Justificación</w:t>
            </w:r>
          </w:p>
        </w:tc>
      </w:tr>
      <w:tr>
        <w:tc>
          <w:tcPr>
            <w:tcW w:type="dxa" w:w="1900"/>
            <w:tcW w:w="1900" w:type="dxa"/>
            <w:vAlign w:val="center"/>
          </w:tcPr>
          <w:p>
            <w:r>
              <w:rPr>
                <w:rFonts w:ascii="Calibri" w:hAnsi="Calibri"/>
                <w:b w:val="0"/>
                <w:i w:val="0"/>
                <w:color w:val="000000"/>
                <w:sz w:val="18"/>
              </w:rPr>
              <w:t>DummyRegressor</w:t>
            </w:r>
          </w:p>
        </w:tc>
        <w:tc>
          <w:tcPr>
            <w:tcW w:type="dxa" w:w="2600"/>
            <w:tcW w:w="2600" w:type="dxa"/>
            <w:vAlign w:val="center"/>
          </w:tcPr>
          <w:p>
            <w:r>
              <w:rPr>
                <w:rFonts w:ascii="Calibri" w:hAnsi="Calibri"/>
                <w:b w:val="0"/>
                <w:i w:val="0"/>
                <w:color w:val="000000"/>
                <w:sz w:val="18"/>
              </w:rPr>
              <w:t>Línea base obligatoria</w:t>
            </w:r>
          </w:p>
        </w:tc>
        <w:tc>
          <w:tcPr>
            <w:tcW w:type="dxa" w:w="4860"/>
            <w:tcW w:w="4860" w:type="dxa"/>
            <w:vAlign w:val="center"/>
          </w:tcPr>
          <w:p>
            <w:r>
              <w:rPr>
                <w:rFonts w:ascii="Calibri" w:hAnsi="Calibri"/>
                <w:b w:val="0"/>
                <w:i w:val="0"/>
                <w:color w:val="000000"/>
                <w:sz w:val="18"/>
              </w:rPr>
              <w:t>Determina si existe ganancia real frente a predecir la media/mediana</w:t>
            </w:r>
          </w:p>
        </w:tc>
      </w:tr>
      <w:tr>
        <w:tc>
          <w:tcPr>
            <w:tcW w:type="dxa" w:w="1900"/>
            <w:tcW w:w="1900" w:type="dxa"/>
            <w:vAlign w:val="center"/>
          </w:tcPr>
          <w:p>
            <w:r>
              <w:rPr>
                <w:rFonts w:ascii="Calibri" w:hAnsi="Calibri"/>
                <w:b w:val="0"/>
                <w:i w:val="0"/>
                <w:color w:val="000000"/>
                <w:sz w:val="18"/>
              </w:rPr>
              <w:t>Ridge</w:t>
            </w:r>
          </w:p>
        </w:tc>
        <w:tc>
          <w:tcPr>
            <w:tcW w:type="dxa" w:w="2600"/>
            <w:tcW w:w="2600" w:type="dxa"/>
            <w:vAlign w:val="center"/>
          </w:tcPr>
          <w:p>
            <w:r>
              <w:rPr>
                <w:rFonts w:ascii="Calibri" w:hAnsi="Calibri"/>
                <w:b w:val="0"/>
                <w:i w:val="0"/>
                <w:color w:val="000000"/>
                <w:sz w:val="18"/>
              </w:rPr>
              <w:t>Base lineal regularizada</w:t>
            </w:r>
          </w:p>
        </w:tc>
        <w:tc>
          <w:tcPr>
            <w:tcW w:type="dxa" w:w="4860"/>
            <w:tcW w:w="4860" w:type="dxa"/>
            <w:vAlign w:val="center"/>
          </w:tcPr>
          <w:p>
            <w:r>
              <w:rPr>
                <w:rFonts w:ascii="Calibri" w:hAnsi="Calibri"/>
                <w:b w:val="0"/>
                <w:i w:val="0"/>
                <w:color w:val="000000"/>
                <w:sz w:val="18"/>
              </w:rPr>
              <w:t>Modelo interpretable y estable ante colinealidad</w:t>
            </w:r>
          </w:p>
        </w:tc>
      </w:tr>
      <w:tr>
        <w:tc>
          <w:tcPr>
            <w:tcW w:type="dxa" w:w="1900"/>
            <w:tcW w:w="1900" w:type="dxa"/>
            <w:vAlign w:val="center"/>
          </w:tcPr>
          <w:p>
            <w:r>
              <w:rPr>
                <w:rFonts w:ascii="Calibri" w:hAnsi="Calibri"/>
                <w:b w:val="0"/>
                <w:i w:val="0"/>
                <w:color w:val="000000"/>
                <w:sz w:val="18"/>
              </w:rPr>
              <w:t>Random Forest</w:t>
            </w:r>
          </w:p>
        </w:tc>
        <w:tc>
          <w:tcPr>
            <w:tcW w:type="dxa" w:w="2600"/>
            <w:tcW w:w="2600" w:type="dxa"/>
            <w:vAlign w:val="center"/>
          </w:tcPr>
          <w:p>
            <w:r>
              <w:rPr>
                <w:rFonts w:ascii="Calibri" w:hAnsi="Calibri"/>
                <w:b w:val="0"/>
                <w:i w:val="0"/>
                <w:color w:val="000000"/>
                <w:sz w:val="18"/>
              </w:rPr>
              <w:t>Modelo no lineal de ensamble</w:t>
            </w:r>
          </w:p>
        </w:tc>
        <w:tc>
          <w:tcPr>
            <w:tcW w:type="dxa" w:w="4860"/>
            <w:tcW w:w="4860" w:type="dxa"/>
            <w:vAlign w:val="center"/>
          </w:tcPr>
          <w:p>
            <w:r>
              <w:rPr>
                <w:rFonts w:ascii="Calibri" w:hAnsi="Calibri"/>
                <w:b w:val="0"/>
                <w:i w:val="0"/>
                <w:color w:val="000000"/>
                <w:sz w:val="18"/>
              </w:rPr>
              <w:t>Captura interacciones y no requiere escalamiento</w:t>
            </w:r>
          </w:p>
        </w:tc>
      </w:tr>
      <w:tr>
        <w:tc>
          <w:tcPr>
            <w:tcW w:type="dxa" w:w="1900"/>
            <w:tcW w:w="1900" w:type="dxa"/>
            <w:vAlign w:val="center"/>
          </w:tcPr>
          <w:p>
            <w:r>
              <w:rPr>
                <w:rFonts w:ascii="Calibri" w:hAnsi="Calibri"/>
                <w:b w:val="0"/>
                <w:i w:val="0"/>
                <w:color w:val="000000"/>
                <w:sz w:val="18"/>
              </w:rPr>
              <w:t>Gradient Boosting</w:t>
            </w:r>
          </w:p>
        </w:tc>
        <w:tc>
          <w:tcPr>
            <w:tcW w:type="dxa" w:w="2600"/>
            <w:tcW w:w="2600" w:type="dxa"/>
            <w:vAlign w:val="center"/>
          </w:tcPr>
          <w:p>
            <w:r>
              <w:rPr>
                <w:rFonts w:ascii="Calibri" w:hAnsi="Calibri"/>
                <w:b w:val="0"/>
                <w:i w:val="0"/>
                <w:color w:val="000000"/>
                <w:sz w:val="18"/>
              </w:rPr>
              <w:t>Alternativa no lineal</w:t>
            </w:r>
          </w:p>
        </w:tc>
        <w:tc>
          <w:tcPr>
            <w:tcW w:type="dxa" w:w="4860"/>
            <w:tcW w:w="4860" w:type="dxa"/>
            <w:vAlign w:val="center"/>
          </w:tcPr>
          <w:p>
            <w:r>
              <w:rPr>
                <w:rFonts w:ascii="Calibri" w:hAnsi="Calibri"/>
                <w:b w:val="0"/>
                <w:i w:val="0"/>
                <w:color w:val="000000"/>
                <w:sz w:val="18"/>
              </w:rPr>
              <w:t>Puede representar relaciones complejas con regularización</w:t>
            </w:r>
          </w:p>
        </w:tc>
      </w:tr>
      <w:tr>
        <w:tc>
          <w:tcPr>
            <w:tcW w:type="dxa" w:w="1900"/>
            <w:tcW w:w="1900" w:type="dxa"/>
            <w:vAlign w:val="center"/>
          </w:tcPr>
          <w:p>
            <w:r>
              <w:rPr>
                <w:rFonts w:ascii="Calibri" w:hAnsi="Calibri"/>
                <w:b w:val="0"/>
                <w:i w:val="0"/>
                <w:color w:val="000000"/>
                <w:sz w:val="18"/>
              </w:rPr>
              <w:t>MLP</w:t>
            </w:r>
          </w:p>
        </w:tc>
        <w:tc>
          <w:tcPr>
            <w:tcW w:type="dxa" w:w="2600"/>
            <w:tcW w:w="2600" w:type="dxa"/>
            <w:vAlign w:val="center"/>
          </w:tcPr>
          <w:p>
            <w:r>
              <w:rPr>
                <w:rFonts w:ascii="Calibri" w:hAnsi="Calibri"/>
                <w:b w:val="0"/>
                <w:i w:val="0"/>
                <w:color w:val="000000"/>
                <w:sz w:val="18"/>
              </w:rPr>
              <w:t>Extensión condicionada</w:t>
            </w:r>
          </w:p>
        </w:tc>
        <w:tc>
          <w:tcPr>
            <w:tcW w:type="dxa" w:w="4860"/>
            <w:tcW w:w="4860" w:type="dxa"/>
            <w:vAlign w:val="center"/>
          </w:tcPr>
          <w:p>
            <w:r>
              <w:rPr>
                <w:rFonts w:ascii="Calibri" w:hAnsi="Calibri"/>
                <w:b w:val="0"/>
                <w:i w:val="0"/>
                <w:color w:val="000000"/>
                <w:sz w:val="18"/>
              </w:rPr>
              <w:t>Solo si la validación muestra señal suficiente; 1,000 filas elevan el riesgo de sobreajuste</w:t>
            </w:r>
          </w:p>
        </w:tc>
      </w:tr>
    </w:tbl>
    <w:p>
      <w:pPr>
        <w:spacing w:after="20"/>
      </w:pPr>
    </w:p>
    <w:p>
      <w:pPr>
        <w:pStyle w:val="Heading2"/>
      </w:pPr>
      <w:r>
        <w:t>5.1 Pipeline y control de fuga</w:t>
      </w:r>
    </w:p>
    <w:p>
      <w:pPr>
        <w:pStyle w:val="ListBullet"/>
        <w:spacing w:after="80" w:line="290" w:lineRule="auto"/>
        <w:ind w:left="540" w:hanging="279"/>
      </w:pPr>
      <w:r>
        <w:rPr>
          <w:rFonts w:ascii="Calibri" w:hAnsi="Calibri"/>
          <w:b w:val="0"/>
          <w:i w:val="0"/>
          <w:color w:val="000000"/>
          <w:sz w:val="22"/>
        </w:rPr>
        <w:t>Excluir las seis salidas “Predicted” del conjunto X; en particular, impedir que daño prediga colapso o viceversa.</w:t>
      </w:r>
    </w:p>
    <w:p>
      <w:pPr>
        <w:pStyle w:val="ListBullet"/>
        <w:spacing w:after="80" w:line="290" w:lineRule="auto"/>
        <w:ind w:left="540" w:hanging="279"/>
      </w:pPr>
      <w:r>
        <w:rPr>
          <w:rFonts w:ascii="Calibri" w:hAnsi="Calibri"/>
          <w:b w:val="0"/>
          <w:i w:val="0"/>
          <w:color w:val="000000"/>
          <w:sz w:val="22"/>
        </w:rPr>
        <w:t>Separar 80% entrenamiento y 20% prueba antes de ajustar transformaciones; usar validación cruzada de cinco pliegues solo en entrenamiento.</w:t>
      </w:r>
    </w:p>
    <w:p>
      <w:pPr>
        <w:pStyle w:val="ListBullet"/>
        <w:spacing w:after="80" w:line="290" w:lineRule="auto"/>
        <w:ind w:left="540" w:hanging="279"/>
      </w:pPr>
      <w:r>
        <w:rPr>
          <w:rFonts w:ascii="Calibri" w:hAnsi="Calibri"/>
          <w:b w:val="0"/>
          <w:i w:val="0"/>
          <w:color w:val="000000"/>
          <w:sz w:val="22"/>
        </w:rPr>
        <w:t>Imputar mediana/moda, One-Hot Encoding para categorías y escalamiento para Ridge/MLP mediante ColumnTransformer y Pipeline.</w:t>
      </w:r>
    </w:p>
    <w:p>
      <w:pPr>
        <w:pStyle w:val="ListBullet"/>
        <w:spacing w:after="80" w:line="290" w:lineRule="auto"/>
        <w:ind w:left="540" w:hanging="279"/>
      </w:pPr>
      <w:r>
        <w:rPr>
          <w:rFonts w:ascii="Calibri" w:hAnsi="Calibri"/>
          <w:b w:val="0"/>
          <w:i w:val="0"/>
          <w:color w:val="000000"/>
          <w:sz w:val="22"/>
        </w:rPr>
        <w:t>Repetir el proceso con varias semillas y conservar la prueba final intacta hasta seleccionar el modelo.</w:t>
      </w:r>
    </w:p>
    <w:p>
      <w:pPr>
        <w:pStyle w:val="Heading2"/>
      </w:pPr>
      <w:r>
        <w:t>5.2 Métricas y resultados previstos</w:t>
      </w:r>
    </w:p>
    <w:p>
      <w:pPr>
        <w:spacing w:after="160" w:line="320" w:lineRule="auto"/>
      </w:pPr>
      <w:r>
        <w:rPr>
          <w:rFonts w:ascii="Calibri" w:hAnsi="Calibri"/>
          <w:b w:val="0"/>
          <w:i w:val="0"/>
          <w:color w:val="000000"/>
          <w:sz w:val="22"/>
        </w:rPr>
        <w:t>MAE será la métrica principal por su interpretación en unidades de ingeniería; RMSE resaltará errores grandes y R² será complementaria. MAPE se usará únicamente si no hay valores cercanos a cero. No se prometen cifras antes de entrenar. El resultado esperado más responsable es uno de dos: (a) un ensamble supera de forma estable a las líneas base y permite un metamodelo exploratorio; o (b) ningún modelo generaliza, lo que confirmaría que el dataset no contiene señal suficiente para las salidas. Ambos resultados son científicamente válidos.</w:t>
      </w:r>
    </w:p>
    <w:p>
      <w:pPr>
        <w:pStyle w:val="Heading1"/>
      </w:pPr>
      <w:r>
        <w:t>6. Marco PCS: predictibilidad, computabilidad y estabilidad</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4680"/>
            <w:tcW w:w="1900" w:type="dxa"/>
            <w:shd w:fill="E8EEF5"/>
          </w:tcPr>
          <w:p>
            <w:r>
              <w:rPr>
                <w:rFonts w:ascii="Calibri" w:hAnsi="Calibri"/>
                <w:b/>
                <w:i w:val="0"/>
                <w:color w:val="1F4D78"/>
                <w:sz w:val="18"/>
              </w:rPr>
              <w:t>Pilar</w:t>
            </w:r>
          </w:p>
        </w:tc>
        <w:tc>
          <w:tcPr>
            <w:tcW w:type="dxa" w:w="4680"/>
            <w:tcW w:w="7460" w:type="dxa"/>
            <w:shd w:fill="E8EEF5"/>
          </w:tcPr>
          <w:p>
            <w:r>
              <w:rPr>
                <w:rFonts w:ascii="Calibri" w:hAnsi="Calibri"/>
                <w:b/>
                <w:i w:val="0"/>
                <w:color w:val="1F4D78"/>
                <w:sz w:val="18"/>
              </w:rPr>
              <w:t>Aplicación en T2/T3</w:t>
            </w:r>
          </w:p>
        </w:tc>
      </w:tr>
      <w:tr>
        <w:tc>
          <w:tcPr>
            <w:tcW w:type="dxa" w:w="1900"/>
            <w:tcW w:w="1900" w:type="dxa"/>
            <w:vAlign w:val="center"/>
          </w:tcPr>
          <w:p>
            <w:r>
              <w:rPr>
                <w:rFonts w:ascii="Calibri" w:hAnsi="Calibri"/>
                <w:b w:val="0"/>
                <w:i w:val="0"/>
                <w:color w:val="000000"/>
                <w:sz w:val="18"/>
              </w:rPr>
              <w:t>Predictibilidad</w:t>
            </w:r>
          </w:p>
        </w:tc>
        <w:tc>
          <w:tcPr>
            <w:tcW w:type="dxa" w:w="7460"/>
            <w:tcW w:w="7460" w:type="dxa"/>
            <w:vAlign w:val="center"/>
          </w:tcPr>
          <w:p>
            <w:r>
              <w:rPr>
                <w:rFonts w:ascii="Calibri" w:hAnsi="Calibri"/>
                <w:b w:val="0"/>
                <w:i w:val="0"/>
                <w:color w:val="000000"/>
                <w:sz w:val="18"/>
              </w:rPr>
              <w:t>Prueba no vista, comparación con DummyRegressor y métricas con intervalos/dispersión entre pliegues.</w:t>
            </w:r>
          </w:p>
        </w:tc>
      </w:tr>
      <w:tr>
        <w:tc>
          <w:tcPr>
            <w:tcW w:type="dxa" w:w="1900"/>
            <w:tcW w:w="1900" w:type="dxa"/>
            <w:vAlign w:val="center"/>
          </w:tcPr>
          <w:p>
            <w:r>
              <w:rPr>
                <w:rFonts w:ascii="Calibri" w:hAnsi="Calibri"/>
                <w:b w:val="0"/>
                <w:i w:val="0"/>
                <w:color w:val="000000"/>
                <w:sz w:val="18"/>
              </w:rPr>
              <w:t>Computabilidad</w:t>
            </w:r>
          </w:p>
        </w:tc>
        <w:tc>
          <w:tcPr>
            <w:tcW w:type="dxa" w:w="7460"/>
            <w:tcW w:w="7460" w:type="dxa"/>
            <w:vAlign w:val="center"/>
          </w:tcPr>
          <w:p>
            <w:r>
              <w:rPr>
                <w:rFonts w:ascii="Calibri" w:hAnsi="Calibri"/>
                <w:b w:val="0"/>
                <w:i w:val="0"/>
                <w:color w:val="000000"/>
                <w:sz w:val="18"/>
              </w:rPr>
              <w:t>CSV pequeño, código Python versionado, dependencias declaradas y salidas regenerables.</w:t>
            </w:r>
          </w:p>
        </w:tc>
      </w:tr>
      <w:tr>
        <w:tc>
          <w:tcPr>
            <w:tcW w:type="dxa" w:w="1900"/>
            <w:tcW w:w="1900" w:type="dxa"/>
            <w:vAlign w:val="center"/>
          </w:tcPr>
          <w:p>
            <w:r>
              <w:rPr>
                <w:rFonts w:ascii="Calibri" w:hAnsi="Calibri"/>
                <w:b w:val="0"/>
                <w:i w:val="0"/>
                <w:color w:val="000000"/>
                <w:sz w:val="18"/>
              </w:rPr>
              <w:t>Estabilidad</w:t>
            </w:r>
          </w:p>
        </w:tc>
        <w:tc>
          <w:tcPr>
            <w:tcW w:type="dxa" w:w="7460"/>
            <w:tcW w:w="7460" w:type="dxa"/>
            <w:vAlign w:val="center"/>
          </w:tcPr>
          <w:p>
            <w:r>
              <w:rPr>
                <w:rFonts w:ascii="Calibri" w:hAnsi="Calibri"/>
                <w:b w:val="0"/>
                <w:i w:val="0"/>
                <w:color w:val="000000"/>
                <w:sz w:val="18"/>
              </w:rPr>
              <w:t>Variar semillas, codificaciones y subconjuntos; comparar métricas e importancia por permutación.</w:t>
            </w:r>
          </w:p>
        </w:tc>
      </w:tr>
    </w:tbl>
    <w:p>
      <w:pPr>
        <w:spacing w:after="20"/>
      </w:pPr>
    </w:p>
    <w:p>
      <w:pPr>
        <w:spacing w:after="160" w:line="320" w:lineRule="auto"/>
      </w:pPr>
      <w:r>
        <w:rPr>
          <w:rFonts w:ascii="Calibri" w:hAnsi="Calibri"/>
          <w:b w:val="0"/>
          <w:i w:val="0"/>
          <w:color w:val="000000"/>
          <w:sz w:val="22"/>
        </w:rPr>
        <w:t>La revisión PCS también exige cuestionar la procedencia de las etiquetas. La palabra “Predicted” indica que las respuestas no son observaciones de campo; por tanto, el modelo aprendería a emular un generador previo. Esta inferencia debe validarse con el autor o documentación adicional antes de formular conclusiones físicas.</w:t>
      </w:r>
    </w:p>
    <w:p>
      <w:pPr>
        <w:pStyle w:val="Heading1"/>
      </w:pPr>
      <w:r>
        <w:t>7. Conclusiones del avance T2</w:t>
      </w:r>
    </w:p>
    <w:p>
      <w:pPr>
        <w:pStyle w:val="ListBullet"/>
        <w:spacing w:after="80" w:line="290" w:lineRule="auto"/>
        <w:ind w:left="540" w:hanging="279"/>
      </w:pPr>
      <w:r>
        <w:rPr>
          <w:rFonts w:ascii="Calibri" w:hAnsi="Calibri"/>
          <w:b w:val="0"/>
          <w:i w:val="0"/>
          <w:color w:val="000000"/>
          <w:sz w:val="22"/>
        </w:rPr>
        <w:t>Se actualizó el repositorio con el dataset completo y el informe T1 original.</w:t>
      </w:r>
    </w:p>
    <w:p>
      <w:pPr>
        <w:pStyle w:val="ListBullet"/>
        <w:spacing w:after="80" w:line="290" w:lineRule="auto"/>
        <w:ind w:left="540" w:hanging="279"/>
      </w:pPr>
      <w:r>
        <w:rPr>
          <w:rFonts w:ascii="Calibri" w:hAnsi="Calibri"/>
          <w:b w:val="0"/>
          <w:i w:val="0"/>
          <w:color w:val="000000"/>
          <w:sz w:val="22"/>
        </w:rPr>
        <w:t>El EDA es ejecutable y produce tablas y cuatro figuras sin intervención manual.</w:t>
      </w:r>
    </w:p>
    <w:p>
      <w:pPr>
        <w:pStyle w:val="ListBullet"/>
        <w:spacing w:after="80" w:line="290" w:lineRule="auto"/>
        <w:ind w:left="540" w:hanging="279"/>
      </w:pPr>
      <w:r>
        <w:rPr>
          <w:rFonts w:ascii="Calibri" w:hAnsi="Calibri"/>
          <w:b w:val="0"/>
          <w:i w:val="0"/>
          <w:color w:val="000000"/>
          <w:sz w:val="22"/>
        </w:rPr>
        <w:t>La calidad formal es alta en nulos y duplicados, pero la utilidad predictiva es incierta por correlaciones débiles y posible naturaleza sintética.</w:t>
      </w:r>
    </w:p>
    <w:p>
      <w:pPr>
        <w:pStyle w:val="ListBullet"/>
        <w:spacing w:after="80" w:line="290" w:lineRule="auto"/>
        <w:ind w:left="540" w:hanging="279"/>
      </w:pPr>
      <w:r>
        <w:rPr>
          <w:rFonts w:ascii="Calibri" w:hAnsi="Calibri"/>
          <w:b w:val="0"/>
          <w:i w:val="0"/>
          <w:color w:val="000000"/>
          <w:sz w:val="22"/>
        </w:rPr>
        <w:t>Se definió un plan algorítmico con líneas base, control de fuga, validación cruzada, métricas físicas y análisis de estabilidad.</w:t>
      </w:r>
    </w:p>
    <w:p>
      <w:pPr>
        <w:pStyle w:val="ListBullet"/>
        <w:spacing w:after="80" w:line="290" w:lineRule="auto"/>
        <w:ind w:left="540" w:hanging="279"/>
      </w:pPr>
      <w:r>
        <w:rPr>
          <w:rFonts w:ascii="Calibri" w:hAnsi="Calibri"/>
          <w:b w:val="0"/>
          <w:i w:val="0"/>
          <w:color w:val="000000"/>
          <w:sz w:val="22"/>
        </w:rPr>
        <w:t>El proyecto se mantiene como metamodelo académico; cualquier aplicación profesional requiere evidencia externa y verificación normativa.</w:t>
      </w:r>
    </w:p>
    <w:p>
      <w:pPr>
        <w:pStyle w:val="Heading1"/>
      </w:pPr>
      <w:r>
        <w:t>8. Bitácora de uso de inteligencia artificial</w:t>
      </w:r>
    </w:p>
    <w:p>
      <w:pPr>
        <w:spacing w:after="160" w:line="320" w:lineRule="auto"/>
      </w:pPr>
      <w:r>
        <w:rPr>
          <w:rFonts w:ascii="Calibri" w:hAnsi="Calibri"/>
          <w:b w:val="0"/>
          <w:i w:val="0"/>
          <w:color w:val="000000"/>
          <w:sz w:val="22"/>
        </w:rPr>
        <w:t>Herramienta: Codex, modelo de OpenAI, utilizado como asistente para estructurar el repositorio, generar y depurar código Python, analizar la calidad del dataset, redactar el informe y preparar el speech. Prompt inicial resumido: avanzar el repositorio del Grupo 8 hasta T2 usando el dataset indicado, incorporar datos e informe T1, generar EDA, plan de algoritmos, resultados previstos, Word y speech desde la perspectiva de ingeniería civil.</w:t>
      </w:r>
    </w:p>
    <w:p>
      <w:pPr>
        <w:spacing w:after="160" w:line="320" w:lineRule="auto"/>
      </w:pPr>
      <w:r>
        <w:rPr>
          <w:rFonts w:ascii="Calibri" w:hAnsi="Calibri"/>
          <w:b w:val="0"/>
          <w:i w:val="0"/>
          <w:color w:val="000000"/>
          <w:sz w:val="22"/>
        </w:rPr>
        <w:t>Iteraciones registradas: 4 refinamientos principales: (1) inspección de rúbrica/T1; (2) sustitución de la versión parcial por el archivo completo; (3) corrección del entorno y ejecución del EDA; (4) revisión técnica de correlaciones, redundancia de objetivos y alcance profesional. Validación humana requerida: el equipo debe ejecutar el script, revisar cifras, confirmar la procedencia de las etiquetas y asumir responsabilidad por la entrega.</w:t>
      </w:r>
    </w:p>
    <w:p>
      <w:pPr>
        <w:pStyle w:val="Heading1"/>
      </w:pPr>
      <w:r>
        <w:t>Referencias</w:t>
      </w:r>
    </w:p>
    <w:p>
      <w:pPr>
        <w:spacing w:after="160" w:line="320" w:lineRule="auto"/>
      </w:pPr>
      <w:r>
        <w:rPr>
          <w:rFonts w:ascii="Calibri" w:hAnsi="Calibri"/>
          <w:b w:val="0"/>
          <w:i w:val="0"/>
          <w:color w:val="000000"/>
          <w:sz w:val="22"/>
        </w:rPr>
        <w:t>Kaggle. (s. f.). Pre-Earthquake Prediction Dataset. https://www.kaggle.com/datasets/ziya07/pre-earthquake-prediction-dataset</w:t>
      </w:r>
    </w:p>
    <w:p>
      <w:pPr>
        <w:spacing w:after="160" w:line="320" w:lineRule="auto"/>
      </w:pPr>
      <w:r>
        <w:rPr>
          <w:rFonts w:ascii="Calibri" w:hAnsi="Calibri"/>
          <w:b w:val="0"/>
          <w:i w:val="0"/>
          <w:color w:val="000000"/>
          <w:sz w:val="22"/>
        </w:rPr>
        <w:t>Yu, B., &amp; Barter, R. L. (2024). Veridical Data Science: The Practice of Responsible Data Analysis and Decision Making. MIT Press. https://vdsbook.com/</w:t>
      </w:r>
    </w:p>
    <w:p>
      <w:pPr>
        <w:spacing w:after="160" w:line="320" w:lineRule="auto"/>
      </w:pPr>
      <w:r>
        <w:rPr>
          <w:rFonts w:ascii="Calibri" w:hAnsi="Calibri"/>
          <w:b w:val="0"/>
          <w:i w:val="0"/>
          <w:color w:val="000000"/>
          <w:sz w:val="22"/>
        </w:rPr>
        <w:t>Breiman, L. (2001). Random Forests. Machine Learning, 45, 5–32. https://doi.org/10.1023/A:1010933404324</w:t>
      </w:r>
    </w:p>
    <w:p>
      <w:pPr>
        <w:spacing w:after="160" w:line="320" w:lineRule="auto"/>
      </w:pPr>
      <w:r>
        <w:rPr>
          <w:rFonts w:ascii="Calibri" w:hAnsi="Calibri"/>
          <w:b w:val="0"/>
          <w:i w:val="0"/>
          <w:color w:val="000000"/>
          <w:sz w:val="22"/>
        </w:rPr>
        <w:t>Friedman, J. H. (2001). Greedy function approximation: A gradient boosting machine. The Annals of Statistics, 29(5), 1189–1232. https://doi.org/10.1214/aos/1013203451</w:t>
      </w:r>
    </w:p>
    <w:p>
      <w:pPr>
        <w:spacing w:after="160" w:line="320" w:lineRule="auto"/>
      </w:pPr>
      <w:r>
        <w:rPr>
          <w:rFonts w:ascii="Calibri" w:hAnsi="Calibri"/>
          <w:b w:val="0"/>
          <w:i w:val="0"/>
          <w:color w:val="000000"/>
          <w:sz w:val="22"/>
        </w:rPr>
        <w:t>OpenAI. (2026). Codex [Large language model]. https://openai.com/codex/</w:t>
      </w:r>
    </w:p>
    <w:p>
      <w:pPr>
        <w:pStyle w:val="Heading1"/>
      </w:pPr>
      <w:r>
        <w:t>Anexo A. Reproducibilidad y evidencias</w:t>
      </w:r>
    </w:p>
    <w:tbl>
      <w:tblPr>
        <w:tblStyle w:val="TableGrid"/>
        <w:tblW w:type="dxa" w:w="9360"/>
        <w:jc w:val="left"/>
        <w:tblLayout w:type="fixed"/>
        <w:tblLook w:firstColumn="1" w:firstRow="1" w:lastColumn="0" w:lastRow="0" w:noHBand="0" w:noVBand="1" w:val="04A0"/>
        <w:tblInd w:w="120" w:type="dxa"/>
      </w:tblPr>
      <w:tblGrid>
        <w:gridCol w:w="1900"/>
        <w:gridCol w:w="3400"/>
        <w:gridCol w:w="4060"/>
      </w:tblGrid>
      <w:tr>
        <w:tc>
          <w:tcPr>
            <w:tcW w:type="dxa" w:w="3120"/>
            <w:tcW w:w="1900" w:type="dxa"/>
            <w:shd w:fill="E8EEF5"/>
          </w:tcPr>
          <w:p>
            <w:r>
              <w:rPr>
                <w:rFonts w:ascii="Calibri" w:hAnsi="Calibri"/>
                <w:b/>
                <w:i w:val="0"/>
                <w:color w:val="1F4D78"/>
                <w:sz w:val="18"/>
              </w:rPr>
              <w:t>Elemento</w:t>
            </w:r>
          </w:p>
        </w:tc>
        <w:tc>
          <w:tcPr>
            <w:tcW w:type="dxa" w:w="3120"/>
            <w:tcW w:w="3400" w:type="dxa"/>
            <w:shd w:fill="E8EEF5"/>
          </w:tcPr>
          <w:p>
            <w:r>
              <w:rPr>
                <w:rFonts w:ascii="Calibri" w:hAnsi="Calibri"/>
                <w:b/>
                <w:i w:val="0"/>
                <w:color w:val="1F4D78"/>
                <w:sz w:val="18"/>
              </w:rPr>
              <w:t>Ubicación</w:t>
            </w:r>
          </w:p>
        </w:tc>
        <w:tc>
          <w:tcPr>
            <w:tcW w:type="dxa" w:w="3120"/>
            <w:tcW w:w="4060" w:type="dxa"/>
            <w:shd w:fill="E8EEF5"/>
          </w:tcPr>
          <w:p>
            <w:r>
              <w:rPr>
                <w:rFonts w:ascii="Calibri" w:hAnsi="Calibri"/>
                <w:b/>
                <w:i w:val="0"/>
                <w:color w:val="1F4D78"/>
                <w:sz w:val="18"/>
              </w:rPr>
              <w:t>Evidencia</w:t>
            </w:r>
          </w:p>
        </w:tc>
      </w:tr>
      <w:tr>
        <w:tc>
          <w:tcPr>
            <w:tcW w:type="dxa" w:w="1900"/>
            <w:tcW w:w="1900" w:type="dxa"/>
            <w:vAlign w:val="center"/>
          </w:tcPr>
          <w:p>
            <w:r>
              <w:rPr>
                <w:rFonts w:ascii="Calibri" w:hAnsi="Calibri"/>
                <w:b w:val="0"/>
                <w:i w:val="0"/>
                <w:color w:val="000000"/>
                <w:sz w:val="18"/>
              </w:rPr>
              <w:t>Datos originales</w:t>
            </w:r>
          </w:p>
        </w:tc>
        <w:tc>
          <w:tcPr>
            <w:tcW w:type="dxa" w:w="3400"/>
            <w:tcW w:w="3400" w:type="dxa"/>
            <w:vAlign w:val="center"/>
          </w:tcPr>
          <w:p>
            <w:r>
              <w:rPr>
                <w:rFonts w:ascii="Calibri" w:hAnsi="Calibri"/>
                <w:b w:val="0"/>
                <w:i w:val="0"/>
                <w:color w:val="000000"/>
                <w:sz w:val="18"/>
              </w:rPr>
              <w:t>data/raw/seismic_data.csv</w:t>
            </w:r>
          </w:p>
        </w:tc>
        <w:tc>
          <w:tcPr>
            <w:tcW w:type="dxa" w:w="4060"/>
            <w:tcW w:w="4060" w:type="dxa"/>
            <w:vAlign w:val="center"/>
          </w:tcPr>
          <w:p>
            <w:r>
              <w:rPr>
                <w:rFonts w:ascii="Calibri" w:hAnsi="Calibri"/>
                <w:b w:val="0"/>
                <w:i w:val="0"/>
                <w:color w:val="000000"/>
                <w:sz w:val="18"/>
              </w:rPr>
              <w:t>1,000 filas y 26 columnas</w:t>
            </w:r>
          </w:p>
        </w:tc>
      </w:tr>
      <w:tr>
        <w:tc>
          <w:tcPr>
            <w:tcW w:type="dxa" w:w="1900"/>
            <w:tcW w:w="1900" w:type="dxa"/>
            <w:vAlign w:val="center"/>
          </w:tcPr>
          <w:p>
            <w:r>
              <w:rPr>
                <w:rFonts w:ascii="Calibri" w:hAnsi="Calibri"/>
                <w:b w:val="0"/>
                <w:i w:val="0"/>
                <w:color w:val="000000"/>
                <w:sz w:val="18"/>
              </w:rPr>
              <w:t>Código EDA</w:t>
            </w:r>
          </w:p>
        </w:tc>
        <w:tc>
          <w:tcPr>
            <w:tcW w:type="dxa" w:w="3400"/>
            <w:tcW w:w="3400" w:type="dxa"/>
            <w:vAlign w:val="center"/>
          </w:tcPr>
          <w:p>
            <w:r>
              <w:rPr>
                <w:rFonts w:ascii="Calibri" w:hAnsi="Calibri"/>
                <w:b w:val="0"/>
                <w:i w:val="0"/>
                <w:color w:val="000000"/>
                <w:sz w:val="18"/>
              </w:rPr>
              <w:t>src/eda.py</w:t>
            </w:r>
          </w:p>
        </w:tc>
        <w:tc>
          <w:tcPr>
            <w:tcW w:type="dxa" w:w="4060"/>
            <w:tcW w:w="4060" w:type="dxa"/>
            <w:vAlign w:val="center"/>
          </w:tcPr>
          <w:p>
            <w:r>
              <w:rPr>
                <w:rFonts w:ascii="Calibri" w:hAnsi="Calibri"/>
                <w:b w:val="0"/>
                <w:i w:val="0"/>
                <w:color w:val="000000"/>
                <w:sz w:val="18"/>
              </w:rPr>
              <w:t>Genera controles, CSV de resumen y cuatro figuras</w:t>
            </w:r>
          </w:p>
        </w:tc>
      </w:tr>
      <w:tr>
        <w:tc>
          <w:tcPr>
            <w:tcW w:type="dxa" w:w="1900"/>
            <w:tcW w:w="1900" w:type="dxa"/>
            <w:vAlign w:val="center"/>
          </w:tcPr>
          <w:p>
            <w:r>
              <w:rPr>
                <w:rFonts w:ascii="Calibri" w:hAnsi="Calibri"/>
                <w:b w:val="0"/>
                <w:i w:val="0"/>
                <w:color w:val="000000"/>
                <w:sz w:val="18"/>
              </w:rPr>
              <w:t>Salidas tabulares</w:t>
            </w:r>
          </w:p>
        </w:tc>
        <w:tc>
          <w:tcPr>
            <w:tcW w:type="dxa" w:w="3400"/>
            <w:tcW w:w="3400" w:type="dxa"/>
            <w:vAlign w:val="center"/>
          </w:tcPr>
          <w:p>
            <w:r>
              <w:rPr>
                <w:rFonts w:ascii="Calibri" w:hAnsi="Calibri"/>
                <w:b w:val="0"/>
                <w:i w:val="0"/>
                <w:color w:val="000000"/>
                <w:sz w:val="18"/>
              </w:rPr>
              <w:t>outputs/*.csv y eda_summary.json</w:t>
            </w:r>
          </w:p>
        </w:tc>
        <w:tc>
          <w:tcPr>
            <w:tcW w:type="dxa" w:w="4060"/>
            <w:tcW w:w="4060" w:type="dxa"/>
            <w:vAlign w:val="center"/>
          </w:tcPr>
          <w:p>
            <w:r>
              <w:rPr>
                <w:rFonts w:ascii="Calibri" w:hAnsi="Calibri"/>
                <w:b w:val="0"/>
                <w:i w:val="0"/>
                <w:color w:val="000000"/>
                <w:sz w:val="18"/>
              </w:rPr>
              <w:t>Calidad, descriptivos y correlaciones</w:t>
            </w:r>
          </w:p>
        </w:tc>
      </w:tr>
      <w:tr>
        <w:tc>
          <w:tcPr>
            <w:tcW w:type="dxa" w:w="1900"/>
            <w:tcW w:w="1900" w:type="dxa"/>
            <w:vAlign w:val="center"/>
          </w:tcPr>
          <w:p>
            <w:r>
              <w:rPr>
                <w:rFonts w:ascii="Calibri" w:hAnsi="Calibri"/>
                <w:b w:val="0"/>
                <w:i w:val="0"/>
                <w:color w:val="000000"/>
                <w:sz w:val="18"/>
              </w:rPr>
              <w:t>Visualizaciones</w:t>
            </w:r>
          </w:p>
        </w:tc>
        <w:tc>
          <w:tcPr>
            <w:tcW w:type="dxa" w:w="3400"/>
            <w:tcW w:w="3400" w:type="dxa"/>
            <w:vAlign w:val="center"/>
          </w:tcPr>
          <w:p>
            <w:r>
              <w:rPr>
                <w:rFonts w:ascii="Calibri" w:hAnsi="Calibri"/>
                <w:b w:val="0"/>
                <w:i w:val="0"/>
                <w:color w:val="000000"/>
                <w:sz w:val="18"/>
              </w:rPr>
              <w:t>outputs/figures/*.png</w:t>
            </w:r>
          </w:p>
        </w:tc>
        <w:tc>
          <w:tcPr>
            <w:tcW w:type="dxa" w:w="4060"/>
            <w:tcW w:w="4060" w:type="dxa"/>
            <w:vAlign w:val="center"/>
          </w:tcPr>
          <w:p>
            <w:r>
              <w:rPr>
                <w:rFonts w:ascii="Calibri" w:hAnsi="Calibri"/>
                <w:b w:val="0"/>
                <w:i w:val="0"/>
                <w:color w:val="000000"/>
                <w:sz w:val="18"/>
              </w:rPr>
              <w:t>Distribuciones, correlaciones y comparaciones</w:t>
            </w:r>
          </w:p>
        </w:tc>
      </w:tr>
      <w:tr>
        <w:tc>
          <w:tcPr>
            <w:tcW w:type="dxa" w:w="1900"/>
            <w:tcW w:w="1900" w:type="dxa"/>
            <w:vAlign w:val="center"/>
          </w:tcPr>
          <w:p>
            <w:r>
              <w:rPr>
                <w:rFonts w:ascii="Calibri" w:hAnsi="Calibri"/>
                <w:b w:val="0"/>
                <w:i w:val="0"/>
                <w:color w:val="000000"/>
                <w:sz w:val="18"/>
              </w:rPr>
              <w:t>Plan y exposición</w:t>
            </w:r>
          </w:p>
        </w:tc>
        <w:tc>
          <w:tcPr>
            <w:tcW w:type="dxa" w:w="3400"/>
            <w:tcW w:w="3400" w:type="dxa"/>
            <w:vAlign w:val="center"/>
          </w:tcPr>
          <w:p>
            <w:r>
              <w:rPr>
                <w:rFonts w:ascii="Calibri" w:hAnsi="Calibri"/>
                <w:b w:val="0"/>
                <w:i w:val="0"/>
                <w:color w:val="000000"/>
                <w:sz w:val="18"/>
              </w:rPr>
              <w:t>reports/*.md</w:t>
            </w:r>
          </w:p>
        </w:tc>
        <w:tc>
          <w:tcPr>
            <w:tcW w:type="dxa" w:w="4060"/>
            <w:tcW w:w="4060" w:type="dxa"/>
            <w:vAlign w:val="center"/>
          </w:tcPr>
          <w:p>
            <w:r>
              <w:rPr>
                <w:rFonts w:ascii="Calibri" w:hAnsi="Calibri"/>
                <w:b w:val="0"/>
                <w:i w:val="0"/>
                <w:color w:val="000000"/>
                <w:sz w:val="18"/>
              </w:rPr>
              <w:t>Plan algorítmico y speech de cinco minutos</w:t>
            </w:r>
          </w:p>
        </w:tc>
      </w:tr>
    </w:tbl>
    <w:p>
      <w:pPr>
        <w:spacing w:after="20"/>
      </w:pPr>
    </w:p>
    <w:p>
      <w:pPr>
        <w:spacing w:after="160" w:line="320" w:lineRule="auto"/>
      </w:pPr>
      <w:r>
        <w:rPr>
          <w:rFonts w:ascii="Calibri" w:hAnsi="Calibri"/>
          <w:b w:val="0"/>
          <w:i w:val="0"/>
          <w:color w:val="000000"/>
          <w:sz w:val="22"/>
        </w:rPr>
        <w:t>Comando mínimo de reproducción: instalar requirements.txt y ejecutar python src/eda.py desde la raíz del repositorio. La ejecución debe terminar sin errores y regenerar los archivos de outputs. Antes de T3, el equipo deberá añadir pruebas automáticas para verificar dimensiones, ausencia de fuga entre X e y y relación determinística entre daño y colapso.</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i w:val="0"/>
        <w:color w:val="666666"/>
        <w:sz w:val="18"/>
      </w:rPr>
      <w:t>Aplicaciones de IA en Estructuras | Grupo 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val="0"/>
      <w:color w:val="1F4D7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