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77777777"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1.2</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7A84523F" w14:textId="77777777" w:rsidR="00854790" w:rsidRDefault="00854790"/>
    <w:p w14:paraId="4154279C" w14:textId="77777777" w:rsidR="00854790" w:rsidRDefault="00854790"/>
    <w:p w14:paraId="548054BA" w14:textId="77777777" w:rsidR="00854790" w:rsidRDefault="00854790"/>
    <w:p w14:paraId="5A3F413B" w14:textId="77777777" w:rsidR="00854790" w:rsidRDefault="00854790"/>
    <w:p w14:paraId="47B65038" w14:textId="77777777" w:rsidR="00854790" w:rsidRDefault="00854790"/>
    <w:p w14:paraId="383061BD" w14:textId="77777777" w:rsidR="00854790" w:rsidRDefault="00854790"/>
    <w:p w14:paraId="332270FE" w14:textId="77777777" w:rsidR="00854790" w:rsidRDefault="00854790"/>
    <w:p w14:paraId="4B55983D" w14:textId="77777777" w:rsidR="00854790" w:rsidRDefault="00854790"/>
    <w:p w14:paraId="2DBE3F71" w14:textId="77777777" w:rsidR="00854790" w:rsidRDefault="00854790"/>
    <w:p w14:paraId="76949F60" w14:textId="77777777" w:rsidR="00854790" w:rsidRDefault="00854790"/>
    <w:p w14:paraId="3EB31119" w14:textId="77777777" w:rsidR="00854790" w:rsidRDefault="00854790"/>
    <w:p w14:paraId="76A3C338" w14:textId="77777777" w:rsidR="00854790" w:rsidRDefault="00854790"/>
    <w:p w14:paraId="03854511" w14:textId="77777777" w:rsidR="00854790" w:rsidRDefault="00854790"/>
    <w:p w14:paraId="2AB74B42" w14:textId="77777777" w:rsidR="00854790" w:rsidRDefault="00854790"/>
    <w:p w14:paraId="54CEF1A6" w14:textId="77777777" w:rsidR="00854790" w:rsidRDefault="00854790"/>
    <w:p w14:paraId="221962DF" w14:textId="77777777" w:rsidR="00854790" w:rsidRDefault="00854790"/>
    <w:p w14:paraId="42F2B843" w14:textId="77777777" w:rsidR="00854790" w:rsidRDefault="00854790"/>
    <w:p w14:paraId="7493C578" w14:textId="77777777" w:rsidR="00854790" w:rsidRDefault="00854790"/>
    <w:p w14:paraId="640B7258" w14:textId="77777777" w:rsidR="00854790" w:rsidRDefault="00854790"/>
    <w:p w14:paraId="262E8D96" w14:textId="77777777"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77777777"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21A30232" w14:textId="77777777" w:rsidR="00854790" w:rsidRPr="00DE203A" w:rsidRDefault="00854790" w:rsidP="00A52711">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Formato y primera redacción</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1EA19194" w:rsidR="004557E3" w:rsidRPr="00DE203A" w:rsidRDefault="004557E3"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Cambios de acuerdo a lo mencionado  en clase</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bl>
    <w:p w14:paraId="79EB64C9" w14:textId="637610A8"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Pr="00F14FB1" w:rsidRDefault="00F14FB1" w:rsidP="00F14FB1">
          <w:pPr>
            <w:pStyle w:val="Prrafodelista"/>
            <w:numPr>
              <w:ilvl w:val="2"/>
              <w:numId w:val="1"/>
            </w:numPr>
            <w:rPr>
              <w:lang w:val="es-ES"/>
            </w:rPr>
          </w:pPr>
          <w:r>
            <w:rPr>
              <w:lang w:val="es-ES"/>
            </w:rPr>
            <w:t>Lista de Ítems con la nomenclatura.</w:t>
          </w:r>
        </w:p>
        <w:p w14:paraId="62CFA15A" w14:textId="77777777" w:rsidR="00854790" w:rsidRPr="00854790" w:rsidRDefault="00854790" w:rsidP="00854790">
          <w:pPr>
            <w:rPr>
              <w:lang w:val="es-ES"/>
            </w:rPr>
          </w:pPr>
        </w:p>
        <w:p w14:paraId="526DE2BF" w14:textId="77777777" w:rsidR="00854790" w:rsidRDefault="00B43047"/>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t>El Plan de configuración se basara en los siguientes puntos:</w:t>
      </w:r>
    </w:p>
    <w:p w14:paraId="072AB577"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E83D00">
      <w:pPr>
        <w:numPr>
          <w:ilvl w:val="0"/>
          <w:numId w:val="11"/>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E83D00">
      <w:pPr>
        <w:numPr>
          <w:ilvl w:val="0"/>
          <w:numId w:val="11"/>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927B43">
      <w:pPr>
        <w:numPr>
          <w:ilvl w:val="0"/>
          <w:numId w:val="11"/>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lastRenderedPageBreak/>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6CA9D995" w:rsidR="009E4F1F" w:rsidRDefault="009E4F1F" w:rsidP="009E4F1F">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w:t>
      </w: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Pr="00F92EB3" w:rsidRDefault="00F92EB3" w:rsidP="00F92EB3">
      <w:pPr>
        <w:pStyle w:val="Prrafodelista"/>
        <w:ind w:left="1068"/>
        <w:rPr>
          <w:rFonts w:ascii="Arial" w:eastAsia="Times New Roman" w:hAnsi="Arial" w:cs="Arial"/>
          <w:b/>
          <w:sz w:val="21"/>
          <w:szCs w:val="21"/>
          <w:lang w:val="es-ES"/>
        </w:rPr>
      </w:pPr>
    </w:p>
    <w:p w14:paraId="493F74ED" w14:textId="77777777" w:rsidR="00E83D00" w:rsidRPr="002A6EC7" w:rsidRDefault="00E83D00" w:rsidP="00E83D00">
      <w:pPr>
        <w:ind w:left="708"/>
        <w:jc w:val="both"/>
        <w:rPr>
          <w:rFonts w:ascii="Arial" w:eastAsia="Times New Roman" w:hAnsi="Arial" w:cs="Arial"/>
          <w:sz w:val="21"/>
          <w:szCs w:val="21"/>
          <w:lang w:val="es-ES"/>
        </w:rPr>
      </w:pPr>
      <w:r w:rsidRPr="002A6EC7">
        <w:rPr>
          <w:rFonts w:ascii="Arial" w:eastAsia="Times New Roman" w:hAnsi="Arial" w:cs="Arial"/>
          <w:sz w:val="21"/>
          <w:szCs w:val="21"/>
          <w:lang w:val="es-ES"/>
        </w:rPr>
        <w:t xml:space="preserve">Para el desarrollo de este proyecto el equipo de desarrollo sigue el marco de trabajo </w:t>
      </w:r>
      <w:r w:rsidR="00F92EB3" w:rsidRPr="002A6EC7">
        <w:rPr>
          <w:rFonts w:ascii="Arial" w:eastAsia="Times New Roman" w:hAnsi="Arial" w:cs="Arial"/>
          <w:sz w:val="21"/>
          <w:szCs w:val="21"/>
          <w:lang w:val="es-ES"/>
        </w:rPr>
        <w:t>RUP,</w:t>
      </w:r>
      <w:r w:rsidRPr="002A6EC7">
        <w:rPr>
          <w:rFonts w:ascii="Arial" w:eastAsia="Times New Roman" w:hAnsi="Arial" w:cs="Arial"/>
          <w:sz w:val="21"/>
          <w:szCs w:val="21"/>
          <w:lang w:val="es-ES"/>
        </w:rPr>
        <w:t xml:space="preserve"> trabajando así en </w:t>
      </w:r>
      <w:r w:rsidR="00F92EB3" w:rsidRPr="002A6EC7">
        <w:rPr>
          <w:rFonts w:ascii="Arial" w:eastAsia="Times New Roman" w:hAnsi="Arial" w:cs="Arial"/>
          <w:sz w:val="21"/>
          <w:szCs w:val="21"/>
          <w:lang w:val="es-ES"/>
        </w:rPr>
        <w:t>iteraciones, en</w:t>
      </w:r>
      <w:r w:rsidRPr="002A6EC7">
        <w:rPr>
          <w:rFonts w:ascii="Arial" w:eastAsia="Times New Roman" w:hAnsi="Arial" w:cs="Arial"/>
          <w:sz w:val="21"/>
          <w:szCs w:val="21"/>
          <w:lang w:val="es-ES"/>
        </w:rPr>
        <w:t xml:space="preserve"> el cual se produce o actualiza artefactos y a través del tiempo afrontando las fases de desarrollo.</w:t>
      </w:r>
    </w:p>
    <w:p w14:paraId="22758310" w14:textId="77777777" w:rsidR="00E83D00" w:rsidRPr="002A6EC7" w:rsidRDefault="00E83D00" w:rsidP="00E83D00">
      <w:pPr>
        <w:pStyle w:val="Prrafodelista"/>
        <w:jc w:val="both"/>
        <w:rPr>
          <w:rFonts w:ascii="Arial" w:eastAsia="Times New Roman" w:hAnsi="Arial" w:cs="Arial"/>
          <w:sz w:val="21"/>
          <w:szCs w:val="21"/>
          <w:lang w:val="es-ES"/>
        </w:rPr>
      </w:pPr>
      <w:r w:rsidRPr="002A6EC7">
        <w:rPr>
          <w:rFonts w:ascii="Arial" w:eastAsia="Times New Roman" w:hAnsi="Arial" w:cs="Arial"/>
          <w:sz w:val="21"/>
          <w:szCs w:val="21"/>
          <w:lang w:val="es-ES"/>
        </w:rPr>
        <w:t>En los futuros trabajos se ejecutara actividades de gestión de configuración colaborando con las actividades de desarrollo, las actividades de gestión de configuración servirán de soporte al desarrollo.</w:t>
      </w:r>
    </w:p>
    <w:p w14:paraId="1131C3EC" w14:textId="77777777" w:rsidR="00E83D00" w:rsidRPr="002A6EC7" w:rsidRDefault="00E83D00"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Comité de control de cambios</w:t>
            </w:r>
          </w:p>
        </w:tc>
        <w:tc>
          <w:tcPr>
            <w:tcW w:w="6094" w:type="dxa"/>
          </w:tcPr>
          <w:p w14:paraId="60535872" w14:textId="77777777"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14:paraId="31065459" w14:textId="77777777"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77777777" w:rsidR="002A6EC7" w:rsidRPr="002A6EC7" w:rsidRDefault="002A6EC7" w:rsidP="00E83D00">
      <w:pPr>
        <w:pStyle w:val="Prrafodelista"/>
        <w:ind w:left="1068"/>
        <w:rPr>
          <w:rFonts w:ascii="Arial" w:eastAsia="Times New Roman" w:hAnsi="Arial" w:cs="Arial"/>
          <w:sz w:val="21"/>
          <w:szCs w:val="21"/>
          <w:lang w:val="es-ES"/>
        </w:rPr>
      </w:pPr>
    </w:p>
    <w:p w14:paraId="34A4097D" w14:textId="77777777"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14:paraId="140CDC0D" w14:textId="77777777" w:rsidR="002A6EC7" w:rsidRPr="002A6EC7" w:rsidRDefault="002A6EC7" w:rsidP="002A6EC7">
      <w:pPr>
        <w:pStyle w:val="Prrafodelista"/>
        <w:ind w:left="1068"/>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P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4E87E219" w14:textId="77777777"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14:paraId="4DF9C893"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7BAFDF8A"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251FB4EF" w14:textId="77777777" w:rsidR="002A6EC7" w:rsidRDefault="002A6EC7" w:rsidP="002A6EC7">
      <w:pPr>
        <w:pStyle w:val="Prrafodelista"/>
        <w:ind w:left="1068"/>
        <w:rPr>
          <w:rFonts w:ascii="Arial" w:eastAsia="Times New Roman" w:hAnsi="Arial" w:cs="Arial"/>
          <w:sz w:val="21"/>
          <w:szCs w:val="21"/>
          <w:lang w:val="es-ES"/>
        </w:rPr>
      </w:pPr>
    </w:p>
    <w:p w14:paraId="4C6CFBC8" w14:textId="77777777" w:rsidR="00F92EB3" w:rsidRDefault="00F92EB3" w:rsidP="002A6EC7">
      <w:pPr>
        <w:pStyle w:val="Prrafodelista"/>
        <w:ind w:left="1068"/>
        <w:rPr>
          <w:rFonts w:ascii="Arial" w:eastAsia="Times New Roman" w:hAnsi="Arial" w:cs="Arial"/>
          <w:sz w:val="21"/>
          <w:szCs w:val="21"/>
          <w:lang w:val="es-ES"/>
        </w:rPr>
      </w:pPr>
    </w:p>
    <w:p w14:paraId="0C040206" w14:textId="77777777" w:rsidR="00F92EB3" w:rsidRDefault="00F92EB3" w:rsidP="002A6EC7">
      <w:pPr>
        <w:pStyle w:val="Prrafodelista"/>
        <w:ind w:left="1068"/>
        <w:rPr>
          <w:rFonts w:ascii="Arial" w:eastAsia="Times New Roman" w:hAnsi="Arial" w:cs="Arial"/>
          <w:sz w:val="21"/>
          <w:szCs w:val="21"/>
          <w:lang w:val="es-ES"/>
        </w:rPr>
      </w:pPr>
    </w:p>
    <w:p w14:paraId="10CE55E8" w14:textId="77777777" w:rsidR="00E15844" w:rsidRDefault="00E15844" w:rsidP="002A6EC7">
      <w:pPr>
        <w:pStyle w:val="Prrafodelista"/>
        <w:ind w:left="1068"/>
        <w:rPr>
          <w:rFonts w:ascii="Arial" w:eastAsia="Times New Roman" w:hAnsi="Arial" w:cs="Arial"/>
          <w:sz w:val="21"/>
          <w:szCs w:val="21"/>
          <w:lang w:val="es-ES"/>
        </w:rPr>
      </w:pPr>
    </w:p>
    <w:p w14:paraId="56C261D2" w14:textId="77777777" w:rsidR="00E15844" w:rsidRDefault="00E15844" w:rsidP="002A6EC7">
      <w:pPr>
        <w:pStyle w:val="Prrafodelista"/>
        <w:ind w:left="1068"/>
        <w:rPr>
          <w:rFonts w:ascii="Arial" w:eastAsia="Times New Roman" w:hAnsi="Arial" w:cs="Arial"/>
          <w:sz w:val="21"/>
          <w:szCs w:val="21"/>
          <w:lang w:val="es-ES"/>
        </w:rPr>
      </w:pPr>
    </w:p>
    <w:p w14:paraId="7A2FAC7F" w14:textId="77777777" w:rsidR="00E15844" w:rsidRDefault="00E15844" w:rsidP="002A6EC7">
      <w:pPr>
        <w:pStyle w:val="Prrafodelista"/>
        <w:ind w:left="1068"/>
        <w:rPr>
          <w:rFonts w:ascii="Arial" w:eastAsia="Times New Roman" w:hAnsi="Arial" w:cs="Arial"/>
          <w:sz w:val="21"/>
          <w:szCs w:val="21"/>
          <w:lang w:val="es-ES"/>
        </w:rPr>
      </w:pPr>
    </w:p>
    <w:p w14:paraId="11F983F8" w14:textId="77777777" w:rsidR="00E15844" w:rsidRDefault="00E15844" w:rsidP="002A6EC7">
      <w:pPr>
        <w:pStyle w:val="Prrafodelista"/>
        <w:ind w:left="1068"/>
        <w:rPr>
          <w:rFonts w:ascii="Arial" w:eastAsia="Times New Roman" w:hAnsi="Arial" w:cs="Arial"/>
          <w:sz w:val="21"/>
          <w:szCs w:val="21"/>
          <w:lang w:val="es-ES"/>
        </w:rPr>
      </w:pPr>
    </w:p>
    <w:p w14:paraId="2C487013" w14:textId="77777777" w:rsidR="00E15844" w:rsidRDefault="00E15844" w:rsidP="002A6EC7">
      <w:pPr>
        <w:pStyle w:val="Prrafodelista"/>
        <w:ind w:left="1068"/>
        <w:rPr>
          <w:rFonts w:ascii="Arial" w:eastAsia="Times New Roman" w:hAnsi="Arial" w:cs="Arial"/>
          <w:sz w:val="21"/>
          <w:szCs w:val="21"/>
          <w:lang w:val="es-ES"/>
        </w:rPr>
      </w:pPr>
    </w:p>
    <w:p w14:paraId="72005E78" w14:textId="77777777" w:rsidR="00E15844" w:rsidRDefault="00E15844" w:rsidP="002A6EC7">
      <w:pPr>
        <w:pStyle w:val="Prrafodelista"/>
        <w:ind w:left="1068"/>
        <w:rPr>
          <w:rFonts w:ascii="Arial" w:eastAsia="Times New Roman" w:hAnsi="Arial" w:cs="Arial"/>
          <w:sz w:val="21"/>
          <w:szCs w:val="21"/>
          <w:lang w:val="es-ES"/>
        </w:rPr>
      </w:pPr>
    </w:p>
    <w:p w14:paraId="13350C12" w14:textId="77777777" w:rsidR="00E15844" w:rsidRDefault="00E15844" w:rsidP="002A6EC7">
      <w:pPr>
        <w:pStyle w:val="Prrafodelista"/>
        <w:ind w:left="1068"/>
        <w:rPr>
          <w:rFonts w:ascii="Arial" w:eastAsia="Times New Roman" w:hAnsi="Arial" w:cs="Arial"/>
          <w:sz w:val="21"/>
          <w:szCs w:val="21"/>
          <w:lang w:val="es-ES"/>
        </w:rPr>
      </w:pPr>
    </w:p>
    <w:p w14:paraId="751CC65C" w14:textId="77777777" w:rsidR="00E15844" w:rsidRDefault="00E15844" w:rsidP="002A6EC7">
      <w:pPr>
        <w:pStyle w:val="Prrafodelista"/>
        <w:ind w:left="1068"/>
        <w:rPr>
          <w:rFonts w:ascii="Arial" w:eastAsia="Times New Roman" w:hAnsi="Arial" w:cs="Arial"/>
          <w:sz w:val="21"/>
          <w:szCs w:val="21"/>
          <w:lang w:val="es-ES"/>
        </w:rPr>
      </w:pPr>
    </w:p>
    <w:p w14:paraId="6BF29D9F" w14:textId="77777777" w:rsidR="00E15844" w:rsidRDefault="00E15844" w:rsidP="002A6EC7">
      <w:pPr>
        <w:pStyle w:val="Prrafodelista"/>
        <w:ind w:left="1068"/>
        <w:rPr>
          <w:rFonts w:ascii="Arial" w:eastAsia="Times New Roman" w:hAnsi="Arial" w:cs="Arial"/>
          <w:sz w:val="21"/>
          <w:szCs w:val="21"/>
          <w:lang w:val="es-ES"/>
        </w:rPr>
      </w:pPr>
    </w:p>
    <w:p w14:paraId="5595D3AC" w14:textId="77777777" w:rsidR="00E15844" w:rsidRDefault="00E15844" w:rsidP="002A6EC7">
      <w:pPr>
        <w:pStyle w:val="Prrafodelista"/>
        <w:ind w:left="1068"/>
        <w:rPr>
          <w:rFonts w:ascii="Arial" w:eastAsia="Times New Roman" w:hAnsi="Arial" w:cs="Arial"/>
          <w:sz w:val="21"/>
          <w:szCs w:val="21"/>
          <w:lang w:val="es-ES"/>
        </w:rPr>
      </w:pP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77777777" w:rsidR="00E15844" w:rsidRDefault="00E15844" w:rsidP="00E15844"/>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lastRenderedPageBreak/>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77777777" w:rsidR="004225E9" w:rsidRDefault="004225E9"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5523163C" w14:textId="77777777" w:rsidR="00E15844" w:rsidRDefault="00E15844" w:rsidP="00E15844">
      <w:pPr>
        <w:pStyle w:val="Prrafodelista"/>
        <w:numPr>
          <w:ilvl w:val="2"/>
          <w:numId w:val="2"/>
        </w:numPr>
      </w:pPr>
      <w:r>
        <w:t xml:space="preserve"> 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t xml:space="preserve"> Lista de Ítems  con la nomenclatura</w:t>
      </w:r>
    </w:p>
    <w:p w14:paraId="5886AE5F" w14:textId="77777777" w:rsidR="00A52711" w:rsidRDefault="00A52711" w:rsidP="008051B6"/>
    <w:p w14:paraId="41DC4D1A" w14:textId="77777777" w:rsidR="00E15844" w:rsidRDefault="00E15844" w:rsidP="00A52711">
      <w:pPr>
        <w:ind w:left="1056"/>
      </w:pPr>
      <w:r>
        <w:lastRenderedPageBreak/>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29B56744" w:rsidR="008051B6" w:rsidRDefault="004F311C" w:rsidP="004F311C">
            <w:pPr>
              <w:pStyle w:val="normal0"/>
              <w:tabs>
                <w:tab w:val="left" w:pos="-850"/>
                <w:tab w:val="center" w:pos="1160"/>
              </w:tabs>
            </w:pPr>
            <w:r>
              <w:rPr>
                <w:rFonts w:ascii="Arial" w:eastAsia="Arial" w:hAnsi="Arial" w:cs="Arial"/>
                <w:sz w:val="21"/>
                <w:szCs w:val="21"/>
              </w:rPr>
              <w:t>MC_PGC</w:t>
            </w:r>
          </w:p>
        </w:tc>
        <w:tc>
          <w:tcPr>
            <w:tcW w:w="5405" w:type="dxa"/>
            <w:shd w:val="clear" w:color="auto" w:fill="A8D08D" w:themeFill="accent6" w:themeFillTint="99"/>
          </w:tcPr>
          <w:p w14:paraId="45A45030" w14:textId="34A6180B"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 xml:space="preserve">ón del sistema de Mercurio </w:t>
            </w:r>
            <w:proofErr w:type="spellStart"/>
            <w:r w:rsidR="004F311C">
              <w:rPr>
                <w:rFonts w:ascii="Calibri" w:eastAsia="Calibri" w:hAnsi="Calibri" w:cs="Calibri"/>
              </w:rPr>
              <w:t>Consulting</w:t>
            </w:r>
            <w:proofErr w:type="spellEnd"/>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bookmarkStart w:id="5" w:name="_GoBack"/>
        <w:bookmarkEnd w:id="5"/>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77777777" w:rsidR="00F92EB3" w:rsidRPr="00A52711" w:rsidRDefault="00F92EB3" w:rsidP="008051B6"/>
    <w:sectPr w:rsidR="00F92EB3" w:rsidRPr="00A52711">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4F311C" w:rsidRDefault="004F311C" w:rsidP="00854790">
      <w:r>
        <w:separator/>
      </w:r>
    </w:p>
  </w:endnote>
  <w:endnote w:type="continuationSeparator" w:id="0">
    <w:p w14:paraId="61A9DA10" w14:textId="77777777" w:rsidR="004F311C" w:rsidRDefault="004F311C"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egoe UI Symbol">
    <w:altName w:val="Athelas Italic"/>
    <w:charset w:val="00"/>
    <w:family w:val="swiss"/>
    <w:pitch w:val="variable"/>
    <w:sig w:usb0="800001E3" w:usb1="1200FFEF" w:usb2="0064C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4F311C" w:rsidRDefault="004F311C"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F778C4">
      <w:rPr>
        <w:noProof/>
        <w:color w:val="323E4F" w:themeColor="text2" w:themeShade="BF"/>
      </w:rPr>
      <w:t>9</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F778C4">
      <w:rPr>
        <w:noProof/>
        <w:color w:val="323E4F" w:themeColor="text2" w:themeShade="BF"/>
      </w:rPr>
      <w:t>9</w:t>
    </w:r>
    <w:r>
      <w:rPr>
        <w:color w:val="323E4F" w:themeColor="text2" w:themeShade="BF"/>
      </w:rPr>
      <w:fldChar w:fldCharType="end"/>
    </w:r>
  </w:p>
  <w:p w14:paraId="5E5B1A81" w14:textId="77777777" w:rsidR="004F311C" w:rsidRDefault="004F311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4F311C" w:rsidRDefault="004F311C" w:rsidP="00854790">
      <w:r>
        <w:separator/>
      </w:r>
    </w:p>
  </w:footnote>
  <w:footnote w:type="continuationSeparator" w:id="0">
    <w:p w14:paraId="6652BDA1" w14:textId="77777777" w:rsidR="004F311C" w:rsidRDefault="004F311C"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4F311C" w:rsidRDefault="004F311C">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66ABD"/>
    <w:multiLevelType w:val="multilevel"/>
    <w:tmpl w:val="69AC83A0"/>
    <w:lvl w:ilvl="0">
      <w:start w:val="1"/>
      <w:numFmt w:val="bullet"/>
      <w:lvlText w:val="●"/>
      <w:lvlJc w:val="left"/>
      <w:pPr>
        <w:ind w:left="1353" w:firstLine="2346"/>
      </w:pPr>
      <w:rPr>
        <w:rFonts w:ascii="Arial" w:eastAsia="Arial" w:hAnsi="Arial" w:cs="Arial"/>
        <w:vertAlign w:val="baseline"/>
      </w:rPr>
    </w:lvl>
    <w:lvl w:ilvl="1">
      <w:start w:val="1"/>
      <w:numFmt w:val="bullet"/>
      <w:lvlText w:val="o"/>
      <w:lvlJc w:val="left"/>
      <w:pPr>
        <w:ind w:left="2073" w:firstLine="3786"/>
      </w:pPr>
      <w:rPr>
        <w:rFonts w:ascii="Arial" w:eastAsia="Arial" w:hAnsi="Arial" w:cs="Arial"/>
        <w:vertAlign w:val="baseline"/>
      </w:rPr>
    </w:lvl>
    <w:lvl w:ilvl="2">
      <w:start w:val="1"/>
      <w:numFmt w:val="bullet"/>
      <w:lvlText w:val="▪"/>
      <w:lvlJc w:val="left"/>
      <w:pPr>
        <w:ind w:left="2793" w:firstLine="5226"/>
      </w:pPr>
      <w:rPr>
        <w:rFonts w:ascii="Arial" w:eastAsia="Arial" w:hAnsi="Arial" w:cs="Arial"/>
        <w:vertAlign w:val="baseline"/>
      </w:rPr>
    </w:lvl>
    <w:lvl w:ilvl="3">
      <w:start w:val="1"/>
      <w:numFmt w:val="bullet"/>
      <w:lvlText w:val="●"/>
      <w:lvlJc w:val="left"/>
      <w:pPr>
        <w:ind w:left="3513" w:firstLine="6666"/>
      </w:pPr>
      <w:rPr>
        <w:rFonts w:ascii="Arial" w:eastAsia="Arial" w:hAnsi="Arial" w:cs="Arial"/>
        <w:vertAlign w:val="baseline"/>
      </w:rPr>
    </w:lvl>
    <w:lvl w:ilvl="4">
      <w:start w:val="1"/>
      <w:numFmt w:val="bullet"/>
      <w:lvlText w:val="o"/>
      <w:lvlJc w:val="left"/>
      <w:pPr>
        <w:ind w:left="4233" w:firstLine="8106"/>
      </w:pPr>
      <w:rPr>
        <w:rFonts w:ascii="Arial" w:eastAsia="Arial" w:hAnsi="Arial" w:cs="Arial"/>
        <w:vertAlign w:val="baseline"/>
      </w:rPr>
    </w:lvl>
    <w:lvl w:ilvl="5">
      <w:start w:val="1"/>
      <w:numFmt w:val="bullet"/>
      <w:lvlText w:val="▪"/>
      <w:lvlJc w:val="left"/>
      <w:pPr>
        <w:ind w:left="4953" w:firstLine="9546"/>
      </w:pPr>
      <w:rPr>
        <w:rFonts w:ascii="Arial" w:eastAsia="Arial" w:hAnsi="Arial" w:cs="Arial"/>
        <w:vertAlign w:val="baseline"/>
      </w:rPr>
    </w:lvl>
    <w:lvl w:ilvl="6">
      <w:start w:val="1"/>
      <w:numFmt w:val="bullet"/>
      <w:lvlText w:val="●"/>
      <w:lvlJc w:val="left"/>
      <w:pPr>
        <w:ind w:left="5673" w:firstLine="10986"/>
      </w:pPr>
      <w:rPr>
        <w:rFonts w:ascii="Arial" w:eastAsia="Arial" w:hAnsi="Arial" w:cs="Arial"/>
        <w:vertAlign w:val="baseline"/>
      </w:rPr>
    </w:lvl>
    <w:lvl w:ilvl="7">
      <w:start w:val="1"/>
      <w:numFmt w:val="bullet"/>
      <w:lvlText w:val="o"/>
      <w:lvlJc w:val="left"/>
      <w:pPr>
        <w:ind w:left="6393" w:firstLine="12426"/>
      </w:pPr>
      <w:rPr>
        <w:rFonts w:ascii="Arial" w:eastAsia="Arial" w:hAnsi="Arial" w:cs="Arial"/>
        <w:vertAlign w:val="baseline"/>
      </w:rPr>
    </w:lvl>
    <w:lvl w:ilvl="8">
      <w:start w:val="1"/>
      <w:numFmt w:val="bullet"/>
      <w:lvlText w:val="▪"/>
      <w:lvlJc w:val="left"/>
      <w:pPr>
        <w:ind w:left="7113" w:firstLine="13866"/>
      </w:pPr>
      <w:rPr>
        <w:rFonts w:ascii="Arial" w:eastAsia="Arial" w:hAnsi="Arial" w:cs="Arial"/>
        <w:vertAlign w:val="baseline"/>
      </w:rPr>
    </w:lvl>
  </w:abstractNum>
  <w:abstractNum w:abstractNumId="2">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31404"/>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6">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61A62A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74E09"/>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4B58BB"/>
    <w:multiLevelType w:val="hybridMultilevel"/>
    <w:tmpl w:val="76A66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178F3"/>
    <w:multiLevelType w:val="hybridMultilevel"/>
    <w:tmpl w:val="31FA9DA6"/>
    <w:lvl w:ilvl="0" w:tplc="BBA057C2">
      <w:start w:val="3"/>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676E0"/>
    <w:multiLevelType w:val="hybridMultilevel"/>
    <w:tmpl w:val="775CA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EA5F4A"/>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71C97B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2"/>
  </w:num>
  <w:num w:numId="2">
    <w:abstractNumId w:val="25"/>
  </w:num>
  <w:num w:numId="3">
    <w:abstractNumId w:val="11"/>
  </w:num>
  <w:num w:numId="4">
    <w:abstractNumId w:val="13"/>
    <w:lvlOverride w:ilvl="1">
      <w:lvl w:ilvl="1">
        <w:numFmt w:val="decimal"/>
        <w:lvlText w:val="%2."/>
        <w:lvlJc w:val="left"/>
      </w:lvl>
    </w:lvlOverride>
  </w:num>
  <w:num w:numId="5">
    <w:abstractNumId w:val="14"/>
    <w:lvlOverride w:ilvl="1">
      <w:lvl w:ilvl="1">
        <w:numFmt w:val="decimal"/>
        <w:lvlText w:val="%2."/>
        <w:lvlJc w:val="left"/>
      </w:lvl>
    </w:lvlOverride>
  </w:num>
  <w:num w:numId="6">
    <w:abstractNumId w:val="21"/>
    <w:lvlOverride w:ilvl="2">
      <w:lvl w:ilvl="2">
        <w:numFmt w:val="bullet"/>
        <w:lvlText w:val=""/>
        <w:lvlJc w:val="left"/>
        <w:pPr>
          <w:tabs>
            <w:tab w:val="num" w:pos="2160"/>
          </w:tabs>
          <w:ind w:left="2160" w:hanging="360"/>
        </w:pPr>
        <w:rPr>
          <w:rFonts w:ascii="Symbol" w:hAnsi="Symbol" w:hint="default"/>
          <w:sz w:val="20"/>
        </w:rPr>
      </w:lvl>
    </w:lvlOverride>
  </w:num>
  <w:num w:numId="7">
    <w:abstractNumId w:val="22"/>
    <w:lvlOverride w:ilvl="1">
      <w:lvl w:ilvl="1">
        <w:numFmt w:val="decimal"/>
        <w:lvlText w:val="%2."/>
        <w:lvlJc w:val="left"/>
      </w:lvl>
    </w:lvlOverride>
  </w:num>
  <w:num w:numId="8">
    <w:abstractNumId w:val="17"/>
  </w:num>
  <w:num w:numId="9">
    <w:abstractNumId w:val="15"/>
    <w:lvlOverride w:ilvl="1">
      <w:lvl w:ilvl="1">
        <w:numFmt w:val="decimal"/>
        <w:lvlText w:val="%2."/>
        <w:lvlJc w:val="left"/>
      </w:lvl>
    </w:lvlOverride>
  </w:num>
  <w:num w:numId="10">
    <w:abstractNumId w:val="2"/>
  </w:num>
  <w:num w:numId="11">
    <w:abstractNumId w:val="7"/>
  </w:num>
  <w:num w:numId="12">
    <w:abstractNumId w:val="5"/>
  </w:num>
  <w:num w:numId="13">
    <w:abstractNumId w:val="9"/>
  </w:num>
  <w:num w:numId="14">
    <w:abstractNumId w:val="19"/>
  </w:num>
  <w:num w:numId="15">
    <w:abstractNumId w:val="4"/>
  </w:num>
  <w:num w:numId="16">
    <w:abstractNumId w:val="24"/>
  </w:num>
  <w:num w:numId="17">
    <w:abstractNumId w:val="0"/>
  </w:num>
  <w:num w:numId="18">
    <w:abstractNumId w:val="20"/>
  </w:num>
  <w:num w:numId="19">
    <w:abstractNumId w:val="16"/>
  </w:num>
  <w:num w:numId="20">
    <w:abstractNumId w:val="3"/>
  </w:num>
  <w:num w:numId="21">
    <w:abstractNumId w:val="23"/>
  </w:num>
  <w:num w:numId="22">
    <w:abstractNumId w:val="26"/>
  </w:num>
  <w:num w:numId="23">
    <w:abstractNumId w:val="8"/>
  </w:num>
  <w:num w:numId="24">
    <w:abstractNumId w:val="18"/>
  </w:num>
  <w:num w:numId="25">
    <w:abstractNumId w:val="10"/>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2A6EC7"/>
    <w:rsid w:val="004225E9"/>
    <w:rsid w:val="004557E3"/>
    <w:rsid w:val="004F311C"/>
    <w:rsid w:val="005D3C61"/>
    <w:rsid w:val="00667548"/>
    <w:rsid w:val="00706130"/>
    <w:rsid w:val="007E1638"/>
    <w:rsid w:val="008051B6"/>
    <w:rsid w:val="00854790"/>
    <w:rsid w:val="008E6FD1"/>
    <w:rsid w:val="00927B43"/>
    <w:rsid w:val="00952BC7"/>
    <w:rsid w:val="009E4F1F"/>
    <w:rsid w:val="009F281F"/>
    <w:rsid w:val="00A52711"/>
    <w:rsid w:val="00B43047"/>
    <w:rsid w:val="00B8640E"/>
    <w:rsid w:val="00C816D9"/>
    <w:rsid w:val="00CC01CF"/>
    <w:rsid w:val="00CE3EB9"/>
    <w:rsid w:val="00CF0765"/>
    <w:rsid w:val="00E15844"/>
    <w:rsid w:val="00E83D00"/>
    <w:rsid w:val="00F14FB1"/>
    <w:rsid w:val="00F778C4"/>
    <w:rsid w:val="00F92E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A005-AB55-F04C-8210-B99DE605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1596</Words>
  <Characters>8778</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11</cp:revision>
  <dcterms:created xsi:type="dcterms:W3CDTF">2016-09-16T06:30:00Z</dcterms:created>
  <dcterms:modified xsi:type="dcterms:W3CDTF">2016-10-29T17:42:00Z</dcterms:modified>
</cp:coreProperties>
</file>