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FAMILY-GRADE MULTIMODAL ANTI-FRAUD SYSTEM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B1F3A"/>
          <w:sz w:val="68"/>
        </w:rPr>
        <w:t>真信盾</w:t>
      </w:r>
    </w:p>
    <w:p>
      <w:pPr>
        <w:spacing w:after="320"/>
        <w:jc w:val="center"/>
      </w:pPr>
      <w:r>
        <w:rPr>
          <w:color w:val="1677FF"/>
          <w:sz w:val="32"/>
        </w:rPr>
        <w:t>家庭级多模态智能反诈与可信联系系统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73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1f1106d5ee48438fd6e1d596e200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736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677FF"/>
              </w:rPr>
              <w:t xml:space="preserve">项目定位  </w:t>
            </w:r>
            <w:r>
              <w:rPr>
                <w:color w:val="0B1F3A"/>
              </w:rPr>
              <w:t>在转账、泄密、点击可疑链接等高风险操作发生前，通过多模态风险识别、可解释证据和家庭协同干预，帮助用户停下来、看证据、找家人、再核验。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5E6B7A"/>
          <w:sz w:val="22"/>
        </w:rPr>
        <w:t>项目功能、技术架构、安全设计与实施边界综合说明</w:t>
      </w:r>
    </w:p>
    <w:p>
      <w:pPr>
        <w:jc w:val="center"/>
      </w:pPr>
      <w:r>
        <w:rPr>
          <w:color w:val="5E6B7A"/>
          <w:sz w:val="18"/>
        </w:rPr>
        <w:t>依据当前代码仓库整理  |  版本快照：2026年8月9日</w:t>
      </w:r>
    </w:p>
    <w:p>
      <w:r>
        <w:br w:type="page"/>
      </w:r>
    </w:p>
    <w:p>
      <w:pPr>
        <w:pStyle w:val="Heading1"/>
      </w:pPr>
      <w:r>
        <w:t>文档导读</w:t>
      </w:r>
    </w:p>
    <w:p>
      <w:r>
        <w:t>本说明书以当前仓库代码、依赖配置、数据库迁移与项目文档为依据，重点回答“已经实现什么、如何实现、如何演示、哪些仍是边界”。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7920"/>
      </w:tblGrid>
      <w:tr>
        <w:trPr>
          <w:tblHeader w:val="true"/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1-2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项目概述、用户痛点与价值定位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已实现功能全景与状态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4-5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系统架构、技术栈与分析引擎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6-8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家庭协同、通话护航、数据与接口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9-11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安全隐私、测试质量、部署运行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12-16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创新点、比赛演示、边界、持续完善计划与路线图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7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677FF"/>
              </w:rPr>
              <w:t xml:space="preserve">状态口径  </w:t>
            </w:r>
            <w:r>
              <w:rPr>
                <w:color w:val="0B1F3A"/>
              </w:rPr>
              <w:t>“已实现”表示仓库存在完整业务链路；“可选配置”表示代码已具备但依赖外部凭证、模型或通道；“待生产化”表示原型可用，但尚缺少生产级运营、监控、限流或真实规模验证。</w:t>
            </w:r>
          </w:p>
        </w:tc>
      </w:tr>
    </w:tbl>
    <w:p>
      <w:pPr>
        <w:spacing w:after="20"/>
      </w:pPr>
    </w:p>
    <w:p>
      <w:pPr>
        <w:pStyle w:val="Heading1"/>
      </w:pPr>
      <w:r>
        <w:t>1. 项目概述</w:t>
      </w:r>
    </w:p>
    <w:p>
      <w:r>
        <w:t>真信盾面向家庭反诈场景，服务对象包括老年人、青少年、数字技能较弱用户及其家属。系统通过Android客户端采集用户主动提交的文本、截图、语音、网址或号码信息，由FastAPI后端与本地规则共同分析，输出风险等级、命中证据和行动建议；高风险事件可进一步进入家庭告警与可信联系人协同流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诈骗跨文本、图片、语音、网址和电话渠道传播，个人在紧迫、恐惧或权威压力下容易独自误判。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核心方案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多模态识别 + 可解释规则/AI融合 + 家庭可信联系人 + 风险记录与复盘。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产品形态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Android应用、FastAPI服务端、PostgreSQL数据层及Docker Compose本地基础设施。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结果定位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提供风险提示和核验建议，不替代公安、银行、运营商或司法机构作出权威结论。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用户场景与价值闭环</w:t>
      </w:r>
    </w:p>
    <w:p>
      <w:pPr>
        <w:pStyle w:val="ListBullet"/>
        <w:spacing w:after="80"/>
        <w:ind w:left="432" w:hanging="216"/>
      </w:pPr>
      <w:r>
        <w:t>用户收到可疑聊天、短信截图、语音、网址或陌生来电。</w:t>
      </w:r>
    </w:p>
    <w:p>
      <w:pPr>
        <w:pStyle w:val="ListBullet"/>
        <w:spacing w:after="80"/>
        <w:ind w:left="432" w:hanging="216"/>
      </w:pPr>
      <w:r>
        <w:t>用户主动提交内容，或来电护航在系统回调中读取号码及验证状态。</w:t>
      </w:r>
    </w:p>
    <w:p>
      <w:pPr>
        <w:pStyle w:val="ListBullet"/>
        <w:spacing w:after="80"/>
        <w:ind w:left="432" w:hanging="216"/>
      </w:pPr>
      <w:r>
        <w:t>系统进行规则识别、OCR/ASR转换、URL/号码信号分析，并可选择AI语义复核。</w:t>
      </w:r>
    </w:p>
    <w:p>
      <w:pPr>
        <w:pStyle w:val="ListBullet"/>
        <w:spacing w:after="80"/>
        <w:ind w:left="432" w:hanging="216"/>
      </w:pPr>
      <w:r>
        <w:t>客户端展示风险等级、证据、解释与建议，避免只给出黑箱分数。</w:t>
      </w:r>
    </w:p>
    <w:p>
      <w:pPr>
        <w:pStyle w:val="ListBullet"/>
        <w:spacing w:after="80"/>
        <w:ind w:left="432" w:hanging="216"/>
      </w:pPr>
      <w:r>
        <w:t>高风险事件可触发家庭告警，可信联系人通过推送或邮件获知并协助核验。</w:t>
      </w:r>
    </w:p>
    <w:p>
      <w:pPr>
        <w:pStyle w:val="ListBullet"/>
        <w:spacing w:after="80"/>
        <w:ind w:left="432" w:hanging="216"/>
      </w:pPr>
      <w:r>
        <w:t>检测结果进入历史、详情、仪表盘、反馈与PDF报告，形成复盘闭环。</w:t>
      </w:r>
    </w:p>
    <w:p>
      <w:pPr>
        <w:pStyle w:val="Heading1"/>
      </w:pPr>
      <w:r>
        <w:t>3. 已实现功能全景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6200"/>
        <w:gridCol w:w="1510"/>
      </w:tblGrid>
      <w:tr>
        <w:trPr>
          <w:tblHeader w:val="true"/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已实现能力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账户与安全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注册、登录、JWT鉴权、个人资料、修改密码、验证码重置、旧Token失效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文本检测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规则匹配、组合条件、上下文/否定抑制、证据、分数、等级、建议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图片检测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图片上传、RapidOCR文字提取、风险分析、OCR纠正与重新分析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语音检测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音频上传、格式/大小/时长校验、FunASR/SenseVoice转写、风险分析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可选配置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网址检测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URL结构、重定向与风险信号分析，输出证据和行动建议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号码与来电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号码筛查、本地离线规则、CallScreeningService、提醒、可选静音/确认风险拦截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风险事件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事件保存、信号证据、历史筛选、详情、统计仪表盘、PDF报告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反馈纠错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正确/误报/漏报/等级偏差反馈，OCR纠正，重新分析，反馈统计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家庭体系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家庭创建、邀请、成员与角色、可信联系人、通知偏好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家庭告警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手动/策略自动创建、接收人选择、投递记录、失败原因、重试与冷却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消息通知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FCM设备注册与推送、邮件通知、投递状态记录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可选配置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报告与复盘</w:t>
            </w:r>
          </w:p>
        </w:tc>
        <w:tc>
          <w:tcPr>
            <w:tcW w:type="dxa" w:w="6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风险看板、来源/等级趋势、纠错统计、PDF风险报告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已实现</w:t>
            </w:r>
          </w:p>
        </w:tc>
      </w:tr>
    </w:tbl>
    <w:p>
      <w:pPr>
        <w:spacing w:after="20"/>
      </w:pPr>
    </w:p>
    <w:p>
      <w:pPr>
        <w:pStyle w:val="Heading2"/>
      </w:pPr>
      <w:r>
        <w:t>3.1 账户、家庭与可信联系人</w:t>
      </w:r>
    </w:p>
    <w:p>
      <w:pPr>
        <w:pStyle w:val="ListBullet"/>
        <w:spacing w:after="60"/>
        <w:ind w:left="360" w:hanging="216"/>
      </w:pPr>
      <w:r>
        <w:t>账户生命周期覆盖注册、登录、资料维护、修改密码和密码重置。</w:t>
      </w:r>
    </w:p>
    <w:p>
      <w:pPr>
        <w:pStyle w:val="ListBullet"/>
        <w:spacing w:after="60"/>
        <w:ind w:left="360" w:hanging="216"/>
      </w:pPr>
      <w:r>
        <w:t>家庭资源访问要求有效成员身份与角色权限，避免通过UUID枚举访问他人数据。</w:t>
      </w:r>
    </w:p>
    <w:p>
      <w:pPr>
        <w:pStyle w:val="ListBullet"/>
        <w:spacing w:after="60"/>
        <w:ind w:left="360" w:hanging="216"/>
      </w:pPr>
      <w:r>
        <w:t>家庭邀请、成员管理、可信联系人及其邮件/推送偏好形成协作关系基础。</w:t>
      </w:r>
    </w:p>
    <w:p>
      <w:pPr>
        <w:pStyle w:val="ListBullet"/>
        <w:spacing w:after="60"/>
        <w:ind w:left="360" w:hanging="216"/>
      </w:pPr>
      <w:r>
        <w:t>密码修改后可使旧Token及推送设备认证状态失效，减少凭证长期暴露风险。</w:t>
      </w:r>
    </w:p>
    <w:p>
      <w:pPr>
        <w:pStyle w:val="Heading2"/>
      </w:pPr>
      <w:r>
        <w:t>3.2 多模态风险检测</w:t>
      </w:r>
    </w:p>
    <w:p>
      <w:pPr>
        <w:pStyle w:val="ListBullet"/>
        <w:spacing w:after="60"/>
        <w:ind w:left="360" w:hanging="216"/>
      </w:pPr>
      <w:r>
        <w:t>文本：直接进入规则引擎，可选AI语义复核。</w:t>
      </w:r>
    </w:p>
    <w:p>
      <w:pPr>
        <w:pStyle w:val="ListBullet"/>
        <w:spacing w:after="60"/>
        <w:ind w:left="360" w:hanging="216"/>
      </w:pPr>
      <w:r>
        <w:t>图片：先执行OCR，再将提取文本送入统一风险分析；支持用户纠正OCR结果。</w:t>
      </w:r>
    </w:p>
    <w:p>
      <w:pPr>
        <w:pStyle w:val="ListBullet"/>
        <w:spacing w:after="60"/>
        <w:ind w:left="360" w:hanging="216"/>
      </w:pPr>
      <w:r>
        <w:t>语音：先执行本地/服务端ASR转写，再分析诱导转账、索要验证码、冒充身份和紧急施压等语义。</w:t>
      </w:r>
    </w:p>
    <w:p>
      <w:pPr>
        <w:pStyle w:val="ListBullet"/>
        <w:spacing w:after="60"/>
        <w:ind w:left="360" w:hanging="216"/>
      </w:pPr>
      <w:r>
        <w:t>网址：分析协议、域名、可疑结构、跳转链和其他链接信号。</w:t>
      </w:r>
    </w:p>
    <w:p>
      <w:pPr>
        <w:pStyle w:val="ListBullet"/>
        <w:spacing w:after="60"/>
        <w:ind w:left="360" w:hanging="216"/>
      </w:pPr>
      <w:r>
        <w:t>电话：本地规则在来电响应窗口内快速判断，网络结果作为后续补充，不阻塞系统回调。</w:t>
      </w:r>
    </w:p>
    <w:p>
      <w:r>
        <w:br w:type="page"/>
      </w:r>
    </w:p>
    <w:p>
      <w:pPr>
        <w:pStyle w:val="Heading1"/>
      </w:pPr>
      <w:r>
        <w:t>4. 系统架构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677FF"/>
              </w:rPr>
              <w:t xml:space="preserve">当前架构  </w:t>
            </w:r>
            <w:r>
              <w:rPr>
                <w:color w:val="6B4F00"/>
              </w:rPr>
              <w:t>项目采用模块化单体，而非已经拆分完成的微服务。services与packages中的部分目录属于未来拆分预留，不应在材料中宣传为已部署微服务。</w:t>
            </w:r>
          </w:p>
        </w:tc>
      </w:tr>
    </w:tbl>
    <w:p>
      <w:pPr>
        <w:spacing w:after="20"/>
      </w:pPr>
    </w:p>
    <w:p>
      <w:pPr>
        <w:pStyle w:val="Lead"/>
        <w:jc w:val="center"/>
      </w:pPr>
      <w:r>
        <w:t>Android Compose  →  ViewModel / StateFlow  →  Repository  →  Retrofit / Bearer Token</w:t>
        <w:br/>
      </w:r>
      <w:r>
        <w:t>FastAPI Route  →  Domain Service / Analyzer  →  SQLAlchemy Repository  →  PostgreSQL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Android UI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Jetpack Compose页面、Material 3组件、导航、权限引导和状态展示。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状态与数据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ViewModel、StateFlow、Repository负责页面状态、校验与网络操作。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API层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FastAPI路由、Pydantic Schema、JWT依赖与OpenAPI文档。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领域服务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规则引擎、AI融合、OCR、ASR、URL、号码、报告、通知和告警编排。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持久化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异步SQLAlchemy模型与Repository，Alembic管理迁移，PostgreSQL为生产行为基准。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基础设施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Docker Compose编排API、PostgreSQL、Redis和MinIO；当前核心链路主要依赖PostgreSQL。</w:t>
            </w:r>
          </w:p>
        </w:tc>
      </w:tr>
    </w:tbl>
    <w:p>
      <w:pPr>
        <w:spacing w:after="20"/>
      </w:pPr>
    </w:p>
    <w:p>
      <w:pPr>
        <w:pStyle w:val="Heading1"/>
      </w:pPr>
      <w:r>
        <w:t>5. 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436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技术/版本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Android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Kotlin 2.0.21；JVM 11；minSdk 26；target/compile 36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移动端开发与系统能力接入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界面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Jetpack Compose；Material 3；Navigation Compose 2.9.8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声明式UI、页面导航与设计系统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ViewModel；Lifecycle；StateFlow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单向状态管理和生命周期感知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网络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Retrofit 3.0.0；Gson；OkHttp 4.12.0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REST API调用、序列化和调试日志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推送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Firebase BoM 34.16.0；Firebase Messaging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家庭告警与设备推送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Python 3.12；FastAPI；Pydantic Settings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异步API、校验、配置和OpenAPI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SQLAlchemy Async；Alembic；asyncpg；PostgreSQL 16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持久化、迁移和异步数据库访问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OCR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RapidOCR 3.9.2；Pillow 12.3+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截图与图片文字识别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语音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FunASR 1.4；ModelScope；SenseVoice；PyTorch/Torchaudio；ONNX Runtime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语音转写及本地模型推理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AI语义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可选Ollama兼容本地语义模型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对规则结果进行语义复核与融合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报告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ReportLab 4.4+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生成风险PDF报告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Argon2（pwdlib）；PyJWT；HMAC-SHA256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密码摘要、Token与号码反馈指纹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基础设施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Docker Compose；Redis 7.4；MinIO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本地编排、缓存/对象存储预留与扩展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质量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pytest、pytest-asyncio、pytest-cov、Ruff、mypy、JUnit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单元、集成、慢速测试与静态检查</w:t>
            </w:r>
          </w:p>
        </w:tc>
      </w:tr>
    </w:tbl>
    <w:p>
      <w:pPr>
        <w:spacing w:after="20"/>
      </w:pPr>
    </w:p>
    <w:p>
      <w:pPr>
        <w:pStyle w:val="Heading2"/>
      </w:pPr>
      <w:r>
        <w:t>5.1 规则与AI融合分析</w:t>
      </w:r>
    </w:p>
    <w:p>
      <w:r>
        <w:t>规则引擎使用YAML维护可解释规则，支持关键词、正则、组合条件、上下文、排除条件及否定语义抑制。启用AI时，语义结果与规则结果按置信度和安全边界融合，规则证据仍被保留，用于解释、复核与审计。AI不可用时，系统仍可使用规则引擎完成基础分析。</w:t>
      </w:r>
    </w:p>
    <w:p>
      <w:pPr>
        <w:pStyle w:val="ListBullet"/>
        <w:spacing w:after="60"/>
        <w:ind w:left="360" w:hanging="216"/>
      </w:pPr>
      <w:r>
        <w:t>优势：规则可审计、可版本化、结果稳定；AI能够发现隐蔽意图和跨句行为链。</w:t>
      </w:r>
    </w:p>
    <w:p>
      <w:pPr>
        <w:pStyle w:val="ListBullet"/>
        <w:spacing w:after="60"/>
        <w:ind w:left="360" w:hanging="216"/>
      </w:pPr>
      <w:r>
        <w:t>安全边界：规则零分不等同于安全；AI输出不能直接覆盖明确高危证据。</w:t>
      </w:r>
    </w:p>
    <w:p>
      <w:pPr>
        <w:pStyle w:val="ListBullet"/>
        <w:spacing w:after="60"/>
        <w:ind w:left="360" w:hanging="216"/>
      </w:pPr>
      <w:r>
        <w:t>输出结构：风险等级、分数、证据列表、命中词/位置、解释、建议动作及规则版本。</w:t>
      </w:r>
    </w:p>
    <w:p>
      <w:pPr>
        <w:pStyle w:val="Heading1"/>
      </w:pPr>
      <w:r>
        <w:t>6. 家庭协同与通知闭环</w:t>
      </w:r>
    </w:p>
    <w:p>
      <w:pPr>
        <w:pStyle w:val="ListBullet"/>
        <w:spacing w:after="80"/>
        <w:ind w:left="432" w:hanging="216"/>
      </w:pPr>
      <w:r>
        <w:t>用户创建家庭并邀请成员，配置可信联系人及通知偏好。</w:t>
      </w:r>
    </w:p>
    <w:p>
      <w:pPr>
        <w:pStyle w:val="ListBullet"/>
        <w:spacing w:after="80"/>
        <w:ind w:left="432" w:hanging="216"/>
      </w:pPr>
      <w:r>
        <w:t>风险事件达到家庭策略阈值时自动创建告警，也可由用户手动发起。</w:t>
      </w:r>
    </w:p>
    <w:p>
      <w:pPr>
        <w:pStyle w:val="ListBullet"/>
        <w:spacing w:after="80"/>
        <w:ind w:left="432" w:hanging="216"/>
      </w:pPr>
      <w:r>
        <w:t>告警服务筛选符合条件的接收人，并调用已配置的FCM或邮件提供方。</w:t>
      </w:r>
    </w:p>
    <w:p>
      <w:pPr>
        <w:pStyle w:val="ListBullet"/>
        <w:spacing w:after="80"/>
        <w:ind w:left="432" w:hanging="216"/>
      </w:pPr>
      <w:r>
        <w:t>系统记录每次投递渠道、状态、失败原因、尝试次数和冷却时间。</w:t>
      </w:r>
    </w:p>
    <w:p>
      <w:pPr>
        <w:pStyle w:val="ListBullet"/>
        <w:spacing w:after="80"/>
        <w:ind w:left="432" w:hanging="216"/>
      </w:pPr>
      <w:r>
        <w:t>家属在消息中心或告警详情中查看风险证据，联系用户并更新处置状态。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677FF"/>
              </w:rPr>
              <w:t xml:space="preserve">核心差异化  </w:t>
            </w:r>
            <w:r>
              <w:rPr>
                <w:color w:val="0B1F3A"/>
              </w:rPr>
              <w:t>传统检测工具往往只弹出个人警告；真信盾把“个人识别”延伸为“可信家属参与核验”，尤其适合老年人与数字弱势群体。</w:t>
            </w:r>
          </w:p>
        </w:tc>
      </w:tr>
    </w:tbl>
    <w:p>
      <w:pPr>
        <w:spacing w:after="20"/>
      </w:pPr>
    </w:p>
    <w:p>
      <w:pPr>
        <w:pStyle w:val="Heading1"/>
      </w:pPr>
      <w:r>
        <w:t>7. 通话护航功能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00"/>
        <w:gridCol w:w="276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系统来电接入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Android CallScreeningService读取号码、方向及系统号码验证状态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需要用户授予来电筛查角色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离线筛查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登录后同步并缓存版本化规则包；来电回调仅读取未过期本地缓存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不等待网络，满足系统响应窗口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风险提示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结合隐藏号码、验证状态、陌生来电及精确/号段规则给出等级和证据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号码筛查不能代替人工核验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静音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用户可主动开启高风险来电静音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默认仅提醒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拦截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仅对服务端标记为已复核、confirmed的精确高风险号码生效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不因陌生、号段或待审核举报自动拦截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号码反馈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提交可疑、诈骗或误报；保存HMAC指纹与脱敏号码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反馈进入待复核队列，不直接改变规则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家庭求助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通话期间可创建高风险事件并通知家庭联系人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保存脱敏号码，不保存实时通话音频</w:t>
            </w:r>
          </w:p>
        </w:tc>
      </w:tr>
    </w:tbl>
    <w:p>
      <w:pPr>
        <w:spacing w:after="20"/>
      </w:pPr>
    </w:p>
    <w:p>
      <w:pPr>
        <w:pStyle w:val="Heading1"/>
      </w:pPr>
      <w:r>
        <w:t>8. 数据模型与API</w:t>
      </w:r>
    </w:p>
    <w:p>
      <w:pPr>
        <w:pStyle w:val="Heading2"/>
      </w:pPr>
      <w:r>
        <w:t>8.1 核心数据实体</w:t>
      </w:r>
    </w:p>
    <w:p>
      <w:pPr>
        <w:pStyle w:val="ListBullet"/>
        <w:spacing w:after="60"/>
        <w:ind w:left="360" w:hanging="216"/>
      </w:pPr>
      <w:r>
        <w:t>users、password_reset_codes：账户、状态、认证版本和一次性重置码摘要。</w:t>
      </w:r>
    </w:p>
    <w:p>
      <w:pPr>
        <w:pStyle w:val="ListBullet"/>
        <w:spacing w:after="60"/>
        <w:ind w:left="360" w:hanging="216"/>
      </w:pPr>
      <w:r>
        <w:t>risk_events、risk_signals、risk_feedbacks：风险事件、证据及用户纠错。</w:t>
      </w:r>
    </w:p>
    <w:p>
      <w:pPr>
        <w:pStyle w:val="ListBullet"/>
        <w:spacing w:after="60"/>
        <w:ind w:left="360" w:hanging="216"/>
      </w:pPr>
      <w:r>
        <w:t>families、family_members、family_invitations、trusted_contacts：家庭关系与可信联系人。</w:t>
      </w:r>
    </w:p>
    <w:p>
      <w:pPr>
        <w:pStyle w:val="ListBullet"/>
        <w:spacing w:after="60"/>
        <w:ind w:left="360" w:hanging="216"/>
      </w:pPr>
      <w:r>
        <w:t>family_alerts、family_alert_recipients、family_alert_delivery_attempts、family_alert_policies：告警、接收人与投递审计。</w:t>
      </w:r>
    </w:p>
    <w:p>
      <w:pPr>
        <w:pStyle w:val="ListBullet"/>
        <w:spacing w:after="60"/>
        <w:ind w:left="360" w:hanging="216"/>
      </w:pPr>
      <w:r>
        <w:t>push_devices：设备安装标识、FCM Token与撤销状态。</w:t>
      </w:r>
    </w:p>
    <w:p>
      <w:pPr>
        <w:pStyle w:val="ListBullet"/>
        <w:spacing w:after="60"/>
        <w:ind w:left="360" w:hanging="216"/>
      </w:pPr>
      <w:r>
        <w:t>call_guard_reports：号码反馈HMAC指纹、脱敏值、类型、备注和复核状态。</w:t>
      </w:r>
    </w:p>
    <w:p>
      <w:pPr>
        <w:pStyle w:val="Heading2"/>
      </w:pPr>
      <w:r>
        <w:t>8.2 API分组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前缀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主要能力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/api/v1/auth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注册、登录、密码重置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/api/v1/users/me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当前用户、密码、推送设备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/api/v1/risk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文本、图片、语音、URL、事件、反馈、看板与报告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/api/v1/call-guard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号码分析、规则包、号码反馈、家庭求助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/api/v1/families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家庭、邀请、成员、联系人、告警与策略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/api/v1/health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服务健康检查</w:t>
            </w:r>
          </w:p>
        </w:tc>
      </w:tr>
    </w:tbl>
    <w:p>
      <w:pPr>
        <w:spacing w:after="20"/>
      </w:pPr>
    </w:p>
    <w:p>
      <w:pPr>
        <w:pStyle w:val="Small"/>
      </w:pPr>
      <w:r>
        <w:t>除健康检查、注册、登录和密码重置外，业务接口使用Authorization: Bearer &lt;token&gt;。精确字段、状态码和请求模型以运行时 /docs 或 /openapi.json 为准。</w:t>
      </w:r>
    </w:p>
    <w:p>
      <w:pPr>
        <w:pStyle w:val="Heading1"/>
      </w:pPr>
      <w:r>
        <w:t>9. 安全与隐私设计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控制点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密码安全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Argon2摘要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不保存明文密码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身份鉴权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JWT + 认证版本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修改密码后可使旧Token失效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资源隔离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用户所有权、家庭成员与角色校验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降低越权和UUID枚举风险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重置码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限时、限重发、限失败次数、摘要保存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减少验证码滥用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上传安全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文件类型、大小、音频时长校验；临时文件处理后清理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减少恶意与无界上传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号码隐私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反馈保存HMAC-SHA256指纹和脱敏值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在线号码分析仍需发送号码，不能宣称所有号码均不上传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通话隐私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来电护航不读取或录制实时通话音频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RECORD_AUDIO权限用于独立语音检测，不等于通话录音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结论边界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风险提示、核验建议、误报/漏报反馈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不构成司法、执法、金融或身份权威鉴定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9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677FF"/>
              </w:rPr>
              <w:t xml:space="preserve">推荐宣传口径  </w:t>
            </w:r>
            <w:r>
              <w:rPr>
                <w:color w:val="0B1F3A"/>
              </w:rPr>
              <w:t>系统支持版本化规则同步和本地离线筛查；来电护航不录制实时通话内容，也不在本地保存通话历史。号码反馈采用HMAC指纹与脱敏值存储。分析结果用于风险提示和核验建议，而非权威鉴定。</w:t>
            </w:r>
          </w:p>
        </w:tc>
      </w:tr>
    </w:tbl>
    <w:p>
      <w:pPr>
        <w:spacing w:after="20"/>
      </w:pPr>
    </w:p>
    <w:p>
      <w:pPr>
        <w:pStyle w:val="Heading1"/>
      </w:pPr>
      <w:r>
        <w:t>10. 测试与质量保障</w:t>
      </w:r>
    </w:p>
    <w:p>
      <w:pPr>
        <w:pStyle w:val="ListBullet"/>
        <w:spacing w:after="60"/>
        <w:ind w:left="360" w:hanging="216"/>
      </w:pPr>
      <w:r>
        <w:t>后端测试按unit、integration、slow三层标记，覆盖快速逻辑、API/持久化和OCR/ASR/PDF等重依赖链路。</w:t>
      </w:r>
    </w:p>
    <w:p>
      <w:pPr>
        <w:pStyle w:val="ListBullet"/>
        <w:spacing w:after="60"/>
        <w:ind w:left="360" w:hanging="216"/>
      </w:pPr>
      <w:r>
        <w:t>Ruff执行代码规范与静态检查；mypy用于类型检查；pytest-cov支持覆盖率统计。</w:t>
      </w:r>
    </w:p>
    <w:p>
      <w:pPr>
        <w:pStyle w:val="ListBullet"/>
        <w:spacing w:after="60"/>
        <w:ind w:left="360" w:hanging="216"/>
      </w:pPr>
      <w:r>
        <w:t>Android使用JUnit及Compose/Espresso测试依赖，并提供testDebugUnitTest与compileDebugKotlin检查。</w:t>
      </w:r>
    </w:p>
    <w:p>
      <w:pPr>
        <w:pStyle w:val="ListBullet"/>
        <w:spacing w:after="60"/>
        <w:ind w:left="360" w:hanging="216"/>
      </w:pPr>
      <w:r>
        <w:t>数据库变更通过Alembic迁移管理，要求从空库顺序升级到最新版本。</w:t>
      </w:r>
    </w:p>
    <w:p>
      <w:pPr>
        <w:pStyle w:val="ListBullet"/>
        <w:spacing w:after="60"/>
        <w:ind w:left="360" w:hanging="216"/>
      </w:pPr>
      <w:r>
        <w:t>规则、API Schema和客户端模型的兼容性以OpenAPI及集成测试为判断依据。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后端规范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uv run ruff check app tests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后端单元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uv run pytest -m unit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后端集成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uv run pytest -m integration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后端慢速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uv run pytest -m slow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数据库迁移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uv run alembic upgrade head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Android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.\gradlew testDebugUnitTest compileDebugKotlin</w:t>
            </w:r>
          </w:p>
        </w:tc>
      </w:tr>
    </w:tbl>
    <w:p>
      <w:pPr>
        <w:spacing w:after="20"/>
      </w:pPr>
    </w:p>
    <w:p>
      <w:pPr>
        <w:pStyle w:val="Heading1"/>
      </w:pPr>
      <w:r>
        <w:t>11. 部署与运行</w:t>
      </w:r>
    </w:p>
    <w:p>
      <w:pPr>
        <w:pStyle w:val="ListBullet"/>
        <w:spacing w:after="80"/>
        <w:ind w:left="432" w:hanging="216"/>
      </w:pPr>
      <w:r>
        <w:t>复制.env.example为.env，并替换数据库、MinIO和JWT等敏感配置。</w:t>
      </w:r>
    </w:p>
    <w:p>
      <w:pPr>
        <w:pStyle w:val="ListBullet"/>
        <w:spacing w:after="80"/>
        <w:ind w:left="432" w:hanging="216"/>
      </w:pPr>
      <w:r>
        <w:t>使用docker compose up -d postgres redis minio启动基础设施。</w:t>
      </w:r>
    </w:p>
    <w:p>
      <w:pPr>
        <w:pStyle w:val="ListBullet"/>
        <w:spacing w:after="80"/>
        <w:ind w:left="432" w:hanging="216"/>
      </w:pPr>
      <w:r>
        <w:t>进入apps/api_server，执行uv sync、Alembic迁移并启动Uvicorn。</w:t>
      </w:r>
    </w:p>
    <w:p>
      <w:pPr>
        <w:pStyle w:val="ListBullet"/>
        <w:spacing w:after="80"/>
        <w:ind w:left="432" w:hanging="216"/>
      </w:pPr>
      <w:r>
        <w:t>在Android Studio中打开apps/android_app，配置可被真机访问的API地址。</w:t>
      </w:r>
    </w:p>
    <w:p>
      <w:pPr>
        <w:pStyle w:val="ListBullet"/>
        <w:spacing w:after="80"/>
        <w:ind w:left="432" w:hanging="216"/>
      </w:pPr>
      <w:r>
        <w:t>如需FCM、邮件、短信、AI或语音模型，按对应指南配置凭证与本地模型。</w:t>
      </w:r>
    </w:p>
    <w:p>
      <w:pPr>
        <w:pStyle w:val="ListBullet"/>
        <w:spacing w:after="80"/>
        <w:ind w:left="432" w:hanging="216"/>
      </w:pPr>
      <w:r>
        <w:t>访问http://localhost:8000/docs检查OpenAPI，访问/api/v1/health检查服务状态。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0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677FF"/>
              </w:rPr>
              <w:t xml:space="preserve">配置安全  </w:t>
            </w:r>
            <w:r>
              <w:rPr>
                <w:color w:val="B42318"/>
              </w:rPr>
              <w:t>不得提交真实.env、Firebase google-services.json、服务账号、模型密钥或生产凭证。生产环境应使用HTTPS、密钥管理、私网数据库与最小权限账号。</w:t>
            </w:r>
          </w:p>
        </w:tc>
      </w:tr>
    </w:tbl>
    <w:p>
      <w:pPr>
        <w:spacing w:after="20"/>
      </w:pPr>
    </w:p>
    <w:p>
      <w:pPr>
        <w:pStyle w:val="Heading1"/>
      </w:pPr>
      <w:r>
        <w:t>12. 项目创新点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创新方向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项目体现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多模态统一识别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文本、截图OCR、语音ASR、网址和来电号码进入统一风险表达与记录体系。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规则+AI可解释融合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以可审计规则为基础，以语义模型发现隐蔽行为链，并保留证据、置信度和版本。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家庭协同干预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从个人弹窗扩展到可信联系人、家庭告警、投递审计和处置闭环。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风险前置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把提醒放在转账、泄密、点击链接和通话求助等关键动作之前。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隐私克制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离线来电规则、号码反馈指纹化、不录制实时通话、非权威结论。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工程完整度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Android真机产品、后端API、数据库、迁移、通知、报告与测试形成可演示闭环。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13. 比赛实物演示建议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650"/>
        <w:gridCol w:w="3360"/>
      </w:tblGrid>
      <w:tr>
        <w:trPr>
          <w:tblHeader w:val="true"/>
          <w:cantSplit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演示内容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证明点</w:t>
            </w:r>
          </w:p>
        </w:tc>
      </w:tr>
      <w:tr>
        <w:trPr>
          <w:cantSplit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0:00-0:20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真机首页、电脑服务端和项目定位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真实可运行原型</w:t>
            </w:r>
          </w:p>
        </w:tc>
      </w:tr>
      <w:tr>
        <w:trPr>
          <w:cantSplit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0:20-0:50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诈骗文本检测：风险等级、证据、建议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可解释识别</w:t>
            </w:r>
          </w:p>
        </w:tc>
      </w:tr>
      <w:tr>
        <w:trPr>
          <w:cantSplit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0:50-1:15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上传诈骗截图并展示OCR结果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多模态能力</w:t>
            </w:r>
          </w:p>
        </w:tc>
      </w:tr>
      <w:tr>
        <w:trPr>
          <w:cantSplit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1:15-1:35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语音转写或网址检测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跨渠道分析</w:t>
            </w:r>
          </w:p>
        </w:tc>
      </w:tr>
      <w:tr>
        <w:trPr>
          <w:cantSplit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1:35-2:00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手机A触发高风险，手机B收到家庭告警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家庭协同核心创新</w:t>
            </w:r>
          </w:p>
        </w:tc>
      </w:tr>
      <w:tr>
        <w:trPr>
          <w:cantSplit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2:00-2:20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来电号码筛查或离线规则状态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Android系统能力与隐私</w:t>
            </w:r>
          </w:p>
        </w:tc>
      </w:tr>
      <w:tr>
        <w:trPr>
          <w:cantSplit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2:20-2:40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历史记录、反馈和PDF报告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闭环与可复盘</w:t>
            </w:r>
          </w:p>
        </w:tc>
      </w:tr>
      <w:tr>
        <w:trPr>
          <w:cantSplit/>
        </w:trPr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2:40-2:55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创新点与边界总结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社会价值和可信表达</w:t>
            </w:r>
          </w:p>
        </w:tc>
      </w:tr>
    </w:tbl>
    <w:p>
      <w:pPr>
        <w:spacing w:after="20"/>
      </w:pPr>
    </w:p>
    <w:p>
      <w:pPr>
        <w:pStyle w:val="Heading1"/>
      </w:pPr>
      <w:r>
        <w:t>14. 当前边界与风险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336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当前边界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号码数据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暂无运营商、公安或权威号码库实时接入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宣传为本地维护规则与用户反馈复核，不宣称权威号码认定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通话内容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Android来电筛查不分析实时通话音频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强调号码风险与通话求助，不宣传实时语音监听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生产运维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缺少完整分布式限流、审计平台、备份恢复与可观测性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上线前补齐网关、监控、告警、备份和密钥托管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基础设施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Redis和MinIO已编排，但并非所有预期链路均已接入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材料中区分“已部署基础设施”和“已在核心链路使用”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Android端到端设备测试与真实PostgreSQL/通知通道验证仍需加强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建立真机矩阵、回归用例和演示前检查表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模型效果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缺少公开基准、真实用户规模与持续评估流水线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建设脱敏测试集，报告准确率、召回率、误报率及样本量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运营后台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号码复核与规则运营工具尚未形成完整产品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增加审核台、规则发布、回滚、审计和权限管理</w:t>
            </w:r>
          </w:p>
        </w:tc>
      </w:tr>
    </w:tbl>
    <w:p>
      <w:pPr>
        <w:spacing w:after="20"/>
      </w:pPr>
    </w:p>
    <w:p>
      <w:pPr>
        <w:pStyle w:val="Heading1"/>
      </w:pPr>
      <w:r>
        <w:t>15. 未来持续完善重点</w:t>
      </w:r>
    </w:p>
    <w:p>
      <w:r>
        <w:t>以下内容属于后续建设方向，不代表当前版本已经完成。完善顺序以“先稳定、再验证、后扩展”为原则：首先保证比赛演示与核心闭环可靠，其次用真实脱敏数据验证效果，最后再推进生产化与生态合作。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450"/>
        <w:gridCol w:w="4410"/>
        <w:gridCol w:w="2700"/>
      </w:tblGrid>
      <w:tr>
        <w:trPr>
          <w:tblHeader w:val="true"/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完善方向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具体建设内容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建议验收标准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演示稳定性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提供一键演示账号与测试素材；预置文本、截图、语音、网址和号码案例；增加网络异常、服务不可用和权限缺失提示。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完整演示连续运行10次无阻断；两部真机告警联动成功率达到100%。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检测效果评估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建设经授权、脱敏并分类标注的诈骗测试集，覆盖冒充公检法、刷单、投资、退款、验证码、屏幕共享等场景。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公开样本量、准确率、召回率、误报率、漏报率及各类别指标，不只展示总体准确率。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规则质量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建立规则新增、复核、灰度发布、版本回滚和失效机制；补充否定语义、引用转发和反诈宣传文本等易误报场景。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每条规则具有来源、版本、置信度、负责人、测试用例及回滚记录。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家庭协同可靠性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完善告警确认、未响应升级、重复告警合并、联系人值班顺序及离线补偿。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告警可追踪到接收、查看、联系和处置状态；失败投递能够自动重试并解释原因。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适老化体验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增加大字体、高对比度、语音播报、一步求助、简化首页、方言友好提示和防误触确认。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邀请老年用户完成可用性测试，统计任务完成率、平均耗时和误操作次数。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OCR与语音增强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改善低清截图、长截图、聊天气泡、多说话人、噪声、口音和方言识别；展示识别置信度并允许逐段纠正。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在独立测试集上分别报告OCR字符准确率、ASR字错率及纠正前后风险判断变化。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网址检测增强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加入同形字域名、短链展开、重定向链、证书、域名年龄、页面仿冒特征和安全浏览数据源。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限制跳转次数和请求时间；对不可访问网址给出明确的不确定性提示。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号码风险能力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建设号码审核后台，支持用户举报去重、证据复核、精确规则发布与申诉处理；探索合规的数据合作。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未经人工或可信来源复核的举报不得进入自动拦截规则；所有变更可审计和回滚。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AI模型治理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建立提示词、模型、参数和融合策略版本管理；开展对抗提示、注入文本、偏见和幻觉测试。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相同版本结果可复现；AI不可用时自动降级到规则分析；高危规则证据不可被模型静默覆盖。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隐私与用户控制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增加分场景授权、数据用途说明、保存期限、导出与删除入口；对日志、报告和通知内容实施更严格脱敏。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形成数据清单与保留周期；用户可查看、导出和删除依法可处理的个人数据。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安全加固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接入HTTPS、API网关限流、密钥托管、依赖与镜像扫描、日志脱敏、异常登录保护和安全审计。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完成威胁建模、自动扫描和基础渗透测试；高风险问题关闭后方可发布。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运营管理后台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建设用户、号码举报、规则、模型版本、告警投递和指标看板，并配置RBAC和审批流。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关键操作要求权限校验、双人复核或审批，并保留不可抵赖的审计记录。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生产可观测性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补充结构化日志、指标、链路追踪、健康检查、告警、备份恢复和容量压测。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定义SLO；完成数据库恢复演练、通知故障演练和峰值压测报告。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端到端测试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建立Android真机矩阵，覆盖不同厂商、Android版本、通知限制、弱网、离线规则和系统来电角色。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核心用户旅程纳入自动化回归；每次发布生成兼容性与回归报告。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多端与无障碍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评估iOS受平台能力限制下的可实现范围；补充Web家属端、TalkBack语义和色弱友好设计。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通过无障碍检查；多端数据权限和状态保持一致。</w:t>
            </w:r>
          </w:p>
        </w:tc>
      </w:tr>
      <w:tr>
        <w:trPr>
          <w:cantSplit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P3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试点与商业验证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与社区养老、学校、银行或反诈教育机构开展小范围试点，验证使用频率、干预效果和服务模式。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试点具备知情同意、退出机制、伦理与隐私审查，并形成可量化的社会价值报告。</w:t>
            </w:r>
          </w:p>
        </w:tc>
      </w:tr>
    </w:tbl>
    <w:p>
      <w:pPr>
        <w:spacing w:after="20"/>
      </w:pPr>
    </w:p>
    <w:p>
      <w:pPr>
        <w:pStyle w:val="Heading2"/>
      </w:pPr>
      <w:r>
        <w:t>15.1 建议优先完成的比赛增强包</w:t>
      </w:r>
    </w:p>
    <w:p>
      <w:pPr>
        <w:pStyle w:val="ListBullet"/>
        <w:spacing w:after="60"/>
        <w:ind w:left="360" w:hanging="216"/>
      </w:pPr>
      <w:r>
        <w:t>准备20-50条脱敏测试样本，形成基础准确率、召回率和误报案例说明。</w:t>
      </w:r>
    </w:p>
    <w:p>
      <w:pPr>
        <w:pStyle w:val="ListBullet"/>
        <w:spacing w:after="60"/>
        <w:ind w:left="360" w:hanging="216"/>
      </w:pPr>
      <w:r>
        <w:t>固定一套两部手机联动流程，并提供离线备用录屏，防止现场网络或推送通道异常。</w:t>
      </w:r>
    </w:p>
    <w:p>
      <w:pPr>
        <w:pStyle w:val="ListBullet"/>
        <w:spacing w:after="60"/>
        <w:ind w:left="360" w:hanging="216"/>
      </w:pPr>
      <w:r>
        <w:t>增加演示模式和一键清理测试数据，确保每次展示从相同状态开始。</w:t>
      </w:r>
    </w:p>
    <w:p>
      <w:pPr>
        <w:pStyle w:val="ListBullet"/>
        <w:spacing w:after="60"/>
        <w:ind w:left="360" w:hanging="216"/>
      </w:pPr>
      <w:r>
        <w:t>为每个创新点准备代码证据、界面证据、测试证据和边界说明各一项。</w:t>
      </w:r>
    </w:p>
    <w:p>
      <w:pPr>
        <w:pStyle w:val="ListBullet"/>
        <w:spacing w:after="60"/>
        <w:ind w:left="360" w:hanging="216"/>
      </w:pPr>
      <w:r>
        <w:t>制作一页竞品差异表，突出多模态、可解释证据、家庭协同和隐私克制。</w:t>
      </w:r>
    </w:p>
    <w:p>
      <w:pPr>
        <w:pStyle w:val="Heading2"/>
      </w:pPr>
      <w:r>
        <w:t>15.2 建议建立的量化指标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识别效果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准确率、召回率、精确率、F1、误报率、漏报率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证明风险识别不是只靠个别演示案例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多模态质量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OCR字符准确率、ASR字错率、URL解析成功率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定位风险分析前置转换环节的问题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家庭协同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告警送达率、查看率、响应时间、处置完成率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证明家庭干预闭环是否真正有效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来电护航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本地判断耗时、规则命中率、同步成功率、误拦截率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验证系统响应窗口与安全边界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稳定性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崩溃率、API错误率、P95延迟、通知重试成功率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衡量产品是否具备持续使用能力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用户体验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任务完成率、平均完成时间、求助步骤数、满意度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验证老年人与普通家庭成员是否易用</w:t>
            </w:r>
          </w:p>
        </w:tc>
      </w:tr>
    </w:tbl>
    <w:p>
      <w:pPr>
        <w:spacing w:after="20"/>
      </w:pPr>
    </w:p>
    <w:p>
      <w:pPr>
        <w:pStyle w:val="Heading1"/>
      </w:pPr>
      <w:r>
        <w:t>16. 后续路线图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建议交付物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第一阶段：比赛增强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稳定真机演示、补充测试数据与答辩材料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一键演示数据、两机联动、3分钟视频、指标表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第二阶段：小范围试点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家庭/社区场景验证可用性与误报体验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知情同意、脱敏样本、用户访谈、误报处理流程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第三阶段：运营能力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号码审核、规则发布、版本回滚和审计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管理后台、RBAC、审批流、规则质量指标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第四阶段：生产化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安全、可靠性、监控、备份和合规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HTTPS、限流、日志脱敏、告警、灾备、渗透测试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第五阶段：生态合作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探索银行、社区养老、运营商及反诈教育合作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数据合作边界、接口规范、联合试点与商业模式</w:t>
            </w:r>
          </w:p>
        </w:tc>
      </w:tr>
    </w:tbl>
    <w:p>
      <w:pPr>
        <w:spacing w:after="20"/>
      </w:pPr>
    </w:p>
    <w:p>
      <w:pPr>
        <w:pStyle w:val="Heading1"/>
      </w:pPr>
      <w:r>
        <w:t>附录A：对外介绍参考</w:t>
      </w:r>
    </w:p>
    <w:p>
      <w:r>
        <w:t>真信盾是一套面向家庭场景的多模态智能反诈与可信联系系统，可对聊天文本、短信截图、语音文件、可疑网址和陌生来电号码进行风险分析，并给出风险等级、命中证据及行动建议。项目将可解释规则与可选AI语义复核结合，把个人风险提醒进一步延伸到可信联系人和家庭告警，在不录制实时通话内容的前提下，形成“识别风险—解释证据—家人协同—反馈复盘”的防护闭环。</w:t>
      </w:r>
    </w:p>
    <w:p>
      <w:r>
        <w:br w:type="page"/>
      </w:r>
    </w:p>
    <w:p>
      <w:pPr>
        <w:pStyle w:val="Heading1"/>
      </w:pPr>
      <w:r>
        <w:t>附录B：准确表述与禁用表述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推荐表述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B1F3A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避免表述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风险提示、核验建议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权威鉴定、100%识别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本地维护的版本化号码规则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运营商/公安权威号码库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来电号码风险筛查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实时监听或分析通话内容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确认风险号码可选拦截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所有骚扰电话自动拦截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规则与AI融合分析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AI能够准确判断所有诈骗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面向家庭协同的产品原型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已大规模商业化部署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A"/>
        <w:sz w:val="16"/>
      </w:rPr>
      <w:t xml:space="preserve">内部项目资料  ·  2026-08-09  ·  第 </w:t>
    </w:r>
    <w:r/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真信盾 True Shield  |  项目功能与技术说明书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B1F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A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Microsoft YaHei" w:hAnsi="Microsoft YaHei" w:eastAsia="Microsoft YaHei"/>
      <w:b/>
      <w:color w:val="00B8D9"/>
      <w:sz w:val="18"/>
    </w:rPr>
  </w:style>
  <w:style w:type="paragraph" w:customStyle="1" w:styleId="Lead">
    <w:name w:val="Lead"/>
    <w:rPr>
      <w:rFonts w:ascii="Microsoft YaHei" w:hAnsi="Microsoft YaHei" w:eastAsia="Microsoft YaHei"/>
      <w:b w:val="0"/>
      <w:color w:val="0B1F3A"/>
      <w:sz w:val="24"/>
    </w:rPr>
  </w:style>
  <w:style w:type="paragraph" w:customStyle="1" w:styleId="Small">
    <w:name w:val="Small"/>
    <w:rPr>
      <w:rFonts w:ascii="Microsoft YaHei" w:hAnsi="Microsoft YaHei" w:eastAsia="Microsoft YaHei"/>
      <w:b w:val="0"/>
      <w:color w:val="5E6B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真信盾项目功能与技术说明书</dc:title>
  <dc:subject>项目功能、技术架构、安全设计与比赛材料</dc:subject>
  <dc:creator>True Shield Project Team</dc:creator>
  <cp:keywords>真信盾, 反诈, Android, FastAPI, 家庭协同, 多模态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