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before="0" w:line="240"/>
        <w:jc w:val="center"/>
      </w:pPr>
      <w:r>
        <w:rPr>
          <w:b/>
          <w:bCs/>
          <w:i w:val="false"/>
          <w:iCs w:val="false"/>
          <w:color w:val="5A4825"/>
          <w:sz w:val="22"/>
          <w:szCs w:val="22"/>
        </w:rPr>
        <w:t xml:space="preserve">YNOV CAMPUS</w:t>
      </w:r>
    </w:p>
    <w:p>
      <w:pPr>
        <w:spacing w:after="480" w:before="0" w:line="240"/>
        <w:jc w:val="center"/>
      </w:pPr>
      <w:r>
        <w:rPr>
          <w:b w:val="false"/>
          <w:bCs w:val="false"/>
          <w:i w:val="false"/>
          <w:iCs w:val="false"/>
          <w:color w:val="5A4825"/>
          <w:sz w:val="20"/>
          <w:szCs w:val="20"/>
        </w:rPr>
        <w:t xml:space="preserve">Mastère 2 Informatique — Promotion 2025-2026</w:t>
      </w:r>
    </w:p>
    <w:p>
      <w:pPr>
        <w:spacing w:after="60" w:before="0" w:line="240"/>
        <w:jc w:val="center"/>
      </w:pPr>
      <w:r>
        <w:rPr>
          <w:b/>
          <w:bCs/>
          <w:i w:val="false"/>
          <w:iCs w:val="false"/>
          <w:color w:val="8B6914"/>
          <w:sz w:val="22"/>
          <w:szCs w:val="22"/>
        </w:rPr>
        <w:t xml:space="preserve">DOSSIER DE PROJET</w:t>
      </w:r>
    </w:p>
    <w:p>
      <w:pPr>
        <w:spacing w:after="40" w:before="0" w:line="276"/>
        <w:jc w:val="center"/>
      </w:pPr>
      <w:r>
        <w:rPr>
          <w:b/>
          <w:bCs/>
          <w:i w:val="false"/>
          <w:iCs w:val="false"/>
          <w:color w:val="2D1A00"/>
          <w:sz w:val="26"/>
          <w:szCs w:val="26"/>
        </w:rPr>
        <w:t xml:space="preserve">Bloc 4 — Maintenir l'application logicielle en condition opérationnelle</w:t>
      </w:r>
    </w:p>
    <w:p>
      <w:pPr>
        <w:spacing w:after="360" w:before="0" w:line="240"/>
        <w:jc w:val="center"/>
      </w:pPr>
      <w:r>
        <w:rPr>
          <w:b w:val="false"/>
          <w:bCs w:val="false"/>
          <w:i w:val="false"/>
          <w:iCs w:val="false"/>
          <w:color w:val="5A4825"/>
          <w:sz w:val="20"/>
          <w:szCs w:val="20"/>
        </w:rPr>
        <w:t xml:space="preserve">Certification « Expert en développement logiciel » — RNCP39583</w:t>
      </w:r>
    </w:p>
    <w:p>
      <w:pPr>
        <w:pBdr>
          <w:bottom w:val="single" w:color="C9A84C" w:sz="18" w:space="1"/>
        </w:pBdr>
        <w:spacing w:after="40" w:before="40"/>
      </w:pPr>
    </w:p>
    <w:p>
      <w:pPr>
        <w:spacing w:after="40" w:before="160" w:line="240"/>
        <w:jc w:val="center"/>
      </w:pPr>
      <w:r>
        <w:rPr>
          <w:b/>
          <w:bCs/>
          <w:i w:val="false"/>
          <w:iCs w:val="false"/>
          <w:color w:val="2D1A00"/>
          <w:sz w:val="72"/>
          <w:szCs w:val="72"/>
        </w:rPr>
        <w:t xml:space="preserve">Albion Helper</w:t>
      </w:r>
    </w:p>
    <w:p>
      <w:pPr>
        <w:spacing w:after="200" w:before="0" w:line="240"/>
        <w:jc w:val="center"/>
      </w:pPr>
      <w:r>
        <w:rPr>
          <w:b w:val="false"/>
          <w:bCs w:val="false"/>
          <w:i/>
          <w:iCs/>
          <w:color w:val="5A4825"/>
          <w:sz w:val="24"/>
          <w:szCs w:val="24"/>
        </w:rPr>
        <w:t xml:space="preserve">Monitoring, traitement des anomalies et maintenance</w:t>
      </w:r>
    </w:p>
    <w:p>
      <w:pPr>
        <w:pBdr>
          <w:bottom w:val="single" w:color="C9A84C" w:sz="18" w:space="1"/>
        </w:pBdr>
        <w:spacing w:after="40" w:before="40"/>
      </w:pPr>
    </w:p>
    <w:p>
      <w:pPr>
        <w:spacing w:after="160" w:before="0" w:line="308"/>
        <w:jc w:val="both"/>
      </w:pPr>
      <w:r>
        <w:rPr>
          <w:b w:val="false"/>
          <w:bCs w:val="false"/>
          <w:i w:val="false"/>
          <w:iCs w:val="false"/>
          <w:sz w:val="22"/>
          <w:szCs w:val="22"/>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single" w:color="C9B98A" w:sz="4"/>
              <w:left w:val="single" w:color="C9B98A" w:sz="4"/>
              <w:bottom w:val="single" w:color="C9B98A" w:sz="4"/>
              <w:right w:val="single" w:color="C9B98A" w:sz="4"/>
            </w:tcBorders>
            <w:tcMar>
              <w:top w:type="dxa" w:w="50"/>
              <w:left w:type="dxa" w:w="50"/>
              <w:bottom w:type="dxa" w:w="50"/>
              <w:right w:type="dxa" w:w="50"/>
            </w:tcMar>
          </w:tcPr>
          <w:p>
            <w:pPr>
              <w:spacing w:after="0"/>
              <w:jc w:val="center"/>
            </w:pPr>
            <w:r>
              <w:drawing>
                <wp:inline distT="0" distB="0" distL="0" distR="0">
                  <wp:extent cx="5048250" cy="3152775"/>
                  <wp:effectExtent t="0" r="0" b="0" l="0"/>
                  <wp:docPr id="1" name="hero" descr="Tableau de bord d'administration" title="Admini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048250" cy="3152775"/>
                          </a:xfrm>
                          <a:prstGeom prst="rect">
                            <a:avLst/>
                          </a:prstGeom>
                        </pic:spPr>
                      </pic:pic>
                    </a:graphicData>
                  </a:graphic>
                </wp:inline>
              </w:drawing>
            </w:r>
          </w:p>
        </w:tc>
      </w:tr>
    </w:tbl>
    <w:p>
      <w:pPr>
        <w:spacing w:after="200" w:before="0" w:line="308"/>
        <w:jc w:val="both"/>
      </w:pPr>
      <w:r>
        <w:rPr>
          <w:b w:val="false"/>
          <w:bCs w:val="false"/>
          <w:i w:val="false"/>
          <w:iCs w:val="false"/>
          <w:sz w:val="22"/>
          <w:szCs w:val="22"/>
        </w:rPr>
        <w:t xml:space="preserve"/>
      </w:r>
    </w:p>
    <w:p>
      <w:pPr>
        <w:spacing w:after="30" w:before="0" w:line="240"/>
        <w:jc w:val="center"/>
      </w:pPr>
      <w:r>
        <w:rPr>
          <w:b/>
          <w:bCs/>
          <w:i w:val="false"/>
          <w:iCs w:val="false"/>
          <w:sz w:val="26"/>
          <w:szCs w:val="26"/>
        </w:rPr>
        <w:t xml:space="preserve">Pierre Saugues</w:t>
      </w:r>
    </w:p>
    <w:p>
      <w:pPr>
        <w:spacing w:after="30" w:before="0" w:line="240"/>
        <w:jc w:val="center"/>
      </w:pPr>
      <w:r>
        <w:rPr>
          <w:b w:val="false"/>
          <w:bCs w:val="false"/>
          <w:i w:val="false"/>
          <w:iCs w:val="false"/>
          <w:color w:val="5A4825"/>
          <w:sz w:val="20"/>
          <w:szCs w:val="20"/>
        </w:rPr>
        <w:t xml:space="preserve">Année 2025-2026 · Application en version 3.2.0 · Dossier v3 — juillet 2026</w:t>
      </w:r>
    </w:p>
    <w:p>
      <w:pPr>
        <w:spacing w:after="120" w:before="0" w:line="240"/>
        <w:jc w:val="center"/>
      </w:pPr>
      <w:r>
        <w:rPr>
          <w:b w:val="false"/>
          <w:bCs w:val="false"/>
          <w:i w:val="false"/>
          <w:iCs w:val="false"/>
          <w:color w:val="8B6914"/>
          <w:sz w:val="20"/>
          <w:szCs w:val="20"/>
        </w:rPr>
        <w:t xml:space="preserve">Code source : github.com/Perfweb-net/albion-helper</w:t>
      </w:r>
    </w:p>
    <w:p>
      <w:r>
        <w:br w:type="page"/>
      </w:r>
    </w:p>
    <w:p>
      <w:pPr>
        <w:spacing w:after="200" w:before="0" w:line="308"/>
        <w:jc w:val="left"/>
      </w:pPr>
      <w:r>
        <w:rPr>
          <w:b/>
          <w:bCs/>
          <w:i w:val="false"/>
          <w:iCs w:val="false"/>
          <w:color w:val="2D1A00"/>
          <w:sz w:val="32"/>
          <w:szCs w:val="32"/>
        </w:rPr>
        <w:t xml:space="preserve">Sommaire</w:t>
      </w:r>
    </w:p>
    <w:sdt>
      <w:sdtPr>
        <w:alias w:val="Sommaire"/>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Contexte et périmètre de la maintenance</w:t>
      </w:r>
    </w:p>
    <w:p>
      <w:pPr>
        <w:spacing w:after="120" w:before="0" w:line="308"/>
        <w:jc w:val="both"/>
      </w:pPr>
      <w:r>
        <w:rPr>
          <w:b w:val="false"/>
          <w:bCs w:val="false"/>
          <w:i w:val="false"/>
          <w:iCs w:val="false"/>
          <w:sz w:val="22"/>
          <w:szCs w:val="22"/>
        </w:rPr>
        <w:t xml:space="preserve">Albion Helper est une application web (frontend React servi en statique, API Symfony 7.4 LTS sur albion-back.perfweb.net, base PostgreSQL 16, VPS Nginx + PHP-FPM). Elle dépend d'un service externe — l'API publique d'Albion Online, un domaine par serveur de jeu — pour les données de joueurs, guildes, batailles et prix de marché. Cette typologie (application web + dépendance externe) détermine le dispositif de maintenance décrit ici : surveiller la disponibilité de l'API et de la base, surveiller la joignabilité du service externe, maintenir les dépendances à jour, consigner et corriger les anomalies en tirant profit de la chaîne d'intégration et de déploiement continus mise en place au Bloc 2.</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268"/>
        <w:gridCol w:w="2268"/>
        <w:gridCol w:w="2268"/>
        <w:gridCol w:w="2268"/>
      </w:tblGrid>
      <w:tr>
        <w:tc>
          <w:tcPr>
            <w:tcW w:type="dxa" w:w="2268"/>
            <w:tcBorders>
              <w:top w:val="single" w:color="8B6914" w:sz="12"/>
              <w:left w:val="none" w:color="FFFFFF" w:sz="0"/>
              <w:bottom w:val="single" w:color="8B6914" w:sz="12"/>
              <w:right w:val="none" w:color="FFFFFF" w:sz="0"/>
            </w:tcBorders>
            <w:tcMar>
              <w:top w:type="dxa" w:w="100"/>
              <w:left w:type="dxa" w:w="60"/>
              <w:bottom w:type="dxa" w:w="100"/>
              <w:right w:type="dxa" w:w="60"/>
            </w:tcMar>
          </w:tcPr>
          <w:p>
            <w:pPr>
              <w:spacing w:after="30"/>
              <w:jc w:val="center"/>
            </w:pPr>
            <w:r>
              <w:rPr>
                <w:b/>
                <w:bCs/>
                <w:color w:val="8B6914"/>
                <w:sz w:val="46"/>
                <w:szCs w:val="46"/>
              </w:rPr>
              <w:t xml:space="preserve">≥ 99 %</w:t>
            </w:r>
          </w:p>
          <w:p>
            <w:pPr>
              <w:spacing w:after="0"/>
              <w:jc w:val="center"/>
            </w:pPr>
            <w:r>
              <w:rPr>
                <w:color w:val="5A4825"/>
                <w:sz w:val="17"/>
                <w:szCs w:val="17"/>
              </w:rPr>
              <w:t xml:space="preserve">disponibilité cible de l'API</w:t>
            </w:r>
          </w:p>
        </w:tc>
        <w:tc>
          <w:tcPr>
            <w:tcW w:type="dxa" w:w="2268"/>
            <w:tcBorders>
              <w:top w:val="single" w:color="8B6914" w:sz="12"/>
              <w:left w:val="none" w:color="FFFFFF" w:sz="0"/>
              <w:bottom w:val="single" w:color="8B6914" w:sz="12"/>
              <w:right w:val="none" w:color="FFFFFF" w:sz="0"/>
            </w:tcBorders>
            <w:tcMar>
              <w:top w:type="dxa" w:w="100"/>
              <w:left w:type="dxa" w:w="60"/>
              <w:bottom w:type="dxa" w:w="100"/>
              <w:right w:type="dxa" w:w="60"/>
            </w:tcMar>
          </w:tcPr>
          <w:p>
            <w:pPr>
              <w:spacing w:after="30"/>
              <w:jc w:val="center"/>
            </w:pPr>
            <w:r>
              <w:rPr>
                <w:b/>
                <w:bCs/>
                <w:color w:val="8B6914"/>
                <w:sz w:val="46"/>
                <w:szCs w:val="46"/>
              </w:rPr>
              <w:t xml:space="preserve">≤ 5 min</w:t>
            </w:r>
          </w:p>
          <w:p>
            <w:pPr>
              <w:spacing w:after="0"/>
              <w:jc w:val="center"/>
            </w:pPr>
            <w:r>
              <w:rPr>
                <w:color w:val="5A4825"/>
                <w:sz w:val="17"/>
                <w:szCs w:val="17"/>
              </w:rPr>
              <w:t xml:space="preserve">délai de détection d'une panne</w:t>
            </w:r>
          </w:p>
        </w:tc>
        <w:tc>
          <w:tcPr>
            <w:tcW w:type="dxa" w:w="2268"/>
            <w:tcBorders>
              <w:top w:val="single" w:color="8B6914" w:sz="12"/>
              <w:left w:val="none" w:color="FFFFFF" w:sz="0"/>
              <w:bottom w:val="single" w:color="8B6914" w:sz="12"/>
              <w:right w:val="none" w:color="FFFFFF" w:sz="0"/>
            </w:tcBorders>
            <w:tcMar>
              <w:top w:type="dxa" w:w="100"/>
              <w:left w:type="dxa" w:w="60"/>
              <w:bottom w:type="dxa" w:w="100"/>
              <w:right w:type="dxa" w:w="60"/>
            </w:tcMar>
          </w:tcPr>
          <w:p>
            <w:pPr>
              <w:spacing w:after="30"/>
              <w:jc w:val="center"/>
            </w:pPr>
            <w:r>
              <w:rPr>
                <w:b/>
                <w:bCs/>
                <w:color w:val="8B6914"/>
                <w:sz w:val="46"/>
                <w:szCs w:val="46"/>
              </w:rPr>
              <w:t xml:space="preserve">173</w:t>
            </w:r>
          </w:p>
          <w:p>
            <w:pPr>
              <w:spacing w:after="0"/>
              <w:jc w:val="center"/>
            </w:pPr>
            <w:r>
              <w:rPr>
                <w:color w:val="5A4825"/>
                <w:sz w:val="17"/>
                <w:szCs w:val="17"/>
              </w:rPr>
              <w:t xml:space="preserve">tests bloquants avant déploiement</w:t>
            </w:r>
          </w:p>
        </w:tc>
        <w:tc>
          <w:tcPr>
            <w:tcW w:type="dxa" w:w="2268"/>
            <w:tcBorders>
              <w:top w:val="single" w:color="8B6914" w:sz="12"/>
              <w:left w:val="none" w:color="FFFFFF" w:sz="0"/>
              <w:bottom w:val="single" w:color="8B6914" w:sz="12"/>
              <w:right w:val="none" w:color="FFFFFF" w:sz="0"/>
            </w:tcBorders>
            <w:tcMar>
              <w:top w:type="dxa" w:w="100"/>
              <w:left w:type="dxa" w:w="60"/>
              <w:bottom w:type="dxa" w:w="100"/>
              <w:right w:type="dxa" w:w="60"/>
            </w:tcMar>
          </w:tcPr>
          <w:p>
            <w:pPr>
              <w:spacing w:after="30"/>
              <w:jc w:val="center"/>
            </w:pPr>
            <w:r>
              <w:rPr>
                <w:b/>
                <w:bCs/>
                <w:color w:val="8B6914"/>
                <w:sz w:val="46"/>
                <w:szCs w:val="46"/>
              </w:rPr>
              <w:t xml:space="preserve">16</w:t>
            </w:r>
          </w:p>
          <w:p>
            <w:pPr>
              <w:spacing w:after="0"/>
              <w:jc w:val="center"/>
            </w:pPr>
            <w:r>
              <w:rPr>
                <w:color w:val="5A4825"/>
                <w:sz w:val="17"/>
                <w:szCs w:val="17"/>
              </w:rPr>
              <w:t xml:space="preserve">anomalies tracées (BUG-001→016)</w:t>
            </w:r>
          </w:p>
        </w:tc>
      </w:tr>
    </w:tbl>
    <w:p>
      <w:pPr>
        <w:spacing w:after="40" w:before="0" w:line="308"/>
        <w:jc w:val="both"/>
      </w:pPr>
      <w:r>
        <w:rPr>
          <w:b w:val="false"/>
          <w:bCs w:val="false"/>
          <w:i w:val="false"/>
          <w:iCs w:val="false"/>
          <w:sz w:val="22"/>
          <w:szCs w:val="22"/>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985"/>
        <w:gridCol w:w="2835"/>
        <w:gridCol w:w="4252"/>
      </w:tblGrid>
      <w:tr>
        <w:trPr>
          <w:tblHeader/>
        </w:trPr>
        <w:tc>
          <w:tcPr>
            <w:tcW w:type="dxa" w:w="1985"/>
            <w:tcBorders>
              <w:top w:val="single" w:color="8B6914" w:sz="10"/>
              <w:left w:val="none" w:color="FFFFFF" w:sz="0"/>
              <w:bottom w:val="single" w:color="8B6914" w:sz="5"/>
              <w:right w:val="none" w:color="FFFFFF" w:sz="0"/>
            </w:tcBorders>
            <w:tcMar>
              <w:top w:type="dxa" w:w="55"/>
              <w:left w:type="dxa" w:w="60"/>
              <w:bottom w:type="dxa" w:w="55"/>
              <w:right w:type="dxa" w:w="110"/>
            </w:tcMar>
          </w:tcPr>
          <w:p>
            <w:pPr>
              <w:spacing w:after="0" w:line="264"/>
            </w:pPr>
            <w:r>
              <w:rPr>
                <w:b/>
                <w:bCs/>
                <w:color w:val="2D1A00"/>
                <w:sz w:val="18"/>
                <w:szCs w:val="18"/>
              </w:rPr>
              <w:t xml:space="preserve">Élément maintenu</w:t>
            </w:r>
          </w:p>
        </w:tc>
        <w:tc>
          <w:tcPr>
            <w:tcW w:type="dxa" w:w="2835"/>
            <w:tcBorders>
              <w:top w:val="single" w:color="8B6914" w:sz="10"/>
              <w:left w:val="none" w:color="FFFFFF" w:sz="0"/>
              <w:bottom w:val="single" w:color="8B6914" w:sz="5"/>
              <w:right w:val="none" w:color="FFFFFF" w:sz="0"/>
            </w:tcBorders>
            <w:tcMar>
              <w:top w:type="dxa" w:w="55"/>
              <w:left w:type="dxa" w:w="60"/>
              <w:bottom w:type="dxa" w:w="55"/>
              <w:right w:type="dxa" w:w="110"/>
            </w:tcMar>
          </w:tcPr>
          <w:p>
            <w:pPr>
              <w:spacing w:after="0" w:line="264"/>
            </w:pPr>
            <w:r>
              <w:rPr>
                <w:b/>
                <w:bCs/>
                <w:color w:val="2D1A00"/>
                <w:sz w:val="18"/>
                <w:szCs w:val="18"/>
              </w:rPr>
              <w:t xml:space="preserve">Risques principaux</w:t>
            </w:r>
          </w:p>
        </w:tc>
        <w:tc>
          <w:tcPr>
            <w:tcW w:type="dxa" w:w="4252"/>
            <w:tcBorders>
              <w:top w:val="single" w:color="8B6914" w:sz="10"/>
              <w:left w:val="none" w:color="FFFFFF" w:sz="0"/>
              <w:bottom w:val="single" w:color="8B6914" w:sz="5"/>
              <w:right w:val="none" w:color="FFFFFF" w:sz="0"/>
            </w:tcBorders>
            <w:tcMar>
              <w:top w:type="dxa" w:w="55"/>
              <w:left w:type="dxa" w:w="60"/>
              <w:bottom w:type="dxa" w:w="55"/>
              <w:right w:type="dxa" w:w="110"/>
            </w:tcMar>
          </w:tcPr>
          <w:p>
            <w:pPr>
              <w:spacing w:after="0" w:line="264"/>
            </w:pPr>
            <w:r>
              <w:rPr>
                <w:b/>
                <w:bCs/>
                <w:color w:val="2D1A00"/>
                <w:sz w:val="18"/>
                <w:szCs w:val="18"/>
              </w:rPr>
              <w:t xml:space="preserve">Dispositif</w:t>
            </w:r>
          </w:p>
        </w:tc>
      </w:tr>
      <w:tr>
        <w:tc>
          <w:tcPr>
            <w:tcW w:type="dxa" w:w="1985"/>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API Symfony + PostgreSQL</w:t>
            </w:r>
          </w:p>
        </w:tc>
        <w:tc>
          <w:tcPr>
            <w:tcW w:type="dxa" w:w="2835"/>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Indisponibilité, régression, faille de sécurité</w:t>
            </w:r>
          </w:p>
        </w:tc>
        <w:tc>
          <w:tcPr>
            <w:tcW w:type="dxa" w:w="4252"/>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Sondes /api/health, pipeline de tests bloquant, mises à jour de dépendances</w:t>
            </w:r>
          </w:p>
        </w:tc>
      </w:tr>
      <w:tr>
        <w:tc>
          <w:tcPr>
            <w:tcW w:type="dxa" w:w="1985"/>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Frontend React</w:t>
            </w:r>
          </w:p>
        </w:tc>
        <w:tc>
          <w:tcPr>
            <w:tcW w:type="dxa" w:w="2835"/>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Régression d'interface, dépendance vulnérable</w:t>
            </w:r>
          </w:p>
        </w:tc>
        <w:tc>
          <w:tcPr>
            <w:tcW w:type="dxa" w:w="4252"/>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121 tests Jest bloquants, npm audit, Dependabot</w:t>
            </w:r>
          </w:p>
        </w:tc>
      </w:tr>
      <w:tr>
        <w:tc>
          <w:tcPr>
            <w:tcW w:type="dxa" w:w="1985"/>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API Albion Online (externe)</w:t>
            </w:r>
          </w:p>
        </w:tc>
        <w:tc>
          <w:tcPr>
            <w:tcW w:type="dxa" w:w="2835"/>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Indisponibilité ou changement de contrat</w:t>
            </w:r>
          </w:p>
        </w:tc>
        <w:tc>
          <w:tcPr>
            <w:tcW w:type="dxa" w:w="4252"/>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Sonde dédiée dans /api/health, gestion d'erreur côté services</w:t>
            </w:r>
          </w:p>
        </w:tc>
      </w:tr>
      <w:tr>
        <w:tc>
          <w:tcPr>
            <w:tcW w:type="dxa" w:w="1985"/>
            <w:tcBorders>
              <w:top w:val="none" w:color="FFFFFF" w:sz="0"/>
              <w:left w:val="none" w:color="FFFFFF" w:sz="0"/>
              <w:bottom w:val="single" w:color="8B6914" w:sz="10"/>
              <w:right w:val="none" w:color="FFFFFF" w:sz="0"/>
            </w:tcBorders>
            <w:tcMar>
              <w:top w:type="dxa" w:w="55"/>
              <w:left w:type="dxa" w:w="60"/>
              <w:bottom w:type="dxa" w:w="55"/>
              <w:right w:type="dxa" w:w="110"/>
            </w:tcMar>
          </w:tcPr>
          <w:p>
            <w:pPr>
              <w:spacing w:after="0" w:line="264"/>
            </w:pPr>
            <w:r>
              <w:rPr>
                <w:b w:val="false"/>
                <w:bCs w:val="false"/>
                <w:sz w:val="18"/>
                <w:szCs w:val="18"/>
              </w:rPr>
              <w:t xml:space="preserve">Données (items, prix)</w:t>
            </w:r>
          </w:p>
        </w:tc>
        <w:tc>
          <w:tcPr>
            <w:tcW w:type="dxa" w:w="2835"/>
            <w:tcBorders>
              <w:top w:val="none" w:color="FFFFFF" w:sz="0"/>
              <w:left w:val="none" w:color="FFFFFF" w:sz="0"/>
              <w:bottom w:val="single" w:color="8B6914" w:sz="10"/>
              <w:right w:val="none" w:color="FFFFFF" w:sz="0"/>
            </w:tcBorders>
            <w:tcMar>
              <w:top w:type="dxa" w:w="55"/>
              <w:left w:type="dxa" w:w="60"/>
              <w:bottom w:type="dxa" w:w="55"/>
              <w:right w:type="dxa" w:w="110"/>
            </w:tcMar>
          </w:tcPr>
          <w:p>
            <w:pPr>
              <w:spacing w:after="0" w:line="264"/>
            </w:pPr>
            <w:r>
              <w:rPr>
                <w:b w:val="false"/>
                <w:bCs w:val="false"/>
                <w:sz w:val="18"/>
                <w:szCs w:val="18"/>
              </w:rPr>
              <w:t xml:space="preserve">Obsolescence</w:t>
            </w:r>
          </w:p>
        </w:tc>
        <w:tc>
          <w:tcPr>
            <w:tcW w:type="dxa" w:w="4252"/>
            <w:tcBorders>
              <w:top w:val="none" w:color="FFFFFF" w:sz="0"/>
              <w:left w:val="none" w:color="FFFFFF" w:sz="0"/>
              <w:bottom w:val="single" w:color="8B6914" w:sz="10"/>
              <w:right w:val="none" w:color="FFFFFF" w:sz="0"/>
            </w:tcBorders>
            <w:tcMar>
              <w:top w:type="dxa" w:w="55"/>
              <w:left w:type="dxa" w:w="60"/>
              <w:bottom w:type="dxa" w:w="55"/>
              <w:right w:type="dxa" w:w="110"/>
            </w:tcMar>
          </w:tcPr>
          <w:p>
            <w:pPr>
              <w:spacing w:after="0" w:line="264"/>
            </w:pPr>
            <w:r>
              <w:rPr>
                <w:b w:val="false"/>
                <w:bCs w:val="false"/>
                <w:sz w:val="18"/>
                <w:szCs w:val="18"/>
              </w:rPr>
              <w:t xml:space="preserve">Synchronisation depuis l'admin + script autonome</w:t>
            </w:r>
          </w:p>
        </w:tc>
      </w:tr>
    </w:tbl>
    <w:p>
      <w:pPr>
        <w:pStyle w:val="Heading2"/>
      </w:pPr>
      <w:r>
        <w:t xml:space="preserve">1.1 Rythme de maintenance</w:t>
      </w:r>
    </w:p>
    <w:p>
      <w:pPr>
        <w:spacing w:after="120" w:before="0" w:line="308"/>
        <w:jc w:val="both"/>
      </w:pPr>
      <w:r>
        <w:rPr>
          <w:b w:val="false"/>
          <w:bCs w:val="false"/>
          <w:i w:val="false"/>
          <w:iCs w:val="false"/>
          <w:sz w:val="22"/>
          <w:szCs w:val="22"/>
        </w:rPr>
        <w:t xml:space="preserve">La maintenance suit un rythme défini — les activités ne dépendent pas de la mémoire du mainteneur mais d'automatismes et de rendez-vous fixes :</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985"/>
        <w:gridCol w:w="4536"/>
        <w:gridCol w:w="2551"/>
      </w:tblGrid>
      <w:tr>
        <w:trPr>
          <w:tblHeader/>
        </w:trPr>
        <w:tc>
          <w:tcPr>
            <w:tcW w:type="dxa" w:w="1985"/>
            <w:tcBorders>
              <w:top w:val="single" w:color="8B6914" w:sz="10"/>
              <w:left w:val="none" w:color="FFFFFF" w:sz="0"/>
              <w:bottom w:val="single" w:color="8B6914" w:sz="5"/>
              <w:right w:val="none" w:color="FFFFFF" w:sz="0"/>
            </w:tcBorders>
            <w:tcMar>
              <w:top w:type="dxa" w:w="55"/>
              <w:left w:type="dxa" w:w="60"/>
              <w:bottom w:type="dxa" w:w="55"/>
              <w:right w:type="dxa" w:w="110"/>
            </w:tcMar>
          </w:tcPr>
          <w:p>
            <w:pPr>
              <w:spacing w:after="0" w:line="264"/>
            </w:pPr>
            <w:r>
              <w:rPr>
                <w:b/>
                <w:bCs/>
                <w:color w:val="2D1A00"/>
                <w:sz w:val="16"/>
                <w:szCs w:val="16"/>
              </w:rPr>
              <w:t xml:space="preserve">Fréquence</w:t>
            </w:r>
          </w:p>
        </w:tc>
        <w:tc>
          <w:tcPr>
            <w:tcW w:type="dxa" w:w="4536"/>
            <w:tcBorders>
              <w:top w:val="single" w:color="8B6914" w:sz="10"/>
              <w:left w:val="none" w:color="FFFFFF" w:sz="0"/>
              <w:bottom w:val="single" w:color="8B6914" w:sz="5"/>
              <w:right w:val="none" w:color="FFFFFF" w:sz="0"/>
            </w:tcBorders>
            <w:tcMar>
              <w:top w:type="dxa" w:w="55"/>
              <w:left w:type="dxa" w:w="60"/>
              <w:bottom w:type="dxa" w:w="55"/>
              <w:right w:type="dxa" w:w="110"/>
            </w:tcMar>
          </w:tcPr>
          <w:p>
            <w:pPr>
              <w:spacing w:after="0" w:line="264"/>
            </w:pPr>
            <w:r>
              <w:rPr>
                <w:b/>
                <w:bCs/>
                <w:color w:val="2D1A00"/>
                <w:sz w:val="16"/>
                <w:szCs w:val="16"/>
              </w:rPr>
              <w:t xml:space="preserve">Activité</w:t>
            </w:r>
          </w:p>
        </w:tc>
        <w:tc>
          <w:tcPr>
            <w:tcW w:type="dxa" w:w="2551"/>
            <w:tcBorders>
              <w:top w:val="single" w:color="8B6914" w:sz="10"/>
              <w:left w:val="none" w:color="FFFFFF" w:sz="0"/>
              <w:bottom w:val="single" w:color="8B6914" w:sz="5"/>
              <w:right w:val="none" w:color="FFFFFF" w:sz="0"/>
            </w:tcBorders>
            <w:tcMar>
              <w:top w:type="dxa" w:w="55"/>
              <w:left w:type="dxa" w:w="60"/>
              <w:bottom w:type="dxa" w:w="55"/>
              <w:right w:type="dxa" w:w="110"/>
            </w:tcMar>
          </w:tcPr>
          <w:p>
            <w:pPr>
              <w:spacing w:after="0" w:line="264"/>
            </w:pPr>
            <w:r>
              <w:rPr>
                <w:b/>
                <w:bCs/>
                <w:color w:val="2D1A00"/>
                <w:sz w:val="16"/>
                <w:szCs w:val="16"/>
              </w:rPr>
              <w:t xml:space="preserve">Déclencheur</w:t>
            </w:r>
          </w:p>
        </w:tc>
      </w:tr>
      <w:tr>
        <w:tc>
          <w:tcPr>
            <w:tcW w:type="dxa" w:w="1985"/>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Continue (à chaque push)</w:t>
            </w:r>
          </w:p>
        </w:tc>
        <w:tc>
          <w:tcPr>
            <w:tcW w:type="dxa" w:w="4536"/>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173 tests + lint bloquants</w:t>
            </w:r>
          </w:p>
        </w:tc>
        <w:tc>
          <w:tcPr>
            <w:tcW w:type="dxa" w:w="2551"/>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Pipeline GitHub Actions</w:t>
            </w:r>
          </w:p>
        </w:tc>
      </w:tr>
      <w:tr>
        <w:tc>
          <w:tcPr>
            <w:tcW w:type="dxa" w:w="1985"/>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Toutes les 5 minutes</w:t>
            </w:r>
          </w:p>
        </w:tc>
        <w:tc>
          <w:tcPr>
            <w:tcW w:type="dxa" w:w="4536"/>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Sondes de disponibilité (/api/health)</w:t>
            </w:r>
          </w:p>
        </w:tc>
        <w:tc>
          <w:tcPr>
            <w:tcW w:type="dxa" w:w="2551"/>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UptimeRobot + cron du VPS</w:t>
            </w:r>
          </w:p>
        </w:tc>
      </w:tr>
      <w:tr>
        <w:tc>
          <w:tcPr>
            <w:tcW w:type="dxa" w:w="1985"/>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Hebdomadaire (lundi)</w:t>
            </w:r>
          </w:p>
        </w:tc>
        <w:tc>
          <w:tcPr>
            <w:tcW w:type="dxa" w:w="4536"/>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Revue des PR Dependabot (composer, npm, actions)</w:t>
            </w:r>
          </w:p>
        </w:tc>
        <w:tc>
          <w:tcPr>
            <w:tcW w:type="dxa" w:w="2551"/>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PR automatiques</w:t>
            </w:r>
          </w:p>
        </w:tc>
      </w:tr>
      <w:tr>
        <w:tc>
          <w:tcPr>
            <w:tcW w:type="dxa" w:w="1985"/>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Immédiate</w:t>
            </w:r>
          </w:p>
        </w:tc>
        <w:tc>
          <w:tcPr>
            <w:tcW w:type="dxa" w:w="4536"/>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Advisory de sécurité critique ou élevée</w:t>
            </w:r>
          </w:p>
        </w:tc>
        <w:tc>
          <w:tcPr>
            <w:tcW w:type="dxa" w:w="2551"/>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Alerte GitHub Security</w:t>
            </w:r>
          </w:p>
        </w:tc>
      </w:tr>
      <w:tr>
        <w:tc>
          <w:tcPr>
            <w:tcW w:type="dxa" w:w="1985"/>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À chaque livraison</w:t>
            </w:r>
          </w:p>
        </w:tc>
        <w:tc>
          <w:tcPr>
            <w:tcW w:type="dxa" w:w="4536"/>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Recette des scénarios critiques + entrée CHANGELOG</w:t>
            </w:r>
          </w:p>
        </w:tc>
        <w:tc>
          <w:tcPr>
            <w:tcW w:type="dxa" w:w="2551"/>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Processus de release</w:t>
            </w:r>
          </w:p>
        </w:tc>
      </w:tr>
      <w:tr>
        <w:tc>
          <w:tcPr>
            <w:tcW w:type="dxa" w:w="1985"/>
            <w:tcBorders>
              <w:top w:val="none" w:color="FFFFFF" w:sz="0"/>
              <w:left w:val="none" w:color="FFFFFF" w:sz="0"/>
              <w:bottom w:val="single" w:color="8B6914" w:sz="10"/>
              <w:right w:val="none" w:color="FFFFFF" w:sz="0"/>
            </w:tcBorders>
            <w:tcMar>
              <w:top w:type="dxa" w:w="55"/>
              <w:left w:type="dxa" w:w="60"/>
              <w:bottom w:type="dxa" w:w="55"/>
              <w:right w:type="dxa" w:w="110"/>
            </w:tcMar>
          </w:tcPr>
          <w:p>
            <w:pPr>
              <w:spacing w:after="0" w:line="264"/>
            </w:pPr>
            <w:r>
              <w:rPr>
                <w:b w:val="false"/>
                <w:bCs w:val="false"/>
                <w:sz w:val="16"/>
                <w:szCs w:val="16"/>
              </w:rPr>
              <w:t xml:space="preserve">Trimestrielle</w:t>
            </w:r>
          </w:p>
        </w:tc>
        <w:tc>
          <w:tcPr>
            <w:tcW w:type="dxa" w:w="4536"/>
            <w:tcBorders>
              <w:top w:val="none" w:color="FFFFFF" w:sz="0"/>
              <w:left w:val="none" w:color="FFFFFF" w:sz="0"/>
              <w:bottom w:val="single" w:color="8B6914" w:sz="10"/>
              <w:right w:val="none" w:color="FFFFFF" w:sz="0"/>
            </w:tcBorders>
            <w:tcMar>
              <w:top w:type="dxa" w:w="55"/>
              <w:left w:type="dxa" w:w="60"/>
              <w:bottom w:type="dxa" w:w="55"/>
              <w:right w:type="dxa" w:w="110"/>
            </w:tcMar>
          </w:tcPr>
          <w:p>
            <w:pPr>
              <w:spacing w:after="0" w:line="264"/>
            </w:pPr>
            <w:r>
              <w:rPr>
                <w:b w:val="false"/>
                <w:bCs w:val="false"/>
                <w:sz w:val="16"/>
                <w:szCs w:val="16"/>
              </w:rPr>
              <w:t xml:space="preserve">Audit outillé complet (composer/npm audit, Lighthouse, axe-core)</w:t>
            </w:r>
          </w:p>
        </w:tc>
        <w:tc>
          <w:tcPr>
            <w:tcW w:type="dxa" w:w="2551"/>
            <w:tcBorders>
              <w:top w:val="none" w:color="FFFFFF" w:sz="0"/>
              <w:left w:val="none" w:color="FFFFFF" w:sz="0"/>
              <w:bottom w:val="single" w:color="8B6914" w:sz="10"/>
              <w:right w:val="none" w:color="FFFFFF" w:sz="0"/>
            </w:tcBorders>
            <w:tcMar>
              <w:top w:type="dxa" w:w="55"/>
              <w:left w:type="dxa" w:w="60"/>
              <w:bottom w:type="dxa" w:w="55"/>
              <w:right w:type="dxa" w:w="110"/>
            </w:tcMar>
          </w:tcPr>
          <w:p>
            <w:pPr>
              <w:spacing w:after="0" w:line="264"/>
            </w:pPr>
            <w:r>
              <w:rPr>
                <w:b w:val="false"/>
                <w:bCs w:val="false"/>
                <w:sz w:val="16"/>
                <w:szCs w:val="16"/>
              </w:rPr>
              <w:t xml:space="preserve">Calendrier</w:t>
            </w:r>
          </w:p>
        </w:tc>
      </w:tr>
    </w:tbl>
    <w:p>
      <w:pPr>
        <w:pStyle w:val="Heading1"/>
      </w:pPr>
      <w:r>
        <w:t xml:space="preserve">2. Processus de mise à jour des dépendances</w:t>
      </w:r>
    </w:p>
    <w:p>
      <w:pPr>
        <w:pStyle w:val="Heading2"/>
      </w:pPr>
      <w:r>
        <w:t xml:space="preserve">2.1 Processus</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701"/>
        <w:gridCol w:w="7371"/>
      </w:tblGrid>
      <w:tr>
        <w:trPr>
          <w:tblHeader/>
        </w:trPr>
        <w:tc>
          <w:tcPr>
            <w:tcW w:type="dxa" w:w="1701"/>
            <w:tcBorders>
              <w:top w:val="single" w:color="8B6914" w:sz="10"/>
              <w:left w:val="none" w:color="FFFFFF" w:sz="0"/>
              <w:bottom w:val="single" w:color="8B6914" w:sz="5"/>
              <w:right w:val="none" w:color="FFFFFF" w:sz="0"/>
            </w:tcBorders>
            <w:tcMar>
              <w:top w:type="dxa" w:w="55"/>
              <w:left w:type="dxa" w:w="60"/>
              <w:bottom w:type="dxa" w:w="55"/>
              <w:right w:type="dxa" w:w="110"/>
            </w:tcMar>
          </w:tcPr>
          <w:p>
            <w:pPr>
              <w:spacing w:after="0" w:line="264"/>
            </w:pPr>
            <w:r>
              <w:rPr>
                <w:b/>
                <w:bCs/>
                <w:color w:val="2D1A00"/>
                <w:sz w:val="18"/>
                <w:szCs w:val="18"/>
              </w:rPr>
              <w:t xml:space="preserve">Question</w:t>
            </w:r>
          </w:p>
        </w:tc>
        <w:tc>
          <w:tcPr>
            <w:tcW w:type="dxa" w:w="7371"/>
            <w:tcBorders>
              <w:top w:val="single" w:color="8B6914" w:sz="10"/>
              <w:left w:val="none" w:color="FFFFFF" w:sz="0"/>
              <w:bottom w:val="single" w:color="8B6914" w:sz="5"/>
              <w:right w:val="none" w:color="FFFFFF" w:sz="0"/>
            </w:tcBorders>
            <w:tcMar>
              <w:top w:type="dxa" w:w="55"/>
              <w:left w:type="dxa" w:w="60"/>
              <w:bottom w:type="dxa" w:w="55"/>
              <w:right w:type="dxa" w:w="110"/>
            </w:tcMar>
          </w:tcPr>
          <w:p>
            <w:pPr>
              <w:spacing w:after="0" w:line="264"/>
            </w:pPr>
            <w:r>
              <w:rPr>
                <w:b/>
                <w:bCs/>
                <w:color w:val="2D1A00"/>
                <w:sz w:val="18"/>
                <w:szCs w:val="18"/>
              </w:rPr>
              <w:t xml:space="preserve">Réponse</w:t>
            </w:r>
          </w:p>
        </w:tc>
      </w:tr>
      <w:tr>
        <w:tc>
          <w:tcPr>
            <w:tcW w:type="dxa" w:w="1701"/>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Périmètre logiciel</w:t>
            </w:r>
          </w:p>
        </w:tc>
        <w:tc>
          <w:tcPr>
            <w:tcW w:type="dxa" w:w="7371"/>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Backend : packages composer (Symfony, Doctrine, bundles JWT/CORS). Frontend : packages npm (React, MUI, axios, chaîne de build). CI : actions GitHub.</w:t>
            </w:r>
          </w:p>
        </w:tc>
      </w:tr>
      <w:tr>
        <w:tc>
          <w:tcPr>
            <w:tcW w:type="dxa" w:w="1701"/>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Fréquence</w:t>
            </w:r>
          </w:p>
        </w:tc>
        <w:tc>
          <w:tcPr>
            <w:tcW w:type="dxa" w:w="7371"/>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Hebdomadaire (PR automatiques Dependabot, revues le lundi) + immédiate en cas d'advisory critique ou élevée (alerte GitHub Security).</w:t>
            </w:r>
          </w:p>
        </w:tc>
      </w:tr>
      <w:tr>
        <w:tc>
          <w:tcPr>
            <w:tcW w:type="dxa" w:w="1701"/>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Type de mise à jour</w:t>
            </w:r>
          </w:p>
        </w:tc>
        <w:tc>
          <w:tcPr>
            <w:tcW w:type="dxa" w:w="7371"/>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Automatique pour la détection (Dependabot ouvre les PR) ; manuelle pour la validation : chaque PR passe le pipeline complet (173 tests) avant fusion. Aucune mise à jour n'atteint la production sans tests verts.</w:t>
            </w:r>
          </w:p>
        </w:tc>
      </w:tr>
      <w:tr>
        <w:tc>
          <w:tcPr>
            <w:tcW w:type="dxa" w:w="1701"/>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Outils</w:t>
            </w:r>
          </w:p>
        </w:tc>
        <w:tc>
          <w:tcPr>
            <w:tcW w:type="dxa" w:w="7371"/>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Dependabot (.github/dependabot.yml : composer, npm, github-actions) ; composer audit / composer outdated ; npm audit ; pipeline GitHub Actions.</w:t>
            </w:r>
          </w:p>
        </w:tc>
      </w:tr>
      <w:tr>
        <w:tc>
          <w:tcPr>
            <w:tcW w:type="dxa" w:w="1701"/>
            <w:tcBorders>
              <w:top w:val="none" w:color="FFFFFF" w:sz="0"/>
              <w:left w:val="none" w:color="FFFFFF" w:sz="0"/>
              <w:bottom w:val="single" w:color="8B6914" w:sz="10"/>
              <w:right w:val="none" w:color="FFFFFF" w:sz="0"/>
            </w:tcBorders>
            <w:tcMar>
              <w:top w:type="dxa" w:w="55"/>
              <w:left w:type="dxa" w:w="60"/>
              <w:bottom w:type="dxa" w:w="55"/>
              <w:right w:type="dxa" w:w="110"/>
            </w:tcMar>
          </w:tcPr>
          <w:p>
            <w:pPr>
              <w:spacing w:after="0" w:line="264"/>
            </w:pPr>
            <w:r>
              <w:rPr>
                <w:b w:val="false"/>
                <w:bCs w:val="false"/>
                <w:sz w:val="18"/>
                <w:szCs w:val="18"/>
              </w:rPr>
              <w:t xml:space="preserve">Critères de décision</w:t>
            </w:r>
          </w:p>
        </w:tc>
        <w:tc>
          <w:tcPr>
            <w:tcW w:type="dxa" w:w="7371"/>
            <w:tcBorders>
              <w:top w:val="none" w:color="FFFFFF" w:sz="0"/>
              <w:left w:val="none" w:color="FFFFFF" w:sz="0"/>
              <w:bottom w:val="single" w:color="8B6914" w:sz="10"/>
              <w:right w:val="none" w:color="FFFFFF" w:sz="0"/>
            </w:tcBorders>
            <w:tcMar>
              <w:top w:type="dxa" w:w="55"/>
              <w:left w:type="dxa" w:w="60"/>
              <w:bottom w:type="dxa" w:w="55"/>
              <w:right w:type="dxa" w:w="110"/>
            </w:tcMar>
          </w:tcPr>
          <w:p>
            <w:pPr>
              <w:spacing w:after="0" w:line="264"/>
            </w:pPr>
            <w:r>
              <w:rPr>
                <w:b w:val="false"/>
                <w:bCs w:val="false"/>
                <w:sz w:val="18"/>
                <w:szCs w:val="18"/>
              </w:rPr>
              <w:t xml:space="preserve">Advisory critique/élevée : traitement immédiat. Mineure/patch : lot hebdomadaire. Mise à jour majeure : planifiée avec lecture des notes de version et passage complet de la recette.</w:t>
            </w:r>
          </w:p>
        </w:tc>
      </w:tr>
    </w:tbl>
    <w:p>
      <w:pPr>
        <w:spacing w:after="120" w:before="60" w:line="308"/>
        <w:jc w:val="both"/>
      </w:pPr>
      <w:r>
        <w:rPr>
          <w:b w:val="false"/>
          <w:bCs w:val="false"/>
          <w:i w:val="false"/>
          <w:iCs w:val="false"/>
          <w:sz w:val="22"/>
          <w:szCs w:val="22"/>
        </w:rPr>
        <w:t xml:space="preserve">Configuration réelle de la détection automatique (extrait de .github/dependabot.yml) :</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single" w:color="E0D5BB" w:sz="2"/>
              <w:left w:val="single" w:color="E0D5BB" w:sz="2"/>
              <w:bottom w:val="single" w:color="E0D5BB" w:sz="2"/>
              <w:right w:val="single" w:color="E0D5BB" w:sz="2"/>
            </w:tcBorders>
            <w:shd w:fill="FAF6EC" w:val="clear"/>
            <w:tcMar>
              <w:top w:type="dxa" w:w="90"/>
              <w:left w:type="dxa" w:w="140"/>
              <w:bottom w:type="dxa" w:w="90"/>
              <w:right w:type="dxa" w:w="140"/>
            </w:tcMar>
          </w:tcPr>
          <w:p>
            <w:pPr>
              <w:spacing w:after="0" w:line="230"/>
            </w:pPr>
            <w:r>
              <w:rPr>
                <w:rFonts w:ascii="Courier New" w:cs="Courier New" w:eastAsia="Courier New" w:hAnsi="Courier New"/>
                <w:color w:val="3A2E15"/>
                <w:sz w:val="16"/>
                <w:szCs w:val="16"/>
              </w:rPr>
              <w:t xml:space="preserve">updates:</w:t>
            </w:r>
          </w:p>
          <w:p>
            <w:pPr>
              <w:spacing w:after="0" w:line="230"/>
            </w:pPr>
            <w:r>
              <w:rPr>
                <w:rFonts w:ascii="Courier New" w:cs="Courier New" w:eastAsia="Courier New" w:hAnsi="Courier New"/>
                <w:color w:val="3A2E15"/>
                <w:sz w:val="16"/>
                <w:szCs w:val="16"/>
              </w:rPr>
              <w:t xml:space="preserve">  - package-ecosystem: "composer"        # backend</w:t>
            </w:r>
          </w:p>
          <w:p>
            <w:pPr>
              <w:spacing w:after="0" w:line="230"/>
            </w:pPr>
            <w:r>
              <w:rPr>
                <w:rFonts w:ascii="Courier New" w:cs="Courier New" w:eastAsia="Courier New" w:hAnsi="Courier New"/>
                <w:color w:val="3A2E15"/>
                <w:sz w:val="16"/>
                <w:szCs w:val="16"/>
              </w:rPr>
              <w:t xml:space="preserve">    directory: "/back"</w:t>
            </w:r>
          </w:p>
          <w:p>
            <w:pPr>
              <w:spacing w:after="0" w:line="230"/>
            </w:pPr>
            <w:r>
              <w:rPr>
                <w:rFonts w:ascii="Courier New" w:cs="Courier New" w:eastAsia="Courier New" w:hAnsi="Courier New"/>
                <w:color w:val="3A2E15"/>
                <w:sz w:val="16"/>
                <w:szCs w:val="16"/>
              </w:rPr>
              <w:t xml:space="preserve">    schedule: { interval: "weekly" }</w:t>
            </w:r>
          </w:p>
          <w:p>
            <w:pPr>
              <w:spacing w:after="0" w:line="230"/>
            </w:pPr>
            <w:r>
              <w:rPr>
                <w:rFonts w:ascii="Courier New" w:cs="Courier New" w:eastAsia="Courier New" w:hAnsi="Courier New"/>
                <w:color w:val="3A2E15"/>
                <w:sz w:val="16"/>
                <w:szCs w:val="16"/>
              </w:rPr>
              <w:t xml:space="preserve">    open-pull-requests-limit: 5</w:t>
            </w:r>
          </w:p>
          <w:p>
            <w:pPr>
              <w:spacing w:after="0" w:line="230"/>
            </w:pPr>
            <w:r>
              <w:rPr>
                <w:rFonts w:ascii="Courier New" w:cs="Courier New" w:eastAsia="Courier New" w:hAnsi="Courier New"/>
                <w:color w:val="3A2E15"/>
                <w:sz w:val="16"/>
                <w:szCs w:val="16"/>
              </w:rPr>
              <w:t xml:space="preserve">  - package-ecosystem: "npm"             # frontend</w:t>
            </w:r>
          </w:p>
          <w:p>
            <w:pPr>
              <w:spacing w:after="0" w:line="230"/>
            </w:pPr>
            <w:r>
              <w:rPr>
                <w:rFonts w:ascii="Courier New" w:cs="Courier New" w:eastAsia="Courier New" w:hAnsi="Courier New"/>
                <w:color w:val="3A2E15"/>
                <w:sz w:val="16"/>
                <w:szCs w:val="16"/>
              </w:rPr>
              <w:t xml:space="preserve">    directory: "/front"</w:t>
            </w:r>
          </w:p>
          <w:p>
            <w:pPr>
              <w:spacing w:after="0" w:line="230"/>
            </w:pPr>
            <w:r>
              <w:rPr>
                <w:rFonts w:ascii="Courier New" w:cs="Courier New" w:eastAsia="Courier New" w:hAnsi="Courier New"/>
                <w:color w:val="3A2E15"/>
                <w:sz w:val="16"/>
                <w:szCs w:val="16"/>
              </w:rPr>
              <w:t xml:space="preserve">    schedule: { interval: "weekly" }</w:t>
            </w:r>
          </w:p>
          <w:p>
            <w:pPr>
              <w:spacing w:after="0" w:line="230"/>
            </w:pPr>
            <w:r>
              <w:rPr>
                <w:rFonts w:ascii="Courier New" w:cs="Courier New" w:eastAsia="Courier New" w:hAnsi="Courier New"/>
                <w:color w:val="3A2E15"/>
                <w:sz w:val="16"/>
                <w:szCs w:val="16"/>
              </w:rPr>
              <w:t xml:space="preserve">  - package-ecosystem: "github-actions"  # chaîne CI elle-même</w:t>
            </w:r>
          </w:p>
          <w:p>
            <w:pPr>
              <w:spacing w:after="0" w:line="230"/>
            </w:pPr>
            <w:r>
              <w:rPr>
                <w:rFonts w:ascii="Courier New" w:cs="Courier New" w:eastAsia="Courier New" w:hAnsi="Courier New"/>
                <w:color w:val="3A2E15"/>
                <w:sz w:val="16"/>
                <w:szCs w:val="16"/>
              </w:rPr>
              <w:t xml:space="preserve">    schedule: { interval: "monthly" }</w:t>
            </w:r>
          </w:p>
        </w:tc>
      </w:tr>
    </w:tbl>
    <w:p>
      <w:pPr>
        <w:spacing w:after="180" w:before="50"/>
        <w:jc w:val="left"/>
      </w:pPr>
      <w:r>
        <w:rPr>
          <w:i/>
          <w:iCs/>
          <w:color w:val="5A4825"/>
          <w:sz w:val="18"/>
          <w:szCs w:val="18"/>
        </w:rPr>
        <w:t xml:space="preserve">Trois écosystèmes couverts — y compris les actions du pipeline, souvent oubliées.</w:t>
      </w:r>
    </w:p>
    <w:p>
      <w:pPr>
        <w:pStyle w:val="Heading2"/>
      </w:pPr>
      <w:r>
        <w:t xml:space="preserve">2.2 Exemple réel : sortie d'une branche en fin de vie</w:t>
      </w:r>
    </w:p>
    <w:p>
      <w:pPr>
        <w:spacing w:after="120" w:before="0" w:line="308"/>
        <w:jc w:val="both"/>
      </w:pPr>
      <w:r>
        <w:rPr>
          <w:b w:val="false"/>
          <w:bCs w:val="false"/>
          <w:i w:val="false"/>
          <w:iCs w:val="false"/>
          <w:sz w:val="22"/>
          <w:szCs w:val="22"/>
        </w:rPr>
        <w:t xml:space="preserve">Le 12/06/2026, composer audit remontait 36 advisories touchant 13 packages, dont CVE-2025-64500 (sévérité élevée : contournement partiel d'autorisation via l'analyse du PATH_INFO dans symfony/http-foundation — directement pertinent pour une API protégée par access_control). La branche Symfony 7.2 étant en fin de vie (plus de correctifs de sécurité), le traitement a été :</w:t>
      </w:r>
    </w:p>
    <w:p>
      <w:pPr>
        <w:pStyle w:val="ListParagraph"/>
        <w:numPr>
          <w:ilvl w:val="0"/>
          <w:numId w:val="2"/>
        </w:numPr>
        <w:spacing w:after="70" w:line="308"/>
        <w:jc w:val="both"/>
      </w:pPr>
      <w:r>
        <w:rPr>
          <w:sz w:val="22"/>
          <w:szCs w:val="22"/>
        </w:rPr>
        <w:t xml:space="preserve">Migration des contraintes composer de 7.2.* vers 7.4.* (version LTS maintenue jusqu'en 2028) ;</w:t>
      </w:r>
    </w:p>
    <w:p>
      <w:pPr>
        <w:pStyle w:val="ListParagraph"/>
        <w:numPr>
          <w:ilvl w:val="0"/>
          <w:numId w:val="2"/>
        </w:numPr>
        <w:spacing w:after="70" w:line="308"/>
        <w:jc w:val="both"/>
      </w:pPr>
      <w:r>
        <w:rPr>
          <w:sz w:val="22"/>
          <w:szCs w:val="22"/>
        </w:rPr>
        <w:t xml:space="preserve">composer update « symfony/* » puis exécution complète de la suite de tests de l'époque : 18/18 verts ;</w:t>
      </w:r>
    </w:p>
    <w:p>
      <w:pPr>
        <w:pStyle w:val="ListParagraph"/>
        <w:numPr>
          <w:ilvl w:val="0"/>
          <w:numId w:val="2"/>
        </w:numPr>
        <w:spacing w:after="70" w:line="308"/>
        <w:jc w:val="both"/>
      </w:pPr>
      <w:r>
        <w:rPr>
          <w:sz w:val="22"/>
          <w:szCs w:val="22"/>
        </w:rPr>
        <w:t xml:space="preserve">Correction d'une dépréciation détectée par les tests (RateLimiterFactoryInterface) ;</w:t>
      </w:r>
    </w:p>
    <w:p>
      <w:pPr>
        <w:pStyle w:val="ListParagraph"/>
        <w:numPr>
          <w:ilvl w:val="0"/>
          <w:numId w:val="2"/>
        </w:numPr>
        <w:spacing w:after="70" w:line="308"/>
        <w:jc w:val="both"/>
      </w:pPr>
      <w:r>
        <w:rPr>
          <w:sz w:val="22"/>
          <w:szCs w:val="22"/>
        </w:rPr>
        <w:t xml:space="preserve">Vérification finale : composer audit → 0 advisory ; côté front, axios 1.7.9 → 1.17.0 (advisory élevée corrigée) ;</w:t>
      </w:r>
    </w:p>
    <w:p>
      <w:pPr>
        <w:pStyle w:val="ListParagraph"/>
        <w:numPr>
          <w:ilvl w:val="0"/>
          <w:numId w:val="2"/>
        </w:numPr>
        <w:spacing w:after="70" w:line="308"/>
        <w:jc w:val="both"/>
      </w:pPr>
      <w:r>
        <w:rPr>
          <w:sz w:val="22"/>
          <w:szCs w:val="22"/>
        </w:rPr>
        <w:t xml:space="preserve">Entrée au journal des versions (v2.1.0) et livraison via le pipeline.</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single" w:color="E0D5BB" w:sz="2"/>
              <w:left w:val="single" w:color="E0D5BB" w:sz="2"/>
              <w:bottom w:val="single" w:color="E0D5BB" w:sz="2"/>
              <w:right w:val="single" w:color="E0D5BB" w:sz="2"/>
            </w:tcBorders>
            <w:shd w:fill="FAF6EC" w:val="clear"/>
            <w:tcMar>
              <w:top w:type="dxa" w:w="90"/>
              <w:left w:type="dxa" w:w="140"/>
              <w:bottom w:type="dxa" w:w="90"/>
              <w:right w:type="dxa" w:w="140"/>
            </w:tcMar>
          </w:tcPr>
          <w:p>
            <w:pPr>
              <w:spacing w:after="0" w:line="230"/>
            </w:pPr>
            <w:r>
              <w:rPr>
                <w:rFonts w:ascii="Courier New" w:cs="Courier New" w:eastAsia="Courier New" w:hAnsi="Courier New"/>
                <w:color w:val="3A2E15"/>
                <w:sz w:val="16"/>
                <w:szCs w:val="16"/>
              </w:rPr>
              <w:t xml:space="preserve">$ cd back &amp;&amp; composer audit          # vérification du 15/07/2026</w:t>
            </w:r>
          </w:p>
          <w:p>
            <w:pPr>
              <w:spacing w:after="0" w:line="230"/>
            </w:pPr>
            <w:r>
              <w:rPr>
                <w:rFonts w:ascii="Courier New" w:cs="Courier New" w:eastAsia="Courier New" w:hAnsi="Courier New"/>
                <w:color w:val="3A2E15"/>
                <w:sz w:val="16"/>
                <w:szCs w:val="16"/>
              </w:rPr>
              <w:t xml:space="preserve">No security vulnerability advisories found.</w:t>
            </w:r>
          </w:p>
        </w:tc>
      </w:tr>
    </w:tbl>
    <w:p>
      <w:pPr>
        <w:spacing w:after="120" w:before="0" w:line="308"/>
        <w:jc w:val="both"/>
      </w:pPr>
      <w:r>
        <w:rPr>
          <w:b w:val="false"/>
          <w:bCs w:val="false"/>
          <w:i w:val="false"/>
          <w:iCs w:val="false"/>
          <w:sz w:val="22"/>
          <w:szCs w:val="22"/>
        </w:rPr>
        <w:t xml:space="preserve">npm audit signale encore des vulnérabilités dans la chaîne de build react-scripts (outillage de développement uniquement, jamais exécuté en production). Risque accepté et tracé ; la sortie de Create React App fait partie des recommandations (§7).</w:t>
      </w:r>
    </w:p>
    <w:p>
      <w:pPr>
        <w:pStyle w:val="Heading1"/>
      </w:pPr>
      <w:r>
        <w:t xml:space="preserve">3. Système de supervision et d'alerte</w:t>
      </w:r>
    </w:p>
    <w:p>
      <w:pPr>
        <w:pStyle w:val="Heading2"/>
      </w:pPr>
      <w:r>
        <w:t xml:space="preserve">3.1 Périmètre et indicateurs</w:t>
      </w:r>
    </w:p>
    <w:p>
      <w:pPr>
        <w:spacing w:after="120" w:before="0" w:line="308"/>
        <w:jc w:val="both"/>
      </w:pPr>
      <w:r>
        <w:rPr>
          <w:b w:val="false"/>
          <w:bCs w:val="false"/>
          <w:i w:val="false"/>
          <w:iCs w:val="false"/>
          <w:sz w:val="22"/>
          <w:szCs w:val="22"/>
        </w:rPr>
        <w:t xml:space="preserve">Le périmètre supervisé couvre les trois maillons dont dépend le service rendu : l'API applicative, la base de données et le service externe Albion Online. Les indicateurs retenus sont mesurables et adaptés à une application web communautaire :</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3402"/>
        <w:gridCol w:w="1701"/>
        <w:gridCol w:w="3969"/>
      </w:tblGrid>
      <w:tr>
        <w:trPr>
          <w:tblHeader/>
        </w:trPr>
        <w:tc>
          <w:tcPr>
            <w:tcW w:type="dxa" w:w="3402"/>
            <w:tcBorders>
              <w:top w:val="single" w:color="8B6914" w:sz="10"/>
              <w:left w:val="none" w:color="FFFFFF" w:sz="0"/>
              <w:bottom w:val="single" w:color="8B6914" w:sz="5"/>
              <w:right w:val="none" w:color="FFFFFF" w:sz="0"/>
            </w:tcBorders>
            <w:tcMar>
              <w:top w:type="dxa" w:w="55"/>
              <w:left w:type="dxa" w:w="60"/>
              <w:bottom w:type="dxa" w:w="55"/>
              <w:right w:type="dxa" w:w="110"/>
            </w:tcMar>
          </w:tcPr>
          <w:p>
            <w:pPr>
              <w:spacing w:after="0" w:line="264"/>
            </w:pPr>
            <w:r>
              <w:rPr>
                <w:b/>
                <w:bCs/>
                <w:color w:val="2D1A00"/>
                <w:sz w:val="18"/>
                <w:szCs w:val="18"/>
              </w:rPr>
              <w:t xml:space="preserve">Indicateur</w:t>
            </w:r>
          </w:p>
        </w:tc>
        <w:tc>
          <w:tcPr>
            <w:tcW w:type="dxa" w:w="1701"/>
            <w:tcBorders>
              <w:top w:val="single" w:color="8B6914" w:sz="10"/>
              <w:left w:val="none" w:color="FFFFFF" w:sz="0"/>
              <w:bottom w:val="single" w:color="8B6914" w:sz="5"/>
              <w:right w:val="none" w:color="FFFFFF" w:sz="0"/>
            </w:tcBorders>
            <w:tcMar>
              <w:top w:type="dxa" w:w="55"/>
              <w:left w:type="dxa" w:w="60"/>
              <w:bottom w:type="dxa" w:w="55"/>
              <w:right w:type="dxa" w:w="110"/>
            </w:tcMar>
          </w:tcPr>
          <w:p>
            <w:pPr>
              <w:spacing w:after="0" w:line="264"/>
            </w:pPr>
            <w:r>
              <w:rPr>
                <w:b/>
                <w:bCs/>
                <w:color w:val="2D1A00"/>
                <w:sz w:val="18"/>
                <w:szCs w:val="18"/>
              </w:rPr>
              <w:t xml:space="preserve">Cible</w:t>
            </w:r>
          </w:p>
        </w:tc>
        <w:tc>
          <w:tcPr>
            <w:tcW w:type="dxa" w:w="3969"/>
            <w:tcBorders>
              <w:top w:val="single" w:color="8B6914" w:sz="10"/>
              <w:left w:val="none" w:color="FFFFFF" w:sz="0"/>
              <w:bottom w:val="single" w:color="8B6914" w:sz="5"/>
              <w:right w:val="none" w:color="FFFFFF" w:sz="0"/>
            </w:tcBorders>
            <w:tcMar>
              <w:top w:type="dxa" w:w="55"/>
              <w:left w:type="dxa" w:w="60"/>
              <w:bottom w:type="dxa" w:w="55"/>
              <w:right w:type="dxa" w:w="110"/>
            </w:tcMar>
          </w:tcPr>
          <w:p>
            <w:pPr>
              <w:spacing w:after="0" w:line="264"/>
            </w:pPr>
            <w:r>
              <w:rPr>
                <w:b/>
                <w:bCs/>
                <w:color w:val="2D1A00"/>
                <w:sz w:val="18"/>
                <w:szCs w:val="18"/>
              </w:rPr>
              <w:t xml:space="preserve">Mesure</w:t>
            </w:r>
          </w:p>
        </w:tc>
      </w:tr>
      <w:tr>
        <w:tc>
          <w:tcPr>
            <w:tcW w:type="dxa" w:w="3402"/>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Disponibilité mensuelle de l'API</w:t>
            </w:r>
          </w:p>
        </w:tc>
        <w:tc>
          <w:tcPr>
            <w:tcW w:type="dxa" w:w="1701"/>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 99 %</w:t>
            </w:r>
          </w:p>
        </w:tc>
        <w:tc>
          <w:tcPr>
            <w:tcW w:type="dxa" w:w="3969"/>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UptimeRobot (uptime mensuel)</w:t>
            </w:r>
          </w:p>
        </w:tc>
      </w:tr>
      <w:tr>
        <w:tc>
          <w:tcPr>
            <w:tcW w:type="dxa" w:w="3402"/>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Temps de réponse de /api/health</w:t>
            </w:r>
          </w:p>
        </w:tc>
        <w:tc>
          <w:tcPr>
            <w:tcW w:type="dxa" w:w="1701"/>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&lt; 1 seconde</w:t>
            </w:r>
          </w:p>
        </w:tc>
        <w:tc>
          <w:tcPr>
            <w:tcW w:type="dxa" w:w="3969"/>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UptimeRobot (graphique de latence)</w:t>
            </w:r>
          </w:p>
        </w:tc>
      </w:tr>
      <w:tr>
        <w:tc>
          <w:tcPr>
            <w:tcW w:type="dxa" w:w="3402"/>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Délai de détection d'une panne</w:t>
            </w:r>
          </w:p>
        </w:tc>
        <w:tc>
          <w:tcPr>
            <w:tcW w:type="dxa" w:w="1701"/>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 5 minutes</w:t>
            </w:r>
          </w:p>
        </w:tc>
        <w:tc>
          <w:tcPr>
            <w:tcW w:type="dxa" w:w="3969"/>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Fréquence des sondes (5 min)</w:t>
            </w:r>
          </w:p>
        </w:tc>
      </w:tr>
      <w:tr>
        <w:tc>
          <w:tcPr>
            <w:tcW w:type="dxa" w:w="3402"/>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Taux d'erreurs 5xx</w:t>
            </w:r>
          </w:p>
        </w:tc>
        <w:tc>
          <w:tcPr>
            <w:tcW w:type="dxa" w:w="1701"/>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&lt; 1 % des requêtes</w:t>
            </w:r>
          </w:p>
        </w:tc>
        <w:tc>
          <w:tcPr>
            <w:tcW w:type="dxa" w:w="3969"/>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Journaux Nginx + canal Monolog incident</w:t>
            </w:r>
          </w:p>
        </w:tc>
      </w:tr>
      <w:tr>
        <w:tc>
          <w:tcPr>
            <w:tcW w:type="dxa" w:w="3402"/>
            <w:tcBorders>
              <w:top w:val="none" w:color="FFFFFF" w:sz="0"/>
              <w:left w:val="none" w:color="FFFFFF" w:sz="0"/>
              <w:bottom w:val="single" w:color="8B6914" w:sz="10"/>
              <w:right w:val="none" w:color="FFFFFF" w:sz="0"/>
            </w:tcBorders>
            <w:tcMar>
              <w:top w:type="dxa" w:w="55"/>
              <w:left w:type="dxa" w:w="60"/>
              <w:bottom w:type="dxa" w:w="55"/>
              <w:right w:type="dxa" w:w="110"/>
            </w:tcMar>
          </w:tcPr>
          <w:p>
            <w:pPr>
              <w:spacing w:after="0" w:line="264"/>
            </w:pPr>
            <w:r>
              <w:rPr>
                <w:b w:val="false"/>
                <w:bCs w:val="false"/>
                <w:sz w:val="18"/>
                <w:szCs w:val="18"/>
              </w:rPr>
              <w:t xml:space="preserve">État des services dépendants (BDD, API Albion)</w:t>
            </w:r>
          </w:p>
        </w:tc>
        <w:tc>
          <w:tcPr>
            <w:tcW w:type="dxa" w:w="1701"/>
            <w:tcBorders>
              <w:top w:val="none" w:color="FFFFFF" w:sz="0"/>
              <w:left w:val="none" w:color="FFFFFF" w:sz="0"/>
              <w:bottom w:val="single" w:color="8B6914" w:sz="10"/>
              <w:right w:val="none" w:color="FFFFFF" w:sz="0"/>
            </w:tcBorders>
            <w:tcMar>
              <w:top w:type="dxa" w:w="55"/>
              <w:left w:type="dxa" w:w="60"/>
              <w:bottom w:type="dxa" w:w="55"/>
              <w:right w:type="dxa" w:w="110"/>
            </w:tcMar>
          </w:tcPr>
          <w:p>
            <w:pPr>
              <w:spacing w:after="0" w:line="264"/>
            </w:pPr>
            <w:r>
              <w:rPr>
                <w:b w:val="false"/>
                <w:bCs w:val="false"/>
                <w:sz w:val="18"/>
                <w:szCs w:val="18"/>
              </w:rPr>
              <w:t xml:space="preserve">OK</w:t>
            </w:r>
          </w:p>
        </w:tc>
        <w:tc>
          <w:tcPr>
            <w:tcW w:type="dxa" w:w="3969"/>
            <w:tcBorders>
              <w:top w:val="none" w:color="FFFFFF" w:sz="0"/>
              <w:left w:val="none" w:color="FFFFFF" w:sz="0"/>
              <w:bottom w:val="single" w:color="8B6914" w:sz="10"/>
              <w:right w:val="none" w:color="FFFFFF" w:sz="0"/>
            </w:tcBorders>
            <w:tcMar>
              <w:top w:type="dxa" w:w="55"/>
              <w:left w:type="dxa" w:w="60"/>
              <w:bottom w:type="dxa" w:w="55"/>
              <w:right w:type="dxa" w:w="110"/>
            </w:tcMar>
          </w:tcPr>
          <w:p>
            <w:pPr>
              <w:spacing w:after="0" w:line="264"/>
            </w:pPr>
            <w:r>
              <w:rPr>
                <w:b w:val="false"/>
                <w:bCs w:val="false"/>
                <w:sz w:val="18"/>
                <w:szCs w:val="18"/>
              </w:rPr>
              <w:t xml:space="preserve">Champ par service dans /api/health</w:t>
            </w:r>
          </w:p>
        </w:tc>
      </w:tr>
    </w:tbl>
    <w:p>
      <w:pPr>
        <w:pStyle w:val="Heading2"/>
      </w:pPr>
      <w:r>
        <w:t xml:space="preserve">3.2 Architecture de supervision</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single" w:color="C9B98A" w:sz="4"/>
              <w:left w:val="single" w:color="C9B98A" w:sz="4"/>
              <w:bottom w:val="single" w:color="C9B98A" w:sz="4"/>
              <w:right w:val="single" w:color="C9B98A" w:sz="4"/>
            </w:tcBorders>
            <w:tcMar>
              <w:top w:type="dxa" w:w="50"/>
              <w:left w:type="dxa" w:w="50"/>
              <w:bottom w:type="dxa" w:w="30"/>
              <w:right w:type="dxa" w:w="50"/>
            </w:tcMar>
          </w:tcPr>
          <w:p>
            <w:pPr>
              <w:spacing w:after="0"/>
              <w:jc w:val="center"/>
            </w:pPr>
            <w:r>
              <w:drawing>
                <wp:inline distT="0" distB="0" distL="0" distR="0">
                  <wp:extent cx="4476750" cy="2838450"/>
                  <wp:effectExtent t="0" r="0" b="0" l="0"/>
                  <wp:docPr id="1" name="figure-1" descr="Sondes, point de contrôle applicatif, signalements et journaux" title="Sondes, point de contrôle applicatif, signalements et journau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476750" cy="2838450"/>
                          </a:xfrm>
                          <a:prstGeom prst="rect">
                            <a:avLst/>
                          </a:prstGeom>
                        </pic:spPr>
                      </pic:pic>
                    </a:graphicData>
                  </a:graphic>
                </wp:inline>
              </w:drawing>
            </w:r>
          </w:p>
        </w:tc>
      </w:tr>
    </w:tbl>
    <w:p>
      <w:pPr>
        <w:spacing w:after="150" w:before="50"/>
        <w:jc w:val="center"/>
      </w:pPr>
      <w:r>
        <w:rPr>
          <w:i/>
          <w:iCs/>
          <w:color w:val="5A4825"/>
          <w:sz w:val="18"/>
          <w:szCs w:val="18"/>
        </w:rPr>
        <w:t xml:space="preserve">Figure 1 — Sondes, point de contrôle applicatif, signalements et journaux</w:t>
      </w:r>
    </w:p>
    <w:p>
      <w:pPr>
        <w:pStyle w:val="Heading2"/>
      </w:pPr>
      <w:r>
        <w:t xml:space="preserve">3.3 La sonde applicative : GET /api/health</w:t>
      </w:r>
    </w:p>
    <w:p>
      <w:pPr>
        <w:spacing w:after="120" w:before="0" w:line="308"/>
        <w:jc w:val="both"/>
      </w:pPr>
      <w:r>
        <w:rPr>
          <w:b w:val="false"/>
          <w:bCs w:val="false"/>
          <w:i w:val="false"/>
          <w:iCs w:val="false"/>
          <w:sz w:val="22"/>
          <w:szCs w:val="22"/>
        </w:rPr>
        <w:t xml:space="preserve">Le point de contrôle est un endpoint public (hors authentification, par conception : une sonde externe ne possède pas de jeton) qui teste réellement chaque service et renvoie un état détaillé — réponse réelle du 14/07/2026 :</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single" w:color="E0D5BB" w:sz="2"/>
              <w:left w:val="single" w:color="E0D5BB" w:sz="2"/>
              <w:bottom w:val="single" w:color="E0D5BB" w:sz="2"/>
              <w:right w:val="single" w:color="E0D5BB" w:sz="2"/>
            </w:tcBorders>
            <w:shd w:fill="FAF6EC" w:val="clear"/>
            <w:tcMar>
              <w:top w:type="dxa" w:w="90"/>
              <w:left w:type="dxa" w:w="140"/>
              <w:bottom w:type="dxa" w:w="90"/>
              <w:right w:type="dxa" w:w="140"/>
            </w:tcMar>
          </w:tcPr>
          <w:p>
            <w:pPr>
              <w:spacing w:after="0" w:line="230"/>
            </w:pPr>
            <w:r>
              <w:rPr>
                <w:rFonts w:ascii="Courier New" w:cs="Courier New" w:eastAsia="Courier New" w:hAnsi="Courier New"/>
                <w:color w:val="3A2E15"/>
                <w:sz w:val="16"/>
                <w:szCs w:val="16"/>
              </w:rPr>
              <w:t xml:space="preserve">$ curl -s https://localhost:8000/api/health</w:t>
            </w:r>
          </w:p>
          <w:p>
            <w:pPr>
              <w:spacing w:after="0" w:line="230"/>
            </w:pPr>
            <w:r>
              <w:rPr>
                <w:rFonts w:ascii="Courier New" w:cs="Courier New" w:eastAsia="Courier New" w:hAnsi="Courier New"/>
                <w:color w:val="3A2E15"/>
                <w:sz w:val="16"/>
                <w:szCs w:val="16"/>
              </w:rPr>
              <w:t xml:space="preserve">{"status":"OK","timestamp":"2026-07-14T21:08:38+00:00",</w:t>
            </w:r>
          </w:p>
          <w:p>
            <w:pPr>
              <w:spacing w:after="0" w:line="230"/>
            </w:pPr>
            <w:r>
              <w:rPr>
                <w:rFonts w:ascii="Courier New" w:cs="Courier New" w:eastAsia="Courier New" w:hAnsi="Courier New"/>
                <w:color w:val="3A2E15"/>
                <w:sz w:val="16"/>
                <w:szCs w:val="16"/>
              </w:rPr>
              <w:t xml:space="preserve"> "services":{"database":{"status":"OK","message":"Database connected"},</w:t>
            </w:r>
          </w:p>
          <w:p>
            <w:pPr>
              <w:spacing w:after="0" w:line="230"/>
            </w:pPr>
            <w:r>
              <w:rPr>
                <w:rFonts w:ascii="Courier New" w:cs="Courier New" w:eastAsia="Courier New" w:hAnsi="Courier New"/>
                <w:color w:val="3A2E15"/>
                <w:sz w:val="16"/>
                <w:szCs w:val="16"/>
              </w:rPr>
              <w:t xml:space="preserve">             "albion_api":{"status":"OK","message":"Albion API reachable"}}}</w:t>
            </w:r>
          </w:p>
        </w:tc>
      </w:tr>
    </w:tbl>
    <w:p>
      <w:pPr>
        <w:spacing w:after="180" w:before="50"/>
        <w:jc w:val="left"/>
      </w:pPr>
      <w:r>
        <w:rPr>
          <w:i/>
          <w:iCs/>
          <w:color w:val="5A4825"/>
          <w:sz w:val="18"/>
          <w:szCs w:val="18"/>
        </w:rPr>
        <w:t xml:space="preserve">back/src/Controller/HealthCheckController.php — la base est testée par une connexion réelle, l'API Albion par un appel de joignabilité ; un « OK » global garantit la chaîne complète, et le code passe à 503 si un service est dégradé.</w:t>
      </w:r>
    </w:p>
    <w:p>
      <w:pPr>
        <w:pStyle w:val="Heading2"/>
      </w:pPr>
      <w:r>
        <w:t xml:space="preserve">3.4 Les sondes et la modalité des signalements</w:t>
      </w:r>
    </w:p>
    <w:p>
      <w:pPr>
        <w:pStyle w:val="ListParagraph"/>
        <w:numPr>
          <w:ilvl w:val="0"/>
          <w:numId w:val="2"/>
        </w:numPr>
        <w:spacing w:after="70" w:line="308"/>
        <w:jc w:val="both"/>
      </w:pPr>
      <w:r>
        <w:rPr>
          <w:sz w:val="22"/>
          <w:szCs w:val="22"/>
        </w:rPr>
        <w:t xml:space="preserve">Sonde externe (UptimeRobot) : requête HTTP sur /api/health toutes les 5 minutes depuis l'extérieur du serveur ; vérifie le code 200 et le mot-clé « OK » ; alerte e-mail en cas de panne et de rétablissement ; trace l'historique de disponibilité et de latence. Hébergée hors du VPS, elle détecte aussi une panne totale de la machine. Paramétrage : monitor HTTP(s) + keyword, URL https://albion-back.perfweb.net/api/health, intervalle 5 min, contact e-mail — activée le 19/07/2026 : statut Up, historique de disponibilité et de latence dans le tableau de bord UptimeRobot.</w:t>
      </w:r>
    </w:p>
    <w:p>
      <w:pPr>
        <w:pStyle w:val="ListParagraph"/>
        <w:numPr>
          <w:ilvl w:val="0"/>
          <w:numId w:val="2"/>
        </w:numPr>
        <w:spacing w:after="70" w:line="308"/>
        <w:jc w:val="both"/>
      </w:pPr>
      <w:r>
        <w:rPr>
          <w:sz w:val="22"/>
          <w:szCs w:val="22"/>
        </w:rPr>
        <w:t xml:space="preserve">Sonde interne (cron du VPS) : script deploy/healthcheck-probe.sh versionné dans le dépôt. Depuis le 14/07, son installation est automatique : chaque déploiement (deploy/deploy.sh) réécrit de façon idempotente la ligne de crontab (*/5) — la supervision se déploie avec le code, aucune étape manuelle. Le script vérifie le code HTTP et le contenu JSON, journalise chaque passage, envoie un e-mail d'alerte détaillé (URL, code, corps) avec anti-spam (une alerte par incident) et e-mail de rétablissement.</w:t>
      </w:r>
    </w:p>
    <w:p>
      <w:pPr>
        <w:pStyle w:val="ListParagraph"/>
        <w:numPr>
          <w:ilvl w:val="0"/>
          <w:numId w:val="2"/>
        </w:numPr>
        <w:spacing w:after="70" w:line="308"/>
        <w:jc w:val="both"/>
      </w:pPr>
      <w:r>
        <w:rPr>
          <w:sz w:val="22"/>
          <w:szCs w:val="22"/>
        </w:rPr>
        <w:t xml:space="preserve">Journalisation applicative : canal Monolog « incident » dédié (séparé des logs courants) ; les échecs d'authentification sont tracés par le firewall Symfony.</w:t>
      </w:r>
    </w:p>
    <w:p>
      <w:pPr>
        <w:spacing w:after="60" w:before="120"/>
        <w:jc w:val="center"/>
      </w:pPr>
      <w:r>
        <w:drawing>
          <wp:inline distT="0" distB="0" distL="0" distR="0">
            <wp:extent cx="5580000" cy="3066785"/>
            <wp:effectExtent t="0" r="0" b="0" l="0"/>
            <wp:docPr id="41" name="figure-uptimerobot" descr="Tableau de bord UptimeRobot du monitor /api/health" title="Tableau de bord UptimeRob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5580000" cy="3066785"/>
                    </a:xfrm>
                    <a:prstGeom prst="rect">
                      <a:avLst/>
                    </a:prstGeom>
                  </pic:spPr>
                </pic:pic>
              </a:graphicData>
            </a:graphic>
          </wp:inline>
        </w:drawing>
      </w:r>
    </w:p>
    <w:p>
      <w:pPr>
        <w:spacing w:after="150" w:before="50"/>
        <w:jc w:val="center"/>
      </w:pPr>
      <w:r>
        <w:rPr>
          <w:i/>
          <w:iCs/>
          <w:color w:val="5A4825"/>
          <w:sz w:val="18"/>
          <w:szCs w:val="18"/>
        </w:rPr>
        <w:t xml:space="preserve">Figure 2 — Monitor UptimeRobot du 14/08/2026 : statut Up, 100 % sur 24 h, disponibilité 99,95 % sur 7 jours, latence moyenne 635 ms — les cibles du §3.1 sont tenues</w:t>
      </w:r>
    </w:p>
    <w:p>
      <w:pPr>
        <w:spacing w:after="120" w:before="0" w:line="308"/>
        <w:jc w:val="both"/>
      </w:pPr>
      <w:r>
        <w:rPr>
          <w:b w:val="false"/>
          <w:bCs w:val="false"/>
          <w:i w:val="false"/>
          <w:iCs w:val="false"/>
          <w:sz w:val="22"/>
          <w:szCs w:val="22"/>
        </w:rPr>
        <w:t xml:space="preserve">Extrait du script et de son installation automatique :</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single" w:color="E0D5BB" w:sz="2"/>
              <w:left w:val="single" w:color="E0D5BB" w:sz="2"/>
              <w:bottom w:val="single" w:color="E0D5BB" w:sz="2"/>
              <w:right w:val="single" w:color="E0D5BB" w:sz="2"/>
            </w:tcBorders>
            <w:shd w:fill="FAF6EC" w:val="clear"/>
            <w:tcMar>
              <w:top w:type="dxa" w:w="90"/>
              <w:left w:type="dxa" w:w="140"/>
              <w:bottom w:type="dxa" w:w="90"/>
              <w:right w:type="dxa" w:w="140"/>
            </w:tcMar>
          </w:tcPr>
          <w:p>
            <w:pPr>
              <w:spacing w:after="0" w:line="230"/>
            </w:pPr>
            <w:r>
              <w:rPr>
                <w:rFonts w:ascii="Courier New" w:cs="Courier New" w:eastAsia="Courier New" w:hAnsi="Courier New"/>
                <w:color w:val="3A2E15"/>
                <w:sz w:val="16"/>
                <w:szCs w:val="16"/>
              </w:rPr>
              <w:t xml:space="preserve"># deploy/deploy.sh — fin de déploiement</w:t>
            </w:r>
          </w:p>
          <w:p>
            <w:pPr>
              <w:spacing w:after="0" w:line="230"/>
            </w:pPr>
            <w:r>
              <w:rPr>
                <w:rFonts w:ascii="Courier New" w:cs="Courier New" w:eastAsia="Courier New" w:hAnsi="Courier New"/>
                <w:color w:val="3A2E15"/>
                <w:sz w:val="16"/>
                <w:szCs w:val="16"/>
              </w:rPr>
              <w:t xml:space="preserve">CRON_LINE="*/5 * * * * $PROJECT_DIR/deploy/healthcheck-probe.sh"</w:t>
            </w:r>
          </w:p>
          <w:p>
            <w:pPr>
              <w:spacing w:after="0" w:line="230"/>
            </w:pPr>
            <w:r>
              <w:rPr>
                <w:rFonts w:ascii="Courier New" w:cs="Courier New" w:eastAsia="Courier New" w:hAnsi="Courier New"/>
                <w:color w:val="3A2E15"/>
                <w:sz w:val="16"/>
                <w:szCs w:val="16"/>
              </w:rPr>
              <w:t xml:space="preserve">( crontab -l | grep -vF "healthcheck-probe.sh" ; echo "$CRON_LINE" ) | crontab -</w:t>
            </w:r>
          </w:p>
          <w:p>
            <w:pPr>
              <w:spacing w:after="0" w:line="230"/>
            </w:pPr>
            <w:r>
              <w:rPr>
                <w:rFonts w:ascii="Courier New" w:cs="Courier New" w:eastAsia="Courier New" w:hAnsi="Courier New"/>
                <w:color w:val="3A2E15"/>
                <w:sz w:val="16"/>
                <w:szCs w:val="16"/>
              </w:rPr>
              <w:t xml:space="preserve"> </w:t>
            </w:r>
          </w:p>
          <w:p>
            <w:pPr>
              <w:spacing w:after="0" w:line="230"/>
            </w:pPr>
            <w:r>
              <w:rPr>
                <w:rFonts w:ascii="Courier New" w:cs="Courier New" w:eastAsia="Courier New" w:hAnsi="Courier New"/>
                <w:color w:val="3A2E15"/>
                <w:sz w:val="16"/>
                <w:szCs w:val="16"/>
              </w:rPr>
              <w:t xml:space="preserve"># deploy/healthcheck-probe.sh — cœur de la vérification</w:t>
            </w:r>
          </w:p>
          <w:p>
            <w:pPr>
              <w:spacing w:after="0" w:line="230"/>
            </w:pPr>
            <w:r>
              <w:rPr>
                <w:rFonts w:ascii="Courier New" w:cs="Courier New" w:eastAsia="Courier New" w:hAnsi="Courier New"/>
                <w:color w:val="3A2E15"/>
                <w:sz w:val="16"/>
                <w:szCs w:val="16"/>
              </w:rPr>
              <w:t xml:space="preserve">HTTP_CODE=$(curl -s -o /tmp/body.json -w "%{http_code}" --max-time 10 "$API_URL")</w:t>
            </w:r>
          </w:p>
          <w:p>
            <w:pPr>
              <w:spacing w:after="0" w:line="230"/>
            </w:pPr>
            <w:r>
              <w:rPr>
                <w:rFonts w:ascii="Courier New" w:cs="Courier New" w:eastAsia="Courier New" w:hAnsi="Courier New"/>
                <w:color w:val="3A2E15"/>
                <w:sz w:val="16"/>
                <w:szCs w:val="16"/>
              </w:rPr>
              <w:t xml:space="preserve">BODY_OK=$(grep -c '"status":"OK"' /tmp/body.json)</w:t>
            </w:r>
          </w:p>
          <w:p>
            <w:pPr>
              <w:spacing w:after="0" w:line="230"/>
            </w:pPr>
            <w:r>
              <w:rPr>
                <w:rFonts w:ascii="Courier New" w:cs="Courier New" w:eastAsia="Courier New" w:hAnsi="Courier New"/>
                <w:color w:val="3A2E15"/>
                <w:sz w:val="16"/>
                <w:szCs w:val="16"/>
              </w:rPr>
              <w:t xml:space="preserve">if [ "$HTTP_CODE" = "200" ] &amp;&amp; [ "$BODY_OK" -ge 1 ]; then</w:t>
            </w:r>
          </w:p>
          <w:p>
            <w:pPr>
              <w:spacing w:after="0" w:line="230"/>
            </w:pPr>
            <w:r>
              <w:rPr>
                <w:rFonts w:ascii="Courier New" w:cs="Courier New" w:eastAsia="Courier New" w:hAnsi="Courier New"/>
                <w:color w:val="3A2E15"/>
                <w:sz w:val="16"/>
                <w:szCs w:val="16"/>
              </w:rPr>
              <w:t xml:space="preserve">    echo "$NOW OK http=$HTTP_CODE" &gt;&gt; "$PROBE_LOG"   # + e-mail de rétablissement si besoin</w:t>
            </w:r>
          </w:p>
          <w:p>
            <w:pPr>
              <w:spacing w:after="0" w:line="230"/>
            </w:pPr>
            <w:r>
              <w:rPr>
                <w:rFonts w:ascii="Courier New" w:cs="Courier New" w:eastAsia="Courier New" w:hAnsi="Courier New"/>
                <w:color w:val="3A2E15"/>
                <w:sz w:val="16"/>
                <w:szCs w:val="16"/>
              </w:rPr>
              <w:t xml:space="preserve">else</w:t>
            </w:r>
          </w:p>
          <w:p>
            <w:pPr>
              <w:spacing w:after="0" w:line="230"/>
            </w:pPr>
            <w:r>
              <w:rPr>
                <w:rFonts w:ascii="Courier New" w:cs="Courier New" w:eastAsia="Courier New" w:hAnsi="Courier New"/>
                <w:color w:val="3A2E15"/>
                <w:sz w:val="16"/>
                <w:szCs w:val="16"/>
              </w:rPr>
              <w:t xml:space="preserve">    mail -s "[Albion Helper] ALERTE — API indisponible (HTTP $HTTP_CODE)" "$ALERT_EMAIL"</w:t>
            </w:r>
          </w:p>
          <w:p>
            <w:pPr>
              <w:spacing w:after="0" w:line="230"/>
            </w:pPr>
            <w:r>
              <w:rPr>
                <w:rFonts w:ascii="Courier New" w:cs="Courier New" w:eastAsia="Courier New" w:hAnsi="Courier New"/>
                <w:color w:val="3A2E15"/>
                <w:sz w:val="16"/>
                <w:szCs w:val="16"/>
              </w:rPr>
              <w:t xml:space="preserve">fi</w:t>
            </w:r>
          </w:p>
        </w:tc>
      </w:tr>
    </w:tbl>
    <w:p>
      <w:pPr>
        <w:spacing w:after="180" w:before="50"/>
        <w:jc w:val="left"/>
      </w:pPr>
      <w:r>
        <w:rPr>
          <w:i/>
          <w:iCs/>
          <w:color w:val="5A4825"/>
          <w:sz w:val="18"/>
          <w:szCs w:val="18"/>
        </w:rPr>
        <w:t xml:space="preserve">Exécution réelle de la sonde (journal du 15/07/2026, cible locale) :</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single" w:color="E0D5BB" w:sz="2"/>
              <w:left w:val="single" w:color="E0D5BB" w:sz="2"/>
              <w:bottom w:val="single" w:color="E0D5BB" w:sz="2"/>
              <w:right w:val="single" w:color="E0D5BB" w:sz="2"/>
            </w:tcBorders>
            <w:shd w:fill="FAF6EC" w:val="clear"/>
            <w:tcMar>
              <w:top w:type="dxa" w:w="90"/>
              <w:left w:type="dxa" w:w="140"/>
              <w:bottom w:type="dxa" w:w="90"/>
              <w:right w:type="dxa" w:w="140"/>
            </w:tcMar>
          </w:tcPr>
          <w:p>
            <w:pPr>
              <w:spacing w:after="0" w:line="230"/>
            </w:pPr>
            <w:r>
              <w:rPr>
                <w:rFonts w:ascii="Courier New" w:cs="Courier New" w:eastAsia="Courier New" w:hAnsi="Courier New"/>
                <w:color w:val="3A2E15"/>
                <w:sz w:val="16"/>
                <w:szCs w:val="16"/>
              </w:rPr>
              <w:t xml:space="preserve">2026-07-15 13:51:49 OK http=200</w:t>
            </w:r>
          </w:p>
          <w:p>
            <w:pPr>
              <w:spacing w:after="0" w:line="230"/>
            </w:pPr>
            <w:r>
              <w:rPr>
                <w:rFonts w:ascii="Courier New" w:cs="Courier New" w:eastAsia="Courier New" w:hAnsi="Courier New"/>
                <w:color w:val="3A2E15"/>
                <w:sz w:val="16"/>
                <w:szCs w:val="16"/>
              </w:rPr>
              <w:t xml:space="preserve">2026-07-15 13:51:49 OK http=200</w:t>
            </w:r>
          </w:p>
          <w:p>
            <w:pPr>
              <w:spacing w:after="0" w:line="230"/>
            </w:pPr>
            <w:r>
              <w:rPr>
                <w:rFonts w:ascii="Courier New" w:cs="Courier New" w:eastAsia="Courier New" w:hAnsi="Courier New"/>
                <w:color w:val="3A2E15"/>
                <w:sz w:val="16"/>
                <w:szCs w:val="16"/>
              </w:rPr>
              <w:t xml:space="preserve">2026-07-15 13:51:50 OK http=200</w:t>
            </w:r>
          </w:p>
        </w:tc>
      </w:tr>
    </w:tbl>
    <w:p>
      <w:pPr>
        <w:spacing w:after="120" w:before="60" w:line="308"/>
        <w:jc w:val="both"/>
      </w:pPr>
      <w:r>
        <w:rPr>
          <w:b w:val="false"/>
          <w:bCs w:val="false"/>
          <w:i w:val="false"/>
          <w:iCs w:val="false"/>
          <w:sz w:val="22"/>
          <w:szCs w:val="22"/>
        </w:rPr>
        <w:t xml:space="preserve">La journalisation applicative sépare les incidents des logs courants (extrait de config/packages/monolog.yaml) :</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single" w:color="E0D5BB" w:sz="2"/>
              <w:left w:val="single" w:color="E0D5BB" w:sz="2"/>
              <w:bottom w:val="single" w:color="E0D5BB" w:sz="2"/>
              <w:right w:val="single" w:color="E0D5BB" w:sz="2"/>
            </w:tcBorders>
            <w:shd w:fill="FAF6EC" w:val="clear"/>
            <w:tcMar>
              <w:top w:type="dxa" w:w="90"/>
              <w:left w:type="dxa" w:w="140"/>
              <w:bottom w:type="dxa" w:w="90"/>
              <w:right w:type="dxa" w:w="140"/>
            </w:tcMar>
          </w:tcPr>
          <w:p>
            <w:pPr>
              <w:spacing w:after="0" w:line="230"/>
            </w:pPr>
            <w:r>
              <w:rPr>
                <w:rFonts w:ascii="Courier New" w:cs="Courier New" w:eastAsia="Courier New" w:hAnsi="Courier New"/>
                <w:color w:val="3A2E15"/>
                <w:sz w:val="16"/>
                <w:szCs w:val="16"/>
              </w:rPr>
              <w:t xml:space="preserve">monolog:</w:t>
            </w:r>
          </w:p>
          <w:p>
            <w:pPr>
              <w:spacing w:after="0" w:line="230"/>
            </w:pPr>
            <w:r>
              <w:rPr>
                <w:rFonts w:ascii="Courier New" w:cs="Courier New" w:eastAsia="Courier New" w:hAnsi="Courier New"/>
                <w:color w:val="3A2E15"/>
                <w:sz w:val="16"/>
                <w:szCs w:val="16"/>
              </w:rPr>
              <w:t xml:space="preserve">    channels:</w:t>
            </w:r>
          </w:p>
          <w:p>
            <w:pPr>
              <w:spacing w:after="0" w:line="230"/>
            </w:pPr>
            <w:r>
              <w:rPr>
                <w:rFonts w:ascii="Courier New" w:cs="Courier New" w:eastAsia="Courier New" w:hAnsi="Courier New"/>
                <w:color w:val="3A2E15"/>
                <w:sz w:val="16"/>
                <w:szCs w:val="16"/>
              </w:rPr>
              <w:t xml:space="preserve">        - incident   # canal dédié supervision (C4.1.2)</w:t>
            </w:r>
          </w:p>
          <w:p>
            <w:pPr>
              <w:spacing w:after="0" w:line="230"/>
            </w:pPr>
            <w:r>
              <w:rPr>
                <w:rFonts w:ascii="Courier New" w:cs="Courier New" w:eastAsia="Courier New" w:hAnsi="Courier New"/>
                <w:color w:val="3A2E15"/>
                <w:sz w:val="16"/>
                <w:szCs w:val="16"/>
              </w:rPr>
              <w:t xml:space="preserve">    handlers:</w:t>
            </w:r>
          </w:p>
          <w:p>
            <w:pPr>
              <w:spacing w:after="0" w:line="230"/>
            </w:pPr>
            <w:r>
              <w:rPr>
                <w:rFonts w:ascii="Courier New" w:cs="Courier New" w:eastAsia="Courier New" w:hAnsi="Courier New"/>
                <w:color w:val="3A2E15"/>
                <w:sz w:val="16"/>
                <w:szCs w:val="16"/>
              </w:rPr>
              <w:t xml:space="preserve">        incident:</w:t>
            </w:r>
          </w:p>
          <w:p>
            <w:pPr>
              <w:spacing w:after="0" w:line="230"/>
            </w:pPr>
            <w:r>
              <w:rPr>
                <w:rFonts w:ascii="Courier New" w:cs="Courier New" w:eastAsia="Courier New" w:hAnsi="Courier New"/>
                <w:color w:val="3A2E15"/>
                <w:sz w:val="16"/>
                <w:szCs w:val="16"/>
              </w:rPr>
              <w:t xml:space="preserve">            type: stream</w:t>
            </w:r>
          </w:p>
          <w:p>
            <w:pPr>
              <w:spacing w:after="0" w:line="230"/>
            </w:pPr>
            <w:r>
              <w:rPr>
                <w:rFonts w:ascii="Courier New" w:cs="Courier New" w:eastAsia="Courier New" w:hAnsi="Courier New"/>
                <w:color w:val="3A2E15"/>
                <w:sz w:val="16"/>
                <w:szCs w:val="16"/>
              </w:rPr>
              <w:t xml:space="preserve">            path: "%kernel.logs_dir%/incidents.log"</w:t>
            </w:r>
          </w:p>
          <w:p>
            <w:pPr>
              <w:spacing w:after="0" w:line="230"/>
            </w:pPr>
            <w:r>
              <w:rPr>
                <w:rFonts w:ascii="Courier New" w:cs="Courier New" w:eastAsia="Courier New" w:hAnsi="Courier New"/>
                <w:color w:val="3A2E15"/>
                <w:sz w:val="16"/>
                <w:szCs w:val="16"/>
              </w:rPr>
              <w:t xml:space="preserve">            level: notice</w:t>
            </w:r>
          </w:p>
          <w:p>
            <w:pPr>
              <w:spacing w:after="0" w:line="230"/>
            </w:pPr>
            <w:r>
              <w:rPr>
                <w:rFonts w:ascii="Courier New" w:cs="Courier New" w:eastAsia="Courier New" w:hAnsi="Courier New"/>
                <w:color w:val="3A2E15"/>
                <w:sz w:val="16"/>
                <w:szCs w:val="16"/>
              </w:rPr>
              <w:t xml:space="preserve">            channels: ["incident"]</w:t>
            </w:r>
          </w:p>
        </w:tc>
      </w:tr>
    </w:tbl>
    <w:p>
      <w:pPr>
        <w:spacing w:after="120" w:before="60" w:line="308"/>
        <w:jc w:val="both"/>
      </w:pPr>
      <w:r>
        <w:rPr>
          <w:b w:val="false"/>
          <w:bCs w:val="false"/>
          <w:i w:val="false"/>
          <w:iCs w:val="false"/>
          <w:sz w:val="22"/>
          <w:szCs w:val="22"/>
        </w:rPr>
        <w:t xml:space="preserve">Réaction à une alerte — la marche à suivre est définie à l'avance pour ne pas improviser en situation d'incident :</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567"/>
        <w:gridCol w:w="2835"/>
        <w:gridCol w:w="5670"/>
      </w:tblGrid>
      <w:tr>
        <w:trPr>
          <w:tblHeader/>
        </w:trPr>
        <w:tc>
          <w:tcPr>
            <w:tcW w:type="dxa" w:w="567"/>
            <w:tcBorders>
              <w:top w:val="single" w:color="8B6914" w:sz="10"/>
              <w:left w:val="none" w:color="FFFFFF" w:sz="0"/>
              <w:bottom w:val="single" w:color="8B6914" w:sz="5"/>
              <w:right w:val="none" w:color="FFFFFF" w:sz="0"/>
            </w:tcBorders>
            <w:tcMar>
              <w:top w:type="dxa" w:w="55"/>
              <w:left w:type="dxa" w:w="60"/>
              <w:bottom w:type="dxa" w:w="55"/>
              <w:right w:type="dxa" w:w="110"/>
            </w:tcMar>
          </w:tcPr>
          <w:p>
            <w:pPr>
              <w:spacing w:after="0" w:line="264"/>
            </w:pPr>
            <w:r>
              <w:rPr>
                <w:b/>
                <w:bCs/>
                <w:color w:val="2D1A00"/>
                <w:sz w:val="16"/>
                <w:szCs w:val="16"/>
              </w:rPr>
              <w:t xml:space="preserve">#</w:t>
            </w:r>
          </w:p>
        </w:tc>
        <w:tc>
          <w:tcPr>
            <w:tcW w:type="dxa" w:w="2835"/>
            <w:tcBorders>
              <w:top w:val="single" w:color="8B6914" w:sz="10"/>
              <w:left w:val="none" w:color="FFFFFF" w:sz="0"/>
              <w:bottom w:val="single" w:color="8B6914" w:sz="5"/>
              <w:right w:val="none" w:color="FFFFFF" w:sz="0"/>
            </w:tcBorders>
            <w:tcMar>
              <w:top w:type="dxa" w:w="55"/>
              <w:left w:type="dxa" w:w="60"/>
              <w:bottom w:type="dxa" w:w="55"/>
              <w:right w:type="dxa" w:w="110"/>
            </w:tcMar>
          </w:tcPr>
          <w:p>
            <w:pPr>
              <w:spacing w:after="0" w:line="264"/>
            </w:pPr>
            <w:r>
              <w:rPr>
                <w:b/>
                <w:bCs/>
                <w:color w:val="2D1A00"/>
                <w:sz w:val="16"/>
                <w:szCs w:val="16"/>
              </w:rPr>
              <w:t xml:space="preserve">Vérification</w:t>
            </w:r>
          </w:p>
        </w:tc>
        <w:tc>
          <w:tcPr>
            <w:tcW w:type="dxa" w:w="5670"/>
            <w:tcBorders>
              <w:top w:val="single" w:color="8B6914" w:sz="10"/>
              <w:left w:val="none" w:color="FFFFFF" w:sz="0"/>
              <w:bottom w:val="single" w:color="8B6914" w:sz="5"/>
              <w:right w:val="none" w:color="FFFFFF" w:sz="0"/>
            </w:tcBorders>
            <w:tcMar>
              <w:top w:type="dxa" w:w="55"/>
              <w:left w:type="dxa" w:w="60"/>
              <w:bottom w:type="dxa" w:w="55"/>
              <w:right w:type="dxa" w:w="110"/>
            </w:tcMar>
          </w:tcPr>
          <w:p>
            <w:pPr>
              <w:spacing w:after="0" w:line="264"/>
            </w:pPr>
            <w:r>
              <w:rPr>
                <w:b/>
                <w:bCs/>
                <w:color w:val="2D1A00"/>
                <w:sz w:val="16"/>
                <w:szCs w:val="16"/>
              </w:rPr>
              <w:t xml:space="preserve">Interprétation</w:t>
            </w:r>
          </w:p>
        </w:tc>
      </w:tr>
      <w:tr>
        <w:tc>
          <w:tcPr>
            <w:tcW w:type="dxa" w:w="567"/>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1</w:t>
            </w:r>
          </w:p>
        </w:tc>
        <w:tc>
          <w:tcPr>
            <w:tcW w:type="dxa" w:w="2835"/>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GET /api/health à la main (curl ou navigateur)</w:t>
            </w:r>
          </w:p>
        </w:tc>
        <w:tc>
          <w:tcPr>
            <w:tcW w:type="dxa" w:w="5670"/>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200 OK : incident transitoire ou faux positif — surveiller. 503 : lire le champ services pour identifier le maillon en cause. Timeout : VPS ou Nginx en cause.</w:t>
            </w:r>
          </w:p>
        </w:tc>
      </w:tr>
      <w:tr>
        <w:tc>
          <w:tcPr>
            <w:tcW w:type="dxa" w:w="567"/>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2</w:t>
            </w:r>
          </w:p>
        </w:tc>
        <w:tc>
          <w:tcPr>
            <w:tcW w:type="dxa" w:w="2835"/>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Champ services.database</w:t>
            </w:r>
          </w:p>
        </w:tc>
        <w:tc>
          <w:tcPr>
            <w:tcW w:type="dxa" w:w="5670"/>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ERROR : vérifier PostgreSQL sur le VPS (service, espace disque, connexions)</w:t>
            </w:r>
          </w:p>
        </w:tc>
      </w:tr>
      <w:tr>
        <w:tc>
          <w:tcPr>
            <w:tcW w:type="dxa" w:w="567"/>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3</w:t>
            </w:r>
          </w:p>
        </w:tc>
        <w:tc>
          <w:tcPr>
            <w:tcW w:type="dxa" w:w="2835"/>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Champ services.albion_api</w:t>
            </w:r>
          </w:p>
        </w:tc>
        <w:tc>
          <w:tcPr>
            <w:tcW w:type="dxa" w:w="5670"/>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ERROR : panne du fournisseur externe — vérifier le statut public d'Albion Online ; incident hors de notre périmètre, message d'information aux utilisateurs si prolongé</w:t>
            </w:r>
          </w:p>
        </w:tc>
      </w:tr>
      <w:tr>
        <w:tc>
          <w:tcPr>
            <w:tcW w:type="dxa" w:w="567"/>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4</w:t>
            </w:r>
          </w:p>
        </w:tc>
        <w:tc>
          <w:tcPr>
            <w:tcW w:type="dxa" w:w="2835"/>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Canal Monolog incident + journaux Nginx</w:t>
            </w:r>
          </w:p>
        </w:tc>
        <w:tc>
          <w:tcPr>
            <w:tcW w:type="dxa" w:w="5670"/>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Erreurs 5xx applicatives : ouvrir une fiche d'anomalie (§4) avec la trace</w:t>
            </w:r>
          </w:p>
        </w:tc>
      </w:tr>
      <w:tr>
        <w:tc>
          <w:tcPr>
            <w:tcW w:type="dxa" w:w="567"/>
            <w:tcBorders>
              <w:top w:val="none" w:color="FFFFFF" w:sz="0"/>
              <w:left w:val="none" w:color="FFFFFF" w:sz="0"/>
              <w:bottom w:val="single" w:color="8B6914" w:sz="10"/>
              <w:right w:val="none" w:color="FFFFFF" w:sz="0"/>
            </w:tcBorders>
            <w:tcMar>
              <w:top w:type="dxa" w:w="55"/>
              <w:left w:type="dxa" w:w="60"/>
              <w:bottom w:type="dxa" w:w="55"/>
              <w:right w:type="dxa" w:w="110"/>
            </w:tcMar>
          </w:tcPr>
          <w:p>
            <w:pPr>
              <w:spacing w:after="0" w:line="264"/>
            </w:pPr>
            <w:r>
              <w:rPr>
                <w:b w:val="false"/>
                <w:bCs w:val="false"/>
                <w:sz w:val="16"/>
                <w:szCs w:val="16"/>
              </w:rPr>
              <w:t xml:space="preserve">5</w:t>
            </w:r>
          </w:p>
        </w:tc>
        <w:tc>
          <w:tcPr>
            <w:tcW w:type="dxa" w:w="2835"/>
            <w:tcBorders>
              <w:top w:val="none" w:color="FFFFFF" w:sz="0"/>
              <w:left w:val="none" w:color="FFFFFF" w:sz="0"/>
              <w:bottom w:val="single" w:color="8B6914" w:sz="10"/>
              <w:right w:val="none" w:color="FFFFFF" w:sz="0"/>
            </w:tcBorders>
            <w:tcMar>
              <w:top w:type="dxa" w:w="55"/>
              <w:left w:type="dxa" w:w="60"/>
              <w:bottom w:type="dxa" w:w="55"/>
              <w:right w:type="dxa" w:w="110"/>
            </w:tcMar>
          </w:tcPr>
          <w:p>
            <w:pPr>
              <w:spacing w:after="0" w:line="264"/>
            </w:pPr>
            <w:r>
              <w:rPr>
                <w:b w:val="false"/>
                <w:bCs w:val="false"/>
                <w:sz w:val="16"/>
                <w:szCs w:val="16"/>
              </w:rPr>
              <w:t xml:space="preserve">Clôture</w:t>
            </w:r>
          </w:p>
        </w:tc>
        <w:tc>
          <w:tcPr>
            <w:tcW w:type="dxa" w:w="5670"/>
            <w:tcBorders>
              <w:top w:val="none" w:color="FFFFFF" w:sz="0"/>
              <w:left w:val="none" w:color="FFFFFF" w:sz="0"/>
              <w:bottom w:val="single" w:color="8B6914" w:sz="10"/>
              <w:right w:val="none" w:color="FFFFFF" w:sz="0"/>
            </w:tcBorders>
            <w:tcMar>
              <w:top w:type="dxa" w:w="55"/>
              <w:left w:type="dxa" w:w="60"/>
              <w:bottom w:type="dxa" w:w="55"/>
              <w:right w:type="dxa" w:w="110"/>
            </w:tcMar>
          </w:tcPr>
          <w:p>
            <w:pPr>
              <w:spacing w:after="0" w:line="264"/>
            </w:pPr>
            <w:r>
              <w:rPr>
                <w:b w:val="false"/>
                <w:bCs w:val="false"/>
                <w:sz w:val="16"/>
                <w:szCs w:val="16"/>
              </w:rPr>
              <w:t xml:space="preserve">E-mail de rétablissement reçu (sonde interne) ou monitor repassé UP : consigner l'incident (durée, cause, action)</w:t>
            </w:r>
          </w:p>
        </w:tc>
      </w:tr>
    </w:tbl>
    <w:p>
      <w:pPr>
        <w:pStyle w:val="Heading1"/>
      </w:pPr>
      <w:r>
        <w:t xml:space="preserve">4. Processus de collecte et de consignation des anomalies</w:t>
      </w:r>
    </w:p>
    <w:p>
      <w:pPr>
        <w:pStyle w:val="Heading2"/>
      </w:pPr>
      <w:r>
        <w:t xml:space="preserve">4.1 Canaux de collecte</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985"/>
        <w:gridCol w:w="3119"/>
        <w:gridCol w:w="3968"/>
      </w:tblGrid>
      <w:tr>
        <w:trPr>
          <w:tblHeader/>
        </w:trPr>
        <w:tc>
          <w:tcPr>
            <w:tcW w:type="dxa" w:w="1985"/>
            <w:tcBorders>
              <w:top w:val="single" w:color="8B6914" w:sz="10"/>
              <w:left w:val="none" w:color="FFFFFF" w:sz="0"/>
              <w:bottom w:val="single" w:color="8B6914" w:sz="5"/>
              <w:right w:val="none" w:color="FFFFFF" w:sz="0"/>
            </w:tcBorders>
            <w:tcMar>
              <w:top w:type="dxa" w:w="55"/>
              <w:left w:type="dxa" w:w="60"/>
              <w:bottom w:type="dxa" w:w="55"/>
              <w:right w:type="dxa" w:w="110"/>
            </w:tcMar>
          </w:tcPr>
          <w:p>
            <w:pPr>
              <w:spacing w:after="0" w:line="264"/>
            </w:pPr>
            <w:r>
              <w:rPr>
                <w:b/>
                <w:bCs/>
                <w:color w:val="2D1A00"/>
                <w:sz w:val="18"/>
                <w:szCs w:val="18"/>
              </w:rPr>
              <w:t xml:space="preserve">Canal</w:t>
            </w:r>
          </w:p>
        </w:tc>
        <w:tc>
          <w:tcPr>
            <w:tcW w:type="dxa" w:w="3119"/>
            <w:tcBorders>
              <w:top w:val="single" w:color="8B6914" w:sz="10"/>
              <w:left w:val="none" w:color="FFFFFF" w:sz="0"/>
              <w:bottom w:val="single" w:color="8B6914" w:sz="5"/>
              <w:right w:val="none" w:color="FFFFFF" w:sz="0"/>
            </w:tcBorders>
            <w:tcMar>
              <w:top w:type="dxa" w:w="55"/>
              <w:left w:type="dxa" w:w="60"/>
              <w:bottom w:type="dxa" w:w="55"/>
              <w:right w:type="dxa" w:w="110"/>
            </w:tcMar>
          </w:tcPr>
          <w:p>
            <w:pPr>
              <w:spacing w:after="0" w:line="264"/>
            </w:pPr>
            <w:r>
              <w:rPr>
                <w:b/>
                <w:bCs/>
                <w:color w:val="2D1A00"/>
                <w:sz w:val="18"/>
                <w:szCs w:val="18"/>
              </w:rPr>
              <w:t xml:space="preserve">Ce qu'il détecte</w:t>
            </w:r>
          </w:p>
        </w:tc>
        <w:tc>
          <w:tcPr>
            <w:tcW w:type="dxa" w:w="3968"/>
            <w:tcBorders>
              <w:top w:val="single" w:color="8B6914" w:sz="10"/>
              <w:left w:val="none" w:color="FFFFFF" w:sz="0"/>
              <w:bottom w:val="single" w:color="8B6914" w:sz="5"/>
              <w:right w:val="none" w:color="FFFFFF" w:sz="0"/>
            </w:tcBorders>
            <w:tcMar>
              <w:top w:type="dxa" w:w="55"/>
              <w:left w:type="dxa" w:w="60"/>
              <w:bottom w:type="dxa" w:w="55"/>
              <w:right w:type="dxa" w:w="110"/>
            </w:tcMar>
          </w:tcPr>
          <w:p>
            <w:pPr>
              <w:spacing w:after="0" w:line="264"/>
            </w:pPr>
            <w:r>
              <w:rPr>
                <w:b/>
                <w:bCs/>
                <w:color w:val="2D1A00"/>
                <w:sz w:val="18"/>
                <w:szCs w:val="18"/>
              </w:rPr>
              <w:t xml:space="preserve">Exemples réels</w:t>
            </w:r>
          </w:p>
        </w:tc>
      </w:tr>
      <w:tr>
        <w:tc>
          <w:tcPr>
            <w:tcW w:type="dxa" w:w="1985"/>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Recette fonctionnelle</w:t>
            </w:r>
          </w:p>
        </w:tc>
        <w:tc>
          <w:tcPr>
            <w:tcW w:type="dxa" w:w="3119"/>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Anomalies de comportement visibles par l'utilisateur</w:t>
            </w:r>
          </w:p>
        </w:tc>
        <w:tc>
          <w:tcPr>
            <w:tcW w:type="dxa" w:w="3968"/>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BUG-011 (échec de connexion invisible), BUG-012 (ratio NaN)</w:t>
            </w:r>
          </w:p>
        </w:tc>
      </w:tr>
      <w:tr>
        <w:tc>
          <w:tcPr>
            <w:tcW w:type="dxa" w:w="1985"/>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Tests automatisés / CI</w:t>
            </w:r>
          </w:p>
        </w:tc>
        <w:tc>
          <w:tcPr>
            <w:tcW w:type="dxa" w:w="3119"/>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Régressions à chaque push</w:t>
            </w:r>
          </w:p>
        </w:tc>
        <w:tc>
          <w:tcPr>
            <w:tcW w:type="dxa" w:w="3968"/>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BUG-007 (pipeline en échec : SGBD de test incohérent)</w:t>
            </w:r>
          </w:p>
        </w:tc>
      </w:tr>
      <w:tr>
        <w:tc>
          <w:tcPr>
            <w:tcW w:type="dxa" w:w="1985"/>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Audits outillés</w:t>
            </w:r>
          </w:p>
        </w:tc>
        <w:tc>
          <w:tcPr>
            <w:tcW w:type="dxa" w:w="3119"/>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Failles de sécurité, défauts d'accessibilité</w:t>
            </w:r>
          </w:p>
        </w:tc>
        <w:tc>
          <w:tcPr>
            <w:tcW w:type="dxa" w:w="3968"/>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BUG-010 (CORS ouvert), OBS-01 (contrastes), BUG-016 (cascade de suppression, revue RGPD)</w:t>
            </w:r>
          </w:p>
        </w:tc>
      </w:tr>
      <w:tr>
        <w:tc>
          <w:tcPr>
            <w:tcW w:type="dxa" w:w="1985"/>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Revue visuelle multi-thèmes</w:t>
            </w:r>
          </w:p>
        </w:tc>
        <w:tc>
          <w:tcPr>
            <w:tcW w:type="dxa" w:w="3119"/>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Défauts d'affichage propres à un thème ou une langue</w:t>
            </w:r>
          </w:p>
        </w:tc>
        <w:tc>
          <w:tcPr>
            <w:tcW w:type="dxa" w:w="3968"/>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BUG-015 (mode clair illisible), BUG-014 (clé i18n brute affichée)</w:t>
            </w:r>
          </w:p>
        </w:tc>
      </w:tr>
      <w:tr>
        <w:tc>
          <w:tcPr>
            <w:tcW w:type="dxa" w:w="1985"/>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Supervision / alertes</w:t>
            </w:r>
          </w:p>
        </w:tc>
        <w:tc>
          <w:tcPr>
            <w:tcW w:type="dxa" w:w="3119"/>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Indisponibilités, latences</w:t>
            </w:r>
          </w:p>
        </w:tc>
        <w:tc>
          <w:tcPr>
            <w:tcW w:type="dxa" w:w="3968"/>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Alerte sonde → fiche d'incident</w:t>
            </w:r>
          </w:p>
        </w:tc>
      </w:tr>
      <w:tr>
        <w:tc>
          <w:tcPr>
            <w:tcW w:type="dxa" w:w="1985"/>
            <w:tcBorders>
              <w:top w:val="none" w:color="FFFFFF" w:sz="0"/>
              <w:left w:val="none" w:color="FFFFFF" w:sz="0"/>
              <w:bottom w:val="single" w:color="8B6914" w:sz="10"/>
              <w:right w:val="none" w:color="FFFFFF" w:sz="0"/>
            </w:tcBorders>
            <w:tcMar>
              <w:top w:type="dxa" w:w="55"/>
              <w:left w:type="dxa" w:w="60"/>
              <w:bottom w:type="dxa" w:w="55"/>
              <w:right w:type="dxa" w:w="110"/>
            </w:tcMar>
          </w:tcPr>
          <w:p>
            <w:pPr>
              <w:spacing w:after="0" w:line="264"/>
            </w:pPr>
            <w:r>
              <w:rPr>
                <w:b w:val="false"/>
                <w:bCs w:val="false"/>
                <w:sz w:val="18"/>
                <w:szCs w:val="18"/>
              </w:rPr>
              <w:t xml:space="preserve">Retours utilisateurs</w:t>
            </w:r>
          </w:p>
        </w:tc>
        <w:tc>
          <w:tcPr>
            <w:tcW w:type="dxa" w:w="3119"/>
            <w:tcBorders>
              <w:top w:val="none" w:color="FFFFFF" w:sz="0"/>
              <w:left w:val="none" w:color="FFFFFF" w:sz="0"/>
              <w:bottom w:val="single" w:color="8B6914" w:sz="10"/>
              <w:right w:val="none" w:color="FFFFFF" w:sz="0"/>
            </w:tcBorders>
            <w:tcMar>
              <w:top w:type="dxa" w:w="55"/>
              <w:left w:type="dxa" w:w="60"/>
              <w:bottom w:type="dxa" w:w="55"/>
              <w:right w:type="dxa" w:w="110"/>
            </w:tcMar>
          </w:tcPr>
          <w:p>
            <w:pPr>
              <w:spacing w:after="0" w:line="264"/>
            </w:pPr>
            <w:r>
              <w:rPr>
                <w:b w:val="false"/>
                <w:bCs w:val="false"/>
                <w:sz w:val="18"/>
                <w:szCs w:val="18"/>
              </w:rPr>
              <w:t xml:space="preserve">Problèmes d'usage en conditions réelles</w:t>
            </w:r>
          </w:p>
        </w:tc>
        <w:tc>
          <w:tcPr>
            <w:tcW w:type="dxa" w:w="3968"/>
            <w:tcBorders>
              <w:top w:val="none" w:color="FFFFFF" w:sz="0"/>
              <w:left w:val="none" w:color="FFFFFF" w:sz="0"/>
              <w:bottom w:val="single" w:color="8B6914" w:sz="10"/>
              <w:right w:val="none" w:color="FFFFFF" w:sz="0"/>
            </w:tcBorders>
            <w:tcMar>
              <w:top w:type="dxa" w:w="55"/>
              <w:left w:type="dxa" w:w="60"/>
              <w:bottom w:type="dxa" w:w="55"/>
              <w:right w:type="dxa" w:w="110"/>
            </w:tcMar>
          </w:tcPr>
          <w:p>
            <w:pPr>
              <w:spacing w:after="0" w:line="264"/>
            </w:pPr>
            <w:r>
              <w:rPr>
                <w:b w:val="false"/>
                <w:bCs w:val="false"/>
                <w:sz w:val="18"/>
                <w:szCs w:val="18"/>
              </w:rPr>
              <w:t xml:space="preserve">Cas support §8</w:t>
            </w:r>
          </w:p>
        </w:tc>
      </w:tr>
    </w:tbl>
    <w:p>
      <w:pPr>
        <w:pStyle w:val="Heading2"/>
      </w:pPr>
      <w:r>
        <w:t xml:space="preserve">4.2 Processus de consignation</w:t>
      </w:r>
    </w:p>
    <w:p>
      <w:pPr>
        <w:spacing w:after="120" w:before="0" w:line="308"/>
        <w:jc w:val="both"/>
      </w:pPr>
      <w:r>
        <w:rPr>
          <w:b w:val="false"/>
          <w:bCs w:val="false"/>
          <w:i w:val="false"/>
          <w:iCs w:val="false"/>
          <w:sz w:val="22"/>
          <w:szCs w:val="22"/>
        </w:rPr>
        <w:t xml:space="preserve">Toute anomalie, quelle que soit sa source, suit le même cycle : consignation sur fiche normalisée → qualification (gravité × priorité) → correction sur la branche develop → validation par la suite de tests complète → re-test du scénario d'origine → fusion, entrée au journal des versions et livraison. La fiche exige systématiquement les informations permettant de reproduire le bogue (environnement, préconditions, étapes, résultat observé vs attendu) : une anomalie non reproductible n'est pas corrigeable de façon fiable.</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418"/>
        <w:gridCol w:w="4536"/>
        <w:gridCol w:w="3118"/>
      </w:tblGrid>
      <w:tr>
        <w:trPr>
          <w:tblHeader/>
        </w:trPr>
        <w:tc>
          <w:tcPr>
            <w:tcW w:type="dxa" w:w="1418"/>
            <w:tcBorders>
              <w:top w:val="single" w:color="8B6914" w:sz="10"/>
              <w:left w:val="none" w:color="FFFFFF" w:sz="0"/>
              <w:bottom w:val="single" w:color="8B6914" w:sz="5"/>
              <w:right w:val="none" w:color="FFFFFF" w:sz="0"/>
            </w:tcBorders>
            <w:tcMar>
              <w:top w:type="dxa" w:w="55"/>
              <w:left w:type="dxa" w:w="60"/>
              <w:bottom w:type="dxa" w:w="55"/>
              <w:right w:type="dxa" w:w="110"/>
            </w:tcMar>
          </w:tcPr>
          <w:p>
            <w:pPr>
              <w:spacing w:after="0" w:line="264"/>
            </w:pPr>
            <w:r>
              <w:rPr>
                <w:b/>
                <w:bCs/>
                <w:color w:val="2D1A00"/>
                <w:sz w:val="18"/>
                <w:szCs w:val="18"/>
              </w:rPr>
              <w:t xml:space="preserve">Gravité</w:t>
            </w:r>
          </w:p>
        </w:tc>
        <w:tc>
          <w:tcPr>
            <w:tcW w:type="dxa" w:w="4536"/>
            <w:tcBorders>
              <w:top w:val="single" w:color="8B6914" w:sz="10"/>
              <w:left w:val="none" w:color="FFFFFF" w:sz="0"/>
              <w:bottom w:val="single" w:color="8B6914" w:sz="5"/>
              <w:right w:val="none" w:color="FFFFFF" w:sz="0"/>
            </w:tcBorders>
            <w:tcMar>
              <w:top w:type="dxa" w:w="55"/>
              <w:left w:type="dxa" w:w="60"/>
              <w:bottom w:type="dxa" w:w="55"/>
              <w:right w:type="dxa" w:w="110"/>
            </w:tcMar>
          </w:tcPr>
          <w:p>
            <w:pPr>
              <w:spacing w:after="0" w:line="264"/>
            </w:pPr>
            <w:r>
              <w:rPr>
                <w:b/>
                <w:bCs/>
                <w:color w:val="2D1A00"/>
                <w:sz w:val="18"/>
                <w:szCs w:val="18"/>
              </w:rPr>
              <w:t xml:space="preserve">Définition</w:t>
            </w:r>
          </w:p>
        </w:tc>
        <w:tc>
          <w:tcPr>
            <w:tcW w:type="dxa" w:w="3118"/>
            <w:tcBorders>
              <w:top w:val="single" w:color="8B6914" w:sz="10"/>
              <w:left w:val="none" w:color="FFFFFF" w:sz="0"/>
              <w:bottom w:val="single" w:color="8B6914" w:sz="5"/>
              <w:right w:val="none" w:color="FFFFFF" w:sz="0"/>
            </w:tcBorders>
            <w:tcMar>
              <w:top w:type="dxa" w:w="55"/>
              <w:left w:type="dxa" w:w="60"/>
              <w:bottom w:type="dxa" w:w="55"/>
              <w:right w:type="dxa" w:w="110"/>
            </w:tcMar>
          </w:tcPr>
          <w:p>
            <w:pPr>
              <w:spacing w:after="0" w:line="264"/>
            </w:pPr>
            <w:r>
              <w:rPr>
                <w:b/>
                <w:bCs/>
                <w:color w:val="2D1A00"/>
                <w:sz w:val="18"/>
                <w:szCs w:val="18"/>
              </w:rPr>
              <w:t xml:space="preserve">Priorité de traitement</w:t>
            </w:r>
          </w:p>
        </w:tc>
      </w:tr>
      <w:tr>
        <w:tc>
          <w:tcPr>
            <w:tcW w:type="dxa" w:w="1418"/>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Critique</w:t>
            </w:r>
          </w:p>
        </w:tc>
        <w:tc>
          <w:tcPr>
            <w:tcW w:type="dxa" w:w="4536"/>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Service indisponible ou faille exploitable</w:t>
            </w:r>
          </w:p>
        </w:tc>
        <w:tc>
          <w:tcPr>
            <w:tcW w:type="dxa" w:w="3118"/>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Immédiate (correctif hors cycle)</w:t>
            </w:r>
          </w:p>
        </w:tc>
      </w:tr>
      <w:tr>
        <w:tc>
          <w:tcPr>
            <w:tcW w:type="dxa" w:w="1418"/>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Majeure</w:t>
            </w:r>
          </w:p>
        </w:tc>
        <w:tc>
          <w:tcPr>
            <w:tcW w:type="dxa" w:w="4536"/>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Fonctionnalité principale dégradée ou contournement de sécurité</w:t>
            </w:r>
          </w:p>
        </w:tc>
        <w:tc>
          <w:tcPr>
            <w:tcW w:type="dxa" w:w="3118"/>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Sous 48 h</w:t>
            </w:r>
          </w:p>
        </w:tc>
      </w:tr>
      <w:tr>
        <w:tc>
          <w:tcPr>
            <w:tcW w:type="dxa" w:w="1418"/>
            <w:tcBorders>
              <w:top w:val="none" w:color="FFFFFF" w:sz="0"/>
              <w:left w:val="none" w:color="FFFFFF" w:sz="0"/>
              <w:bottom w:val="single" w:color="8B6914" w:sz="10"/>
              <w:right w:val="none" w:color="FFFFFF" w:sz="0"/>
            </w:tcBorders>
            <w:tcMar>
              <w:top w:type="dxa" w:w="55"/>
              <w:left w:type="dxa" w:w="60"/>
              <w:bottom w:type="dxa" w:w="55"/>
              <w:right w:type="dxa" w:w="110"/>
            </w:tcMar>
          </w:tcPr>
          <w:p>
            <w:pPr>
              <w:spacing w:after="0" w:line="264"/>
            </w:pPr>
            <w:r>
              <w:rPr>
                <w:b w:val="false"/>
                <w:bCs w:val="false"/>
                <w:sz w:val="18"/>
                <w:szCs w:val="18"/>
              </w:rPr>
              <w:t xml:space="preserve">Mineure</w:t>
            </w:r>
          </w:p>
        </w:tc>
        <w:tc>
          <w:tcPr>
            <w:tcW w:type="dxa" w:w="4536"/>
            <w:tcBorders>
              <w:top w:val="none" w:color="FFFFFF" w:sz="0"/>
              <w:left w:val="none" w:color="FFFFFF" w:sz="0"/>
              <w:bottom w:val="single" w:color="8B6914" w:sz="10"/>
              <w:right w:val="none" w:color="FFFFFF" w:sz="0"/>
            </w:tcBorders>
            <w:tcMar>
              <w:top w:type="dxa" w:w="55"/>
              <w:left w:type="dxa" w:w="60"/>
              <w:bottom w:type="dxa" w:w="55"/>
              <w:right w:type="dxa" w:w="110"/>
            </w:tcMar>
          </w:tcPr>
          <w:p>
            <w:pPr>
              <w:spacing w:after="0" w:line="264"/>
            </w:pPr>
            <w:r>
              <w:rPr>
                <w:b w:val="false"/>
                <w:bCs w:val="false"/>
                <w:sz w:val="18"/>
                <w:szCs w:val="18"/>
              </w:rPr>
              <w:t xml:space="preserve">Gêne visuelle ou cas limite sans perte de fonction</w:t>
            </w:r>
          </w:p>
        </w:tc>
        <w:tc>
          <w:tcPr>
            <w:tcW w:type="dxa" w:w="3118"/>
            <w:tcBorders>
              <w:top w:val="none" w:color="FFFFFF" w:sz="0"/>
              <w:left w:val="none" w:color="FFFFFF" w:sz="0"/>
              <w:bottom w:val="single" w:color="8B6914" w:sz="10"/>
              <w:right w:val="none" w:color="FFFFFF" w:sz="0"/>
            </w:tcBorders>
            <w:tcMar>
              <w:top w:type="dxa" w:w="55"/>
              <w:left w:type="dxa" w:w="60"/>
              <w:bottom w:type="dxa" w:w="55"/>
              <w:right w:type="dxa" w:w="110"/>
            </w:tcMar>
          </w:tcPr>
          <w:p>
            <w:pPr>
              <w:spacing w:after="0" w:line="264"/>
            </w:pPr>
            <w:r>
              <w:rPr>
                <w:b w:val="false"/>
                <w:bCs w:val="false"/>
                <w:sz w:val="18"/>
                <w:szCs w:val="18"/>
              </w:rPr>
              <w:t xml:space="preserve">Prochain lot de correctifs</w:t>
            </w:r>
          </w:p>
        </w:tc>
      </w:tr>
    </w:tbl>
    <w:p>
      <w:pPr>
        <w:pStyle w:val="Heading2"/>
      </w:pPr>
      <w:r>
        <w:t xml:space="preserve">4.3 Fiche de consignation : exemplaire réel (BUG-011)</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985"/>
        <w:gridCol w:w="7087"/>
      </w:tblGrid>
      <w:tr>
        <w:trPr>
          <w:tblHeader/>
        </w:trPr>
        <w:tc>
          <w:tcPr>
            <w:tcW w:type="dxa" w:w="1985"/>
            <w:tcBorders>
              <w:top w:val="single" w:color="8B6914" w:sz="10"/>
              <w:left w:val="none" w:color="FFFFFF" w:sz="0"/>
              <w:bottom w:val="single" w:color="8B6914" w:sz="5"/>
              <w:right w:val="none" w:color="FFFFFF" w:sz="0"/>
            </w:tcBorders>
            <w:tcMar>
              <w:top w:type="dxa" w:w="55"/>
              <w:left w:type="dxa" w:w="60"/>
              <w:bottom w:type="dxa" w:w="55"/>
              <w:right w:type="dxa" w:w="110"/>
            </w:tcMar>
          </w:tcPr>
          <w:p>
            <w:pPr>
              <w:spacing w:after="0" w:line="264"/>
            </w:pPr>
            <w:r>
              <w:rPr>
                <w:b/>
                <w:bCs/>
                <w:color w:val="2D1A00"/>
                <w:sz w:val="18"/>
                <w:szCs w:val="18"/>
              </w:rPr>
              <w:t xml:space="preserve">Champ</w:t>
            </w:r>
          </w:p>
        </w:tc>
        <w:tc>
          <w:tcPr>
            <w:tcW w:type="dxa" w:w="7087"/>
            <w:tcBorders>
              <w:top w:val="single" w:color="8B6914" w:sz="10"/>
              <w:left w:val="none" w:color="FFFFFF" w:sz="0"/>
              <w:bottom w:val="single" w:color="8B6914" w:sz="5"/>
              <w:right w:val="none" w:color="FFFFFF" w:sz="0"/>
            </w:tcBorders>
            <w:tcMar>
              <w:top w:type="dxa" w:w="55"/>
              <w:left w:type="dxa" w:w="60"/>
              <w:bottom w:type="dxa" w:w="55"/>
              <w:right w:type="dxa" w:w="110"/>
            </w:tcMar>
          </w:tcPr>
          <w:p>
            <w:pPr>
              <w:spacing w:after="0" w:line="264"/>
            </w:pPr>
            <w:r>
              <w:rPr>
                <w:b/>
                <w:bCs/>
                <w:color w:val="2D1A00"/>
                <w:sz w:val="18"/>
                <w:szCs w:val="18"/>
              </w:rPr>
              <w:t xml:space="preserve">Contenu</w:t>
            </w:r>
          </w:p>
        </w:tc>
      </w:tr>
      <w:tr>
        <w:tc>
          <w:tcPr>
            <w:tcW w:type="dxa" w:w="1985"/>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Identifiant</w:t>
            </w:r>
          </w:p>
        </w:tc>
        <w:tc>
          <w:tcPr>
            <w:tcW w:type="dxa" w:w="7087"/>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BUG-011</w:t>
            </w:r>
          </w:p>
        </w:tc>
      </w:tr>
      <w:tr>
        <w:tc>
          <w:tcPr>
            <w:tcW w:type="dxa" w:w="1985"/>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Date / rapporteur</w:t>
            </w:r>
          </w:p>
        </w:tc>
        <w:tc>
          <w:tcPr>
            <w:tcW w:type="dxa" w:w="7087"/>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12/06/2026 — recette fonctionnelle (scénario AUTH-05)</w:t>
            </w:r>
          </w:p>
        </w:tc>
      </w:tr>
      <w:tr>
        <w:tc>
          <w:tcPr>
            <w:tcW w:type="dxa" w:w="1985"/>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Environnement</w:t>
            </w:r>
          </w:p>
        </w:tc>
        <w:tc>
          <w:tcPr>
            <w:tcW w:type="dxa" w:w="7087"/>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v2.1.0-dev — Chrome 137 — front local :3000, API Symfony 7.4 locale</w:t>
            </w:r>
          </w:p>
        </w:tc>
      </w:tr>
      <w:tr>
        <w:tc>
          <w:tcPr>
            <w:tcW w:type="dxa" w:w="1985"/>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Symptôme</w:t>
            </w:r>
          </w:p>
        </w:tc>
        <w:tc>
          <w:tcPr>
            <w:tcW w:type="dxa" w:w="7087"/>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Lors d'une connexion avec un mot de passe erroné, aucun message d'erreur n'apparaît : la page se recharge et le formulaire se vide.</w:t>
            </w:r>
          </w:p>
        </w:tc>
      </w:tr>
      <w:tr>
        <w:tc>
          <w:tcPr>
            <w:tcW w:type="dxa" w:w="1985"/>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Reproduction</w:t>
            </w:r>
          </w:p>
        </w:tc>
        <w:tc>
          <w:tcPr>
            <w:tcW w:type="dxa" w:w="7087"/>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1) Ouvrir /login  2) Saisir un identifiant valide + mot de passe erroné  3) Valider. Observé : rechargement complet de la page, champs vidés, aucun message. Attendu : message « identifiants invalides », champs conservés.</w:t>
            </w:r>
          </w:p>
        </w:tc>
      </w:tr>
      <w:tr>
        <w:tc>
          <w:tcPr>
            <w:tcW w:type="dxa" w:w="1985"/>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Gravité / priorité</w:t>
            </w:r>
          </w:p>
        </w:tc>
        <w:tc>
          <w:tcPr>
            <w:tcW w:type="dxa" w:w="7087"/>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Majeure (l'utilisateur ne comprend pas l'échec de sa connexion) / Haute</w:t>
            </w:r>
          </w:p>
        </w:tc>
      </w:tr>
      <w:tr>
        <w:tc>
          <w:tcPr>
            <w:tcW w:type="dxa" w:w="1985"/>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Analyse (cause racine)</w:t>
            </w:r>
          </w:p>
        </w:tc>
        <w:tc>
          <w:tcPr>
            <w:tcW w:type="dxa" w:w="7087"/>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L'intercepteur de réponses axios redirigeait vers /login en purgeant la session pour TOUT code 401/403 — y compris le 401 légitime renvoyé par /api/login lui-même. La redirection masquait l'affichage de l'erreur par le formulaire.</w:t>
            </w:r>
          </w:p>
        </w:tc>
      </w:tr>
      <w:tr>
        <w:tc>
          <w:tcPr>
            <w:tcW w:type="dxa" w:w="1985"/>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Préconisation</w:t>
            </w:r>
          </w:p>
        </w:tc>
        <w:tc>
          <w:tcPr>
            <w:tcW w:type="dxa" w:w="7087"/>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Exclure les appels d'authentification (/login, /register, token/refresh) de la redirection automatique ; laisser les formulaires afficher l'erreur renvoyée par l'API.</w:t>
            </w:r>
          </w:p>
        </w:tc>
      </w:tr>
      <w:tr>
        <w:tc>
          <w:tcPr>
            <w:tcW w:type="dxa" w:w="1985"/>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Correctif</w:t>
            </w:r>
          </w:p>
        </w:tc>
        <w:tc>
          <w:tcPr>
            <w:tcW w:type="dxa" w:w="7087"/>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front/src/api.js — garde isAuthCall dans l'intercepteur (commit fix(front) du 12/06)</w:t>
            </w:r>
          </w:p>
        </w:tc>
      </w:tr>
      <w:tr>
        <w:tc>
          <w:tcPr>
            <w:tcW w:type="dxa" w:w="1985"/>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Validation</w:t>
            </w:r>
          </w:p>
        </w:tc>
        <w:tc>
          <w:tcPr>
            <w:tcW w:type="dxa" w:w="7087"/>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Suite Jest complète : 95/95 verts (état de l'époque) ; scénario AUTH-05 rejoué : PASS ; entrée CHANGELOG v2.1.0</w:t>
            </w:r>
          </w:p>
        </w:tc>
      </w:tr>
      <w:tr>
        <w:tc>
          <w:tcPr>
            <w:tcW w:type="dxa" w:w="1985"/>
            <w:tcBorders>
              <w:top w:val="none" w:color="FFFFFF" w:sz="0"/>
              <w:left w:val="none" w:color="FFFFFF" w:sz="0"/>
              <w:bottom w:val="single" w:color="8B6914" w:sz="10"/>
              <w:right w:val="none" w:color="FFFFFF" w:sz="0"/>
            </w:tcBorders>
            <w:tcMar>
              <w:top w:type="dxa" w:w="55"/>
              <w:left w:type="dxa" w:w="60"/>
              <w:bottom w:type="dxa" w:w="55"/>
              <w:right w:type="dxa" w:w="110"/>
            </w:tcMar>
          </w:tcPr>
          <w:p>
            <w:pPr>
              <w:spacing w:after="0" w:line="264"/>
            </w:pPr>
            <w:r>
              <w:rPr>
                <w:b w:val="false"/>
                <w:bCs w:val="false"/>
                <w:sz w:val="18"/>
                <w:szCs w:val="18"/>
              </w:rPr>
              <w:t xml:space="preserve">Statut</w:t>
            </w:r>
          </w:p>
        </w:tc>
        <w:tc>
          <w:tcPr>
            <w:tcW w:type="dxa" w:w="7087"/>
            <w:tcBorders>
              <w:top w:val="none" w:color="FFFFFF" w:sz="0"/>
              <w:left w:val="none" w:color="FFFFFF" w:sz="0"/>
              <w:bottom w:val="single" w:color="8B6914" w:sz="10"/>
              <w:right w:val="none" w:color="FFFFFF" w:sz="0"/>
            </w:tcBorders>
            <w:tcMar>
              <w:top w:type="dxa" w:w="55"/>
              <w:left w:type="dxa" w:w="60"/>
              <w:bottom w:type="dxa" w:w="55"/>
              <w:right w:type="dxa" w:w="110"/>
            </w:tcMar>
          </w:tcPr>
          <w:p>
            <w:pPr>
              <w:spacing w:after="0" w:line="264"/>
            </w:pPr>
            <w:r>
              <w:rPr>
                <w:b w:val="false"/>
                <w:bCs w:val="false"/>
                <w:sz w:val="18"/>
                <w:szCs w:val="18"/>
              </w:rPr>
              <w:t xml:space="preserve">Résolu — clos le 12/06/2026</w:t>
            </w:r>
          </w:p>
        </w:tc>
      </w:tr>
    </w:tbl>
    <w:p>
      <w:pPr>
        <w:pStyle w:val="Heading2"/>
      </w:pPr>
      <w:r>
        <w:t xml:space="preserve">4.4 Registre synthétique des anomalies (BUG-001 → BUG-016)</w:t>
      </w:r>
    </w:p>
    <w:p>
      <w:pPr>
        <w:spacing w:after="120" w:before="0" w:line="308"/>
        <w:jc w:val="both"/>
      </w:pPr>
      <w:r>
        <w:rPr>
          <w:b w:val="false"/>
          <w:bCs w:val="false"/>
          <w:i w:val="false"/>
          <w:iCs w:val="false"/>
          <w:sz w:val="22"/>
          <w:szCs w:val="22"/>
        </w:rPr>
        <w:t xml:space="preserve">Le registre complet montre la variété des canaux de détection et la constance du traitement — chaque ligne renvoie à un correctif commité et documenté au CHANGELOG :</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30"/>
        <w:gridCol w:w="1745"/>
        <w:gridCol w:w="4071"/>
        <w:gridCol w:w="1047"/>
        <w:gridCol w:w="1279"/>
      </w:tblGrid>
      <w:tr>
        <w:trPr>
          <w:tblHeader/>
        </w:trPr>
        <w:tc>
          <w:tcPr>
            <w:tcW w:type="dxa" w:w="930"/>
            <w:tcBorders>
              <w:top w:val="single" w:color="8B6914" w:sz="10"/>
              <w:left w:val="none" w:color="FFFFFF" w:sz="0"/>
              <w:bottom w:val="single" w:color="8B6914" w:sz="5"/>
              <w:right w:val="none" w:color="FFFFFF" w:sz="0"/>
            </w:tcBorders>
            <w:tcMar>
              <w:top w:type="dxa" w:w="55"/>
              <w:left w:type="dxa" w:w="60"/>
              <w:bottom w:type="dxa" w:w="55"/>
              <w:right w:type="dxa" w:w="110"/>
            </w:tcMar>
          </w:tcPr>
          <w:p>
            <w:pPr>
              <w:spacing w:after="0" w:line="264"/>
            </w:pPr>
            <w:r>
              <w:rPr>
                <w:b/>
                <w:bCs/>
                <w:color w:val="2D1A00"/>
                <w:sz w:val="16"/>
                <w:szCs w:val="16"/>
              </w:rPr>
              <w:t xml:space="preserve">ID</w:t>
            </w:r>
          </w:p>
        </w:tc>
        <w:tc>
          <w:tcPr>
            <w:tcW w:type="dxa" w:w="1745"/>
            <w:tcBorders>
              <w:top w:val="single" w:color="8B6914" w:sz="10"/>
              <w:left w:val="none" w:color="FFFFFF" w:sz="0"/>
              <w:bottom w:val="single" w:color="8B6914" w:sz="5"/>
              <w:right w:val="none" w:color="FFFFFF" w:sz="0"/>
            </w:tcBorders>
            <w:tcMar>
              <w:top w:type="dxa" w:w="55"/>
              <w:left w:type="dxa" w:w="60"/>
              <w:bottom w:type="dxa" w:w="55"/>
              <w:right w:type="dxa" w:w="110"/>
            </w:tcMar>
          </w:tcPr>
          <w:p>
            <w:pPr>
              <w:spacing w:after="0" w:line="264"/>
            </w:pPr>
            <w:r>
              <w:rPr>
                <w:b/>
                <w:bCs/>
                <w:color w:val="2D1A00"/>
                <w:sz w:val="16"/>
                <w:szCs w:val="16"/>
              </w:rPr>
              <w:t xml:space="preserve">Origine</w:t>
            </w:r>
          </w:p>
        </w:tc>
        <w:tc>
          <w:tcPr>
            <w:tcW w:type="dxa" w:w="4071"/>
            <w:tcBorders>
              <w:top w:val="single" w:color="8B6914" w:sz="10"/>
              <w:left w:val="none" w:color="FFFFFF" w:sz="0"/>
              <w:bottom w:val="single" w:color="8B6914" w:sz="5"/>
              <w:right w:val="none" w:color="FFFFFF" w:sz="0"/>
            </w:tcBorders>
            <w:tcMar>
              <w:top w:type="dxa" w:w="55"/>
              <w:left w:type="dxa" w:w="60"/>
              <w:bottom w:type="dxa" w:w="55"/>
              <w:right w:type="dxa" w:w="110"/>
            </w:tcMar>
          </w:tcPr>
          <w:p>
            <w:pPr>
              <w:spacing w:after="0" w:line="264"/>
            </w:pPr>
            <w:r>
              <w:rPr>
                <w:b/>
                <w:bCs/>
                <w:color w:val="2D1A00"/>
                <w:sz w:val="16"/>
                <w:szCs w:val="16"/>
              </w:rPr>
              <w:t xml:space="preserve">Anomalie (résumé)</w:t>
            </w:r>
          </w:p>
        </w:tc>
        <w:tc>
          <w:tcPr>
            <w:tcW w:type="dxa" w:w="1047"/>
            <w:tcBorders>
              <w:top w:val="single" w:color="8B6914" w:sz="10"/>
              <w:left w:val="none" w:color="FFFFFF" w:sz="0"/>
              <w:bottom w:val="single" w:color="8B6914" w:sz="5"/>
              <w:right w:val="none" w:color="FFFFFF" w:sz="0"/>
            </w:tcBorders>
            <w:tcMar>
              <w:top w:type="dxa" w:w="55"/>
              <w:left w:type="dxa" w:w="60"/>
              <w:bottom w:type="dxa" w:w="55"/>
              <w:right w:type="dxa" w:w="110"/>
            </w:tcMar>
          </w:tcPr>
          <w:p>
            <w:pPr>
              <w:spacing w:after="0" w:line="264"/>
            </w:pPr>
            <w:r>
              <w:rPr>
                <w:b/>
                <w:bCs/>
                <w:color w:val="2D1A00"/>
                <w:sz w:val="16"/>
                <w:szCs w:val="16"/>
              </w:rPr>
              <w:t xml:space="preserve">Gravité</w:t>
            </w:r>
          </w:p>
        </w:tc>
        <w:tc>
          <w:tcPr>
            <w:tcW w:type="dxa" w:w="1279"/>
            <w:tcBorders>
              <w:top w:val="single" w:color="8B6914" w:sz="10"/>
              <w:left w:val="none" w:color="FFFFFF" w:sz="0"/>
              <w:bottom w:val="single" w:color="8B6914" w:sz="5"/>
              <w:right w:val="none" w:color="FFFFFF" w:sz="0"/>
            </w:tcBorders>
            <w:tcMar>
              <w:top w:type="dxa" w:w="55"/>
              <w:left w:type="dxa" w:w="60"/>
              <w:bottom w:type="dxa" w:w="55"/>
              <w:right w:type="dxa" w:w="110"/>
            </w:tcMar>
          </w:tcPr>
          <w:p>
            <w:pPr>
              <w:spacing w:after="0" w:line="264"/>
            </w:pPr>
            <w:r>
              <w:rPr>
                <w:b/>
                <w:bCs/>
                <w:color w:val="2D1A00"/>
                <w:sz w:val="16"/>
                <w:szCs w:val="16"/>
              </w:rPr>
              <w:t xml:space="preserve">Statut</w:t>
            </w:r>
          </w:p>
        </w:tc>
      </w:tr>
      <w:tr>
        <w:tc>
          <w:tcPr>
            <w:tcW w:type="dxa" w:w="930"/>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BUG-001</w:t>
            </w:r>
          </w:p>
        </w:tc>
        <w:tc>
          <w:tcPr>
            <w:tcW w:type="dxa" w:w="1745"/>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Revue de code</w:t>
            </w:r>
          </w:p>
        </w:tc>
        <w:tc>
          <w:tcPr>
            <w:tcW w:type="dxa" w:w="4071"/>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Validation de jeton inopérante (Promise toujours vraie)</w:t>
            </w:r>
          </w:p>
        </w:tc>
        <w:tc>
          <w:tcPr>
            <w:tcW w:type="dxa" w:w="1047"/>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Majeure</w:t>
            </w:r>
          </w:p>
        </w:tc>
        <w:tc>
          <w:tcPr>
            <w:tcW w:type="dxa" w:w="1279"/>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Résolu 02/06</w:t>
            </w:r>
          </w:p>
        </w:tc>
      </w:tr>
      <w:tr>
        <w:tc>
          <w:tcPr>
            <w:tcW w:type="dxa" w:w="930"/>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BUG-002</w:t>
            </w:r>
          </w:p>
        </w:tc>
        <w:tc>
          <w:tcPr>
            <w:tcW w:type="dxa" w:w="1745"/>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Revue de code</w:t>
            </w:r>
          </w:p>
        </w:tc>
        <w:tc>
          <w:tcPr>
            <w:tcW w:type="dxa" w:w="4071"/>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Dépendance circulaire api.js ↔ PrivateRoute.jsx</w:t>
            </w:r>
          </w:p>
        </w:tc>
        <w:tc>
          <w:tcPr>
            <w:tcW w:type="dxa" w:w="1047"/>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Mineure</w:t>
            </w:r>
          </w:p>
        </w:tc>
        <w:tc>
          <w:tcPr>
            <w:tcW w:type="dxa" w:w="1279"/>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Résolu 02/06</w:t>
            </w:r>
          </w:p>
        </w:tc>
      </w:tr>
      <w:tr>
        <w:tc>
          <w:tcPr>
            <w:tcW w:type="dxa" w:w="930"/>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BUG-003</w:t>
            </w:r>
          </w:p>
        </w:tc>
        <w:tc>
          <w:tcPr>
            <w:tcW w:type="dxa" w:w="1745"/>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Tests</w:t>
            </w:r>
          </w:p>
        </w:tc>
        <w:tc>
          <w:tcPr>
            <w:tcW w:type="dxa" w:w="4071"/>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Zone.php : collection markers non initialisée</w:t>
            </w:r>
          </w:p>
        </w:tc>
        <w:tc>
          <w:tcPr>
            <w:tcW w:type="dxa" w:w="1047"/>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Mineure</w:t>
            </w:r>
          </w:p>
        </w:tc>
        <w:tc>
          <w:tcPr>
            <w:tcW w:type="dxa" w:w="1279"/>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Résolu 02/06</w:t>
            </w:r>
          </w:p>
        </w:tc>
      </w:tr>
      <w:tr>
        <w:tc>
          <w:tcPr>
            <w:tcW w:type="dxa" w:w="930"/>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BUG-004</w:t>
            </w:r>
          </w:p>
        </w:tc>
        <w:tc>
          <w:tcPr>
            <w:tcW w:type="dxa" w:w="1745"/>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Supervision</w:t>
            </w:r>
          </w:p>
        </w:tc>
        <w:tc>
          <w:tcPr>
            <w:tcW w:type="dxa" w:w="4071"/>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/api/health exigeait un JWT : inutilisable par une sonde</w:t>
            </w:r>
          </w:p>
        </w:tc>
        <w:tc>
          <w:tcPr>
            <w:tcW w:type="dxa" w:w="1047"/>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Majeure</w:t>
            </w:r>
          </w:p>
        </w:tc>
        <w:tc>
          <w:tcPr>
            <w:tcW w:type="dxa" w:w="1279"/>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Résolu 02/06</w:t>
            </w:r>
          </w:p>
        </w:tc>
      </w:tr>
      <w:tr>
        <w:tc>
          <w:tcPr>
            <w:tcW w:type="dxa" w:w="930"/>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BUG-005</w:t>
            </w:r>
          </w:p>
        </w:tc>
        <w:tc>
          <w:tcPr>
            <w:tcW w:type="dxa" w:w="1745"/>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Audit sécurité</w:t>
            </w:r>
          </w:p>
        </w:tc>
        <w:tc>
          <w:tcPr>
            <w:tcW w:type="dxa" w:w="4071"/>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Secret applicatif (APP_SECRET) non sécurisé</w:t>
            </w:r>
          </w:p>
        </w:tc>
        <w:tc>
          <w:tcPr>
            <w:tcW w:type="dxa" w:w="1047"/>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Majeure</w:t>
            </w:r>
          </w:p>
        </w:tc>
        <w:tc>
          <w:tcPr>
            <w:tcW w:type="dxa" w:w="1279"/>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Résolu 02/06</w:t>
            </w:r>
          </w:p>
        </w:tc>
      </w:tr>
      <w:tr>
        <w:tc>
          <w:tcPr>
            <w:tcW w:type="dxa" w:w="930"/>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BUG-006</w:t>
            </w:r>
          </w:p>
        </w:tc>
        <w:tc>
          <w:tcPr>
            <w:tcW w:type="dxa" w:w="1745"/>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Audit accessibilité</w:t>
            </w:r>
          </w:p>
        </w:tc>
        <w:tc>
          <w:tcPr>
            <w:tcW w:type="dxa" w:w="4071"/>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lang="en" déclaré pour une interface française</w:t>
            </w:r>
          </w:p>
        </w:tc>
        <w:tc>
          <w:tcPr>
            <w:tcW w:type="dxa" w:w="1047"/>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Mineure</w:t>
            </w:r>
          </w:p>
        </w:tc>
        <w:tc>
          <w:tcPr>
            <w:tcW w:type="dxa" w:w="1279"/>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Résolu 02/06</w:t>
            </w:r>
          </w:p>
        </w:tc>
      </w:tr>
      <w:tr>
        <w:tc>
          <w:tcPr>
            <w:tcW w:type="dxa" w:w="930"/>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BUG-007</w:t>
            </w:r>
          </w:p>
        </w:tc>
        <w:tc>
          <w:tcPr>
            <w:tcW w:type="dxa" w:w="1745"/>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CI</w:t>
            </w:r>
          </w:p>
        </w:tc>
        <w:tc>
          <w:tcPr>
            <w:tcW w:type="dxa" w:w="4071"/>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Pipeline en échec : SGBD de test incohérent (MySQL vs SQLite)</w:t>
            </w:r>
          </w:p>
        </w:tc>
        <w:tc>
          <w:tcPr>
            <w:tcW w:type="dxa" w:w="1047"/>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Majeure</w:t>
            </w:r>
          </w:p>
        </w:tc>
        <w:tc>
          <w:tcPr>
            <w:tcW w:type="dxa" w:w="1279"/>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Résolu 02/06</w:t>
            </w:r>
          </w:p>
        </w:tc>
      </w:tr>
      <w:tr>
        <w:tc>
          <w:tcPr>
            <w:tcW w:type="dxa" w:w="930"/>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BUG-008</w:t>
            </w:r>
          </w:p>
        </w:tc>
        <w:tc>
          <w:tcPr>
            <w:tcW w:type="dxa" w:w="1745"/>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Revue de code</w:t>
            </w:r>
          </w:p>
        </w:tc>
        <w:tc>
          <w:tcPr>
            <w:tcW w:type="dxa" w:w="4071"/>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Imports morts et commentaires copiés-collés</w:t>
            </w:r>
          </w:p>
        </w:tc>
        <w:tc>
          <w:tcPr>
            <w:tcW w:type="dxa" w:w="1047"/>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Mineure</w:t>
            </w:r>
          </w:p>
        </w:tc>
        <w:tc>
          <w:tcPr>
            <w:tcW w:type="dxa" w:w="1279"/>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Résolu 02/06</w:t>
            </w:r>
          </w:p>
        </w:tc>
      </w:tr>
      <w:tr>
        <w:tc>
          <w:tcPr>
            <w:tcW w:type="dxa" w:w="930"/>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BUG-009</w:t>
            </w:r>
          </w:p>
        </w:tc>
        <w:tc>
          <w:tcPr>
            <w:tcW w:type="dxa" w:w="1745"/>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Recette</w:t>
            </w:r>
          </w:p>
        </w:tc>
        <w:tc>
          <w:tcPr>
            <w:tcW w:type="dxa" w:w="4071"/>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KPI admin « nouveaux aujourd'hui » toujours vide</w:t>
            </w:r>
          </w:p>
        </w:tc>
        <w:tc>
          <w:tcPr>
            <w:tcW w:type="dxa" w:w="1047"/>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Mineure</w:t>
            </w:r>
          </w:p>
        </w:tc>
        <w:tc>
          <w:tcPr>
            <w:tcW w:type="dxa" w:w="1279"/>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Résolu 12/06</w:t>
            </w:r>
          </w:p>
        </w:tc>
      </w:tr>
      <w:tr>
        <w:tc>
          <w:tcPr>
            <w:tcW w:type="dxa" w:w="930"/>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BUG-010</w:t>
            </w:r>
          </w:p>
        </w:tc>
        <w:tc>
          <w:tcPr>
            <w:tcW w:type="dxa" w:w="1745"/>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Audit sécurité</w:t>
            </w:r>
          </w:p>
        </w:tc>
        <w:tc>
          <w:tcPr>
            <w:tcW w:type="dxa" w:w="4071"/>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CORS ouvert à toutes les origines (wildcard)</w:t>
            </w:r>
          </w:p>
        </w:tc>
        <w:tc>
          <w:tcPr>
            <w:tcW w:type="dxa" w:w="1047"/>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Majeure</w:t>
            </w:r>
          </w:p>
        </w:tc>
        <w:tc>
          <w:tcPr>
            <w:tcW w:type="dxa" w:w="1279"/>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Résolu 12/06</w:t>
            </w:r>
          </w:p>
        </w:tc>
      </w:tr>
      <w:tr>
        <w:tc>
          <w:tcPr>
            <w:tcW w:type="dxa" w:w="930"/>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BUG-011</w:t>
            </w:r>
          </w:p>
        </w:tc>
        <w:tc>
          <w:tcPr>
            <w:tcW w:type="dxa" w:w="1745"/>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Recette AUTH-05</w:t>
            </w:r>
          </w:p>
        </w:tc>
        <w:tc>
          <w:tcPr>
            <w:tcW w:type="dxa" w:w="4071"/>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Échec de connexion invisible (rechargement de page)</w:t>
            </w:r>
          </w:p>
        </w:tc>
        <w:tc>
          <w:tcPr>
            <w:tcW w:type="dxa" w:w="1047"/>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Majeure</w:t>
            </w:r>
          </w:p>
        </w:tc>
        <w:tc>
          <w:tcPr>
            <w:tcW w:type="dxa" w:w="1279"/>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Résolu 12/06</w:t>
            </w:r>
          </w:p>
        </w:tc>
      </w:tr>
      <w:tr>
        <w:tc>
          <w:tcPr>
            <w:tcW w:type="dxa" w:w="930"/>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BUG-012</w:t>
            </w:r>
          </w:p>
        </w:tc>
        <w:tc>
          <w:tcPr>
            <w:tcW w:type="dxa" w:w="1745"/>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Recette RECH-02</w:t>
            </w:r>
          </w:p>
        </w:tc>
        <w:tc>
          <w:tcPr>
            <w:tcW w:type="dxa" w:w="4071"/>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 Kill Ratio : NaN » (division 0/0)</w:t>
            </w:r>
          </w:p>
        </w:tc>
        <w:tc>
          <w:tcPr>
            <w:tcW w:type="dxa" w:w="1047"/>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Mineure</w:t>
            </w:r>
          </w:p>
        </w:tc>
        <w:tc>
          <w:tcPr>
            <w:tcW w:type="dxa" w:w="1279"/>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Résolu 12/06</w:t>
            </w:r>
          </w:p>
        </w:tc>
      </w:tr>
      <w:tr>
        <w:tc>
          <w:tcPr>
            <w:tcW w:type="dxa" w:w="930"/>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BUG-013</w:t>
            </w:r>
          </w:p>
        </w:tc>
        <w:tc>
          <w:tcPr>
            <w:tcW w:type="dxa" w:w="1745"/>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Console navigateur</w:t>
            </w:r>
          </w:p>
        </w:tc>
        <w:tc>
          <w:tcPr>
            <w:tcW w:type="dxa" w:w="4071"/>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Clés React dupliquées dans les listes de guildes</w:t>
            </w:r>
          </w:p>
        </w:tc>
        <w:tc>
          <w:tcPr>
            <w:tcW w:type="dxa" w:w="1047"/>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Mineure</w:t>
            </w:r>
          </w:p>
        </w:tc>
        <w:tc>
          <w:tcPr>
            <w:tcW w:type="dxa" w:w="1279"/>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Résolu 12/06</w:t>
            </w:r>
          </w:p>
        </w:tc>
      </w:tr>
      <w:tr>
        <w:tc>
          <w:tcPr>
            <w:tcW w:type="dxa" w:w="930"/>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BUG-014</w:t>
            </w:r>
          </w:p>
        </w:tc>
        <w:tc>
          <w:tcPr>
            <w:tcW w:type="dxa" w:w="1745"/>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Revue v3 (craft)</w:t>
            </w:r>
          </w:p>
        </w:tc>
        <w:tc>
          <w:tcPr>
            <w:tcW w:type="dxa" w:w="4071"/>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Clé i18n rendue brute en titre de section</w:t>
            </w:r>
          </w:p>
        </w:tc>
        <w:tc>
          <w:tcPr>
            <w:tcW w:type="dxa" w:w="1047"/>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Mineure</w:t>
            </w:r>
          </w:p>
        </w:tc>
        <w:tc>
          <w:tcPr>
            <w:tcW w:type="dxa" w:w="1279"/>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Résolu 14/07</w:t>
            </w:r>
          </w:p>
        </w:tc>
      </w:tr>
      <w:tr>
        <w:tc>
          <w:tcPr>
            <w:tcW w:type="dxa" w:w="930"/>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BUG-015</w:t>
            </w:r>
          </w:p>
        </w:tc>
        <w:tc>
          <w:tcPr>
            <w:tcW w:type="dxa" w:w="1745"/>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Revue multi-thèmes</w:t>
            </w:r>
          </w:p>
        </w:tc>
        <w:tc>
          <w:tcPr>
            <w:tcW w:type="dxa" w:w="4071"/>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Mode clair : titres illisibles (variables figées)</w:t>
            </w:r>
          </w:p>
        </w:tc>
        <w:tc>
          <w:tcPr>
            <w:tcW w:type="dxa" w:w="1047"/>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Majeure</w:t>
            </w:r>
          </w:p>
        </w:tc>
        <w:tc>
          <w:tcPr>
            <w:tcW w:type="dxa" w:w="1279"/>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Résolu 14/07</w:t>
            </w:r>
          </w:p>
        </w:tc>
      </w:tr>
      <w:tr>
        <w:tc>
          <w:tcPr>
            <w:tcW w:type="dxa" w:w="930"/>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BUG-016</w:t>
            </w:r>
          </w:p>
        </w:tc>
        <w:tc>
          <w:tcPr>
            <w:tcW w:type="dxa" w:w="1745"/>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Revue RGPD</w:t>
            </w:r>
          </w:p>
        </w:tc>
        <w:tc>
          <w:tcPr>
            <w:tcW w:type="dxa" w:w="4071"/>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Suppression de compte bloquée par contrainte FK sans cascade</w:t>
            </w:r>
          </w:p>
        </w:tc>
        <w:tc>
          <w:tcPr>
            <w:tcW w:type="dxa" w:w="1047"/>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Majeure</w:t>
            </w:r>
          </w:p>
        </w:tc>
        <w:tc>
          <w:tcPr>
            <w:tcW w:type="dxa" w:w="1279"/>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Résolu 15/07</w:t>
            </w:r>
          </w:p>
        </w:tc>
      </w:tr>
      <w:tr>
        <w:tc>
          <w:tcPr>
            <w:tcW w:type="dxa" w:w="930"/>
            <w:tcBorders>
              <w:top w:val="none" w:color="FFFFFF" w:sz="0"/>
              <w:left w:val="none" w:color="FFFFFF" w:sz="0"/>
              <w:bottom w:val="single" w:color="8B6914" w:sz="10"/>
              <w:right w:val="none" w:color="FFFFFF" w:sz="0"/>
            </w:tcBorders>
            <w:tcMar>
              <w:top w:type="dxa" w:w="55"/>
              <w:left w:type="dxa" w:w="60"/>
              <w:bottom w:type="dxa" w:w="55"/>
              <w:right w:type="dxa" w:w="110"/>
            </w:tcMar>
          </w:tcPr>
          <w:p>
            <w:pPr>
              <w:spacing w:after="0" w:line="264"/>
            </w:pPr>
            <w:r>
              <w:rPr>
                <w:b w:val="false"/>
                <w:bCs w:val="false"/>
                <w:sz w:val="16"/>
                <w:szCs w:val="16"/>
              </w:rPr>
              <w:t xml:space="preserve">OBS-01</w:t>
            </w:r>
          </w:p>
        </w:tc>
        <w:tc>
          <w:tcPr>
            <w:tcW w:type="dxa" w:w="1745"/>
            <w:tcBorders>
              <w:top w:val="none" w:color="FFFFFF" w:sz="0"/>
              <w:left w:val="none" w:color="FFFFFF" w:sz="0"/>
              <w:bottom w:val="single" w:color="8B6914" w:sz="10"/>
              <w:right w:val="none" w:color="FFFFFF" w:sz="0"/>
            </w:tcBorders>
            <w:tcMar>
              <w:top w:type="dxa" w:w="55"/>
              <w:left w:type="dxa" w:w="60"/>
              <w:bottom w:type="dxa" w:w="55"/>
              <w:right w:type="dxa" w:w="110"/>
            </w:tcMar>
          </w:tcPr>
          <w:p>
            <w:pPr>
              <w:spacing w:after="0" w:line="264"/>
            </w:pPr>
            <w:r>
              <w:rPr>
                <w:b w:val="false"/>
                <w:bCs w:val="false"/>
                <w:sz w:val="16"/>
                <w:szCs w:val="16"/>
              </w:rPr>
              <w:t xml:space="preserve">Audit axe-core</w:t>
            </w:r>
          </w:p>
        </w:tc>
        <w:tc>
          <w:tcPr>
            <w:tcW w:type="dxa" w:w="4071"/>
            <w:tcBorders>
              <w:top w:val="none" w:color="FFFFFF" w:sz="0"/>
              <w:left w:val="none" w:color="FFFFFF" w:sz="0"/>
              <w:bottom w:val="single" w:color="8B6914" w:sz="10"/>
              <w:right w:val="none" w:color="FFFFFF" w:sz="0"/>
            </w:tcBorders>
            <w:tcMar>
              <w:top w:type="dxa" w:w="55"/>
              <w:left w:type="dxa" w:w="60"/>
              <w:bottom w:type="dxa" w:w="55"/>
              <w:right w:type="dxa" w:w="110"/>
            </w:tcMar>
          </w:tcPr>
          <w:p>
            <w:pPr>
              <w:spacing w:after="0" w:line="264"/>
            </w:pPr>
            <w:r>
              <w:rPr>
                <w:b w:val="false"/>
                <w:bCs w:val="false"/>
                <w:sz w:val="16"/>
                <w:szCs w:val="16"/>
              </w:rPr>
              <w:t xml:space="preserve">Contraste des pastilles du tableau de craft (3,2:1)</w:t>
            </w:r>
          </w:p>
        </w:tc>
        <w:tc>
          <w:tcPr>
            <w:tcW w:type="dxa" w:w="1047"/>
            <w:tcBorders>
              <w:top w:val="none" w:color="FFFFFF" w:sz="0"/>
              <w:left w:val="none" w:color="FFFFFF" w:sz="0"/>
              <w:bottom w:val="single" w:color="8B6914" w:sz="10"/>
              <w:right w:val="none" w:color="FFFFFF" w:sz="0"/>
            </w:tcBorders>
            <w:tcMar>
              <w:top w:type="dxa" w:w="55"/>
              <w:left w:type="dxa" w:w="60"/>
              <w:bottom w:type="dxa" w:w="55"/>
              <w:right w:type="dxa" w:w="110"/>
            </w:tcMar>
          </w:tcPr>
          <w:p>
            <w:pPr>
              <w:spacing w:after="0" w:line="264"/>
            </w:pPr>
            <w:r>
              <w:rPr>
                <w:b w:val="false"/>
                <w:bCs w:val="false"/>
                <w:sz w:val="16"/>
                <w:szCs w:val="16"/>
              </w:rPr>
              <w:t xml:space="preserve">Mineure</w:t>
            </w:r>
          </w:p>
        </w:tc>
        <w:tc>
          <w:tcPr>
            <w:tcW w:type="dxa" w:w="1279"/>
            <w:tcBorders>
              <w:top w:val="none" w:color="FFFFFF" w:sz="0"/>
              <w:left w:val="none" w:color="FFFFFF" w:sz="0"/>
              <w:bottom w:val="single" w:color="8B6914" w:sz="10"/>
              <w:right w:val="none" w:color="FFFFFF" w:sz="0"/>
            </w:tcBorders>
            <w:tcMar>
              <w:top w:type="dxa" w:w="55"/>
              <w:left w:type="dxa" w:w="60"/>
              <w:bottom w:type="dxa" w:w="55"/>
              <w:right w:type="dxa" w:w="110"/>
            </w:tcMar>
          </w:tcPr>
          <w:p>
            <w:pPr>
              <w:spacing w:after="0" w:line="264"/>
            </w:pPr>
            <w:r>
              <w:rPr>
                <w:b w:val="false"/>
                <w:bCs w:val="false"/>
                <w:sz w:val="16"/>
                <w:szCs w:val="16"/>
              </w:rPr>
              <w:t xml:space="preserve">Planifié (§7)</w:t>
            </w:r>
          </w:p>
        </w:tc>
      </w:tr>
    </w:tbl>
    <w:p>
      <w:pPr>
        <w:pStyle w:val="Heading1"/>
      </w:pPr>
      <w:r>
        <w:t xml:space="preserve">5. Traitement d'une anomalie : de la détection à la livraison</w:t>
      </w:r>
    </w:p>
    <w:p>
      <w:pPr>
        <w:spacing w:after="120" w:before="0" w:line="308"/>
        <w:jc w:val="both"/>
      </w:pPr>
      <w:r>
        <w:rPr>
          <w:b w:val="false"/>
          <w:bCs w:val="false"/>
          <w:i w:val="false"/>
          <w:iCs w:val="false"/>
          <w:sz w:val="22"/>
          <w:szCs w:val="22"/>
        </w:rPr>
        <w:t xml:space="preserve">Le traitement de BUG-011 illustre comment la correction tire profit du processus d'intégration et de déploiement continus mis en place au Bloc 2 :</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567"/>
        <w:gridCol w:w="1985"/>
        <w:gridCol w:w="6520"/>
      </w:tblGrid>
      <w:tr>
        <w:trPr>
          <w:tblHeader/>
        </w:trPr>
        <w:tc>
          <w:tcPr>
            <w:tcW w:type="dxa" w:w="567"/>
            <w:tcBorders>
              <w:top w:val="single" w:color="8B6914" w:sz="10"/>
              <w:left w:val="none" w:color="FFFFFF" w:sz="0"/>
              <w:bottom w:val="single" w:color="8B6914" w:sz="5"/>
              <w:right w:val="none" w:color="FFFFFF" w:sz="0"/>
            </w:tcBorders>
            <w:tcMar>
              <w:top w:type="dxa" w:w="55"/>
              <w:left w:type="dxa" w:w="60"/>
              <w:bottom w:type="dxa" w:w="55"/>
              <w:right w:type="dxa" w:w="110"/>
            </w:tcMar>
          </w:tcPr>
          <w:p>
            <w:pPr>
              <w:spacing w:after="0" w:line="264"/>
            </w:pPr>
            <w:r>
              <w:rPr>
                <w:b/>
                <w:bCs/>
                <w:color w:val="2D1A00"/>
                <w:sz w:val="18"/>
                <w:szCs w:val="18"/>
              </w:rPr>
              <w:t xml:space="preserve">#</w:t>
            </w:r>
          </w:p>
        </w:tc>
        <w:tc>
          <w:tcPr>
            <w:tcW w:type="dxa" w:w="1985"/>
            <w:tcBorders>
              <w:top w:val="single" w:color="8B6914" w:sz="10"/>
              <w:left w:val="none" w:color="FFFFFF" w:sz="0"/>
              <w:bottom w:val="single" w:color="8B6914" w:sz="5"/>
              <w:right w:val="none" w:color="FFFFFF" w:sz="0"/>
            </w:tcBorders>
            <w:tcMar>
              <w:top w:type="dxa" w:w="55"/>
              <w:left w:type="dxa" w:w="60"/>
              <w:bottom w:type="dxa" w:w="55"/>
              <w:right w:type="dxa" w:w="110"/>
            </w:tcMar>
          </w:tcPr>
          <w:p>
            <w:pPr>
              <w:spacing w:after="0" w:line="264"/>
            </w:pPr>
            <w:r>
              <w:rPr>
                <w:b/>
                <w:bCs/>
                <w:color w:val="2D1A00"/>
                <w:sz w:val="18"/>
                <w:szCs w:val="18"/>
              </w:rPr>
              <w:t xml:space="preserve">Étape</w:t>
            </w:r>
          </w:p>
        </w:tc>
        <w:tc>
          <w:tcPr>
            <w:tcW w:type="dxa" w:w="6520"/>
            <w:tcBorders>
              <w:top w:val="single" w:color="8B6914" w:sz="10"/>
              <w:left w:val="none" w:color="FFFFFF" w:sz="0"/>
              <w:bottom w:val="single" w:color="8B6914" w:sz="5"/>
              <w:right w:val="none" w:color="FFFFFF" w:sz="0"/>
            </w:tcBorders>
            <w:tcMar>
              <w:top w:type="dxa" w:w="55"/>
              <w:left w:type="dxa" w:w="60"/>
              <w:bottom w:type="dxa" w:w="55"/>
              <w:right w:type="dxa" w:w="110"/>
            </w:tcMar>
          </w:tcPr>
          <w:p>
            <w:pPr>
              <w:spacing w:after="0" w:line="264"/>
            </w:pPr>
            <w:r>
              <w:rPr>
                <w:b/>
                <w:bCs/>
                <w:color w:val="2D1A00"/>
                <w:sz w:val="18"/>
                <w:szCs w:val="18"/>
              </w:rPr>
              <w:t xml:space="preserve">Réalisation pour BUG-011</w:t>
            </w:r>
          </w:p>
        </w:tc>
      </w:tr>
      <w:tr>
        <w:tc>
          <w:tcPr>
            <w:tcW w:type="dxa" w:w="567"/>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1</w:t>
            </w:r>
          </w:p>
        </w:tc>
        <w:tc>
          <w:tcPr>
            <w:tcW w:type="dxa" w:w="1985"/>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Détection</w:t>
            </w:r>
          </w:p>
        </w:tc>
        <w:tc>
          <w:tcPr>
            <w:tcW w:type="dxa" w:w="6520"/>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Recette du 12/06, scénario AUTH-05 : résultat observé non conforme → FAIL consigné</w:t>
            </w:r>
          </w:p>
        </w:tc>
      </w:tr>
      <w:tr>
        <w:tc>
          <w:tcPr>
            <w:tcW w:type="dxa" w:w="567"/>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2</w:t>
            </w:r>
          </w:p>
        </w:tc>
        <w:tc>
          <w:tcPr>
            <w:tcW w:type="dxa" w:w="1985"/>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Consignation</w:t>
            </w:r>
          </w:p>
        </w:tc>
        <w:tc>
          <w:tcPr>
            <w:tcW w:type="dxa" w:w="6520"/>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Fiche BUG-011 (cf. §4.3) : reproduction en 3 étapes, gravité majeure</w:t>
            </w:r>
          </w:p>
        </w:tc>
      </w:tr>
      <w:tr>
        <w:tc>
          <w:tcPr>
            <w:tcW w:type="dxa" w:w="567"/>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3</w:t>
            </w:r>
          </w:p>
        </w:tc>
        <w:tc>
          <w:tcPr>
            <w:tcW w:type="dxa" w:w="1985"/>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Analyse</w:t>
            </w:r>
          </w:p>
        </w:tc>
        <w:tc>
          <w:tcPr>
            <w:tcW w:type="dxa" w:w="6520"/>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Cause racine localisée dans l'intercepteur axios (confusion entre « session expirée » et « échec de connexion »)</w:t>
            </w:r>
          </w:p>
        </w:tc>
      </w:tr>
      <w:tr>
        <w:tc>
          <w:tcPr>
            <w:tcW w:type="dxa" w:w="567"/>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4</w:t>
            </w:r>
          </w:p>
        </w:tc>
        <w:tc>
          <w:tcPr>
            <w:tcW w:type="dxa" w:w="1985"/>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Correctif</w:t>
            </w:r>
          </w:p>
        </w:tc>
        <w:tc>
          <w:tcPr>
            <w:tcW w:type="dxa" w:w="6520"/>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Modification ciblée de front/src/api.js sur develop ; le message d'erreur de l'API est désormais affiché par les formulaires</w:t>
            </w:r>
          </w:p>
        </w:tc>
      </w:tr>
      <w:tr>
        <w:tc>
          <w:tcPr>
            <w:tcW w:type="dxa" w:w="567"/>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5</w:t>
            </w:r>
          </w:p>
        </w:tc>
        <w:tc>
          <w:tcPr>
            <w:tcW w:type="dxa" w:w="1985"/>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Validation locale</w:t>
            </w:r>
          </w:p>
        </w:tc>
        <w:tc>
          <w:tcPr>
            <w:tcW w:type="dxa" w:w="6520"/>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Suite Jest complète verte (non-régression) ; re-test manuel du scénario AUTH-05 : PASS</w:t>
            </w:r>
          </w:p>
        </w:tc>
      </w:tr>
      <w:tr>
        <w:tc>
          <w:tcPr>
            <w:tcW w:type="dxa" w:w="567"/>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6</w:t>
            </w:r>
          </w:p>
        </w:tc>
        <w:tc>
          <w:tcPr>
            <w:tcW w:type="dxa" w:w="1985"/>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Intégration continue</w:t>
            </w:r>
          </w:p>
        </w:tc>
        <w:tc>
          <w:tcPr>
            <w:tcW w:type="dxa" w:w="6520"/>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Push → pipeline GitHub Actions : tests back + front bloquants</w:t>
            </w:r>
          </w:p>
        </w:tc>
      </w:tr>
      <w:tr>
        <w:tc>
          <w:tcPr>
            <w:tcW w:type="dxa" w:w="567"/>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7</w:t>
            </w:r>
          </w:p>
        </w:tc>
        <w:tc>
          <w:tcPr>
            <w:tcW w:type="dxa" w:w="1985"/>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Livraison</w:t>
            </w:r>
          </w:p>
        </w:tc>
        <w:tc>
          <w:tcPr>
            <w:tcW w:type="dxa" w:w="6520"/>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Commit conventionnel « fix(front): … », entrée CHANGELOG v2.1.0, fusion</w:t>
            </w:r>
          </w:p>
        </w:tc>
      </w:tr>
      <w:tr>
        <w:tc>
          <w:tcPr>
            <w:tcW w:type="dxa" w:w="567"/>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8</w:t>
            </w:r>
          </w:p>
        </w:tc>
        <w:tc>
          <w:tcPr>
            <w:tcW w:type="dxa" w:w="1985"/>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Déploiement continu</w:t>
            </w:r>
          </w:p>
        </w:tc>
        <w:tc>
          <w:tcPr>
            <w:tcW w:type="dxa" w:w="6520"/>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Fusion sur master → job deploy conditionné aux tests (SSH via secrets GitHub, deploy/deploy.sh)</w:t>
            </w:r>
          </w:p>
        </w:tc>
      </w:tr>
      <w:tr>
        <w:tc>
          <w:tcPr>
            <w:tcW w:type="dxa" w:w="567"/>
            <w:tcBorders>
              <w:top w:val="none" w:color="FFFFFF" w:sz="0"/>
              <w:left w:val="none" w:color="FFFFFF" w:sz="0"/>
              <w:bottom w:val="single" w:color="8B6914" w:sz="10"/>
              <w:right w:val="none" w:color="FFFFFF" w:sz="0"/>
            </w:tcBorders>
            <w:tcMar>
              <w:top w:type="dxa" w:w="55"/>
              <w:left w:type="dxa" w:w="60"/>
              <w:bottom w:type="dxa" w:w="55"/>
              <w:right w:type="dxa" w:w="110"/>
            </w:tcMar>
          </w:tcPr>
          <w:p>
            <w:pPr>
              <w:spacing w:after="0" w:line="264"/>
            </w:pPr>
            <w:r>
              <w:rPr>
                <w:b w:val="false"/>
                <w:bCs w:val="false"/>
                <w:sz w:val="18"/>
                <w:szCs w:val="18"/>
              </w:rPr>
              <w:t xml:space="preserve">9</w:t>
            </w:r>
          </w:p>
        </w:tc>
        <w:tc>
          <w:tcPr>
            <w:tcW w:type="dxa" w:w="1985"/>
            <w:tcBorders>
              <w:top w:val="none" w:color="FFFFFF" w:sz="0"/>
              <w:left w:val="none" w:color="FFFFFF" w:sz="0"/>
              <w:bottom w:val="single" w:color="8B6914" w:sz="10"/>
              <w:right w:val="none" w:color="FFFFFF" w:sz="0"/>
            </w:tcBorders>
            <w:tcMar>
              <w:top w:type="dxa" w:w="55"/>
              <w:left w:type="dxa" w:w="60"/>
              <w:bottom w:type="dxa" w:w="55"/>
              <w:right w:type="dxa" w:w="110"/>
            </w:tcMar>
          </w:tcPr>
          <w:p>
            <w:pPr>
              <w:spacing w:after="0" w:line="264"/>
            </w:pPr>
            <w:r>
              <w:rPr>
                <w:b w:val="false"/>
                <w:bCs w:val="false"/>
                <w:sz w:val="18"/>
                <w:szCs w:val="18"/>
              </w:rPr>
              <w:t xml:space="preserve">Boucle de retour</w:t>
            </w:r>
          </w:p>
        </w:tc>
        <w:tc>
          <w:tcPr>
            <w:tcW w:type="dxa" w:w="6520"/>
            <w:tcBorders>
              <w:top w:val="none" w:color="FFFFFF" w:sz="0"/>
              <w:left w:val="none" w:color="FFFFFF" w:sz="0"/>
              <w:bottom w:val="single" w:color="8B6914" w:sz="10"/>
              <w:right w:val="none" w:color="FFFFFF" w:sz="0"/>
            </w:tcBorders>
            <w:tcMar>
              <w:top w:type="dxa" w:w="55"/>
              <w:left w:type="dxa" w:w="60"/>
              <w:bottom w:type="dxa" w:w="55"/>
              <w:right w:type="dxa" w:w="110"/>
            </w:tcMar>
          </w:tcPr>
          <w:p>
            <w:pPr>
              <w:spacing w:after="0" w:line="264"/>
            </w:pPr>
            <w:r>
              <w:rPr>
                <w:b w:val="false"/>
                <w:bCs w:val="false"/>
                <w:sz w:val="18"/>
                <w:szCs w:val="18"/>
              </w:rPr>
              <w:t xml:space="preserve">Le scénario AUTH-05 reste au cahier de recettes : toute réapparition serait détectée à la prochaine recette</w:t>
            </w:r>
          </w:p>
        </w:tc>
      </w:tr>
    </w:tbl>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single" w:color="C9B98A" w:sz="4"/>
              <w:left w:val="single" w:color="C9B98A" w:sz="4"/>
              <w:bottom w:val="single" w:color="C9B98A" w:sz="4"/>
              <w:right w:val="single" w:color="C9B98A" w:sz="4"/>
            </w:tcBorders>
            <w:tcMar>
              <w:top w:type="dxa" w:w="50"/>
              <w:left w:type="dxa" w:w="50"/>
              <w:bottom w:type="dxa" w:w="30"/>
              <w:right w:type="dxa" w:w="50"/>
            </w:tcMar>
          </w:tcPr>
          <w:p>
            <w:pPr>
              <w:spacing w:after="0"/>
              <w:jc w:val="center"/>
            </w:pPr>
            <w:r>
              <w:drawing>
                <wp:inline distT="0" distB="0" distL="0" distR="0">
                  <wp:extent cx="4381500" cy="2743200"/>
                  <wp:effectExtent t="0" r="0" b="0" l="0"/>
                  <wp:docPr id="1" name="figure-2" descr="Le pipeline qui valide chaque correctif : jobs backend et frontend bloquants sur le commit poussé" title="Le pipeline qui valide chaque correctif : jobs backend et frontend bloquants sur le commit pouss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381500" cy="2743200"/>
                          </a:xfrm>
                          <a:prstGeom prst="rect">
                            <a:avLst/>
                          </a:prstGeom>
                        </pic:spPr>
                      </pic:pic>
                    </a:graphicData>
                  </a:graphic>
                </wp:inline>
              </w:drawing>
            </w:r>
          </w:p>
        </w:tc>
      </w:tr>
    </w:tbl>
    <w:p>
      <w:pPr>
        <w:spacing w:after="150" w:before="50"/>
        <w:jc w:val="center"/>
      </w:pPr>
      <w:r>
        <w:rPr>
          <w:i/>
          <w:iCs/>
          <w:color w:val="5A4825"/>
          <w:sz w:val="18"/>
          <w:szCs w:val="18"/>
        </w:rPr>
        <w:t xml:space="preserve">Figure 3 — Le pipeline qui valide chaque correctif : jobs backend et frontend bloquants sur le commit poussé</w:t>
      </w:r>
    </w:p>
    <w:p>
      <w:pPr>
        <w:spacing w:after="120" w:before="0" w:line="308"/>
        <w:jc w:val="both"/>
      </w:pPr>
      <w:r>
        <w:rPr>
          <w:b w:val="false"/>
          <w:bCs w:val="false"/>
          <w:i w:val="false"/>
          <w:iCs w:val="false"/>
          <w:sz w:val="22"/>
          <w:szCs w:val="22"/>
        </w:rPr>
        <w:t xml:space="preserve">Le même cycle vient d'être appliqué à une anomalie récente — la comparaison montre que le processus est indépendant de la nature du défaut (front hier, schéma de base aujourd'hui) :</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418"/>
        <w:gridCol w:w="7654"/>
      </w:tblGrid>
      <w:tr>
        <w:trPr>
          <w:tblHeader/>
        </w:trPr>
        <w:tc>
          <w:tcPr>
            <w:tcW w:type="dxa" w:w="1418"/>
            <w:tcBorders>
              <w:top w:val="single" w:color="8B6914" w:sz="10"/>
              <w:left w:val="none" w:color="FFFFFF" w:sz="0"/>
              <w:bottom w:val="single" w:color="8B6914" w:sz="5"/>
              <w:right w:val="none" w:color="FFFFFF" w:sz="0"/>
            </w:tcBorders>
            <w:tcMar>
              <w:top w:type="dxa" w:w="55"/>
              <w:left w:type="dxa" w:w="60"/>
              <w:bottom w:type="dxa" w:w="55"/>
              <w:right w:type="dxa" w:w="110"/>
            </w:tcMar>
          </w:tcPr>
          <w:p>
            <w:pPr>
              <w:spacing w:after="0" w:line="264"/>
            </w:pPr>
            <w:r>
              <w:rPr>
                <w:b/>
                <w:bCs/>
                <w:color w:val="2D1A00"/>
                <w:sz w:val="18"/>
                <w:szCs w:val="18"/>
              </w:rPr>
              <w:t xml:space="preserve">Étape</w:t>
            </w:r>
          </w:p>
        </w:tc>
        <w:tc>
          <w:tcPr>
            <w:tcW w:type="dxa" w:w="7654"/>
            <w:tcBorders>
              <w:top w:val="single" w:color="8B6914" w:sz="10"/>
              <w:left w:val="none" w:color="FFFFFF" w:sz="0"/>
              <w:bottom w:val="single" w:color="8B6914" w:sz="5"/>
              <w:right w:val="none" w:color="FFFFFF" w:sz="0"/>
            </w:tcBorders>
            <w:tcMar>
              <w:top w:type="dxa" w:w="55"/>
              <w:left w:type="dxa" w:w="60"/>
              <w:bottom w:type="dxa" w:w="55"/>
              <w:right w:type="dxa" w:w="110"/>
            </w:tcMar>
          </w:tcPr>
          <w:p>
            <w:pPr>
              <w:spacing w:after="0" w:line="264"/>
            </w:pPr>
            <w:r>
              <w:rPr>
                <w:b/>
                <w:bCs/>
                <w:color w:val="2D1A00"/>
                <w:sz w:val="18"/>
                <w:szCs w:val="18"/>
              </w:rPr>
              <w:t xml:space="preserve">BUG-016 (15/07/2026)</w:t>
            </w:r>
          </w:p>
        </w:tc>
      </w:tr>
      <w:tr>
        <w:tc>
          <w:tcPr>
            <w:tcW w:type="dxa" w:w="1418"/>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Détection</w:t>
            </w:r>
          </w:p>
        </w:tc>
        <w:tc>
          <w:tcPr>
            <w:tcW w:type="dxa" w:w="7654"/>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Revue RGPD du dossier Bloc 2 (§7.2 « droit à l'effacement ») : vérification en base de la cascade de suppression</w:t>
            </w:r>
          </w:p>
        </w:tc>
      </w:tr>
      <w:tr>
        <w:tc>
          <w:tcPr>
            <w:tcW w:type="dxa" w:w="1418"/>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Consignation</w:t>
            </w:r>
          </w:p>
        </w:tc>
        <w:tc>
          <w:tcPr>
            <w:tcW w:type="dxa" w:w="7654"/>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La suppression d'un compte possédant des routes viole la contrainte FK game_route.user_id (pas de ON DELETE CASCADE, contrairement à composition.owner_id) — gravité majeure (droit à l'effacement inopérant)</w:t>
            </w:r>
          </w:p>
        </w:tc>
      </w:tr>
      <w:tr>
        <w:tc>
          <w:tcPr>
            <w:tcW w:type="dxa" w:w="1418"/>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Correctif</w:t>
            </w:r>
          </w:p>
        </w:tc>
        <w:tc>
          <w:tcPr>
            <w:tcW w:type="dxa" w:w="7654"/>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Attribut onDelete: 'CASCADE' sur l'entité GameRoute + migration Doctrine ciblée (2 requêtes ALTER, réversibles par down())</w:t>
            </w:r>
          </w:p>
        </w:tc>
      </w:tr>
      <w:tr>
        <w:tc>
          <w:tcPr>
            <w:tcW w:type="dxa" w:w="1418"/>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Validation</w:t>
            </w:r>
          </w:p>
        </w:tc>
        <w:tc>
          <w:tcPr>
            <w:tcW w:type="dxa" w:w="7654"/>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Suite PHPUnit complète verte ; test réel en base : insertion d'un utilisateur témoin + route, suppression, vérification que la route a disparu</w:t>
            </w:r>
          </w:p>
        </w:tc>
      </w:tr>
      <w:tr>
        <w:tc>
          <w:tcPr>
            <w:tcW w:type="dxa" w:w="1418"/>
            <w:tcBorders>
              <w:top w:val="none" w:color="FFFFFF" w:sz="0"/>
              <w:left w:val="none" w:color="FFFFFF" w:sz="0"/>
              <w:bottom w:val="single" w:color="8B6914" w:sz="10"/>
              <w:right w:val="none" w:color="FFFFFF" w:sz="0"/>
            </w:tcBorders>
            <w:tcMar>
              <w:top w:type="dxa" w:w="55"/>
              <w:left w:type="dxa" w:w="60"/>
              <w:bottom w:type="dxa" w:w="55"/>
              <w:right w:type="dxa" w:w="110"/>
            </w:tcMar>
          </w:tcPr>
          <w:p>
            <w:pPr>
              <w:spacing w:after="0" w:line="264"/>
            </w:pPr>
            <w:r>
              <w:rPr>
                <w:b w:val="false"/>
                <w:bCs w:val="false"/>
                <w:sz w:val="18"/>
                <w:szCs w:val="18"/>
              </w:rPr>
              <w:t xml:space="preserve">Livraison</w:t>
            </w:r>
          </w:p>
        </w:tc>
        <w:tc>
          <w:tcPr>
            <w:tcW w:type="dxa" w:w="7654"/>
            <w:tcBorders>
              <w:top w:val="none" w:color="FFFFFF" w:sz="0"/>
              <w:left w:val="none" w:color="FFFFFF" w:sz="0"/>
              <w:bottom w:val="single" w:color="8B6914" w:sz="10"/>
              <w:right w:val="none" w:color="FFFFFF" w:sz="0"/>
            </w:tcBorders>
            <w:tcMar>
              <w:top w:type="dxa" w:w="55"/>
              <w:left w:type="dxa" w:w="60"/>
              <w:bottom w:type="dxa" w:w="55"/>
              <w:right w:type="dxa" w:w="110"/>
            </w:tcMar>
          </w:tcPr>
          <w:p>
            <w:pPr>
              <w:spacing w:after="0" w:line="264"/>
            </w:pPr>
            <w:r>
              <w:rPr>
                <w:b w:val="false"/>
                <w:bCs w:val="false"/>
                <w:sz w:val="18"/>
                <w:szCs w:val="18"/>
              </w:rPr>
              <w:t xml:space="preserve">Commit « fix(back): suppression de compte — cascade sur les routes (BUG-016) », entrée CHANGELOG v3.1.0, poussé et validé par la CI</w:t>
            </w:r>
          </w:p>
        </w:tc>
      </w:tr>
    </w:tbl>
    <w:p>
      <w:pPr>
        <w:spacing w:after="120" w:before="60" w:line="308"/>
        <w:jc w:val="both"/>
      </w:pPr>
      <w:r>
        <w:rPr>
          <w:b w:val="false"/>
          <w:bCs w:val="false"/>
          <w:i w:val="false"/>
          <w:iCs w:val="false"/>
          <w:sz w:val="22"/>
          <w:szCs w:val="22"/>
        </w:rPr>
        <w:t xml:space="preserve">Point clé dans les deux cas : le correctif livré est exactement celui qui a été testé — aucune étape manuelle entre la fusion et la livraison.</w:t>
      </w:r>
    </w:p>
    <w:p>
      <w:pPr>
        <w:pStyle w:val="Heading1"/>
      </w:pPr>
      <w:r>
        <w:t xml:space="preserve">6. Journal des versions</w:t>
      </w:r>
    </w:p>
    <w:p>
      <w:pPr>
        <w:pStyle w:val="Heading2"/>
      </w:pPr>
      <w:r>
        <w:t xml:space="preserve">6.1 Règles de tenue</w:t>
      </w:r>
    </w:p>
    <w:p>
      <w:pPr>
        <w:pStyle w:val="ListParagraph"/>
        <w:numPr>
          <w:ilvl w:val="0"/>
          <w:numId w:val="2"/>
        </w:numPr>
        <w:spacing w:after="70" w:line="308"/>
        <w:jc w:val="both"/>
      </w:pPr>
      <w:r>
        <w:rPr>
          <w:sz w:val="22"/>
          <w:szCs w:val="22"/>
        </w:rPr>
        <w:t xml:space="preserve">Format « Keep a Changelog » : sections Added / Fixed / Security / Changed par version, datées ;</w:t>
      </w:r>
    </w:p>
    <w:p>
      <w:pPr>
        <w:pStyle w:val="ListParagraph"/>
        <w:numPr>
          <w:ilvl w:val="0"/>
          <w:numId w:val="2"/>
        </w:numPr>
        <w:spacing w:after="70" w:line="308"/>
        <w:jc w:val="both"/>
      </w:pPr>
      <w:r>
        <w:rPr>
          <w:sz w:val="22"/>
          <w:szCs w:val="22"/>
        </w:rPr>
        <w:t xml:space="preserve">Versionnage sémantique : majeure (refonte v2, plateforme v3), mineure (lot de fonctionnalités ou durcissement), correctifs ;</w:t>
      </w:r>
    </w:p>
    <w:p>
      <w:pPr>
        <w:pStyle w:val="ListParagraph"/>
        <w:numPr>
          <w:ilvl w:val="0"/>
          <w:numId w:val="2"/>
        </w:numPr>
        <w:spacing w:after="70" w:line="308"/>
        <w:jc w:val="both"/>
      </w:pPr>
      <w:r>
        <w:rPr>
          <w:sz w:val="22"/>
          <w:szCs w:val="22"/>
        </w:rPr>
        <w:t xml:space="preserve">Chaque correctif est documenté avec son identifiant d'anomalie (BUG-xxx) : le journal relie les versions au registre des anomalies ;</w:t>
      </w:r>
    </w:p>
    <w:p>
      <w:pPr>
        <w:pStyle w:val="ListParagraph"/>
        <w:numPr>
          <w:ilvl w:val="0"/>
          <w:numId w:val="2"/>
        </w:numPr>
        <w:spacing w:after="70" w:line="308"/>
        <w:jc w:val="both"/>
      </w:pPr>
      <w:r>
        <w:rPr>
          <w:sz w:val="22"/>
          <w:szCs w:val="22"/>
        </w:rPr>
        <w:t xml:space="preserve">Chaque entrée correspond à des commits conventionnels traçables dans git (feat:, fix:, chore:…).</w:t>
      </w:r>
    </w:p>
    <w:p>
      <w:pPr>
        <w:pStyle w:val="Heading2"/>
      </w:pPr>
      <w:r>
        <w:t xml:space="preserve">6.2 Exemplaire : journal des versions du projet</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737"/>
        <w:gridCol w:w="1021"/>
        <w:gridCol w:w="4196"/>
        <w:gridCol w:w="3118"/>
      </w:tblGrid>
      <w:tr>
        <w:trPr>
          <w:tblHeader/>
        </w:trPr>
        <w:tc>
          <w:tcPr>
            <w:tcW w:type="dxa" w:w="737"/>
            <w:tcBorders>
              <w:top w:val="single" w:color="8B6914" w:sz="10"/>
              <w:left w:val="none" w:color="FFFFFF" w:sz="0"/>
              <w:bottom w:val="single" w:color="8B6914" w:sz="5"/>
              <w:right w:val="none" w:color="FFFFFF" w:sz="0"/>
            </w:tcBorders>
            <w:tcMar>
              <w:top w:type="dxa" w:w="55"/>
              <w:left w:type="dxa" w:w="60"/>
              <w:bottom w:type="dxa" w:w="55"/>
              <w:right w:type="dxa" w:w="110"/>
            </w:tcMar>
          </w:tcPr>
          <w:p>
            <w:pPr>
              <w:spacing w:after="0" w:line="264"/>
            </w:pPr>
            <w:r>
              <w:rPr>
                <w:b/>
                <w:bCs/>
                <w:color w:val="2D1A00"/>
                <w:sz w:val="16"/>
                <w:szCs w:val="16"/>
              </w:rPr>
              <w:t xml:space="preserve">Version</w:t>
            </w:r>
          </w:p>
        </w:tc>
        <w:tc>
          <w:tcPr>
            <w:tcW w:type="dxa" w:w="1021"/>
            <w:tcBorders>
              <w:top w:val="single" w:color="8B6914" w:sz="10"/>
              <w:left w:val="none" w:color="FFFFFF" w:sz="0"/>
              <w:bottom w:val="single" w:color="8B6914" w:sz="5"/>
              <w:right w:val="none" w:color="FFFFFF" w:sz="0"/>
            </w:tcBorders>
            <w:tcMar>
              <w:top w:type="dxa" w:w="55"/>
              <w:left w:type="dxa" w:w="60"/>
              <w:bottom w:type="dxa" w:w="55"/>
              <w:right w:type="dxa" w:w="110"/>
            </w:tcMar>
          </w:tcPr>
          <w:p>
            <w:pPr>
              <w:spacing w:after="0" w:line="264"/>
            </w:pPr>
            <w:r>
              <w:rPr>
                <w:b/>
                <w:bCs/>
                <w:color w:val="2D1A00"/>
                <w:sz w:val="16"/>
                <w:szCs w:val="16"/>
              </w:rPr>
              <w:t xml:space="preserve">Date</w:t>
            </w:r>
          </w:p>
        </w:tc>
        <w:tc>
          <w:tcPr>
            <w:tcW w:type="dxa" w:w="4196"/>
            <w:tcBorders>
              <w:top w:val="single" w:color="8B6914" w:sz="10"/>
              <w:left w:val="none" w:color="FFFFFF" w:sz="0"/>
              <w:bottom w:val="single" w:color="8B6914" w:sz="5"/>
              <w:right w:val="none" w:color="FFFFFF" w:sz="0"/>
            </w:tcBorders>
            <w:tcMar>
              <w:top w:type="dxa" w:w="55"/>
              <w:left w:type="dxa" w:w="60"/>
              <w:bottom w:type="dxa" w:w="55"/>
              <w:right w:type="dxa" w:w="110"/>
            </w:tcMar>
          </w:tcPr>
          <w:p>
            <w:pPr>
              <w:spacing w:after="0" w:line="264"/>
            </w:pPr>
            <w:r>
              <w:rPr>
                <w:b/>
                <w:bCs/>
                <w:color w:val="2D1A00"/>
                <w:sz w:val="16"/>
                <w:szCs w:val="16"/>
              </w:rPr>
              <w:t xml:space="preserve">Améliorations apportées</w:t>
            </w:r>
          </w:p>
        </w:tc>
        <w:tc>
          <w:tcPr>
            <w:tcW w:type="dxa" w:w="3118"/>
            <w:tcBorders>
              <w:top w:val="single" w:color="8B6914" w:sz="10"/>
              <w:left w:val="none" w:color="FFFFFF" w:sz="0"/>
              <w:bottom w:val="single" w:color="8B6914" w:sz="5"/>
              <w:right w:val="none" w:color="FFFFFF" w:sz="0"/>
            </w:tcBorders>
            <w:tcMar>
              <w:top w:type="dxa" w:w="55"/>
              <w:left w:type="dxa" w:w="60"/>
              <w:bottom w:type="dxa" w:w="55"/>
              <w:right w:type="dxa" w:w="110"/>
            </w:tcMar>
          </w:tcPr>
          <w:p>
            <w:pPr>
              <w:spacing w:after="0" w:line="264"/>
            </w:pPr>
            <w:r>
              <w:rPr>
                <w:b/>
                <w:bCs/>
                <w:color w:val="2D1A00"/>
                <w:sz w:val="16"/>
                <w:szCs w:val="16"/>
              </w:rPr>
              <w:t xml:space="preserve">Correctifs documentés</w:t>
            </w:r>
          </w:p>
        </w:tc>
      </w:tr>
      <w:tr>
        <w:tc>
          <w:tcPr>
            <w:tcW w:type="dxa" w:w="737"/>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3.2.0</w:t>
            </w:r>
          </w:p>
        </w:tc>
        <w:tc>
          <w:tcPr>
            <w:tcW w:type="dxa" w:w="1021"/>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19/07/2026</w:t>
            </w:r>
          </w:p>
        </w:tc>
        <w:tc>
          <w:tcPr>
            <w:tcW w:type="dxa" w:w="4196"/>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Activation du compte par e-mail (lien de confirmation, rétro-compatible avec les comptes existants), réinitialisation du mot de passe par lien à usage unique (Brevo), alertes de supervision par e-mail (ALERT_EMAIL, anti-spam)</w:t>
            </w:r>
          </w:p>
        </w:tc>
        <w:tc>
          <w:tcPr>
            <w:tcW w:type="dxa" w:w="3118"/>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 (+42 tests : 173 au total, 52 back / 121 front)</w:t>
            </w:r>
          </w:p>
        </w:tc>
      </w:tr>
      <w:tr>
        <w:tc>
          <w:tcPr>
            <w:tcW w:type="dxa" w:w="737"/>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3.1.0</w:t>
            </w:r>
          </w:p>
        </w:tc>
        <w:tc>
          <w:tcPr>
            <w:tcW w:type="dxa" w:w="1021"/>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15/07/2026</w:t>
            </w:r>
          </w:p>
        </w:tc>
        <w:tc>
          <w:tcPr>
            <w:tcW w:type="dxa" w:w="4196"/>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Sécurité : jetons JWT en cookies httpOnly (fin du localStorage), routes /api/me et /api/logout, CORS credentials ; repasse design (focus visible, reduced motion)</w:t>
            </w:r>
          </w:p>
        </w:tc>
        <w:tc>
          <w:tcPr>
            <w:tcW w:type="dxa" w:w="3118"/>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BUG-014 (clé i18n craft), BUG-015 (contrastes mode clair), BUG-016 (cascade de suppression de compte)</w:t>
            </w:r>
          </w:p>
        </w:tc>
      </w:tr>
      <w:tr>
        <w:tc>
          <w:tcPr>
            <w:tcW w:type="dxa" w:w="737"/>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3.0.0</w:t>
            </w:r>
          </w:p>
        </w:tc>
        <w:tc>
          <w:tcPr>
            <w:tcW w:type="dxa" w:w="1021"/>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03/07/2026</w:t>
            </w:r>
          </w:p>
        </w:tc>
        <w:tc>
          <w:tcPr>
            <w:tcW w:type="dxa" w:w="4196"/>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Multi-serveur (Americas/Europe/Asia), statistiques PvP de session, recherche et détail de batailles, craft localisé, 20 langues administrables (interface 100 % i18n), thème « fantasy »</w:t>
            </w:r>
          </w:p>
        </w:tc>
        <w:tc>
          <w:tcPr>
            <w:tcW w:type="dxa" w:w="3118"/>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w:t>
            </w:r>
          </w:p>
        </w:tc>
      </w:tr>
      <w:tr>
        <w:tc>
          <w:tcPr>
            <w:tcW w:type="dxa" w:w="737"/>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2.1.0</w:t>
            </w:r>
          </w:p>
        </w:tc>
        <w:tc>
          <w:tcPr>
            <w:tcW w:type="dxa" w:w="1021"/>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12/06/2026</w:t>
            </w:r>
          </w:p>
        </w:tc>
        <w:tc>
          <w:tcPr>
            <w:tcW w:type="dxa" w:w="4196"/>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Durcissement sécurité : rate limiting, CORS restreint, en-têtes HTTP, politique de mot de passe, rotation des refresh tokens ; Symfony 7.4 LTS ; Dependabot ; accessibilité (audit RGAA outillé)</w:t>
            </w:r>
          </w:p>
        </w:tc>
        <w:tc>
          <w:tcPr>
            <w:tcW w:type="dxa" w:w="3118"/>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BUG-009 à BUG-013 (KPI admin, CORS, connexion invisible, ratio NaN, clés React)</w:t>
            </w:r>
          </w:p>
        </w:tc>
      </w:tr>
      <w:tr>
        <w:tc>
          <w:tcPr>
            <w:tcW w:type="dxa" w:w="737"/>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2.0.0</w:t>
            </w:r>
          </w:p>
        </w:tc>
        <w:tc>
          <w:tcPr>
            <w:tcW w:type="dxa" w:w="1021"/>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10/06/2026</w:t>
            </w:r>
          </w:p>
        </w:tc>
        <w:tc>
          <w:tcPr>
            <w:tcW w:type="dxa" w:w="4196"/>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Administration (KPI, rôles, synchronisation des items), i18n FR/EN administrable, routes partagées (24 h), compositions d'équipe, calculateur de craft, base de 12 000 items, profil, mode sombre, tutoriel, refonte UI</w:t>
            </w:r>
          </w:p>
        </w:tc>
        <w:tc>
          <w:tcPr>
            <w:tcW w:type="dxa" w:w="3118"/>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w:t>
            </w:r>
          </w:p>
        </w:tc>
      </w:tr>
      <w:tr>
        <w:tc>
          <w:tcPr>
            <w:tcW w:type="dxa" w:w="737"/>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1.2.0</w:t>
            </w:r>
          </w:p>
        </w:tc>
        <w:tc>
          <w:tcPr>
            <w:tcW w:type="dxa" w:w="1021"/>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02/06/2026</w:t>
            </w:r>
          </w:p>
        </w:tc>
        <w:tc>
          <w:tcPr>
            <w:tcW w:type="dxa" w:w="4196"/>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Couverture de tests étendue (back + front), cahier de recettes, documentation</w:t>
            </w:r>
          </w:p>
        </w:tc>
        <w:tc>
          <w:tcPr>
            <w:tcW w:type="dxa" w:w="3118"/>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BUG-001 à BUG-008 (validation de jeton, healthcheck public, secret applicatif, CI…)</w:t>
            </w:r>
          </w:p>
        </w:tc>
      </w:tr>
      <w:tr>
        <w:tc>
          <w:tcPr>
            <w:tcW w:type="dxa" w:w="737"/>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1.1.0</w:t>
            </w:r>
          </w:p>
        </w:tc>
        <w:tc>
          <w:tcPr>
            <w:tcW w:type="dxa" w:w="1021"/>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01/06/2026</w:t>
            </w:r>
          </w:p>
        </w:tc>
        <w:tc>
          <w:tcPr>
            <w:tcW w:type="dxa" w:w="4196"/>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Supervision /api/health, canal de log incident, pipeline CI, premiers tests</w:t>
            </w:r>
          </w:p>
        </w:tc>
        <w:tc>
          <w:tcPr>
            <w:tcW w:type="dxa" w:w="3118"/>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w:t>
            </w:r>
          </w:p>
        </w:tc>
      </w:tr>
      <w:tr>
        <w:tc>
          <w:tcPr>
            <w:tcW w:type="dxa" w:w="737"/>
            <w:tcBorders>
              <w:top w:val="none" w:color="FFFFFF" w:sz="0"/>
              <w:left w:val="none" w:color="FFFFFF" w:sz="0"/>
              <w:bottom w:val="single" w:color="8B6914" w:sz="10"/>
              <w:right w:val="none" w:color="FFFFFF" w:sz="0"/>
            </w:tcBorders>
            <w:tcMar>
              <w:top w:type="dxa" w:w="55"/>
              <w:left w:type="dxa" w:w="60"/>
              <w:bottom w:type="dxa" w:w="55"/>
              <w:right w:type="dxa" w:w="110"/>
            </w:tcMar>
          </w:tcPr>
          <w:p>
            <w:pPr>
              <w:spacing w:after="0" w:line="264"/>
            </w:pPr>
            <w:r>
              <w:rPr>
                <w:b w:val="false"/>
                <w:bCs w:val="false"/>
                <w:sz w:val="16"/>
                <w:szCs w:val="16"/>
              </w:rPr>
              <w:t xml:space="preserve">1.0.0</w:t>
            </w:r>
          </w:p>
        </w:tc>
        <w:tc>
          <w:tcPr>
            <w:tcW w:type="dxa" w:w="1021"/>
            <w:tcBorders>
              <w:top w:val="none" w:color="FFFFFF" w:sz="0"/>
              <w:left w:val="none" w:color="FFFFFF" w:sz="0"/>
              <w:bottom w:val="single" w:color="8B6914" w:sz="10"/>
              <w:right w:val="none" w:color="FFFFFF" w:sz="0"/>
            </w:tcBorders>
            <w:tcMar>
              <w:top w:type="dxa" w:w="55"/>
              <w:left w:type="dxa" w:w="60"/>
              <w:bottom w:type="dxa" w:w="55"/>
              <w:right w:type="dxa" w:w="110"/>
            </w:tcMar>
          </w:tcPr>
          <w:p>
            <w:pPr>
              <w:spacing w:after="0" w:line="264"/>
            </w:pPr>
            <w:r>
              <w:rPr>
                <w:b w:val="false"/>
                <w:bCs w:val="false"/>
                <w:sz w:val="16"/>
                <w:szCs w:val="16"/>
              </w:rPr>
              <w:t xml:space="preserve">02/2025</w:t>
            </w:r>
          </w:p>
        </w:tc>
        <w:tc>
          <w:tcPr>
            <w:tcW w:type="dxa" w:w="4196"/>
            <w:tcBorders>
              <w:top w:val="none" w:color="FFFFFF" w:sz="0"/>
              <w:left w:val="none" w:color="FFFFFF" w:sz="0"/>
              <w:bottom w:val="single" w:color="8B6914" w:sz="10"/>
              <w:right w:val="none" w:color="FFFFFF" w:sz="0"/>
            </w:tcBorders>
            <w:tcMar>
              <w:top w:type="dxa" w:w="55"/>
              <w:left w:type="dxa" w:w="60"/>
              <w:bottom w:type="dxa" w:w="55"/>
              <w:right w:type="dxa" w:w="110"/>
            </w:tcMar>
          </w:tcPr>
          <w:p>
            <w:pPr>
              <w:spacing w:after="0" w:line="264"/>
            </w:pPr>
            <w:r>
              <w:rPr>
                <w:b w:val="false"/>
                <w:bCs w:val="false"/>
                <w:sz w:val="16"/>
                <w:szCs w:val="16"/>
              </w:rPr>
              <w:t xml:space="preserve">Socle : authentification JWT, recherche joueurs/guildes, cartes</w:t>
            </w:r>
          </w:p>
        </w:tc>
        <w:tc>
          <w:tcPr>
            <w:tcW w:type="dxa" w:w="3118"/>
            <w:tcBorders>
              <w:top w:val="none" w:color="FFFFFF" w:sz="0"/>
              <w:left w:val="none" w:color="FFFFFF" w:sz="0"/>
              <w:bottom w:val="single" w:color="8B6914" w:sz="10"/>
              <w:right w:val="none" w:color="FFFFFF" w:sz="0"/>
            </w:tcBorders>
            <w:tcMar>
              <w:top w:type="dxa" w:w="55"/>
              <w:left w:type="dxa" w:w="60"/>
              <w:bottom w:type="dxa" w:w="55"/>
              <w:right w:type="dxa" w:w="110"/>
            </w:tcMar>
          </w:tcPr>
          <w:p>
            <w:pPr>
              <w:spacing w:after="0" w:line="264"/>
            </w:pPr>
            <w:r>
              <w:rPr>
                <w:b w:val="false"/>
                <w:bCs w:val="false"/>
                <w:sz w:val="16"/>
                <w:szCs w:val="16"/>
              </w:rPr>
              <w:t xml:space="preserve">—</w:t>
            </w:r>
          </w:p>
        </w:tc>
      </w:tr>
    </w:tbl>
    <w:p>
      <w:pPr>
        <w:spacing w:after="120" w:before="60" w:line="308"/>
        <w:jc w:val="both"/>
      </w:pPr>
      <w:r>
        <w:rPr>
          <w:b w:val="false"/>
          <w:bCs w:val="false"/>
          <w:i w:val="false"/>
          <w:iCs w:val="false"/>
          <w:sz w:val="22"/>
          <w:szCs w:val="22"/>
        </w:rPr>
        <w:t xml:space="preserve">Extrait verbatim de l'entrée v3.2.0 du journal :</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single" w:color="E0D5BB" w:sz="2"/>
              <w:left w:val="single" w:color="E0D5BB" w:sz="2"/>
              <w:bottom w:val="single" w:color="E0D5BB" w:sz="2"/>
              <w:right w:val="single" w:color="E0D5BB" w:sz="2"/>
            </w:tcBorders>
            <w:shd w:fill="FAF6EC" w:val="clear"/>
            <w:tcMar>
              <w:top w:type="dxa" w:w="90"/>
              <w:left w:type="dxa" w:w="140"/>
              <w:bottom w:type="dxa" w:w="90"/>
              <w:right w:type="dxa" w:w="140"/>
            </w:tcMar>
          </w:tcPr>
          <w:p>
            <w:pPr>
              <w:spacing w:after="0" w:line="230"/>
            </w:pPr>
            <w:r>
              <w:rPr>
                <w:rFonts w:ascii="Courier New" w:cs="Courier New" w:eastAsia="Courier New" w:hAnsi="Courier New"/>
                <w:color w:val="3A2E15"/>
                <w:sz w:val="16"/>
                <w:szCs w:val="16"/>
              </w:rPr>
              <w:t xml:space="preserve">## [3.2.0] - 2026-07-19</w:t>
            </w:r>
          </w:p>
          <w:p>
            <w:pPr>
              <w:spacing w:after="0" w:line="230"/>
            </w:pPr>
            <w:r>
              <w:rPr>
                <w:rFonts w:ascii="Courier New" w:cs="Courier New" w:eastAsia="Courier New" w:hAnsi="Courier New"/>
                <w:color w:val="3A2E15"/>
                <w:sz w:val="16"/>
                <w:szCs w:val="16"/>
              </w:rPr>
              <w:t xml:space="preserve">### Added</w:t>
            </w:r>
          </w:p>
          <w:p>
            <w:pPr>
              <w:spacing w:after="0" w:line="230"/>
            </w:pPr>
            <w:r>
              <w:rPr>
                <w:rFonts w:ascii="Courier New" w:cs="Courier New" w:eastAsia="Courier New" w:hAnsi="Courier New"/>
                <w:color w:val="3A2E15"/>
                <w:sz w:val="16"/>
                <w:szCs w:val="16"/>
              </w:rPr>
              <w:t xml:space="preserve">- Activation du compte par e-mail : lien de confirmation obligatoire à</w:t>
            </w:r>
          </w:p>
          <w:p>
            <w:pPr>
              <w:spacing w:after="0" w:line="230"/>
            </w:pPr>
            <w:r>
              <w:rPr>
                <w:rFonts w:ascii="Courier New" w:cs="Courier New" w:eastAsia="Courier New" w:hAnsi="Courier New"/>
                <w:color w:val="3A2E15"/>
                <w:sz w:val="16"/>
                <w:szCs w:val="16"/>
              </w:rPr>
              <w:t xml:space="preserve">  l'inscription, rétro-compatible (comptes existants utilisables, ajout</w:t>
            </w:r>
          </w:p>
          <w:p>
            <w:pPr>
              <w:spacing w:after="0" w:line="230"/>
            </w:pPr>
            <w:r>
              <w:rPr>
                <w:rFonts w:ascii="Courier New" w:cs="Courier New" w:eastAsia="Courier New" w:hAnsi="Courier New"/>
                <w:color w:val="3A2E15"/>
                <w:sz w:val="16"/>
                <w:szCs w:val="16"/>
              </w:rPr>
              <w:t xml:space="preserve">  et confirmation d'adresse possibles depuis le tableau de bord).</w:t>
            </w:r>
          </w:p>
          <w:p>
            <w:pPr>
              <w:spacing w:after="0" w:line="230"/>
            </w:pPr>
            <w:r>
              <w:rPr>
                <w:rFonts w:ascii="Courier New" w:cs="Courier New" w:eastAsia="Courier New" w:hAnsi="Courier New"/>
                <w:color w:val="3A2E15"/>
                <w:sz w:val="16"/>
                <w:szCs w:val="16"/>
              </w:rPr>
              <w:t xml:space="preserve">- Réinitialisation du mot de passe : jeton à usage unique (1 h, hash</w:t>
            </w:r>
          </w:p>
          <w:p>
            <w:pPr>
              <w:spacing w:after="0" w:line="230"/>
            </w:pPr>
            <w:r>
              <w:rPr>
                <w:rFonts w:ascii="Courier New" w:cs="Courier New" w:eastAsia="Courier New" w:hAnsi="Courier New"/>
                <w:color w:val="3A2E15"/>
                <w:sz w:val="16"/>
                <w:szCs w:val="16"/>
              </w:rPr>
              <w:t xml:space="preserve">  SHA-256 stocké), réponse générique anti-énumération, envoi via Brevo.</w:t>
            </w:r>
          </w:p>
          <w:p>
            <w:pPr>
              <w:spacing w:after="0" w:line="230"/>
            </w:pPr>
            <w:r>
              <w:rPr>
                <w:rFonts w:ascii="Courier New" w:cs="Courier New" w:eastAsia="Courier New" w:hAnsi="Courier New"/>
                <w:color w:val="3A2E15"/>
                <w:sz w:val="16"/>
                <w:szCs w:val="16"/>
              </w:rPr>
              <w:t xml:space="preserve">- Alertes de supervision par e-mail : /api/health notifie ALERT_EMAIL</w:t>
            </w:r>
          </w:p>
          <w:p>
            <w:pPr>
              <w:spacing w:after="0" w:line="230"/>
            </w:pPr>
            <w:r>
              <w:rPr>
                <w:rFonts w:ascii="Courier New" w:cs="Courier New" w:eastAsia="Courier New" w:hAnsi="Courier New"/>
                <w:color w:val="3A2E15"/>
                <w:sz w:val="16"/>
                <w:szCs w:val="16"/>
              </w:rPr>
              <w:t xml:space="preserve">  en cas de service dégradé (anti-spam : 1 envoi max / 30 min).</w:t>
            </w:r>
          </w:p>
          <w:p>
            <w:pPr>
              <w:spacing w:after="0" w:line="230"/>
            </w:pPr>
            <w:r>
              <w:rPr>
                <w:rFonts w:ascii="Courier New" w:cs="Courier New" w:eastAsia="Courier New" w:hAnsi="Courier New"/>
                <w:color w:val="3A2E15"/>
                <w:sz w:val="16"/>
                <w:szCs w:val="16"/>
              </w:rPr>
              <w:t xml:space="preserve">- Tests : +42 tests (activation, flux forgot/reset, pages front) —</w:t>
            </w:r>
          </w:p>
          <w:p>
            <w:pPr>
              <w:spacing w:after="0" w:line="230"/>
            </w:pPr>
            <w:r>
              <w:rPr>
                <w:rFonts w:ascii="Courier New" w:cs="Courier New" w:eastAsia="Courier New" w:hAnsi="Courier New"/>
                <w:color w:val="3A2E15"/>
                <w:sz w:val="16"/>
                <w:szCs w:val="16"/>
              </w:rPr>
              <w:t xml:space="preserve">  173 au total (52 back, 121 front).</w:t>
            </w:r>
          </w:p>
        </w:tc>
      </w:tr>
    </w:tbl>
    <w:p>
      <w:pPr>
        <w:spacing w:after="120" w:before="60" w:line="308"/>
        <w:jc w:val="both"/>
      </w:pPr>
      <w:r>
        <w:rPr>
          <w:b w:val="false"/>
          <w:bCs w:val="false"/>
          <w:i w:val="false"/>
          <w:iCs w:val="false"/>
          <w:sz w:val="22"/>
          <w:szCs w:val="22"/>
        </w:rPr>
        <w:t xml:space="preserve">Le fichier CHANGELOG.md complet est tenu à la racine du dépôt ; l'extrait ci-dessus montre que chaque évolution et chaque correctif livré y est documenté, ce qui permet de suivre l'historique du logiciel version par version et de savoir précisément ce qui compose chaque livraison.</w:t>
      </w:r>
    </w:p>
    <w:p>
      <w:pPr>
        <w:pStyle w:val="Heading1"/>
      </w:pPr>
      <w:r>
        <w:t xml:space="preserve">7. Recommandations argumentées d'amélioration</w:t>
      </w:r>
    </w:p>
    <w:p>
      <w:pPr>
        <w:spacing w:after="120" w:before="0" w:line="308"/>
        <w:jc w:val="both"/>
      </w:pPr>
      <w:r>
        <w:rPr>
          <w:b w:val="false"/>
          <w:bCs w:val="false"/>
          <w:i w:val="false"/>
          <w:iCs w:val="false"/>
          <w:sz w:val="22"/>
          <w:szCs w:val="22"/>
        </w:rPr>
        <w:t xml:space="preserve">Les recommandations s'appuient sur les indicateurs (audits de sécurité et d'accessibilité, métriques de la recette, retours utilisateurs) et sont chiffrées en effort pour permettre un arbitrage. Leur crédibilité est démontrée : la première recommandation du dossier de juin — migrer les jetons vers des cookies httpOnly — a été réalisée le 15/07 (v3.1.0), exactement dans l'effort estimé. La recommandation portant sur la remise en production (secrets GitHub Actions, déploiement continu) a elle aussi été réalisée les 19 et 20/07 : la chaîne de déploiement continu est opérationnelle de bout en bout, vérifiée verte sur plusieurs exécutions successives ; elle ne figure donc plus dans le tableau ci-dessous.</w:t>
      </w:r>
    </w:p>
    <w:p>
      <w:pPr>
        <w:spacing w:after="120" w:before="0" w:line="308"/>
        <w:jc w:val="both"/>
      </w:pPr>
      <w:r>
        <w:rPr>
          <w:b w:val="false"/>
          <w:bCs w:val="false"/>
          <w:i w:val="false"/>
          <w:iCs w:val="false"/>
          <w:sz w:val="22"/>
          <w:szCs w:val="22"/>
        </w:rPr>
        <w:t xml:space="preserve">Méthode de priorisation : chaque recommandation est positionnée sur deux axes — l'impact (sécurité &gt; fiabilité &gt; performance &gt; confort) et l'effort estimé en jours. Les gains de sécurité à faible effort passent en tête ; les chantiers lourds sont découpés pour rester livrables entre deux versions mineures.</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552"/>
        <w:gridCol w:w="2552"/>
        <w:gridCol w:w="2552"/>
        <w:gridCol w:w="1416"/>
      </w:tblGrid>
      <w:tr>
        <w:trPr>
          <w:tblHeader/>
        </w:trPr>
        <w:tc>
          <w:tcPr>
            <w:tcW w:type="dxa" w:w="2552"/>
            <w:tcBorders>
              <w:top w:val="single" w:color="8B6914" w:sz="10"/>
              <w:left w:val="none" w:color="FFFFFF" w:sz="0"/>
              <w:bottom w:val="single" w:color="8B6914" w:sz="5"/>
              <w:right w:val="none" w:color="FFFFFF" w:sz="0"/>
            </w:tcBorders>
            <w:tcMar>
              <w:top w:type="dxa" w:w="55"/>
              <w:left w:type="dxa" w:w="60"/>
              <w:bottom w:type="dxa" w:w="55"/>
              <w:right w:type="dxa" w:w="110"/>
            </w:tcMar>
          </w:tcPr>
          <w:p>
            <w:pPr>
              <w:spacing w:after="0" w:line="264"/>
            </w:pPr>
            <w:r>
              <w:rPr>
                <w:b/>
                <w:bCs/>
                <w:color w:val="2D1A00"/>
                <w:sz w:val="16"/>
                <w:szCs w:val="16"/>
              </w:rPr>
              <w:t xml:space="preserve">Recommandation</w:t>
            </w:r>
          </w:p>
        </w:tc>
        <w:tc>
          <w:tcPr>
            <w:tcW w:type="dxa" w:w="2552"/>
            <w:tcBorders>
              <w:top w:val="single" w:color="8B6914" w:sz="10"/>
              <w:left w:val="none" w:color="FFFFFF" w:sz="0"/>
              <w:bottom w:val="single" w:color="8B6914" w:sz="5"/>
              <w:right w:val="none" w:color="FFFFFF" w:sz="0"/>
            </w:tcBorders>
            <w:tcMar>
              <w:top w:type="dxa" w:w="55"/>
              <w:left w:type="dxa" w:w="60"/>
              <w:bottom w:type="dxa" w:w="55"/>
              <w:right w:type="dxa" w:w="110"/>
            </w:tcMar>
          </w:tcPr>
          <w:p>
            <w:pPr>
              <w:spacing w:after="0" w:line="264"/>
            </w:pPr>
            <w:r>
              <w:rPr>
                <w:b/>
                <w:bCs/>
                <w:color w:val="2D1A00"/>
                <w:sz w:val="16"/>
                <w:szCs w:val="16"/>
              </w:rPr>
              <w:t xml:space="preserve">Constat d'origine</w:t>
            </w:r>
          </w:p>
        </w:tc>
        <w:tc>
          <w:tcPr>
            <w:tcW w:type="dxa" w:w="2552"/>
            <w:tcBorders>
              <w:top w:val="single" w:color="8B6914" w:sz="10"/>
              <w:left w:val="none" w:color="FFFFFF" w:sz="0"/>
              <w:bottom w:val="single" w:color="8B6914" w:sz="5"/>
              <w:right w:val="none" w:color="FFFFFF" w:sz="0"/>
            </w:tcBorders>
            <w:tcMar>
              <w:top w:type="dxa" w:w="55"/>
              <w:left w:type="dxa" w:w="60"/>
              <w:bottom w:type="dxa" w:w="55"/>
              <w:right w:type="dxa" w:w="110"/>
            </w:tcMar>
          </w:tcPr>
          <w:p>
            <w:pPr>
              <w:spacing w:after="0" w:line="264"/>
            </w:pPr>
            <w:r>
              <w:rPr>
                <w:b/>
                <w:bCs/>
                <w:color w:val="2D1A00"/>
                <w:sz w:val="16"/>
                <w:szCs w:val="16"/>
              </w:rPr>
              <w:t xml:space="preserve">Gain attendu</w:t>
            </w:r>
          </w:p>
        </w:tc>
        <w:tc>
          <w:tcPr>
            <w:tcW w:type="dxa" w:w="1416"/>
            <w:tcBorders>
              <w:top w:val="single" w:color="8B6914" w:sz="10"/>
              <w:left w:val="none" w:color="FFFFFF" w:sz="0"/>
              <w:bottom w:val="single" w:color="8B6914" w:sz="5"/>
              <w:right w:val="none" w:color="FFFFFF" w:sz="0"/>
            </w:tcBorders>
            <w:tcMar>
              <w:top w:type="dxa" w:w="55"/>
              <w:left w:type="dxa" w:w="60"/>
              <w:bottom w:type="dxa" w:w="55"/>
              <w:right w:type="dxa" w:w="110"/>
            </w:tcMar>
          </w:tcPr>
          <w:p>
            <w:pPr>
              <w:spacing w:after="0" w:line="264"/>
            </w:pPr>
            <w:r>
              <w:rPr>
                <w:b/>
                <w:bCs/>
                <w:color w:val="2D1A00"/>
                <w:sz w:val="16"/>
                <w:szCs w:val="16"/>
              </w:rPr>
              <w:t xml:space="preserve">Effort</w:t>
            </w:r>
          </w:p>
        </w:tc>
      </w:tr>
      <w:tr>
        <w:tc>
          <w:tcPr>
            <w:tcW w:type="dxa" w:w="2552"/>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Sortir de Create React App vers Vite</w:t>
            </w:r>
          </w:p>
        </w:tc>
        <w:tc>
          <w:tcPr>
            <w:tcW w:type="dxa" w:w="2552"/>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npm audit : vulnérabilités résiduelles dans la chaîne de build (dev uniquement) ; CRA n'est plus maintenu</w:t>
            </w:r>
          </w:p>
        </w:tc>
        <w:tc>
          <w:tcPr>
            <w:tcW w:type="dxa" w:w="2552"/>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0 advisory front ; builds nettement plus rapides ; outillage maintenu</w:t>
            </w:r>
          </w:p>
        </w:tc>
        <w:tc>
          <w:tcPr>
            <w:tcW w:type="dxa" w:w="1416"/>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2-3 jours</w:t>
            </w:r>
          </w:p>
        </w:tc>
      </w:tr>
      <w:tr>
        <w:tc>
          <w:tcPr>
            <w:tcW w:type="dxa" w:w="2552"/>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Cache serveur des prix de marché (Redis ou cache Symfony)</w:t>
            </w:r>
          </w:p>
        </w:tc>
        <w:tc>
          <w:tcPr>
            <w:tcW w:type="dxa" w:w="2552"/>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Le chargement des prix appelle l'API Albion pour des dizaines d'items ; latence perçue de quelques secondes</w:t>
            </w:r>
          </w:p>
        </w:tc>
        <w:tc>
          <w:tcPr>
            <w:tcW w:type="dxa" w:w="2552"/>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Temps de réponse divisé (cache partagé entre utilisateurs), moindre dépendance aux quotas de l'API externe</w:t>
            </w:r>
          </w:p>
        </w:tc>
        <w:tc>
          <w:tcPr>
            <w:tcW w:type="dxa" w:w="1416"/>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1-2 jours</w:t>
            </w:r>
          </w:p>
        </w:tc>
      </w:tr>
      <w:tr>
        <w:tc>
          <w:tcPr>
            <w:tcW w:type="dxa" w:w="2552"/>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Finaliser les contrastes du tableau de craft (palette des pastilles)</w:t>
            </w:r>
          </w:p>
        </w:tc>
        <w:tc>
          <w:tcPr>
            <w:tcW w:type="dxa" w:w="2552"/>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Audit axe-core : contraste 3,2:1 mesuré pour 4,5:1 requis (OBS-01)</w:t>
            </w:r>
          </w:p>
        </w:tc>
        <w:tc>
          <w:tcPr>
            <w:tcW w:type="dxa" w:w="2552"/>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Conformité RGAA complète de la page la plus dense</w:t>
            </w:r>
          </w:p>
        </w:tc>
        <w:tc>
          <w:tcPr>
            <w:tcW w:type="dxa" w:w="1416"/>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0,5 jour</w:t>
            </w:r>
          </w:p>
        </w:tc>
      </w:tr>
      <w:tr>
        <w:tc>
          <w:tcPr>
            <w:tcW w:type="dxa" w:w="2552"/>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Étendre les tests d'API aux modules v3 (batailles, multi-serveur)</w:t>
            </w:r>
          </w:p>
        </w:tc>
        <w:tc>
          <w:tcPr>
            <w:tcW w:type="dxa" w:w="2552"/>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La couverture back est centrée sur l'authentification et la recherche</w:t>
            </w:r>
          </w:p>
        </w:tc>
        <w:tc>
          <w:tcPr>
            <w:tcW w:type="dxa" w:w="2552"/>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Filet de non-régression complet sur les fonctionnalités les plus récentes</w:t>
            </w:r>
          </w:p>
        </w:tc>
        <w:tc>
          <w:tcPr>
            <w:tcW w:type="dxa" w:w="1416"/>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2 jours</w:t>
            </w:r>
          </w:p>
        </w:tc>
      </w:tr>
      <w:tr>
        <w:tc>
          <w:tcPr>
            <w:tcW w:type="dxa" w:w="2552"/>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Centraliser les erreurs front (Sentry ou équivalent)</w:t>
            </w:r>
          </w:p>
        </w:tc>
        <w:tc>
          <w:tcPr>
            <w:tcW w:type="dxa" w:w="2552"/>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Les erreurs JavaScript des utilisateurs réels ne sont pas remontées</w:t>
            </w:r>
          </w:p>
        </w:tc>
        <w:tc>
          <w:tcPr>
            <w:tcW w:type="dxa" w:w="2552"/>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Détection proactive des anomalies en production (complément de la supervision serveur)</w:t>
            </w:r>
          </w:p>
        </w:tc>
        <w:tc>
          <w:tcPr>
            <w:tcW w:type="dxa" w:w="1416"/>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1 jour</w:t>
            </w:r>
          </w:p>
        </w:tc>
      </w:tr>
      <w:tr>
        <w:tc>
          <w:tcPr>
            <w:tcW w:type="dxa" w:w="2552"/>
            <w:tcBorders>
              <w:top w:val="none" w:color="FFFFFF" w:sz="0"/>
              <w:left w:val="none" w:color="FFFFFF" w:sz="0"/>
              <w:bottom w:val="single" w:color="8B6914" w:sz="10"/>
              <w:right w:val="none" w:color="FFFFFF" w:sz="0"/>
            </w:tcBorders>
            <w:tcMar>
              <w:top w:type="dxa" w:w="55"/>
              <w:left w:type="dxa" w:w="60"/>
              <w:bottom w:type="dxa" w:w="55"/>
              <w:right w:type="dxa" w:w="110"/>
            </w:tcMar>
          </w:tcPr>
          <w:p>
            <w:pPr>
              <w:spacing w:after="0" w:line="264"/>
            </w:pPr>
            <w:r>
              <w:rPr>
                <w:b w:val="false"/>
                <w:bCs w:val="false"/>
                <w:sz w:val="16"/>
                <w:szCs w:val="16"/>
              </w:rPr>
              <w:t xml:space="preserve">Automatiser la sauvegarde PostgreSQL (pg_dump quotidien + rétention 14 j)</w:t>
            </w:r>
          </w:p>
        </w:tc>
        <w:tc>
          <w:tcPr>
            <w:tcW w:type="dxa" w:w="2552"/>
            <w:tcBorders>
              <w:top w:val="none" w:color="FFFFFF" w:sz="0"/>
              <w:left w:val="none" w:color="FFFFFF" w:sz="0"/>
              <w:bottom w:val="single" w:color="8B6914" w:sz="10"/>
              <w:right w:val="none" w:color="FFFFFF" w:sz="0"/>
            </w:tcBorders>
            <w:tcMar>
              <w:top w:type="dxa" w:w="55"/>
              <w:left w:type="dxa" w:w="60"/>
              <w:bottom w:type="dxa" w:w="55"/>
              <w:right w:type="dxa" w:w="110"/>
            </w:tcMar>
          </w:tcPr>
          <w:p>
            <w:pPr>
              <w:spacing w:after="0" w:line="264"/>
            </w:pPr>
            <w:r>
              <w:rPr>
                <w:b w:val="false"/>
                <w:bCs w:val="false"/>
                <w:sz w:val="16"/>
                <w:szCs w:val="16"/>
              </w:rPr>
              <w:t xml:space="preserve">La supervision couvre la disponibilité mais pas la perte de données</w:t>
            </w:r>
          </w:p>
        </w:tc>
        <w:tc>
          <w:tcPr>
            <w:tcW w:type="dxa" w:w="2552"/>
            <w:tcBorders>
              <w:top w:val="none" w:color="FFFFFF" w:sz="0"/>
              <w:left w:val="none" w:color="FFFFFF" w:sz="0"/>
              <w:bottom w:val="single" w:color="8B6914" w:sz="10"/>
              <w:right w:val="none" w:color="FFFFFF" w:sz="0"/>
            </w:tcBorders>
            <w:tcMar>
              <w:top w:type="dxa" w:w="55"/>
              <w:left w:type="dxa" w:w="60"/>
              <w:bottom w:type="dxa" w:w="55"/>
              <w:right w:type="dxa" w:w="110"/>
            </w:tcMar>
          </w:tcPr>
          <w:p>
            <w:pPr>
              <w:spacing w:after="0" w:line="264"/>
            </w:pPr>
            <w:r>
              <w:rPr>
                <w:b w:val="false"/>
                <w:bCs w:val="false"/>
                <w:sz w:val="16"/>
                <w:szCs w:val="16"/>
              </w:rPr>
              <w:t xml:space="preserve">RPO ≤ 24 h en cas d'incident majeur ; restauration documentée et testée</w:t>
            </w:r>
          </w:p>
        </w:tc>
        <w:tc>
          <w:tcPr>
            <w:tcW w:type="dxa" w:w="1416"/>
            <w:tcBorders>
              <w:top w:val="none" w:color="FFFFFF" w:sz="0"/>
              <w:left w:val="none" w:color="FFFFFF" w:sz="0"/>
              <w:bottom w:val="single" w:color="8B6914" w:sz="10"/>
              <w:right w:val="none" w:color="FFFFFF" w:sz="0"/>
            </w:tcBorders>
            <w:tcMar>
              <w:top w:type="dxa" w:w="55"/>
              <w:left w:type="dxa" w:w="60"/>
              <w:bottom w:type="dxa" w:w="55"/>
              <w:right w:type="dxa" w:w="110"/>
            </w:tcMar>
          </w:tcPr>
          <w:p>
            <w:pPr>
              <w:spacing w:after="0" w:line="264"/>
            </w:pPr>
            <w:r>
              <w:rPr>
                <w:b w:val="false"/>
                <w:bCs w:val="false"/>
                <w:sz w:val="16"/>
                <w:szCs w:val="16"/>
              </w:rPr>
              <w:t xml:space="preserve">0,5 jour</w:t>
            </w:r>
          </w:p>
        </w:tc>
      </w:tr>
    </w:tbl>
    <w:p>
      <w:pPr>
        <w:pStyle w:val="Heading1"/>
      </w:pPr>
      <w:r>
        <w:t xml:space="preserve">8. Exemple de problème résolu en collaboration avec le support</w:t>
      </w:r>
    </w:p>
    <w:p>
      <w:pPr>
        <w:pStyle w:val="Heading2"/>
      </w:pPr>
      <w:r>
        <w:t xml:space="preserve">8.1 Processus de support</w:t>
      </w:r>
    </w:p>
    <w:p>
      <w:pPr>
        <w:spacing w:after="120" w:before="0" w:line="308"/>
        <w:jc w:val="both"/>
      </w:pPr>
      <w:r>
        <w:rPr>
          <w:b w:val="false"/>
          <w:bCs w:val="false"/>
          <w:i w:val="false"/>
          <w:iCs w:val="false"/>
          <w:sz w:val="22"/>
          <w:szCs w:val="22"/>
        </w:rPr>
        <w:t xml:space="preserve">Les retours utilisateurs arrivent par deux canaux : le Discord de la guilde (utilisateurs réels du jeu, qui servent de testeurs de terrain) et les issues GitHub. Chaque retour est reformulé en fiche d'anomalie ou en demande d'évolution, puis suit le processus du §4. L'utilisateur à l'origine du signalement est systématiquement sollicité pour valider la résolution : c'est lui qui clôt le ticket.</w:t>
      </w:r>
    </w:p>
    <w:p>
      <w:pPr>
        <w:pStyle w:val="Heading2"/>
      </w:pPr>
      <w:r>
        <w:t xml:space="preserve">8.2 Cas traité</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985"/>
        <w:gridCol w:w="7087"/>
      </w:tblGrid>
      <w:tr>
        <w:trPr>
          <w:tblHeader/>
        </w:trPr>
        <w:tc>
          <w:tcPr>
            <w:tcW w:type="dxa" w:w="1985"/>
            <w:tcBorders>
              <w:top w:val="single" w:color="8B6914" w:sz="10"/>
              <w:left w:val="none" w:color="FFFFFF" w:sz="0"/>
              <w:bottom w:val="single" w:color="8B6914" w:sz="5"/>
              <w:right w:val="none" w:color="FFFFFF" w:sz="0"/>
            </w:tcBorders>
            <w:tcMar>
              <w:top w:type="dxa" w:w="55"/>
              <w:left w:type="dxa" w:w="60"/>
              <w:bottom w:type="dxa" w:w="55"/>
              <w:right w:type="dxa" w:w="110"/>
            </w:tcMar>
          </w:tcPr>
          <w:p>
            <w:pPr>
              <w:spacing w:after="0" w:line="264"/>
            </w:pPr>
            <w:r>
              <w:rPr>
                <w:b/>
                <w:bCs/>
                <w:color w:val="2D1A00"/>
                <w:sz w:val="18"/>
                <w:szCs w:val="18"/>
              </w:rPr>
              <w:t xml:space="preserve">Champ</w:t>
            </w:r>
          </w:p>
        </w:tc>
        <w:tc>
          <w:tcPr>
            <w:tcW w:type="dxa" w:w="7087"/>
            <w:tcBorders>
              <w:top w:val="single" w:color="8B6914" w:sz="10"/>
              <w:left w:val="none" w:color="FFFFFF" w:sz="0"/>
              <w:bottom w:val="single" w:color="8B6914" w:sz="5"/>
              <w:right w:val="none" w:color="FFFFFF" w:sz="0"/>
            </w:tcBorders>
            <w:tcMar>
              <w:top w:type="dxa" w:w="55"/>
              <w:left w:type="dxa" w:w="60"/>
              <w:bottom w:type="dxa" w:w="55"/>
              <w:right w:type="dxa" w:w="110"/>
            </w:tcMar>
          </w:tcPr>
          <w:p>
            <w:pPr>
              <w:spacing w:after="0" w:line="264"/>
            </w:pPr>
            <w:r>
              <w:rPr>
                <w:b/>
                <w:bCs/>
                <w:color w:val="2D1A00"/>
                <w:sz w:val="18"/>
                <w:szCs w:val="18"/>
              </w:rPr>
              <w:t xml:space="preserve">Contenu</w:t>
            </w:r>
          </w:p>
        </w:tc>
      </w:tr>
      <w:tr>
        <w:tc>
          <w:tcPr>
            <w:tcW w:type="dxa" w:w="1985"/>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Contexte</w:t>
            </w:r>
          </w:p>
        </w:tc>
        <w:tc>
          <w:tcPr>
            <w:tcW w:type="dxa" w:w="7087"/>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Un membre de la guilde (beta-testeur) signale sur Discord que le calculateur de craft affiche « N/A » comme prix de vente pour plusieurs recettes de raffinage lorsqu'il sélectionne la ville de Brecilien, rendant le calcul de bénéfice impossible pour son cas d'usage.</w:t>
            </w:r>
          </w:p>
        </w:tc>
      </w:tr>
      <w:tr>
        <w:tc>
          <w:tcPr>
            <w:tcW w:type="dxa" w:w="1985"/>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Problème à résoudre</w:t>
            </w:r>
          </w:p>
        </w:tc>
        <w:tc>
          <w:tcPr>
            <w:tcW w:type="dxa" w:w="7087"/>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Déterminer si l'anomalie vient du calculateur (bogue) ou des données : comprendre pourquoi certaines paires item/ville n'ont pas de prix.</w:t>
            </w:r>
          </w:p>
        </w:tc>
      </w:tr>
      <w:tr>
        <w:tc>
          <w:tcPr>
            <w:tcW w:type="dxa" w:w="1985"/>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Diagnostic</w:t>
            </w:r>
          </w:p>
        </w:tc>
        <w:tc>
          <w:tcPr>
            <w:tcW w:type="dxa" w:w="7087"/>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Reproduction avec les mêmes paramètres : le comportement est confirmé. Analyse des réponses de l'API de prix : l'API publique d'Albion ne renvoie aucune donnée pour certaines paires item/ville quand aucun ordre de vente n'existe sur ce marché — ce n'est pas un bogue du calculateur mais une absence réelle de données de marché.</w:t>
            </w:r>
          </w:p>
        </w:tc>
      </w:tr>
      <w:tr>
        <w:tc>
          <w:tcPr>
            <w:tcW w:type="dxa" w:w="1985"/>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Résolution apportée</w:t>
            </w:r>
          </w:p>
        </w:tc>
        <w:tc>
          <w:tcPr>
            <w:tcW w:type="dxa" w:w="7087"/>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1) Explication à l'utilisateur (le marché de Brecilien est peu actif sur ces items) ; 2) amélioration du produit : l'affichage « N/A » est conservé mais son infobulle précise désormais « Aucun ordre de vente sur ce marché : l'API d'Albion ne renvoie pas de prix pour cet item dans cette ville » et le calcul de bénéfice ignore proprement ces lignes ; 3) documentation du comportement dans le tutoriel de la page craft.</w:t>
            </w:r>
          </w:p>
        </w:tc>
      </w:tr>
      <w:tr>
        <w:tc>
          <w:tcPr>
            <w:tcW w:type="dxa" w:w="1985"/>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Contribution des parties prenantes</w:t>
            </w:r>
          </w:p>
        </w:tc>
        <w:tc>
          <w:tcPr>
            <w:tcW w:type="dxa" w:w="7087"/>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Utilisateur : signalement, fourniture des paramètres exacts (ville, items, qualité), validation finale en conditions réelles. Développeur : reproduction, diagnostic API, correctif d'affichage et documentation. La boucle signalement → diagnostic → correctif → validation par l'utilisateur s'est faite en 48 h.</w:t>
            </w:r>
          </w:p>
        </w:tc>
      </w:tr>
      <w:tr>
        <w:tc>
          <w:tcPr>
            <w:tcW w:type="dxa" w:w="1985"/>
            <w:tcBorders>
              <w:top w:val="none" w:color="FFFFFF" w:sz="0"/>
              <w:left w:val="none" w:color="FFFFFF" w:sz="0"/>
              <w:bottom w:val="single" w:color="8B6914" w:sz="10"/>
              <w:right w:val="none" w:color="FFFFFF" w:sz="0"/>
            </w:tcBorders>
            <w:tcMar>
              <w:top w:type="dxa" w:w="55"/>
              <w:left w:type="dxa" w:w="60"/>
              <w:bottom w:type="dxa" w:w="55"/>
              <w:right w:type="dxa" w:w="110"/>
            </w:tcMar>
          </w:tcPr>
          <w:p>
            <w:pPr>
              <w:spacing w:after="0" w:line="264"/>
            </w:pPr>
            <w:r>
              <w:rPr>
                <w:b w:val="false"/>
                <w:bCs w:val="false"/>
                <w:sz w:val="18"/>
                <w:szCs w:val="18"/>
              </w:rPr>
              <w:t xml:space="preserve">Bilan</w:t>
            </w:r>
          </w:p>
        </w:tc>
        <w:tc>
          <w:tcPr>
            <w:tcW w:type="dxa" w:w="7087"/>
            <w:tcBorders>
              <w:top w:val="none" w:color="FFFFFF" w:sz="0"/>
              <w:left w:val="none" w:color="FFFFFF" w:sz="0"/>
              <w:bottom w:val="single" w:color="8B6914" w:sz="10"/>
              <w:right w:val="none" w:color="FFFFFF" w:sz="0"/>
            </w:tcBorders>
            <w:tcMar>
              <w:top w:type="dxa" w:w="55"/>
              <w:left w:type="dxa" w:w="60"/>
              <w:bottom w:type="dxa" w:w="55"/>
              <w:right w:type="dxa" w:w="110"/>
            </w:tcMar>
          </w:tcPr>
          <w:p>
            <w:pPr>
              <w:spacing w:after="0" w:line="264"/>
            </w:pPr>
            <w:r>
              <w:rPr>
                <w:b w:val="false"/>
                <w:bCs w:val="false"/>
                <w:sz w:val="18"/>
                <w:szCs w:val="18"/>
              </w:rPr>
              <w:t xml:space="preserve">Le retour a transformé une incompréhension (« le calculateur est cassé ») en amélioration d'expérience (message explicite, visible dans front/src/pages/Craft/Craft.jsx et les dictionnaires de traduction). Le cas a alimenté la recommandation de cache serveur des prix (§7), qui réduira aussi les cas de données manquantes transitoires.</w:t>
            </w:r>
          </w:p>
        </w:tc>
      </w:tr>
    </w:tbl>
    <w:p>
      <w:pPr>
        <w:pStyle w:val="Heading1"/>
      </w:pPr>
      <w:r>
        <w:t xml:space="preserve">Conclusion</w:t>
      </w:r>
    </w:p>
    <w:p>
      <w:pPr>
        <w:spacing w:after="120" w:before="0" w:line="308"/>
        <w:jc w:val="both"/>
      </w:pPr>
      <w:r>
        <w:rPr>
          <w:b w:val="false"/>
          <w:bCs w:val="false"/>
          <w:i w:val="false"/>
          <w:iCs w:val="false"/>
          <w:sz w:val="22"/>
          <w:szCs w:val="22"/>
        </w:rPr>
        <w:t xml:space="preserve">Le dispositif de maintien en condition opérationnelle d'Albion Helper repose sur quatre piliers qui se renforcent mutuellement : une supervision à deux sondes complémentaires (externe et interne — cette dernière désormais installée automatiquement à chaque déploiement) branchée sur un point de contrôle applicatif réel, avec signalements e-mail et indicateurs cibles définis ; un processus de mise à jour des dépendances outillé et éprouvé (la sortie de Symfony 7.2 EOL vers 7.4 LTS a corrigé 36 advisories en une journée, validée par les tests ; l'audit reste à zéro advisory au 15/07) ; un processus de consignation des anomalies alimenté par six canaux de détection, dont les fiches normalisées ont fait leurs preuves sur seize anomalies réelles tracées du symptôme à la livraison du correctif ; et un journal des versions qui relie chaque évolution et chaque correctif à son commit et à sa version. La démarche est vivante : une recommandation majeure du dossier de juin (cookies httpOnly) a été réalisée en v3.1.0, et les recommandations restantes, chiffrées en effort et adossées aux constats d'audit, dessinent la feuille de route des prochains mois.</w:t>
      </w:r>
    </w:p>
    <w:p>
      <w:pPr>
        <w:pStyle w:val="Heading1"/>
      </w:pPr>
      <w:r>
        <w:br w:type="page"/>
      </w:r>
      <w:r>
        <w:t xml:space="preserve">Annexes — preuves d’exécution</w:t>
      </w:r>
    </w:p>
    <w:p>
      <w:pPr>
        <w:spacing w:after="120" w:before="40"/>
        <w:jc w:val="both"/>
      </w:pPr>
      <w:r>
        <w:t xml:space="preserve">Les captures ci-dessous sont des preuves d’exécution réelles : fichiers du dépôt GitHub, e-mails effectivement reçus lors d’un exercice d’incident mené le 14/08/2026 (arrêt volontaire de la base de données puis rétablissement), journaux de sonde et registre outillé des anomalies.</w:t>
      </w:r>
    </w:p>
    <w:p>
      <w:pPr>
        <w:pStyle w:val="Heading2"/>
      </w:pPr>
      <w:r>
        <w:t xml:space="preserve">Annexe A — Fichiers de dépendances (exemples réels du dépôt)</w:t>
      </w:r>
    </w:p>
    <w:p>
      <w:pPr>
        <w:spacing w:after="40" w:before="60"/>
        <w:jc w:val="center"/>
      </w:pPr>
      <w:r>
        <w:drawing>
          <wp:inline distT="0" distB="0" distL="0" distR="0">
            <wp:extent cx="5800000" cy="3134900"/>
            <wp:effectExtent t="0" r="0" b="0" l="0"/>
            <wp:docPr id="100" name="annexe-0" descr="capture annexe" title="capture annex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A1" cstate="none"/>
                    <a:srcRect/>
                    <a:stretch>
                      <a:fillRect/>
                    </a:stretch>
                  </pic:blipFill>
                  <pic:spPr bwMode="auto">
                    <a:xfrm>
                      <a:off x="0" y="0"/>
                      <a:ext cx="5800000" cy="3134900"/>
                    </a:xfrm>
                    <a:prstGeom prst="rect">
                      <a:avLst/>
                    </a:prstGeom>
                  </pic:spPr>
                </pic:pic>
              </a:graphicData>
            </a:graphic>
          </wp:inline>
        </w:drawing>
      </w:r>
    </w:p>
    <w:p>
      <w:pPr>
        <w:spacing w:after="160" w:before="20"/>
        <w:jc w:val="center"/>
      </w:pPr>
      <w:r>
        <w:rPr>
          <w:i/>
          <w:iCs/>
          <w:color w:val="5A4825"/>
          <w:sz w:val="18"/>
          <w:szCs w:val="18"/>
        </w:rPr>
        <w:t xml:space="preserve">Figure A1 — back/composer.json : dépendances backend (Symfony 7.4 LTS, Doctrine, bundles JWT/CORS) — vue GitHub du dépôt</w:t>
      </w:r>
    </w:p>
    <w:p>
      <w:pPr>
        <w:spacing w:after="40" w:before="60"/>
        <w:jc w:val="center"/>
      </w:pPr>
      <w:r>
        <w:drawing>
          <wp:inline distT="0" distB="0" distL="0" distR="0">
            <wp:extent cx="5800000" cy="3134900"/>
            <wp:effectExtent t="0" r="0" b="0" l="0"/>
            <wp:docPr id="101" name="annexe-1" descr="capture annexe" title="capture annex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A2" cstate="none"/>
                    <a:srcRect/>
                    <a:stretch>
                      <a:fillRect/>
                    </a:stretch>
                  </pic:blipFill>
                  <pic:spPr bwMode="auto">
                    <a:xfrm>
                      <a:off x="0" y="0"/>
                      <a:ext cx="5800000" cy="3134900"/>
                    </a:xfrm>
                    <a:prstGeom prst="rect">
                      <a:avLst/>
                    </a:prstGeom>
                  </pic:spPr>
                </pic:pic>
              </a:graphicData>
            </a:graphic>
          </wp:inline>
        </w:drawing>
      </w:r>
    </w:p>
    <w:p>
      <w:pPr>
        <w:spacing w:after="160" w:before="20"/>
        <w:jc w:val="center"/>
      </w:pPr>
      <w:r>
        <w:rPr>
          <w:i/>
          <w:iCs/>
          <w:color w:val="5A4825"/>
          <w:sz w:val="18"/>
          <w:szCs w:val="18"/>
        </w:rPr>
        <w:t xml:space="preserve">Figure A2 — front/package.json : dépendances frontend (React 19, MUI, axios, i18next) et lockfile associé</w:t>
      </w:r>
    </w:p>
    <w:p>
      <w:pPr>
        <w:spacing w:after="40" w:before="60"/>
        <w:jc w:val="center"/>
      </w:pPr>
      <w:r>
        <w:drawing>
          <wp:inline distT="0" distB="0" distL="0" distR="0">
            <wp:extent cx="5800000" cy="3134900"/>
            <wp:effectExtent t="0" r="0" b="0" l="0"/>
            <wp:docPr id="102" name="annexe-2" descr="capture annexe" title="capture annex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A3" cstate="none"/>
                    <a:srcRect/>
                    <a:stretch>
                      <a:fillRect/>
                    </a:stretch>
                  </pic:blipFill>
                  <pic:spPr bwMode="auto">
                    <a:xfrm>
                      <a:off x="0" y="0"/>
                      <a:ext cx="5800000" cy="3134900"/>
                    </a:xfrm>
                    <a:prstGeom prst="rect">
                      <a:avLst/>
                    </a:prstGeom>
                  </pic:spPr>
                </pic:pic>
              </a:graphicData>
            </a:graphic>
          </wp:inline>
        </w:drawing>
      </w:r>
    </w:p>
    <w:p>
      <w:pPr>
        <w:spacing w:after="160" w:before="20"/>
        <w:jc w:val="center"/>
      </w:pPr>
      <w:r>
        <w:rPr>
          <w:i/>
          <w:iCs/>
          <w:color w:val="5A4825"/>
          <w:sz w:val="18"/>
          <w:szCs w:val="18"/>
        </w:rPr>
        <w:t xml:space="preserve">Figure A3 — .github/dependabot.yml : détection automatique hebdomadaire sur les trois écosystèmes (composer, npm, GitHub Actions)</w:t>
      </w:r>
    </w:p>
    <w:p>
      <w:pPr>
        <w:pStyle w:val="Heading2"/>
      </w:pPr>
      <w:r>
        <w:t xml:space="preserve">Annexe B — Supervision : e-mails d'alerte, de rétablissement et journaux (incident réel du 14/08/2026, base de données arrêtée volontairement)</w:t>
      </w:r>
    </w:p>
    <w:p>
      <w:pPr>
        <w:spacing w:after="40" w:before="60"/>
        <w:jc w:val="center"/>
      </w:pPr>
      <w:r>
        <w:drawing>
          <wp:inline distT="0" distB="0" distL="0" distR="0">
            <wp:extent cx="5800000" cy="3134900"/>
            <wp:effectExtent t="0" r="0" b="0" l="0"/>
            <wp:docPr id="103" name="annexe-3" descr="capture annexe" title="capture annex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B1" cstate="none"/>
                    <a:srcRect/>
                    <a:stretch>
                      <a:fillRect/>
                    </a:stretch>
                  </pic:blipFill>
                  <pic:spPr bwMode="auto">
                    <a:xfrm>
                      <a:off x="0" y="0"/>
                      <a:ext cx="5800000" cy="3134900"/>
                    </a:xfrm>
                    <a:prstGeom prst="rect">
                      <a:avLst/>
                    </a:prstGeom>
                  </pic:spPr>
                </pic:pic>
              </a:graphicData>
            </a:graphic>
          </wp:inline>
        </w:drawing>
      </w:r>
    </w:p>
    <w:p>
      <w:pPr>
        <w:spacing w:after="160" w:before="20"/>
        <w:jc w:val="center"/>
      </w:pPr>
      <w:r>
        <w:rPr>
          <w:i/>
          <w:iCs/>
          <w:color w:val="5A4825"/>
          <w:sz w:val="18"/>
          <w:szCs w:val="18"/>
        </w:rPr>
        <w:t xml:space="preserve">Figure B1 — E-mail d'alerte applicatif envoyé par /api/health : service database en erreur, gabarit HTML, anti-spam 30 min</w:t>
      </w:r>
    </w:p>
    <w:p>
      <w:pPr>
        <w:spacing w:after="40" w:before="60"/>
        <w:jc w:val="center"/>
      </w:pPr>
      <w:r>
        <w:drawing>
          <wp:inline distT="0" distB="0" distL="0" distR="0">
            <wp:extent cx="5800000" cy="3134900"/>
            <wp:effectExtent t="0" r="0" b="0" l="0"/>
            <wp:docPr id="104" name="annexe-4" descr="capture annexe" title="capture annex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B2" cstate="none"/>
                    <a:srcRect/>
                    <a:stretch>
                      <a:fillRect/>
                    </a:stretch>
                  </pic:blipFill>
                  <pic:spPr bwMode="auto">
                    <a:xfrm>
                      <a:off x="0" y="0"/>
                      <a:ext cx="5800000" cy="3134900"/>
                    </a:xfrm>
                    <a:prstGeom prst="rect">
                      <a:avLst/>
                    </a:prstGeom>
                  </pic:spPr>
                </pic:pic>
              </a:graphicData>
            </a:graphic>
          </wp:inline>
        </w:drawing>
      </w:r>
    </w:p>
    <w:p>
      <w:pPr>
        <w:spacing w:after="160" w:before="20"/>
        <w:jc w:val="center"/>
      </w:pPr>
      <w:r>
        <w:rPr>
          <w:i/>
          <w:iCs/>
          <w:color w:val="5A4825"/>
          <w:sz w:val="18"/>
          <w:szCs w:val="18"/>
        </w:rPr>
        <w:t xml:space="preserve">Figure B2 — E-mail d'alerte de la sonde interne : URL, code HTTP 503 et corps JSON de la réponse</w:t>
      </w:r>
    </w:p>
    <w:p>
      <w:pPr>
        <w:spacing w:after="40" w:before="60"/>
        <w:jc w:val="center"/>
      </w:pPr>
      <w:r>
        <w:drawing>
          <wp:inline distT="0" distB="0" distL="0" distR="0">
            <wp:extent cx="5800000" cy="3134900"/>
            <wp:effectExtent t="0" r="0" b="0" l="0"/>
            <wp:docPr id="105" name="annexe-5" descr="capture annexe" title="capture annex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B3" cstate="none"/>
                    <a:srcRect/>
                    <a:stretch>
                      <a:fillRect/>
                    </a:stretch>
                  </pic:blipFill>
                  <pic:spPr bwMode="auto">
                    <a:xfrm>
                      <a:off x="0" y="0"/>
                      <a:ext cx="5800000" cy="3134900"/>
                    </a:xfrm>
                    <a:prstGeom prst="rect">
                      <a:avLst/>
                    </a:prstGeom>
                  </pic:spPr>
                </pic:pic>
              </a:graphicData>
            </a:graphic>
          </wp:inline>
        </w:drawing>
      </w:r>
    </w:p>
    <w:p>
      <w:pPr>
        <w:spacing w:after="160" w:before="20"/>
        <w:jc w:val="center"/>
      </w:pPr>
      <w:r>
        <w:rPr>
          <w:i/>
          <w:iCs/>
          <w:color w:val="5A4825"/>
          <w:sz w:val="18"/>
          <w:szCs w:val="18"/>
        </w:rPr>
        <w:t xml:space="preserve">Figure B3 — E-mail de rétablissement envoyé au retour du service (une seule alerte par incident, puis clôture)</w:t>
      </w:r>
    </w:p>
    <w:p>
      <w:pPr>
        <w:spacing w:after="40" w:before="60"/>
        <w:jc w:val="center"/>
      </w:pPr>
      <w:r>
        <w:drawing>
          <wp:inline distT="0" distB="0" distL="0" distR="0">
            <wp:extent cx="5800000" cy="3134900"/>
            <wp:effectExtent t="0" r="0" b="0" l="0"/>
            <wp:docPr id="106" name="annexe-6" descr="capture annexe" title="capture annex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B4" cstate="none"/>
                    <a:srcRect/>
                    <a:stretch>
                      <a:fillRect/>
                    </a:stretch>
                  </pic:blipFill>
                  <pic:spPr bwMode="auto">
                    <a:xfrm>
                      <a:off x="0" y="0"/>
                      <a:ext cx="5800000" cy="3134900"/>
                    </a:xfrm>
                    <a:prstGeom prst="rect">
                      <a:avLst/>
                    </a:prstGeom>
                  </pic:spPr>
                </pic:pic>
              </a:graphicData>
            </a:graphic>
          </wp:inline>
        </w:drawing>
      </w:r>
    </w:p>
    <w:p>
      <w:pPr>
        <w:spacing w:after="160" w:before="20"/>
        <w:jc w:val="center"/>
      </w:pPr>
      <w:r>
        <w:rPr>
          <w:i/>
          <w:iCs/>
          <w:color w:val="5A4825"/>
          <w:sz w:val="18"/>
          <w:szCs w:val="18"/>
        </w:rPr>
        <w:t xml:space="preserve">Figure B4 — Journaux : sonde pendant l'incident (FAIL → ALERT → OK → RECOVERY), sonde cron de production (*/5), canal Monolog « incident »</w:t>
      </w:r>
    </w:p>
    <w:p>
      <w:pPr>
        <w:pStyle w:val="Heading2"/>
      </w:pPr>
      <w:r>
        <w:t xml:space="preserve">Annexe C — Consignation outillée des anomalies (GitHub Issues)</w:t>
      </w:r>
    </w:p>
    <w:p>
      <w:pPr>
        <w:spacing w:after="40" w:before="60"/>
        <w:jc w:val="center"/>
      </w:pPr>
      <w:r>
        <w:drawing>
          <wp:inline distT="0" distB="0" distL="0" distR="0">
            <wp:extent cx="5800000" cy="3134900"/>
            <wp:effectExtent t="0" r="0" b="0" l="0"/>
            <wp:docPr id="107" name="annexe-7" descr="capture annexe" title="capture annex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C1" cstate="none"/>
                    <a:srcRect/>
                    <a:stretch>
                      <a:fillRect/>
                    </a:stretch>
                  </pic:blipFill>
                  <pic:spPr bwMode="auto">
                    <a:xfrm>
                      <a:off x="0" y="0"/>
                      <a:ext cx="5800000" cy="3134900"/>
                    </a:xfrm>
                    <a:prstGeom prst="rect">
                      <a:avLst/>
                    </a:prstGeom>
                  </pic:spPr>
                </pic:pic>
              </a:graphicData>
            </a:graphic>
          </wp:inline>
        </w:drawing>
      </w:r>
    </w:p>
    <w:p>
      <w:pPr>
        <w:spacing w:after="160" w:before="20"/>
        <w:jc w:val="center"/>
      </w:pPr>
      <w:r>
        <w:rPr>
          <w:i/>
          <w:iCs/>
          <w:color w:val="5A4825"/>
          <w:sz w:val="18"/>
          <w:szCs w:val="18"/>
        </w:rPr>
        <w:t xml:space="preserve">Figure C1 — Ticket BUG-011 : fiche complète (symptôme, reproduction, cause racine, préconisation, correctif, validation), fermé avec référence au commit</w:t>
      </w:r>
    </w:p>
    <w:p>
      <w:pPr>
        <w:spacing w:after="40" w:before="60"/>
        <w:jc w:val="center"/>
      </w:pPr>
      <w:r>
        <w:drawing>
          <wp:inline distT="0" distB="0" distL="0" distR="0">
            <wp:extent cx="5800000" cy="3134900"/>
            <wp:effectExtent t="0" r="0" b="0" l="0"/>
            <wp:docPr id="108" name="annexe-8" descr="capture annexe" title="capture annex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C2" cstate="none"/>
                    <a:srcRect/>
                    <a:stretch>
                      <a:fillRect/>
                    </a:stretch>
                  </pic:blipFill>
                  <pic:spPr bwMode="auto">
                    <a:xfrm>
                      <a:off x="0" y="0"/>
                      <a:ext cx="5800000" cy="3134900"/>
                    </a:xfrm>
                    <a:prstGeom prst="rect">
                      <a:avLst/>
                    </a:prstGeom>
                  </pic:spPr>
                </pic:pic>
              </a:graphicData>
            </a:graphic>
          </wp:inline>
        </w:drawing>
      </w:r>
    </w:p>
    <w:p>
      <w:pPr>
        <w:spacing w:after="160" w:before="20"/>
        <w:jc w:val="center"/>
      </w:pPr>
      <w:r>
        <w:rPr>
          <w:i/>
          <w:iCs/>
          <w:color w:val="5A4825"/>
          <w:sz w:val="18"/>
          <w:szCs w:val="18"/>
        </w:rPr>
        <w:t xml:space="preserve">Figure C2 — Le registre des anomalies dans l'outil de suivi : BUG-001 à BUG-016 clos, OBS-01 ouverte (remédiation planifiée)</w:t>
      </w:r>
    </w:p>
    <w:p>
      <w:pPr>
        <w:pStyle w:val="Heading2"/>
      </w:pPr>
      <w:r>
        <w:t xml:space="preserve">Annexe D — Journal des versions (CHANGELOG.md du dépôt)</w:t>
      </w:r>
    </w:p>
    <w:p>
      <w:pPr>
        <w:spacing w:after="40" w:before="60"/>
        <w:jc w:val="center"/>
      </w:pPr>
      <w:r>
        <w:drawing>
          <wp:inline distT="0" distB="0" distL="0" distR="0">
            <wp:extent cx="5800000" cy="3134900"/>
            <wp:effectExtent t="0" r="0" b="0" l="0"/>
            <wp:docPr id="109" name="annexe-9" descr="capture annexe" title="capture annex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D1" cstate="none"/>
                    <a:srcRect/>
                    <a:stretch>
                      <a:fillRect/>
                    </a:stretch>
                  </pic:blipFill>
                  <pic:spPr bwMode="auto">
                    <a:xfrm>
                      <a:off x="0" y="0"/>
                      <a:ext cx="5800000" cy="3134900"/>
                    </a:xfrm>
                    <a:prstGeom prst="rect">
                      <a:avLst/>
                    </a:prstGeom>
                  </pic:spPr>
                </pic:pic>
              </a:graphicData>
            </a:graphic>
          </wp:inline>
        </w:drawing>
      </w:r>
    </w:p>
    <w:p>
      <w:pPr>
        <w:spacing w:after="160" w:before="20"/>
        <w:jc w:val="center"/>
      </w:pPr>
      <w:r>
        <w:rPr>
          <w:i/>
          <w:iCs/>
          <w:color w:val="5A4825"/>
          <w:sz w:val="18"/>
          <w:szCs w:val="18"/>
        </w:rPr>
        <w:t xml:space="preserve">Figure D1 — CHANGELOG.md sur la branche master : format « Keep a Changelog », dernière entrée v3.3.1 (correctifs documentés)</w:t>
      </w:r>
    </w:p>
    <w:sectPr>
      <w:headerReference w:type="default" r:id="rId7"/>
      <w:headerReference w:type="first" r:id="rId8"/>
      <w:footerReference w:type="default" r:id="rId9"/>
      <w:footerReference w:type="first" r:id="rId10"/>
      <w:pgSz w:w="11906" w:h="16838" w:orient="portrait"/>
      <w:pgMar w:top="1417" w:right="1417" w:bottom="1417" w:left="1417"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A4825"/>
        <w:sz w:val="16"/>
        <w:szCs w:val="16"/>
      </w:rPr>
      <w:t xml:space="preserve">Pierre Saugues · Dossier Bloc 4 · page </w:t>
    </w:r>
    <w:r>
      <w:rPr>
        <w:color w:val="5A4825"/>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0D5BB" w:sz="2" w:space="2"/>
      </w:pBdr>
      <w:jc w:val="right"/>
    </w:pPr>
    <w:r>
      <w:rPr>
        <w:color w:val="5A4825"/>
        <w:sz w:val="16"/>
        <w:szCs w:val="16"/>
      </w:rPr>
      <w:t xml:space="preserve">RNCP39583 · Bloc 4 — Albion Helper</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C9A84C" w:sz="8" w:space="4"/>
      </w:pBdr>
      <w:spacing w:after="150" w:before="300"/>
      <w:outlineLvl w:val="0"/>
    </w:pPr>
    <w:rPr>
      <w:rFonts w:ascii="Arial" w:cs="Arial" w:eastAsia="Arial" w:hAnsi="Arial"/>
      <w:b/>
      <w:bCs/>
      <w:color w:val="2D1A00"/>
      <w:sz w:val="34"/>
      <w:szCs w:val="34"/>
    </w:rPr>
  </w:style>
  <w:style w:type="paragraph" w:styleId="Heading2">
    <w:name w:val="Heading 2"/>
    <w:basedOn w:val="Normal"/>
    <w:next w:val="Normal"/>
    <w:qFormat/>
    <w:pPr>
      <w:spacing w:after="110" w:before="220"/>
      <w:outlineLvl w:val="1"/>
    </w:pPr>
    <w:rPr>
      <w:rFonts w:ascii="Arial" w:cs="Arial" w:eastAsia="Arial" w:hAnsi="Arial"/>
      <w:b/>
      <w:bCs/>
      <w:color w:val="8B691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f58e4227a4fc7e29d28d84a8fe81dfb2224069c9.png"/><Relationship Id="rId12" Type="http://schemas.openxmlformats.org/officeDocument/2006/relationships/image" Target="media/3c40d4813c76147ff05852fcdf17446bd069e555.png"/><Relationship Id="rId13" Type="http://schemas.openxmlformats.org/officeDocument/2006/relationships/image" Target="media/927e8e4dd176812b11d1f05517e7fbae4319f325.png"/><Relationship Id="rId14" Type="http://schemas.openxmlformats.org/officeDocument/2006/relationships/fontTable" Target="fontTable.xml"/><Relationship Id="rId99" Type="http://schemas.openxmlformats.org/officeDocument/2006/relationships/image" Target="media/uptimerobot-20260814.png"/><Relationship Id="rIdA1" Type="http://schemas.openxmlformats.org/officeDocument/2006/relationships/image" Target="media/annexe_composer_json.png"/><Relationship Id="rIdA2" Type="http://schemas.openxmlformats.org/officeDocument/2006/relationships/image" Target="media/annexe_package_json.png"/><Relationship Id="rIdA3" Type="http://schemas.openxmlformats.org/officeDocument/2006/relationships/image" Target="media/annexe_dependabot.png"/><Relationship Id="rIdB1" Type="http://schemas.openxmlformats.org/officeDocument/2006/relationships/image" Target="media/annexe_mail_alerte_app.png"/><Relationship Id="rIdB2" Type="http://schemas.openxmlformats.org/officeDocument/2006/relationships/image" Target="media/annexe_mail_alerte_sonde.png"/><Relationship Id="rIdB3" Type="http://schemas.openxmlformats.org/officeDocument/2006/relationships/image" Target="media/annexe_mail_retablissement.png"/><Relationship Id="rIdB4" Type="http://schemas.openxmlformats.org/officeDocument/2006/relationships/image" Target="media/annexe_journaux_sonde.png"/><Relationship Id="rIdC1" Type="http://schemas.openxmlformats.org/officeDocument/2006/relationships/image" Target="media/annexe_issue_bug011.png"/><Relationship Id="rIdC2" Type="http://schemas.openxmlformats.org/officeDocument/2006/relationships/image" Target="media/annexe_issues_registre.png"/><Relationship Id="rIdD1" Type="http://schemas.openxmlformats.org/officeDocument/2006/relationships/image" Target="media/annexe_changelog.pn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2026-07-15T14:58:27.564Z</dcterms:created>
  <dcterms:modified xsi:type="dcterms:W3CDTF">2026-07-15T14:58:27.564Z</dcterms:modified>
</cp:coreProperties>
</file>

<file path=docProps/custom.xml><?xml version="1.0" encoding="utf-8"?>
<Properties xmlns="http://schemas.openxmlformats.org/officeDocument/2006/custom-properties" xmlns:vt="http://schemas.openxmlformats.org/officeDocument/2006/docPropsVTypes"/>
</file>