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line="240"/>
        <w:jc w:val="center"/>
      </w:pPr>
      <w:r>
        <w:rPr>
          <w:b/>
          <w:bCs/>
          <w:i w:val="false"/>
          <w:iCs w:val="false"/>
          <w:color w:val="5A4825"/>
          <w:sz w:val="22"/>
          <w:szCs w:val="22"/>
        </w:rPr>
        <w:t xml:space="preserve">YNOV CAMPUS</w:t>
      </w:r>
    </w:p>
    <w:p>
      <w:pPr>
        <w:spacing w:after="480" w:before="0" w:line="240"/>
        <w:jc w:val="center"/>
      </w:pPr>
      <w:r>
        <w:rPr>
          <w:b w:val="false"/>
          <w:bCs w:val="false"/>
          <w:i w:val="false"/>
          <w:iCs w:val="false"/>
          <w:color w:val="5A4825"/>
          <w:sz w:val="20"/>
          <w:szCs w:val="20"/>
        </w:rPr>
        <w:t xml:space="preserve">Mastère 2 Informatique — Promotion 2025-2026</w:t>
      </w:r>
    </w:p>
    <w:p>
      <w:pPr>
        <w:spacing w:after="60" w:before="0" w:line="240"/>
        <w:jc w:val="center"/>
      </w:pPr>
      <w:r>
        <w:rPr>
          <w:b/>
          <w:bCs/>
          <w:i w:val="false"/>
          <w:iCs w:val="false"/>
          <w:color w:val="8B6914"/>
          <w:sz w:val="22"/>
          <w:szCs w:val="22"/>
        </w:rPr>
        <w:t xml:space="preserve">DOSSIER DE PROJET</w:t>
      </w:r>
    </w:p>
    <w:p>
      <w:pPr>
        <w:spacing w:after="40" w:before="0" w:line="276"/>
        <w:jc w:val="center"/>
      </w:pPr>
      <w:r>
        <w:rPr>
          <w:b/>
          <w:bCs/>
          <w:i w:val="false"/>
          <w:iCs w:val="false"/>
          <w:color w:val="2D1A00"/>
          <w:sz w:val="26"/>
          <w:szCs w:val="26"/>
        </w:rPr>
        <w:t xml:space="preserve">Bloc 2 — Concevoir et développer des applications logicielles</w:t>
      </w:r>
    </w:p>
    <w:p>
      <w:pPr>
        <w:spacing w:after="360" w:before="0" w:line="240"/>
        <w:jc w:val="center"/>
      </w:pPr>
      <w:r>
        <w:rPr>
          <w:b w:val="false"/>
          <w:bCs w:val="false"/>
          <w:i w:val="false"/>
          <w:iCs w:val="false"/>
          <w:color w:val="5A4825"/>
          <w:sz w:val="20"/>
          <w:szCs w:val="20"/>
        </w:rPr>
        <w:t xml:space="preserve">Certification « Expert en développement logiciel » — RNCP39583</w:t>
      </w:r>
    </w:p>
    <w:p>
      <w:pPr>
        <w:pBdr>
          <w:bottom w:val="single" w:color="C9A84C" w:sz="18" w:space="1"/>
        </w:pBdr>
        <w:spacing w:after="40" w:before="40"/>
      </w:pPr>
    </w:p>
    <w:p>
      <w:pPr>
        <w:spacing w:after="40" w:before="160" w:line="240"/>
        <w:jc w:val="center"/>
      </w:pPr>
      <w:r>
        <w:rPr>
          <w:b/>
          <w:bCs/>
          <w:i w:val="false"/>
          <w:iCs w:val="false"/>
          <w:color w:val="2D1A00"/>
          <w:sz w:val="72"/>
          <w:szCs w:val="72"/>
        </w:rPr>
        <w:t xml:space="preserve">Albion Helper</w:t>
      </w:r>
    </w:p>
    <w:p>
      <w:pPr>
        <w:spacing w:after="200" w:before="0" w:line="240"/>
        <w:jc w:val="center"/>
      </w:pPr>
      <w:r>
        <w:rPr>
          <w:b w:val="false"/>
          <w:bCs w:val="false"/>
          <w:i/>
          <w:iCs/>
          <w:color w:val="5A4825"/>
          <w:sz w:val="24"/>
          <w:szCs w:val="24"/>
        </w:rPr>
        <w:t xml:space="preserve">Application web d'assistance aux joueurs d'Albion Online</w:t>
      </w:r>
    </w:p>
    <w:p>
      <w:pPr>
        <w:pBdr>
          <w:bottom w:val="single" w:color="C9A84C" w:sz="18" w:space="1"/>
        </w:pBdr>
        <w:spacing w:after="40" w:before="40"/>
      </w:pPr>
    </w:p>
    <w:p>
      <w:pPr>
        <w:spacing w:after="160" w:before="0" w:line="308"/>
        <w:jc w:val="both"/>
      </w:pPr>
      <w:r>
        <w:rPr>
          <w:b w:val="false"/>
          <w:bCs w:val="false"/>
          <w:i w:val="false"/>
          <w:iCs w:val="false"/>
          <w:sz w:val="22"/>
          <w:szCs w:val="22"/>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C9B98A" w:sz="4"/>
              <w:left w:val="single" w:color="C9B98A" w:sz="4"/>
              <w:bottom w:val="single" w:color="C9B98A" w:sz="4"/>
              <w:right w:val="single" w:color="C9B98A" w:sz="4"/>
            </w:tcBorders>
            <w:tcMar>
              <w:top w:type="dxa" w:w="50"/>
              <w:left w:type="dxa" w:w="50"/>
              <w:bottom w:type="dxa" w:w="50"/>
              <w:right w:type="dxa" w:w="50"/>
            </w:tcMar>
          </w:tcPr>
          <w:p>
            <w:pPr>
              <w:spacing w:after="0"/>
              <w:jc w:val="center"/>
            </w:pPr>
            <w:r>
              <w:drawing>
                <wp:inline distT="0" distB="0" distL="0" distR="0">
                  <wp:extent cx="5048250" cy="3152775"/>
                  <wp:effectExtent t="0" r="0" b="0" l="0"/>
                  <wp:docPr id="1" name="hero" descr="Page d'accueil d'Albion Helper" title="Accu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48250" cy="3152775"/>
                          </a:xfrm>
                          <a:prstGeom prst="rect">
                            <a:avLst/>
                          </a:prstGeom>
                        </pic:spPr>
                      </pic:pic>
                    </a:graphicData>
                  </a:graphic>
                </wp:inline>
              </w:drawing>
            </w:r>
          </w:p>
        </w:tc>
      </w:tr>
    </w:tbl>
    <w:p>
      <w:pPr>
        <w:spacing w:after="200" w:before="0" w:line="308"/>
        <w:jc w:val="both"/>
      </w:pPr>
      <w:r>
        <w:rPr>
          <w:b w:val="false"/>
          <w:bCs w:val="false"/>
          <w:i w:val="false"/>
          <w:iCs w:val="false"/>
          <w:sz w:val="22"/>
          <w:szCs w:val="22"/>
        </w:rPr>
        <w:t xml:space="preserve"/>
      </w:r>
    </w:p>
    <w:p>
      <w:pPr>
        <w:spacing w:after="30" w:before="0" w:line="240"/>
        <w:jc w:val="center"/>
      </w:pPr>
      <w:r>
        <w:rPr>
          <w:b/>
          <w:bCs/>
          <w:i w:val="false"/>
          <w:iCs w:val="false"/>
          <w:sz w:val="26"/>
          <w:szCs w:val="26"/>
        </w:rPr>
        <w:t xml:space="preserve">Pierre Saugues</w:t>
      </w:r>
    </w:p>
    <w:p>
      <w:pPr>
        <w:spacing w:after="30" w:before="0" w:line="240"/>
        <w:jc w:val="center"/>
      </w:pPr>
      <w:r>
        <w:rPr>
          <w:b w:val="false"/>
          <w:bCs w:val="false"/>
          <w:i w:val="false"/>
          <w:iCs w:val="false"/>
          <w:color w:val="5A4825"/>
          <w:sz w:val="20"/>
          <w:szCs w:val="20"/>
        </w:rPr>
        <w:t xml:space="preserve">Année 2025-2026 · Application en version 3.1.0 · Dossier v3 — juillet 2026</w:t>
      </w:r>
    </w:p>
    <w:p>
      <w:pPr>
        <w:spacing w:after="120" w:before="0" w:line="240"/>
        <w:jc w:val="center"/>
      </w:pPr>
      <w:r>
        <w:rPr>
          <w:b w:val="false"/>
          <w:bCs w:val="false"/>
          <w:i w:val="false"/>
          <w:iCs w:val="false"/>
          <w:color w:val="8B6914"/>
          <w:sz w:val="20"/>
          <w:szCs w:val="20"/>
        </w:rPr>
        <w:t xml:space="preserve">Code source : github.com/Perfweb-net/albion-helper</w:t>
      </w:r>
    </w:p>
    <w:p>
      <w:r>
        <w:br w:type="page"/>
      </w:r>
    </w:p>
    <w:p>
      <w:pPr>
        <w:spacing w:after="200" w:before="0" w:line="308"/>
        <w:jc w:val="left"/>
      </w:pPr>
      <w:r>
        <w:rPr>
          <w:b/>
          <w:bCs/>
          <w:i w:val="false"/>
          <w:iCs w:val="false"/>
          <w:color w:val="2D1A00"/>
          <w:sz w:val="32"/>
          <w:szCs w:val="32"/>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Présentation du projet et du prototype</w:t>
      </w:r>
    </w:p>
    <w:p>
      <w:pPr>
        <w:spacing w:after="120" w:before="0" w:line="308"/>
        <w:jc w:val="both"/>
      </w:pPr>
      <w:r>
        <w:rPr>
          <w:b w:val="false"/>
          <w:bCs w:val="false"/>
          <w:i w:val="false"/>
          <w:iCs w:val="false"/>
          <w:sz w:val="22"/>
          <w:szCs w:val="22"/>
        </w:rPr>
        <w:t xml:space="preserve">Albion Helper est une application web complète d'assistance aux joueurs du MMORPG Albion Online. Elle agrège les données publiques du jeu (joueurs, guildes, batailles, prix de marché) et y ajoute des outils collaboratifs : routes de farming partageables, compositions d'équipe, calculateur de rentabilité de craft. Le projet couvre l'intégralité du cycle de développement : cadrage, conception, développement, tests, recette, sécurisation, CI/CD et maintenance. La version présentée ici est la 3.1.0, qui ajoute le support des trois serveurs de jeu, l'analyse des batailles, les statistiques PvP de session et une interface disponible en 20 langues — et durcit l'authentification : les jetons vivent désormais dans des cookies httpOnly, inaccessibles à JavaScript.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single" w:color="8B6914" w:sz="12"/>
              <w:left w:val="none" w:color="FFFFFF" w:sz="0"/>
              <w:bottom w:val="single" w:color="8B6914" w:sz="12"/>
              <w:right w:val="none" w:color="FFFFFF" w:sz="0"/>
            </w:tcBorders>
            <w:tcMar>
              <w:top w:type="dxa" w:w="100"/>
              <w:left w:type="dxa" w:w="60"/>
              <w:bottom w:type="dxa" w:w="100"/>
              <w:right w:type="dxa" w:w="60"/>
            </w:tcMar>
          </w:tcPr>
          <w:p>
            <w:pPr>
              <w:spacing w:after="30"/>
              <w:jc w:val="center"/>
            </w:pPr>
            <w:r>
              <w:rPr>
                <w:b/>
                <w:bCs/>
                <w:color w:val="8B6914"/>
                <w:sz w:val="46"/>
                <w:szCs w:val="46"/>
              </w:rPr>
              <w:t xml:space="preserve">131</w:t>
            </w:r>
          </w:p>
          <w:p>
            <w:pPr>
              <w:spacing w:after="0"/>
              <w:jc w:val="center"/>
            </w:pPr>
            <w:r>
              <w:rPr>
                <w:color w:val="5A4825"/>
                <w:sz w:val="17"/>
                <w:szCs w:val="17"/>
              </w:rPr>
              <w:t xml:space="preserve">tests automatisés verts</w:t>
            </w:r>
          </w:p>
        </w:tc>
        <w:tc>
          <w:tcPr>
            <w:tcW w:type="dxa" w:w="2268"/>
            <w:tcBorders>
              <w:top w:val="single" w:color="8B6914" w:sz="12"/>
              <w:left w:val="none" w:color="FFFFFF" w:sz="0"/>
              <w:bottom w:val="single" w:color="8B6914" w:sz="12"/>
              <w:right w:val="none" w:color="FFFFFF" w:sz="0"/>
            </w:tcBorders>
            <w:tcMar>
              <w:top w:type="dxa" w:w="100"/>
              <w:left w:type="dxa" w:w="60"/>
              <w:bottom w:type="dxa" w:w="100"/>
              <w:right w:type="dxa" w:w="60"/>
            </w:tcMar>
          </w:tcPr>
          <w:p>
            <w:pPr>
              <w:spacing w:after="30"/>
              <w:jc w:val="center"/>
            </w:pPr>
            <w:r>
              <w:rPr>
                <w:b/>
                <w:bCs/>
                <w:color w:val="8B6914"/>
                <w:sz w:val="46"/>
                <w:szCs w:val="46"/>
              </w:rPr>
              <w:t xml:space="preserve">29/29</w:t>
            </w:r>
          </w:p>
          <w:p>
            <w:pPr>
              <w:spacing w:after="0"/>
              <w:jc w:val="center"/>
            </w:pPr>
            <w:r>
              <w:rPr>
                <w:color w:val="5A4825"/>
                <w:sz w:val="17"/>
                <w:szCs w:val="17"/>
              </w:rPr>
              <w:t xml:space="preserve">scénarios de recette PASS</w:t>
            </w:r>
          </w:p>
        </w:tc>
        <w:tc>
          <w:tcPr>
            <w:tcW w:type="dxa" w:w="2268"/>
            <w:tcBorders>
              <w:top w:val="single" w:color="8B6914" w:sz="12"/>
              <w:left w:val="none" w:color="FFFFFF" w:sz="0"/>
              <w:bottom w:val="single" w:color="8B6914" w:sz="12"/>
              <w:right w:val="none" w:color="FFFFFF" w:sz="0"/>
            </w:tcBorders>
            <w:tcMar>
              <w:top w:type="dxa" w:w="100"/>
              <w:left w:type="dxa" w:w="60"/>
              <w:bottom w:type="dxa" w:w="100"/>
              <w:right w:type="dxa" w:w="60"/>
            </w:tcMar>
          </w:tcPr>
          <w:p>
            <w:pPr>
              <w:spacing w:after="30"/>
              <w:jc w:val="center"/>
            </w:pPr>
            <w:r>
              <w:rPr>
                <w:b/>
                <w:bCs/>
                <w:color w:val="8B6914"/>
                <w:sz w:val="46"/>
                <w:szCs w:val="46"/>
              </w:rPr>
              <w:t xml:space="preserve">0</w:t>
            </w:r>
          </w:p>
          <w:p>
            <w:pPr>
              <w:spacing w:after="0"/>
              <w:jc w:val="center"/>
            </w:pPr>
            <w:r>
              <w:rPr>
                <w:color w:val="5A4825"/>
                <w:sz w:val="17"/>
                <w:szCs w:val="17"/>
              </w:rPr>
              <w:t xml:space="preserve">advisory de sécurité</w:t>
            </w:r>
          </w:p>
        </w:tc>
        <w:tc>
          <w:tcPr>
            <w:tcW w:type="dxa" w:w="2268"/>
            <w:tcBorders>
              <w:top w:val="single" w:color="8B6914" w:sz="12"/>
              <w:left w:val="none" w:color="FFFFFF" w:sz="0"/>
              <w:bottom w:val="single" w:color="8B6914" w:sz="12"/>
              <w:right w:val="none" w:color="FFFFFF" w:sz="0"/>
            </w:tcBorders>
            <w:tcMar>
              <w:top w:type="dxa" w:w="100"/>
              <w:left w:type="dxa" w:w="60"/>
              <w:bottom w:type="dxa" w:w="100"/>
              <w:right w:type="dxa" w:w="60"/>
            </w:tcMar>
          </w:tcPr>
          <w:p>
            <w:pPr>
              <w:spacing w:after="30"/>
              <w:jc w:val="center"/>
            </w:pPr>
            <w:r>
              <w:rPr>
                <w:b/>
                <w:bCs/>
                <w:color w:val="8B6914"/>
                <w:sz w:val="46"/>
                <w:szCs w:val="46"/>
              </w:rPr>
              <w:t xml:space="preserve">20</w:t>
            </w:r>
          </w:p>
          <w:p>
            <w:pPr>
              <w:spacing w:after="0"/>
              <w:jc w:val="center"/>
            </w:pPr>
            <w:r>
              <w:rPr>
                <w:color w:val="5A4825"/>
                <w:sz w:val="17"/>
                <w:szCs w:val="17"/>
              </w:rPr>
              <w:t xml:space="preserve">langues d'interface</w:t>
            </w:r>
          </w:p>
        </w:tc>
      </w:tr>
    </w:tbl>
    <w:p>
      <w:pPr>
        <w:spacing w:after="60" w:before="0" w:line="308"/>
        <w:jc w:val="both"/>
      </w:pPr>
      <w:r>
        <w:rPr>
          <w:b w:val="false"/>
          <w:bCs w:val="false"/>
          <w:i w:val="false"/>
          <w:iCs w:val="false"/>
          <w:sz w:val="22"/>
          <w:szCs w:val="22"/>
        </w:rPr>
        <w:t xml:space="preserve"/>
      </w:r>
    </w:p>
    <w:p>
      <w:pPr>
        <w:pStyle w:val="Heading2"/>
      </w:pPr>
      <w:r>
        <w:t xml:space="preserve">1.1 Fonctionnalités du prototype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701"/>
        <w:gridCol w:w="5670"/>
        <w:gridCol w:w="1701"/>
      </w:tblGrid>
      <w:tr>
        <w:trPr>
          <w:tblHeader/>
        </w:trPr>
        <w:tc>
          <w:tcPr>
            <w:tcW w:type="dxa" w:w="1701"/>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Fonctionnalité</w:t>
            </w:r>
          </w:p>
        </w:tc>
        <w:tc>
          <w:tcPr>
            <w:tcW w:type="dxa" w:w="5670"/>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Description</w:t>
            </w:r>
          </w:p>
        </w:tc>
        <w:tc>
          <w:tcPr>
            <w:tcW w:type="dxa" w:w="1701"/>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Accès</w:t>
            </w:r>
          </w:p>
        </w:tc>
      </w:tr>
      <w:tr>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Authentification</w:t>
            </w:r>
          </w:p>
        </w:tc>
        <w:tc>
          <w:tcPr>
            <w:tcW w:type="dxa" w:w="567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Inscription, connexion JWT en cookies httpOnly, rotation du refresh token, déconnexion</w:t>
            </w:r>
          </w:p>
        </w:tc>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Public</w:t>
            </w:r>
          </w:p>
        </w:tc>
      </w:tr>
      <w:tr>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Recherche de joueurs</w:t>
            </w:r>
          </w:p>
        </w:tc>
        <w:tc>
          <w:tcPr>
            <w:tcW w:type="dxa" w:w="567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Statistiques PvP/PvE/Fame/Gathering via l'API Albion + rapport de session (kills, morts, classement d'équipe)</w:t>
            </w:r>
          </w:p>
        </w:tc>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Connecté</w:t>
            </w:r>
          </w:p>
        </w:tc>
      </w:tr>
      <w:tr>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Recherche de guildes</w:t>
            </w:r>
          </w:p>
        </w:tc>
        <w:tc>
          <w:tcPr>
            <w:tcW w:type="dxa" w:w="567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Statistiques et liste des membres</w:t>
            </w:r>
          </w:p>
        </w:tc>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Connecté</w:t>
            </w:r>
          </w:p>
        </w:tc>
      </w:tr>
      <w:tr>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Batailles (v3)</w:t>
            </w:r>
          </w:p>
        </w:tc>
        <w:tc>
          <w:tcPr>
            <w:tcW w:type="dxa" w:w="567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Recherche par guilde/alliance, liste des combats ZvZ (jour/semaine/mois), détail complet : top fragger, dégâts, soins</w:t>
            </w:r>
          </w:p>
        </w:tc>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Connecté</w:t>
            </w:r>
          </w:p>
        </w:tc>
      </w:tr>
      <w:tr>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Multi-serveur (v3)</w:t>
            </w:r>
          </w:p>
        </w:tc>
        <w:tc>
          <w:tcPr>
            <w:tcW w:type="dxa" w:w="567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Sélecteur Americas / Europe / Asia — toutes les recherches sont paramétrées par serveur</w:t>
            </w:r>
          </w:p>
        </w:tc>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Connecté</w:t>
            </w:r>
          </w:p>
        </w:tc>
      </w:tr>
      <w:tr>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Exploration de cartes</w:t>
            </w:r>
          </w:p>
        </w:tc>
        <w:tc>
          <w:tcPr>
            <w:tcW w:type="dxa" w:w="567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Recherche de zones, tiers, coffres, ressources, tunnels</w:t>
            </w:r>
          </w:p>
        </w:tc>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Connecté</w:t>
            </w:r>
          </w:p>
        </w:tc>
      </w:tr>
      <w:tr>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Routes de farming</w:t>
            </w:r>
          </w:p>
        </w:tc>
        <w:tc>
          <w:tcPr>
            <w:tcW w:type="dxa" w:w="567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Jusqu'à 8 zones liées, minuteur par zone, expiration 24 h, partage par lien public</w:t>
            </w:r>
          </w:p>
        </w:tc>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Connecté (lien public)</w:t>
            </w:r>
          </w:p>
        </w:tc>
      </w:tr>
      <w:tr>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Compositions d'équipe</w:t>
            </w:r>
          </w:p>
        </w:tc>
        <w:tc>
          <w:tcPr>
            <w:tcW w:type="dxa" w:w="567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Éditeur d'équipements (jusqu'à 100 joueurs), items localisés, visibilité privé/URL/public, export JPEG</w:t>
            </w:r>
          </w:p>
        </w:tc>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Connecté (lien public)</w:t>
            </w:r>
          </w:p>
        </w:tc>
      </w:tr>
      <w:tr>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Calculateur de craft</w:t>
            </w:r>
          </w:p>
        </w:tc>
        <w:tc>
          <w:tcPr>
            <w:tcW w:type="dxa" w:w="567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Prix marché temps réel, taux de retour, focus, maîtrise, bénéfice par recette (noms d'objets traduits)</w:t>
            </w:r>
          </w:p>
        </w:tc>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Connecté</w:t>
            </w:r>
          </w:p>
        </w:tc>
      </w:tr>
      <w:tr>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Recherche d'items</w:t>
            </w:r>
          </w:p>
        </w:tc>
        <w:tc>
          <w:tcPr>
            <w:tcW w:type="dxa" w:w="567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12 066 items synchronisés, prix par ville et qualité</w:t>
            </w:r>
          </w:p>
        </w:tc>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Connecté</w:t>
            </w:r>
          </w:p>
        </w:tc>
      </w:tr>
      <w:tr>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Administration</w:t>
            </w:r>
          </w:p>
        </w:tc>
        <w:tc>
          <w:tcPr>
            <w:tcW w:type="dxa" w:w="567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KPI, gestion des comptes et rôles, synchronisation des items, 20 langues administrables</w:t>
            </w:r>
          </w:p>
        </w:tc>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ROLE_ADMIN</w:t>
            </w:r>
          </w:p>
        </w:tc>
      </w:tr>
      <w:tr>
        <w:tc>
          <w:tcPr>
            <w:tcW w:type="dxa" w:w="1701"/>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Confort</w:t>
            </w:r>
          </w:p>
        </w:tc>
        <w:tc>
          <w:tcPr>
            <w:tcW w:type="dxa" w:w="5670"/>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Mode sombre/clair persistant, i18n complet (20 langues), tutoriel public avec visite guidée</w:t>
            </w:r>
          </w:p>
        </w:tc>
        <w:tc>
          <w:tcPr>
            <w:tcW w:type="dxa" w:w="1701"/>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Public</w:t>
            </w:r>
          </w:p>
        </w:tc>
      </w:tr>
    </w:tbl>
    <w:p>
      <w:pPr>
        <w:spacing w:after="40" w:before="0" w:line="308"/>
        <w:jc w:val="both"/>
      </w:pPr>
      <w:r>
        <w:rPr>
          <w:b w:val="false"/>
          <w:bCs w:val="false"/>
          <w:i w:val="false"/>
          <w:iCs w:val="false"/>
          <w:sz w:val="22"/>
          <w:szCs w:val="22"/>
        </w:rPr>
        <w:t xml:space="preserve"/>
      </w:r>
    </w:p>
    <w:p>
      <w:pPr>
        <w:pStyle w:val="Heading2"/>
      </w:pPr>
      <w:r>
        <w:t xml:space="preserve">1.2 Spécificités ergonomiques et équipements ciblés</w:t>
      </w:r>
    </w:p>
    <w:p>
      <w:pPr>
        <w:spacing w:after="120" w:before="0" w:line="308"/>
        <w:jc w:val="both"/>
      </w:pPr>
      <w:r>
        <w:rPr>
          <w:b w:val="false"/>
          <w:bCs w:val="false"/>
          <w:i w:val="false"/>
          <w:iCs w:val="false"/>
          <w:sz w:val="22"/>
          <w:szCs w:val="22"/>
        </w:rPr>
        <w:t xml:space="preserve">L'interface est une SPA (Single Page Application) pensée d'abord pour un usage desktop — le public visé joue sur PC — mais entièrement responsive (grilles Material UI, menu tiroir en mobile). L'identité visuelle « fantasy » (palette or/brun, typographie Cinzel) reprend l'univers médiéval du jeu pour favoriser l'adhésion des utilisateurs. La navigation est regroupée en deux sous-menus (Exploration, Outils) pour rester lisible malgré la croissance fonctionnelle de la v3. Les états de chargement, les messages d'erreur contextualisés et la visite guidée interactive (react-joyride) accompagnent l'utilisateur à chaque étape.</w:t>
      </w:r>
    </w:p>
    <w:p>
      <w:pPr>
        <w:pStyle w:val="Heading2"/>
      </w:pPr>
      <w:r>
        <w:t xml:space="preserve">1.3 Aperçu des fonctionnalités principales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C9B98A" w:sz="4"/>
              <w:left w:val="single" w:color="C9B98A" w:sz="4"/>
              <w:bottom w:val="single" w:color="C9B98A" w:sz="4"/>
              <w:right w:val="single" w:color="C9B98A" w:sz="4"/>
            </w:tcBorders>
            <w:tcMar>
              <w:top w:type="dxa" w:w="50"/>
              <w:left w:type="dxa" w:w="50"/>
              <w:bottom w:type="dxa" w:w="30"/>
              <w:right w:type="dxa" w:w="50"/>
            </w:tcMar>
          </w:tcPr>
          <w:p>
            <w:pPr>
              <w:spacing w:after="0"/>
              <w:jc w:val="center"/>
            </w:pPr>
            <w:r>
              <w:drawing>
                <wp:inline distT="0" distB="0" distL="0" distR="0">
                  <wp:extent cx="4667250" cy="2914650"/>
                  <wp:effectExtent t="0" r="0" b="0" l="0"/>
                  <wp:docPr id="1" name="figure-1" descr="Fiche joueur : statistiques PvP, Fame, PvE, Gathering (API Albion temps réel, serveur Europe)" title="Fiche joueur : statistiques PvP, Fame, PvE, Gathering (API Albion temps réel, serveur Eur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667250" cy="2914650"/>
                          </a:xfrm>
                          <a:prstGeom prst="rect">
                            <a:avLst/>
                          </a:prstGeom>
                        </pic:spPr>
                      </pic:pic>
                    </a:graphicData>
                  </a:graphic>
                </wp:inline>
              </w:drawing>
            </w:r>
          </w:p>
        </w:tc>
      </w:tr>
    </w:tbl>
    <w:p>
      <w:pPr>
        <w:spacing w:after="150" w:before="50"/>
        <w:jc w:val="center"/>
      </w:pPr>
      <w:r>
        <w:rPr>
          <w:i/>
          <w:iCs/>
          <w:color w:val="5A4825"/>
          <w:sz w:val="18"/>
          <w:szCs w:val="18"/>
        </w:rPr>
        <w:t xml:space="preserve">Figure 1 — Fiche joueur : statistiques PvP, Fame, PvE, Gathering (API Albion temps réel, serveur Europe)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C9B98A" w:sz="4"/>
              <w:left w:val="single" w:color="C9B98A" w:sz="4"/>
              <w:bottom w:val="single" w:color="C9B98A" w:sz="4"/>
              <w:right w:val="single" w:color="C9B98A" w:sz="4"/>
            </w:tcBorders>
            <w:tcMar>
              <w:top w:type="dxa" w:w="50"/>
              <w:left w:type="dxa" w:w="50"/>
              <w:bottom w:type="dxa" w:w="30"/>
              <w:right w:type="dxa" w:w="50"/>
            </w:tcMar>
          </w:tcPr>
          <w:p>
            <w:pPr>
              <w:spacing w:after="0"/>
              <w:jc w:val="center"/>
            </w:pPr>
            <w:r>
              <w:drawing>
                <wp:inline distT="0" distB="0" distL="0" distR="0">
                  <wp:extent cx="4667250" cy="2914650"/>
                  <wp:effectExtent t="0" r="0" b="0" l="0"/>
                  <wp:docPr id="1" name="figure-2" descr="Rapport de session PvP (v3) : kills/morts analysés, fame nette, classement de l'équipe" title="Rapport de session PvP (v3) : kills/morts analysés, fame nette, classement de l'équ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667250" cy="2914650"/>
                          </a:xfrm>
                          <a:prstGeom prst="rect">
                            <a:avLst/>
                          </a:prstGeom>
                        </pic:spPr>
                      </pic:pic>
                    </a:graphicData>
                  </a:graphic>
                </wp:inline>
              </w:drawing>
            </w:r>
          </w:p>
        </w:tc>
      </w:tr>
    </w:tbl>
    <w:p>
      <w:pPr>
        <w:spacing w:after="150" w:before="50"/>
        <w:jc w:val="center"/>
      </w:pPr>
      <w:r>
        <w:rPr>
          <w:i/>
          <w:iCs/>
          <w:color w:val="5A4825"/>
          <w:sz w:val="18"/>
          <w:szCs w:val="18"/>
        </w:rPr>
        <w:t xml:space="preserve">Figure 2 — Rapport de session PvP (v3) : kills/morts analysés, fame nette, classement de l'équipe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C9B98A" w:sz="4"/>
              <w:left w:val="single" w:color="C9B98A" w:sz="4"/>
              <w:bottom w:val="single" w:color="C9B98A" w:sz="4"/>
              <w:right w:val="single" w:color="C9B98A" w:sz="4"/>
            </w:tcBorders>
            <w:tcMar>
              <w:top w:type="dxa" w:w="50"/>
              <w:left w:type="dxa" w:w="50"/>
              <w:bottom w:type="dxa" w:w="30"/>
              <w:right w:type="dxa" w:w="50"/>
            </w:tcMar>
          </w:tcPr>
          <w:p>
            <w:pPr>
              <w:spacing w:after="0"/>
              <w:jc w:val="center"/>
            </w:pPr>
            <w:r>
              <w:drawing>
                <wp:inline distT="0" distB="0" distL="0" distR="0">
                  <wp:extent cx="4667250" cy="2914650"/>
                  <wp:effectExtent t="0" r="0" b="0" l="0"/>
                  <wp:docPr id="1" name="figure-3" descr="Détail d'une bataille ZvZ (v3) : 40 joueurs, top fragger, meilleur soigneur, tableau complet" title="Détail d'une bataille ZvZ (v3) : 40 joueurs, top fragger, meilleur soigneur, tableau comp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667250" cy="2914650"/>
                          </a:xfrm>
                          <a:prstGeom prst="rect">
                            <a:avLst/>
                          </a:prstGeom>
                        </pic:spPr>
                      </pic:pic>
                    </a:graphicData>
                  </a:graphic>
                </wp:inline>
              </w:drawing>
            </w:r>
          </w:p>
        </w:tc>
      </w:tr>
    </w:tbl>
    <w:p>
      <w:pPr>
        <w:spacing w:after="150" w:before="50"/>
        <w:jc w:val="center"/>
      </w:pPr>
      <w:r>
        <w:rPr>
          <w:i/>
          <w:iCs/>
          <w:color w:val="5A4825"/>
          <w:sz w:val="18"/>
          <w:szCs w:val="18"/>
        </w:rPr>
        <w:t xml:space="preserve">Figure 3 — Détail d'une bataille ZvZ (v3) : 40 joueurs, top fragger, meilleur soigneur, tableau complet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C9B98A" w:sz="4"/>
              <w:left w:val="single" w:color="C9B98A" w:sz="4"/>
              <w:bottom w:val="single" w:color="C9B98A" w:sz="4"/>
              <w:right w:val="single" w:color="C9B98A" w:sz="4"/>
            </w:tcBorders>
            <w:tcMar>
              <w:top w:type="dxa" w:w="50"/>
              <w:left w:type="dxa" w:w="50"/>
              <w:bottom w:type="dxa" w:w="30"/>
              <w:right w:type="dxa" w:w="50"/>
            </w:tcMar>
          </w:tcPr>
          <w:p>
            <w:pPr>
              <w:spacing w:after="0"/>
              <w:jc w:val="center"/>
            </w:pPr>
            <w:r>
              <w:drawing>
                <wp:inline distT="0" distB="0" distL="0" distR="0">
                  <wp:extent cx="4667250" cy="2914650"/>
                  <wp:effectExtent t="0" r="0" b="0" l="0"/>
                  <wp:docPr id="1" name="figure-4" descr="Routes de farming : zones ordonnées, minuteurs, expiration 24 h (route créée pour cette recette)" title="Routes de farming : zones ordonnées, minuteurs, expiration 24 h (route créée pour cette rec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667250" cy="2914650"/>
                          </a:xfrm>
                          <a:prstGeom prst="rect">
                            <a:avLst/>
                          </a:prstGeom>
                        </pic:spPr>
                      </pic:pic>
                    </a:graphicData>
                  </a:graphic>
                </wp:inline>
              </w:drawing>
            </w:r>
          </w:p>
        </w:tc>
      </w:tr>
    </w:tbl>
    <w:p>
      <w:pPr>
        <w:spacing w:after="150" w:before="50"/>
        <w:jc w:val="center"/>
      </w:pPr>
      <w:r>
        <w:rPr>
          <w:i/>
          <w:iCs/>
          <w:color w:val="5A4825"/>
          <w:sz w:val="18"/>
          <w:szCs w:val="18"/>
        </w:rPr>
        <w:t xml:space="preserve">Figure 4 — Routes de farming : zones ordonnées, minuteurs, expiration 24 h (route créée pour cette recette)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C9B98A" w:sz="4"/>
              <w:left w:val="single" w:color="C9B98A" w:sz="4"/>
              <w:bottom w:val="single" w:color="C9B98A" w:sz="4"/>
              <w:right w:val="single" w:color="C9B98A" w:sz="4"/>
            </w:tcBorders>
            <w:tcMar>
              <w:top w:type="dxa" w:w="50"/>
              <w:left w:type="dxa" w:w="50"/>
              <w:bottom w:type="dxa" w:w="30"/>
              <w:right w:type="dxa" w:w="50"/>
            </w:tcMar>
          </w:tcPr>
          <w:p>
            <w:pPr>
              <w:spacing w:after="0"/>
              <w:jc w:val="center"/>
            </w:pPr>
            <w:r>
              <w:drawing>
                <wp:inline distT="0" distB="0" distL="0" distR="0">
                  <wp:extent cx="4667250" cy="2914650"/>
                  <wp:effectExtent t="0" r="0" b="0" l="0"/>
                  <wp:docPr id="1" name="figure-5" descr="Éditeur de composition : slots d'équipement avec icônes officielles, visibilité, export JPEG" title="Éditeur de composition : slots d'équipement avec icônes officielles, visibilité, export 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667250" cy="2914650"/>
                          </a:xfrm>
                          <a:prstGeom prst="rect">
                            <a:avLst/>
                          </a:prstGeom>
                        </pic:spPr>
                      </pic:pic>
                    </a:graphicData>
                  </a:graphic>
                </wp:inline>
              </w:drawing>
            </w:r>
          </w:p>
        </w:tc>
      </w:tr>
    </w:tbl>
    <w:p>
      <w:pPr>
        <w:spacing w:after="150" w:before="50"/>
        <w:jc w:val="center"/>
      </w:pPr>
      <w:r>
        <w:rPr>
          <w:i/>
          <w:iCs/>
          <w:color w:val="5A4825"/>
          <w:sz w:val="18"/>
          <w:szCs w:val="18"/>
        </w:rPr>
        <w:t xml:space="preserve">Figure 5 — Éditeur de composition : slots d'équipement avec icônes officielles, visibilité, export JPEG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C9B98A" w:sz="4"/>
              <w:left w:val="single" w:color="C9B98A" w:sz="4"/>
              <w:bottom w:val="single" w:color="C9B98A" w:sz="4"/>
              <w:right w:val="single" w:color="C9B98A" w:sz="4"/>
            </w:tcBorders>
            <w:tcMar>
              <w:top w:type="dxa" w:w="50"/>
              <w:left w:type="dxa" w:w="50"/>
              <w:bottom w:type="dxa" w:w="30"/>
              <w:right w:type="dxa" w:w="50"/>
            </w:tcMar>
          </w:tcPr>
          <w:p>
            <w:pPr>
              <w:spacing w:after="0"/>
              <w:jc w:val="center"/>
            </w:pPr>
            <w:r>
              <w:drawing>
                <wp:inline distT="0" distB="0" distL="0" distR="0">
                  <wp:extent cx="4667250" cy="2914650"/>
                  <wp:effectExtent t="0" r="0" b="0" l="0"/>
                  <wp:docPr id="1" name="figure-6" descr="Calculateur de craft : prix marché réels, noms d'objets localisés, bénéfice par recette" title="Calculateur de craft : prix marché réels, noms d'objets localisés, bénéfice par rec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667250" cy="2914650"/>
                          </a:xfrm>
                          <a:prstGeom prst="rect">
                            <a:avLst/>
                          </a:prstGeom>
                        </pic:spPr>
                      </pic:pic>
                    </a:graphicData>
                  </a:graphic>
                </wp:inline>
              </w:drawing>
            </w:r>
          </w:p>
        </w:tc>
      </w:tr>
    </w:tbl>
    <w:p>
      <w:pPr>
        <w:spacing w:after="150" w:before="50"/>
        <w:jc w:val="center"/>
      </w:pPr>
      <w:r>
        <w:rPr>
          <w:i/>
          <w:iCs/>
          <w:color w:val="5A4825"/>
          <w:sz w:val="18"/>
          <w:szCs w:val="18"/>
        </w:rPr>
        <w:t xml:space="preserve">Figure 6 — Calculateur de craft : prix marché réels, noms d'objets localisés, bénéfice par recette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20"/>
              <w:jc w:val="center"/>
            </w:pPr>
            <w:r>
              <w:drawing>
                <wp:inline distT="0" distB="0" distL="0" distR="0">
                  <wp:extent cx="1571625" cy="2990850"/>
                  <wp:effectExtent t="0" r="0" b="0" l="0"/>
                  <wp:docPr id="1" name="figure-7" descr="20 langues d'interface administrables" title="20 langues d'interface administr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571625" cy="2990850"/>
                          </a:xfrm>
                          <a:prstGeom prst="rect">
                            <a:avLst/>
                          </a:prstGeom>
                        </pic:spPr>
                      </pic:pic>
                    </a:graphicData>
                  </a:graphic>
                </wp:inline>
              </w:drawing>
            </w:r>
          </w:p>
          <w:p>
            <w:pPr>
              <w:spacing w:after="0"/>
              <w:jc w:val="center"/>
            </w:pPr>
            <w:r>
              <w:rPr>
                <w:i/>
                <w:iCs/>
                <w:color w:val="5A4825"/>
                <w:sz w:val="18"/>
                <w:szCs w:val="18"/>
              </w:rPr>
              <w:t xml:space="preserve">Figure 7 — 20 langues d'interface administrables</w:t>
            </w:r>
          </w:p>
        </w:tc>
        <w:tc>
          <w:tcPr>
            <w:tcW w:type="dxa" w:w="45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20"/>
              <w:jc w:val="center"/>
            </w:pPr>
            <w:r>
              <w:drawing>
                <wp:inline distT="0" distB="0" distL="0" distR="0">
                  <wp:extent cx="2762250" cy="1476375"/>
                  <wp:effectExtent t="0" r="0" b="0" l="0"/>
                  <wp:docPr id="1" name="figure-8" descr="Sélecteur de serveur de jeu (v3)" title="Sélecteur de serveur de jeu (v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0" cy="1476375"/>
                          </a:xfrm>
                          <a:prstGeom prst="rect">
                            <a:avLst/>
                          </a:prstGeom>
                        </pic:spPr>
                      </pic:pic>
                    </a:graphicData>
                  </a:graphic>
                </wp:inline>
              </w:drawing>
            </w:r>
          </w:p>
          <w:p>
            <w:pPr>
              <w:spacing w:after="0"/>
              <w:jc w:val="center"/>
            </w:pPr>
            <w:r>
              <w:rPr>
                <w:i/>
                <w:iCs/>
                <w:color w:val="5A4825"/>
                <w:sz w:val="18"/>
                <w:szCs w:val="18"/>
              </w:rPr>
              <w:t xml:space="preserve">Figure 8 — Sélecteur de serveur de jeu (v3)</w:t>
            </w:r>
          </w:p>
        </w:tc>
      </w:tr>
    </w:tbl>
    <w:p>
      <w:pPr>
        <w:pStyle w:val="Heading2"/>
      </w:pPr>
      <w:r>
        <w:t xml:space="preserve">1.4 Parcours utilisateur type et usage mobile</w:t>
      </w:r>
    </w:p>
    <w:p>
      <w:pPr>
        <w:spacing w:after="120" w:before="0" w:line="308"/>
        <w:jc w:val="both"/>
      </w:pPr>
      <w:r>
        <w:rPr>
          <w:b w:val="false"/>
          <w:bCs w:val="false"/>
          <w:i w:val="false"/>
          <w:iCs w:val="false"/>
          <w:sz w:val="22"/>
          <w:szCs w:val="22"/>
        </w:rPr>
        <w:t xml:space="preserve">Le parcours nominal d'un nouvel utilisateur, tel qu'il a servi de fil conducteur à la conception (et que reprend le scénario de démonstration du Bloc 3) :</w:t>
      </w:r>
    </w:p>
    <w:p>
      <w:pPr>
        <w:pStyle w:val="ListParagraph"/>
        <w:numPr>
          <w:ilvl w:val="0"/>
          <w:numId w:val="2"/>
        </w:numPr>
        <w:spacing w:after="70" w:line="308"/>
        <w:jc w:val="both"/>
      </w:pPr>
      <w:r>
        <w:rPr>
          <w:sz w:val="22"/>
          <w:szCs w:val="22"/>
        </w:rPr>
        <w:t xml:space="preserve">Inscription en deux champs (identifiant + mot de passe) : aucune autre donnée n'est demandée — la visite guidée interactive est proposée dès l'accueil, avant même la création du compte.</w:t>
      </w:r>
    </w:p>
    <w:p>
      <w:pPr>
        <w:pStyle w:val="ListParagraph"/>
        <w:numPr>
          <w:ilvl w:val="0"/>
          <w:numId w:val="2"/>
        </w:numPr>
        <w:spacing w:after="70" w:line="308"/>
        <w:jc w:val="both"/>
      </w:pPr>
      <w:r>
        <w:rPr>
          <w:sz w:val="22"/>
          <w:szCs w:val="22"/>
        </w:rPr>
        <w:t xml:space="preserve">Choix du serveur de jeu (Americas / Europe / Asia) et de la langue depuis l'en-tête : les deux préférences sont mémorisées et s'appliquent à toutes les recherches.</w:t>
      </w:r>
    </w:p>
    <w:p>
      <w:pPr>
        <w:pStyle w:val="ListParagraph"/>
        <w:numPr>
          <w:ilvl w:val="0"/>
          <w:numId w:val="2"/>
        </w:numPr>
        <w:spacing w:after="70" w:line="308"/>
        <w:jc w:val="both"/>
      </w:pPr>
      <w:r>
        <w:rPr>
          <w:sz w:val="22"/>
          <w:szCs w:val="22"/>
        </w:rPr>
        <w:t xml:space="preserve">Recherche d'un joueur ou d'une guilde depuis le tableau de bord, consultation de la fiche détaillée et du rapport de session PvP.</w:t>
      </w:r>
    </w:p>
    <w:p>
      <w:pPr>
        <w:pStyle w:val="ListParagraph"/>
        <w:numPr>
          <w:ilvl w:val="0"/>
          <w:numId w:val="2"/>
        </w:numPr>
        <w:spacing w:after="70" w:line="308"/>
        <w:jc w:val="both"/>
      </w:pPr>
      <w:r>
        <w:rPr>
          <w:sz w:val="22"/>
          <w:szCs w:val="22"/>
        </w:rPr>
        <w:t xml:space="preserve">Préparation d'une session : création d'une route de farming (zones + minuteurs) puis partage du lien public à la guilde — les destinataires n'ont pas besoin de compte.</w:t>
      </w:r>
    </w:p>
    <w:p>
      <w:pPr>
        <w:pStyle w:val="ListParagraph"/>
        <w:numPr>
          <w:ilvl w:val="0"/>
          <w:numId w:val="2"/>
        </w:numPr>
        <w:spacing w:after="70" w:line="308"/>
        <w:jc w:val="both"/>
      </w:pPr>
      <w:r>
        <w:rPr>
          <w:sz w:val="22"/>
          <w:szCs w:val="22"/>
        </w:rPr>
        <w:t xml:space="preserve">Optimisation : calcul de rentabilité de craft sur les prix de marché du serveur choisi, sauvegarde du profil de maîtrises.</w:t>
      </w:r>
    </w:p>
    <w:p>
      <w:pPr>
        <w:spacing w:after="120" w:before="0" w:line="308"/>
        <w:jc w:val="both"/>
      </w:pPr>
      <w:r>
        <w:rPr>
          <w:b w:val="false"/>
          <w:bCs w:val="false"/>
          <w:i w:val="false"/>
          <w:iCs w:val="false"/>
          <w:sz w:val="22"/>
          <w:szCs w:val="22"/>
        </w:rPr>
        <w:t xml:space="preserve">Le public visé joue sur PC, mais la consultation nomade (suivre une route, vérifier un prix depuis son téléphone) est un usage réel : l'interface est entièrement responsive — grilles fluides Material UI, navigation repliée dans un tiroir latéral, cibles tactiles dimensionnées.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20"/>
              <w:jc w:val="center"/>
            </w:pPr>
            <w:r>
              <w:drawing>
                <wp:inline distT="0" distB="0" distL="0" distR="0">
                  <wp:extent cx="1428750" cy="3095625"/>
                  <wp:effectExtent t="0" r="0" b="0" l="0"/>
                  <wp:docPr id="1" name="figure-9" descr="Accueil sur mobile (390 px)" title="Accueil sur mobile (390 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428750" cy="3095625"/>
                          </a:xfrm>
                          <a:prstGeom prst="rect">
                            <a:avLst/>
                          </a:prstGeom>
                        </pic:spPr>
                      </pic:pic>
                    </a:graphicData>
                  </a:graphic>
                </wp:inline>
              </w:drawing>
            </w:r>
          </w:p>
          <w:p>
            <w:pPr>
              <w:spacing w:after="0"/>
              <w:jc w:val="center"/>
            </w:pPr>
            <w:r>
              <w:rPr>
                <w:i/>
                <w:iCs/>
                <w:color w:val="5A4825"/>
                <w:sz w:val="18"/>
                <w:szCs w:val="18"/>
              </w:rPr>
              <w:t xml:space="preserve">Figure 9 — Accueil sur mobile (390 px)</w:t>
            </w:r>
          </w:p>
        </w:tc>
        <w:tc>
          <w:tcPr>
            <w:tcW w:type="dxa" w:w="45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20"/>
              <w:jc w:val="center"/>
            </w:pPr>
            <w:r>
              <w:drawing>
                <wp:inline distT="0" distB="0" distL="0" distR="0">
                  <wp:extent cx="1428750" cy="3095625"/>
                  <wp:effectExtent t="0" r="0" b="0" l="0"/>
                  <wp:docPr id="1" name="figure-10" descr="Navigation mobile : tiroir groupé Exploration / Outils" title="Navigation mobile : tiroir groupé Exploration / Out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428750" cy="3095625"/>
                          </a:xfrm>
                          <a:prstGeom prst="rect">
                            <a:avLst/>
                          </a:prstGeom>
                        </pic:spPr>
                      </pic:pic>
                    </a:graphicData>
                  </a:graphic>
                </wp:inline>
              </w:drawing>
            </w:r>
          </w:p>
          <w:p>
            <w:pPr>
              <w:spacing w:after="0"/>
              <w:jc w:val="center"/>
            </w:pPr>
            <w:r>
              <w:rPr>
                <w:i/>
                <w:iCs/>
                <w:color w:val="5A4825"/>
                <w:sz w:val="18"/>
                <w:szCs w:val="18"/>
              </w:rPr>
              <w:t xml:space="preserve">Figure 10 — Navigation mobile : tiroir groupé Exploration / Outils</w:t>
            </w:r>
          </w:p>
        </w:tc>
      </w:tr>
    </w:tbl>
    <w:p>
      <w:pPr>
        <w:pStyle w:val="Heading1"/>
      </w:pPr>
      <w:r>
        <w:t xml:space="preserve">2. Frameworks et paradigmes de développement</w:t>
      </w:r>
    </w:p>
    <w:p>
      <w:pPr>
        <w:pStyle w:val="Heading2"/>
      </w:pPr>
      <w:r>
        <w:t xml:space="preserve">2.1 Choix des frameworks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63"/>
        <w:gridCol w:w="2341"/>
        <w:gridCol w:w="5268"/>
      </w:tblGrid>
      <w:tr>
        <w:trPr>
          <w:tblHeader/>
        </w:trPr>
        <w:tc>
          <w:tcPr>
            <w:tcW w:type="dxa" w:w="1463"/>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Couche</w:t>
            </w:r>
          </w:p>
        </w:tc>
        <w:tc>
          <w:tcPr>
            <w:tcW w:type="dxa" w:w="2341"/>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Technologie</w:t>
            </w:r>
          </w:p>
        </w:tc>
        <w:tc>
          <w:tcPr>
            <w:tcW w:type="dxa" w:w="5268"/>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Justification</w:t>
            </w:r>
          </w:p>
        </w:tc>
      </w:tr>
      <w:tr>
        <w:tc>
          <w:tcPr>
            <w:tcW w:type="dxa" w:w="1463"/>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Backend</w:t>
            </w:r>
          </w:p>
        </w:tc>
        <w:tc>
          <w:tcPr>
            <w:tcW w:type="dxa" w:w="234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Symfony 7.4 LTS (PHP 8.2)</w:t>
            </w:r>
          </w:p>
        </w:tc>
        <w:tc>
          <w:tcPr>
            <w:tcW w:type="dxa" w:w="52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Framework structurant (DI, firewall, ORM), LTS supportée jusqu'en 2028, écosystème de bundles de sécurité éprouvés (lexik/JWT, NelmioCors), forte employabilité en France</w:t>
            </w:r>
          </w:p>
        </w:tc>
      </w:tr>
      <w:tr>
        <w:tc>
          <w:tcPr>
            <w:tcW w:type="dxa" w:w="1463"/>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Frontend</w:t>
            </w:r>
          </w:p>
        </w:tc>
        <w:tc>
          <w:tcPr>
            <w:tcW w:type="dxa" w:w="234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React 19 + Material UI</w:t>
            </w:r>
          </w:p>
        </w:tc>
        <w:tc>
          <w:tcPr>
            <w:tcW w:type="dxa" w:w="52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Composants réutilisables, écosystème mature, MUI fournit des composants accessibles (ARIA) par défaut</w:t>
            </w:r>
          </w:p>
        </w:tc>
      </w:tr>
      <w:tr>
        <w:tc>
          <w:tcPr>
            <w:tcW w:type="dxa" w:w="1463"/>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Base de données</w:t>
            </w:r>
          </w:p>
        </w:tc>
        <w:tc>
          <w:tcPr>
            <w:tcW w:type="dxa" w:w="234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PostgreSQL 16</w:t>
            </w:r>
          </w:p>
        </w:tc>
        <w:tc>
          <w:tcPr>
            <w:tcW w:type="dxa" w:w="52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Robustesse transactionnelle, types JSON natifs (préférences, noms localisés), open source</w:t>
            </w:r>
          </w:p>
        </w:tc>
      </w:tr>
      <w:tr>
        <w:tc>
          <w:tcPr>
            <w:tcW w:type="dxa" w:w="1463"/>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ORM</w:t>
            </w:r>
          </w:p>
        </w:tc>
        <w:tc>
          <w:tcPr>
            <w:tcW w:type="dxa" w:w="234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Doctrine ORM + Migrations</w:t>
            </w:r>
          </w:p>
        </w:tc>
        <w:tc>
          <w:tcPr>
            <w:tcW w:type="dxa" w:w="52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Requêtes paramétrées par défaut (anti-injection), schéma versionné et reproductible</w:t>
            </w:r>
          </w:p>
        </w:tc>
      </w:tr>
      <w:tr>
        <w:tc>
          <w:tcPr>
            <w:tcW w:type="dxa" w:w="1463"/>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i18n</w:t>
            </w:r>
          </w:p>
        </w:tc>
        <w:tc>
          <w:tcPr>
            <w:tcW w:type="dxa" w:w="234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react-i18next</w:t>
            </w:r>
          </w:p>
        </w:tc>
        <w:tc>
          <w:tcPr>
            <w:tcW w:type="dxa" w:w="52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Détection de langue, lazy-loading des dictionnaires, 20 langues gérées depuis le back office</w:t>
            </w:r>
          </w:p>
        </w:tc>
      </w:tr>
      <w:tr>
        <w:tc>
          <w:tcPr>
            <w:tcW w:type="dxa" w:w="1463"/>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Tests</w:t>
            </w:r>
          </w:p>
        </w:tc>
        <w:tc>
          <w:tcPr>
            <w:tcW w:type="dxa" w:w="2341"/>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PHPUnit 9 + Jest / Testing Library</w:t>
            </w:r>
          </w:p>
        </w:tc>
        <w:tc>
          <w:tcPr>
            <w:tcW w:type="dxa" w:w="5268"/>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Standards de facto de chaque écosystème</w:t>
            </w:r>
          </w:p>
        </w:tc>
      </w:tr>
    </w:tbl>
    <w:p>
      <w:pPr>
        <w:spacing w:after="40" w:before="0" w:line="308"/>
        <w:jc w:val="both"/>
      </w:pPr>
      <w:r>
        <w:rPr>
          <w:b w:val="false"/>
          <w:bCs w:val="false"/>
          <w:i w:val="false"/>
          <w:iCs w:val="false"/>
          <w:sz w:val="22"/>
          <w:szCs w:val="22"/>
        </w:rPr>
        <w:t xml:space="preserve"/>
      </w:r>
    </w:p>
    <w:p>
      <w:pPr>
        <w:pStyle w:val="Heading2"/>
      </w:pPr>
      <w:r>
        <w:t xml:space="preserve">2.2 Paradigmes mis en œuvre</w:t>
      </w:r>
    </w:p>
    <w:p>
      <w:pPr>
        <w:pStyle w:val="ListParagraph"/>
        <w:numPr>
          <w:ilvl w:val="0"/>
          <w:numId w:val="3"/>
        </w:numPr>
        <w:spacing w:after="70" w:line="308"/>
        <w:jc w:val="both"/>
      </w:pPr>
      <w:r>
        <w:rPr>
          <w:sz w:val="22"/>
          <w:szCs w:val="22"/>
        </w:rPr>
        <w:t xml:space="preserve">Architecture en couches (back) : Contrôleur → Service → Repository → Entité. Les contrôleurs restent minces ; la logique métier (calculs de craft, synchronisation d'items, agrégation des batailles) vit dans des services injectés.</w:t>
      </w:r>
    </w:p>
    <w:p>
      <w:pPr>
        <w:pStyle w:val="ListParagraph"/>
        <w:numPr>
          <w:ilvl w:val="0"/>
          <w:numId w:val="3"/>
        </w:numPr>
        <w:spacing w:after="70" w:line="308"/>
        <w:jc w:val="both"/>
      </w:pPr>
      <w:r>
        <w:rPr>
          <w:sz w:val="22"/>
          <w:szCs w:val="22"/>
        </w:rPr>
        <w:t xml:space="preserve">Injection de dépendances : autowiring Symfony ; aucun composant n'instancie ses dépendances, ce qui rend chaque brique testable isolément.</w:t>
      </w:r>
    </w:p>
    <w:p>
      <w:pPr>
        <w:pStyle w:val="ListParagraph"/>
        <w:numPr>
          <w:ilvl w:val="0"/>
          <w:numId w:val="3"/>
        </w:numPr>
        <w:spacing w:after="70" w:line="308"/>
        <w:jc w:val="both"/>
      </w:pPr>
      <w:r>
        <w:rPr>
          <w:sz w:val="22"/>
          <w:szCs w:val="22"/>
        </w:rPr>
        <w:t xml:space="preserve">API REST stateless : le backend n'a aucune session ; chaque requête porte son jeton JWT, ce qui permet la montée en charge horizontale.</w:t>
      </w:r>
    </w:p>
    <w:p>
      <w:pPr>
        <w:pStyle w:val="ListParagraph"/>
        <w:numPr>
          <w:ilvl w:val="0"/>
          <w:numId w:val="3"/>
        </w:numPr>
        <w:spacing w:after="70" w:line="308"/>
        <w:jc w:val="both"/>
      </w:pPr>
      <w:r>
        <w:rPr>
          <w:sz w:val="22"/>
          <w:szCs w:val="22"/>
        </w:rPr>
        <w:t xml:space="preserve">Programmation par composants (front) : pages co-localisées avec leurs styles et leurs tests ; hooks (useState/useEffect/useCallback) ; contextes pour les préoccupations transverses (session, thème, langue, serveur de jeu).</w:t>
      </w:r>
    </w:p>
    <w:p>
      <w:pPr>
        <w:pStyle w:val="ListParagraph"/>
        <w:numPr>
          <w:ilvl w:val="0"/>
          <w:numId w:val="3"/>
        </w:numPr>
        <w:spacing w:after="70" w:line="308"/>
        <w:jc w:val="both"/>
      </w:pPr>
      <w:r>
        <w:rPr>
          <w:sz w:val="22"/>
          <w:szCs w:val="22"/>
        </w:rPr>
        <w:t xml:space="preserve">Data-mapper : les entités Doctrine sont de purs objets métier, la persistance est déléguée aux repositories.</w:t>
      </w:r>
    </w:p>
    <w:p>
      <w:pPr>
        <w:pStyle w:val="Heading2"/>
      </w:pPr>
      <w:r>
        <w:t xml:space="preserve">2.3 Organisation du code et qualité au quotidien</w:t>
      </w:r>
    </w:p>
    <w:p>
      <w:pPr>
        <w:spacing w:after="120" w:before="0" w:line="308"/>
        <w:jc w:val="both"/>
      </w:pPr>
      <w:r>
        <w:rPr>
          <w:b w:val="false"/>
          <w:bCs w:val="false"/>
          <w:i w:val="false"/>
          <w:iCs w:val="false"/>
          <w:sz w:val="22"/>
          <w:szCs w:val="22"/>
        </w:rPr>
        <w:t xml:space="preserve">L'arborescence matérialise l'architecture : un développeur qui rejoint le projet sait où chercher et où écrire.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E0D5BB" w:sz="2"/>
              <w:left w:val="single" w:color="E0D5BB" w:sz="2"/>
              <w:bottom w:val="single" w:color="E0D5BB" w:sz="2"/>
              <w:right w:val="single" w:color="E0D5BB" w:sz="2"/>
            </w:tcBorders>
            <w:shd w:fill="FAF6EC" w:val="clear"/>
            <w:tcMar>
              <w:top w:type="dxa" w:w="90"/>
              <w:left w:type="dxa" w:w="140"/>
              <w:bottom w:type="dxa" w:w="90"/>
              <w:right w:type="dxa" w:w="140"/>
            </w:tcMar>
          </w:tcPr>
          <w:p>
            <w:pPr>
              <w:spacing w:after="0" w:line="230"/>
            </w:pPr>
            <w:r>
              <w:rPr>
                <w:rFonts w:ascii="Courier New" w:cs="Courier New" w:eastAsia="Courier New" w:hAnsi="Courier New"/>
                <w:color w:val="3A2E15"/>
                <w:sz w:val="16"/>
                <w:szCs w:val="16"/>
              </w:rPr>
              <w:t xml:space="preserve">back/src/</w:t>
            </w:r>
          </w:p>
          <w:p>
            <w:pPr>
              <w:spacing w:after="0" w:line="230"/>
            </w:pPr>
            <w:r>
              <w:rPr>
                <w:rFonts w:ascii="Courier New" w:cs="Courier New" w:eastAsia="Courier New" w:hAnsi="Courier New"/>
                <w:color w:val="3A2E15"/>
                <w:sz w:val="16"/>
                <w:szCs w:val="16"/>
              </w:rPr>
              <w:t xml:space="preserve">├── Controller/       # 13 contrôleurs REST minces (validation + délégation)</w:t>
            </w:r>
          </w:p>
          <w:p>
            <w:pPr>
              <w:spacing w:after="0" w:line="230"/>
            </w:pPr>
            <w:r>
              <w:rPr>
                <w:rFonts w:ascii="Courier New" w:cs="Courier New" w:eastAsia="Courier New" w:hAnsi="Courier New"/>
                <w:color w:val="3A2E15"/>
                <w:sz w:val="16"/>
                <w:szCs w:val="16"/>
              </w:rPr>
              <w:t xml:space="preserve">├── Service/          # 8 services métier : Player, Guild, Battle, ItemSync,</w:t>
            </w:r>
          </w:p>
          <w:p>
            <w:pPr>
              <w:spacing w:after="0" w:line="230"/>
            </w:pPr>
            <w:r>
              <w:rPr>
                <w:rFonts w:ascii="Courier New" w:cs="Courier New" w:eastAsia="Courier New" w:hAnsi="Courier New"/>
                <w:color w:val="3A2E15"/>
                <w:sz w:val="16"/>
                <w:szCs w:val="16"/>
              </w:rPr>
              <w:t xml:space="preserve">│                     #   ItemMarket, Map, LocaleManager, AlbionDataMapper</w:t>
            </w:r>
          </w:p>
          <w:p>
            <w:pPr>
              <w:spacing w:after="0" w:line="230"/>
            </w:pPr>
            <w:r>
              <w:rPr>
                <w:rFonts w:ascii="Courier New" w:cs="Courier New" w:eastAsia="Courier New" w:hAnsi="Courier New"/>
                <w:color w:val="3A2E15"/>
                <w:sz w:val="16"/>
                <w:szCs w:val="16"/>
              </w:rPr>
              <w:t xml:space="preserve">├── Repository/       # accès aux données (requêtes Doctrine paramétrées)</w:t>
            </w:r>
          </w:p>
          <w:p>
            <w:pPr>
              <w:spacing w:after="0" w:line="230"/>
            </w:pPr>
            <w:r>
              <w:rPr>
                <w:rFonts w:ascii="Courier New" w:cs="Courier New" w:eastAsia="Courier New" w:hAnsi="Courier New"/>
                <w:color w:val="3A2E15"/>
                <w:sz w:val="16"/>
                <w:szCs w:val="16"/>
              </w:rPr>
              <w:t xml:space="preserve">├── Entity/           # 14 entités (cf. §3.2)</w:t>
            </w:r>
          </w:p>
          <w:p>
            <w:pPr>
              <w:spacing w:after="0" w:line="230"/>
            </w:pPr>
            <w:r>
              <w:rPr>
                <w:rFonts w:ascii="Courier New" w:cs="Courier New" w:eastAsia="Courier New" w:hAnsi="Courier New"/>
                <w:color w:val="3A2E15"/>
                <w:sz w:val="16"/>
                <w:szCs w:val="16"/>
              </w:rPr>
              <w:t xml:space="preserve">├── EventSubscriber/  # préoccupations transverses (en-têtes de sécurité)</w:t>
            </w:r>
          </w:p>
          <w:p>
            <w:pPr>
              <w:spacing w:after="0" w:line="230"/>
            </w:pPr>
            <w:r>
              <w:rPr>
                <w:rFonts w:ascii="Courier New" w:cs="Courier New" w:eastAsia="Courier New" w:hAnsi="Courier New"/>
                <w:color w:val="3A2E15"/>
                <w:sz w:val="16"/>
                <w:szCs w:val="16"/>
              </w:rPr>
              <w:t xml:space="preserve">└── DataFixtures/     # comptes et données de l'environnement de test</w:t>
            </w:r>
          </w:p>
          <w:p>
            <w:pPr>
              <w:spacing w:after="0" w:line="230"/>
            </w:pPr>
            <w:r>
              <w:rPr>
                <w:rFonts w:ascii="Courier New" w:cs="Courier New" w:eastAsia="Courier New" w:hAnsi="Courier New"/>
                <w:color w:val="3A2E15"/>
                <w:sz w:val="16"/>
                <w:szCs w:val="16"/>
              </w:rPr>
              <w:t xml:space="preserve"> </w:t>
            </w:r>
          </w:p>
          <w:p>
            <w:pPr>
              <w:spacing w:after="0" w:line="230"/>
            </w:pPr>
            <w:r>
              <w:rPr>
                <w:rFonts w:ascii="Courier New" w:cs="Courier New" w:eastAsia="Courier New" w:hAnsi="Courier New"/>
                <w:color w:val="3A2E15"/>
                <w:sz w:val="16"/>
                <w:szCs w:val="16"/>
              </w:rPr>
              <w:t xml:space="preserve">front/src/</w:t>
            </w:r>
          </w:p>
          <w:p>
            <w:pPr>
              <w:spacing w:after="0" w:line="230"/>
            </w:pPr>
            <w:r>
              <w:rPr>
                <w:rFonts w:ascii="Courier New" w:cs="Courier New" w:eastAsia="Courier New" w:hAnsi="Courier New"/>
                <w:color w:val="3A2E15"/>
                <w:sz w:val="16"/>
                <w:szCs w:val="16"/>
              </w:rPr>
              <w:t xml:space="preserve">├── pages/            # 15 pages, chacune avec ses styles et ses tests</w:t>
            </w:r>
          </w:p>
          <w:p>
            <w:pPr>
              <w:spacing w:after="0" w:line="230"/>
            </w:pPr>
            <w:r>
              <w:rPr>
                <w:rFonts w:ascii="Courier New" w:cs="Courier New" w:eastAsia="Courier New" w:hAnsi="Courier New"/>
                <w:color w:val="3A2E15"/>
                <w:sz w:val="16"/>
                <w:szCs w:val="16"/>
              </w:rPr>
              <w:t xml:space="preserve">├── layout/           # Header (navigation groupée), Footer</w:t>
            </w:r>
          </w:p>
          <w:p>
            <w:pPr>
              <w:spacing w:after="0" w:line="230"/>
            </w:pPr>
            <w:r>
              <w:rPr>
                <w:rFonts w:ascii="Courier New" w:cs="Courier New" w:eastAsia="Courier New" w:hAnsi="Courier New"/>
                <w:color w:val="3A2E15"/>
                <w:sz w:val="16"/>
                <w:szCs w:val="16"/>
              </w:rPr>
              <w:t xml:space="preserve">├── context/          # session, thème, langue, serveur de jeu</w:t>
            </w:r>
          </w:p>
          <w:p>
            <w:pPr>
              <w:spacing w:after="0" w:line="230"/>
            </w:pPr>
            <w:r>
              <w:rPr>
                <w:rFonts w:ascii="Courier New" w:cs="Courier New" w:eastAsia="Courier New" w:hAnsi="Courier New"/>
                <w:color w:val="3A2E15"/>
                <w:sz w:val="16"/>
                <w:szCs w:val="16"/>
              </w:rPr>
              <w:t xml:space="preserve">├── components/       # composants partagés</w:t>
            </w:r>
          </w:p>
          <w:p>
            <w:pPr>
              <w:spacing w:after="0" w:line="230"/>
            </w:pPr>
            <w:r>
              <w:rPr>
                <w:rFonts w:ascii="Courier New" w:cs="Courier New" w:eastAsia="Courier New" w:hAnsi="Courier New"/>
                <w:color w:val="3A2E15"/>
                <w:sz w:val="16"/>
                <w:szCs w:val="16"/>
              </w:rPr>
              <w:t xml:space="preserve">├── locales/          # dictionnaires fr / en (base des 20 langues)</w:t>
            </w:r>
          </w:p>
          <w:p>
            <w:pPr>
              <w:spacing w:after="0" w:line="230"/>
            </w:pPr>
            <w:r>
              <w:rPr>
                <w:rFonts w:ascii="Courier New" w:cs="Courier New" w:eastAsia="Courier New" w:hAnsi="Courier New"/>
                <w:color w:val="3A2E15"/>
                <w:sz w:val="16"/>
                <w:szCs w:val="16"/>
              </w:rPr>
              <w:t xml:space="preserve">├── styles/           # variables CSS commutées par thème (clair/sombre)</w:t>
            </w:r>
          </w:p>
          <w:p>
            <w:pPr>
              <w:spacing w:after="0" w:line="230"/>
            </w:pPr>
            <w:r>
              <w:rPr>
                <w:rFonts w:ascii="Courier New" w:cs="Courier New" w:eastAsia="Courier New" w:hAnsi="Courier New"/>
                <w:color w:val="3A2E15"/>
                <w:sz w:val="16"/>
                <w:szCs w:val="16"/>
              </w:rPr>
              <w:t xml:space="preserve">└── utils/            # authUtils, craftUtils… testés unitairement</w:t>
            </w:r>
          </w:p>
        </w:tc>
      </w:tr>
    </w:tbl>
    <w:p>
      <w:pPr>
        <w:spacing w:after="180" w:before="50"/>
        <w:jc w:val="left"/>
      </w:pPr>
      <w:r>
        <w:rPr>
          <w:i/>
          <w:iCs/>
          <w:color w:val="5A4825"/>
          <w:sz w:val="18"/>
          <w:szCs w:val="18"/>
        </w:rPr>
        <w:t xml:space="preserve">Arborescence réelle du dépôt (extrait).</w:t>
      </w:r>
    </w:p>
    <w:p>
      <w:pPr>
        <w:spacing w:after="120" w:before="0" w:line="308"/>
        <w:jc w:val="both"/>
      </w:pPr>
      <w:r>
        <w:rPr>
          <w:b w:val="false"/>
          <w:bCs w:val="false"/>
          <w:i w:val="false"/>
          <w:iCs w:val="false"/>
          <w:sz w:val="22"/>
          <w:szCs w:val="22"/>
        </w:rPr>
        <w:t xml:space="preserve">La qualité est outillée à deux moments : en continu (le serveur de développement affiche les avertissements ESLint à chaque compilation ; le profiler Symfony expose requêtes SQL et performances) et avant chaque commit — un hook pre-commit lint la syntaxe PHP et bloque des motifs interdits (dangerouslySetInnerHTML, eval, CORS wildcard, secret vide). Ce qui passe le hook doit encore passer les 131 tests de la CI avant de pouvoir être fusionné.</w:t>
      </w:r>
    </w:p>
    <w:p>
      <w:pPr>
        <w:pStyle w:val="Heading1"/>
      </w:pPr>
      <w:r>
        <w:t xml:space="preserve">3. Architecture logicielle</w:t>
      </w:r>
    </w:p>
    <w:p>
      <w:pPr>
        <w:spacing w:after="120" w:before="0" w:line="308"/>
        <w:jc w:val="both"/>
      </w:pPr>
      <w:r>
        <w:rPr>
          <w:b w:val="false"/>
          <w:bCs w:val="false"/>
          <w:i w:val="false"/>
          <w:iCs w:val="false"/>
          <w:sz w:val="22"/>
          <w:szCs w:val="22"/>
        </w:rPr>
        <w:t xml:space="preserve">L'architecture sépare strictement les responsabilités pour garantir la maintenabilité : le frontend ne connaît que le contrat REST ; le backend encapsule la logique métier et les accès aux données ; les services externes (API Albion, un domaine par serveur de jeu) sont isolés derrière des services dédiés, ce qui a permis d'ajouter le multi-serveur en v3 sans toucher aux contrôleurs.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C9B98A" w:sz="4"/>
              <w:left w:val="single" w:color="C9B98A" w:sz="4"/>
              <w:bottom w:val="single" w:color="C9B98A" w:sz="4"/>
              <w:right w:val="single" w:color="C9B98A" w:sz="4"/>
            </w:tcBorders>
            <w:tcMar>
              <w:top w:type="dxa" w:w="50"/>
              <w:left w:type="dxa" w:w="50"/>
              <w:bottom w:type="dxa" w:w="30"/>
              <w:right w:type="dxa" w:w="50"/>
            </w:tcMar>
          </w:tcPr>
          <w:p>
            <w:pPr>
              <w:spacing w:after="0"/>
              <w:jc w:val="center"/>
            </w:pPr>
            <w:r>
              <w:drawing>
                <wp:inline distT="0" distB="0" distL="0" distR="0">
                  <wp:extent cx="5334000" cy="3333750"/>
                  <wp:effectExtent t="0" r="0" b="0" l="0"/>
                  <wp:docPr id="1" name="figure-11" descr="Architecture en couches, flux de données et chaîne CI/CD" title="Architecture en couches, flux de données et chaîne CI/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333750"/>
                          </a:xfrm>
                          <a:prstGeom prst="rect">
                            <a:avLst/>
                          </a:prstGeom>
                        </pic:spPr>
                      </pic:pic>
                    </a:graphicData>
                  </a:graphic>
                </wp:inline>
              </w:drawing>
            </w:r>
          </w:p>
        </w:tc>
      </w:tr>
    </w:tbl>
    <w:p>
      <w:pPr>
        <w:spacing w:after="150" w:before="50"/>
        <w:jc w:val="center"/>
      </w:pPr>
      <w:r>
        <w:rPr>
          <w:i/>
          <w:iCs/>
          <w:color w:val="5A4825"/>
          <w:sz w:val="18"/>
          <w:szCs w:val="18"/>
        </w:rPr>
        <w:t xml:space="preserve">Figure 11 — Architecture en couches, flux de données et chaîne CI/CD</w:t>
      </w:r>
    </w:p>
    <w:p>
      <w:pPr>
        <w:pStyle w:val="Heading2"/>
      </w:pPr>
      <w:r>
        <w:t xml:space="preserve">3.1 Garanties apportées par cette architecture</w:t>
      </w:r>
    </w:p>
    <w:p>
      <w:pPr>
        <w:pStyle w:val="ListParagraph"/>
        <w:numPr>
          <w:ilvl w:val="0"/>
          <w:numId w:val="3"/>
        </w:numPr>
        <w:spacing w:after="70" w:line="308"/>
        <w:jc w:val="both"/>
      </w:pPr>
      <w:r>
        <w:rPr>
          <w:sz w:val="22"/>
          <w:szCs w:val="22"/>
        </w:rPr>
        <w:t xml:space="preserve">Maintenable : chaque couche a une responsabilité unique ; un correctif de calcul de craft ne touche que le service concerné, vérifié par les tests unitaires.</w:t>
      </w:r>
    </w:p>
    <w:p>
      <w:pPr>
        <w:pStyle w:val="ListParagraph"/>
        <w:numPr>
          <w:ilvl w:val="0"/>
          <w:numId w:val="3"/>
        </w:numPr>
        <w:spacing w:after="70" w:line="308"/>
        <w:jc w:val="both"/>
      </w:pPr>
      <w:r>
        <w:rPr>
          <w:sz w:val="22"/>
          <w:szCs w:val="22"/>
        </w:rPr>
        <w:t xml:space="preserve">Extensible : ajouter une fonctionnalité = nouvelle entité + migration + contrôleur + page ; les fonctionnalités v3 (multi-serveur, batailles, stats PvP, langues dynamiques) ont été ajoutées sans refonte.</w:t>
      </w:r>
    </w:p>
    <w:p>
      <w:pPr>
        <w:pStyle w:val="ListParagraph"/>
        <w:numPr>
          <w:ilvl w:val="0"/>
          <w:numId w:val="3"/>
        </w:numPr>
        <w:spacing w:after="70" w:line="308"/>
        <w:jc w:val="both"/>
      </w:pPr>
      <w:r>
        <w:rPr>
          <w:sz w:val="22"/>
          <w:szCs w:val="22"/>
        </w:rPr>
        <w:t xml:space="preserve">Sécurisée : tout passe par le firewall Symfony (JWT, rôles, throttling) avant d'atteindre le moindre contrôleur ; les en-têtes de sécurité sont posés globalement par un EventSubscriber (code complet en annexe A).</w:t>
      </w:r>
    </w:p>
    <w:p>
      <w:pPr>
        <w:pStyle w:val="ListParagraph"/>
        <w:numPr>
          <w:ilvl w:val="0"/>
          <w:numId w:val="3"/>
        </w:numPr>
        <w:spacing w:after="70" w:line="308"/>
        <w:jc w:val="both"/>
      </w:pPr>
      <w:r>
        <w:rPr>
          <w:sz w:val="22"/>
          <w:szCs w:val="22"/>
        </w:rPr>
        <w:t xml:space="preserve">Supervisable : endpoint public /api/health (état BDD + API externe) interrogeable par une sonde, canal de log « incident » dédié.</w:t>
      </w:r>
    </w:p>
    <w:p>
      <w:pPr>
        <w:pStyle w:val="Heading2"/>
      </w:pPr>
      <w:r>
        <w:t xml:space="preserve">3.2 Modèle de données</w:t>
      </w:r>
    </w:p>
    <w:p>
      <w:pPr>
        <w:spacing w:after="120" w:before="0" w:line="308"/>
        <w:jc w:val="both"/>
      </w:pPr>
      <w:r>
        <w:rPr>
          <w:b w:val="false"/>
          <w:bCs w:val="false"/>
          <w:i w:val="false"/>
          <w:iCs w:val="false"/>
          <w:sz w:val="22"/>
          <w:szCs w:val="22"/>
        </w:rPr>
        <w:t xml:space="preserve">Le schéma relationnel est porté par 14 entités Doctrine, versionnées par migrations. Les données volatiles du jeu (statistiques de joueurs, batailles) ne sont volontairement pas persistées : elles sont relayées depuis l'API officielle, ce qui évite toute donnée obsolète en base.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701"/>
        <w:gridCol w:w="4536"/>
        <w:gridCol w:w="2835"/>
      </w:tblGrid>
      <w:tr>
        <w:trPr>
          <w:tblHeader/>
        </w:trPr>
        <w:tc>
          <w:tcPr>
            <w:tcW w:type="dxa" w:w="1701"/>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Entité</w:t>
            </w:r>
          </w:p>
        </w:tc>
        <w:tc>
          <w:tcPr>
            <w:tcW w:type="dxa" w:w="4536"/>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Rôle</w:t>
            </w:r>
          </w:p>
        </w:tc>
        <w:tc>
          <w:tcPr>
            <w:tcW w:type="dxa" w:w="2835"/>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Relations principales</w:t>
            </w:r>
          </w:p>
        </w:tc>
      </w:tr>
      <w:tr>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User</w:t>
            </w:r>
          </w:p>
        </w:tc>
        <w:tc>
          <w:tcPr>
            <w:tcW w:type="dxa" w:w="453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Compte utilisateur : identifiant, mot de passe bcrypt, rôles, préférences (JSON)</w:t>
            </w:r>
          </w:p>
        </w:tc>
        <w:tc>
          <w:tcPr>
            <w:tcW w:type="dxa" w:w="283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1—N GameRoute, 1—N Composition</w:t>
            </w:r>
          </w:p>
        </w:tc>
      </w:tr>
      <w:tr>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RefreshToken</w:t>
            </w:r>
          </w:p>
        </w:tc>
        <w:tc>
          <w:tcPr>
            <w:tcW w:type="dxa" w:w="453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Jetons de rafraîchissement JWT, rotation single_use</w:t>
            </w:r>
          </w:p>
        </w:tc>
        <w:tc>
          <w:tcPr>
            <w:tcW w:type="dxa" w:w="283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 (géré par bundle)</w:t>
            </w:r>
          </w:p>
        </w:tc>
      </w:tr>
      <w:tr>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GameRoute</w:t>
            </w:r>
          </w:p>
        </w:tc>
        <w:tc>
          <w:tcPr>
            <w:tcW w:type="dxa" w:w="453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Route de farming : nom, jeton de partage aléatoire, expiration 24 h</w:t>
            </w:r>
          </w:p>
        </w:tc>
        <w:tc>
          <w:tcPr>
            <w:tcW w:type="dxa" w:w="283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N—1 User · 1—N RouteZone</w:t>
            </w:r>
          </w:p>
        </w:tc>
      </w:tr>
      <w:tr>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RouteZone</w:t>
            </w:r>
          </w:p>
        </w:tc>
        <w:tc>
          <w:tcPr>
            <w:tcW w:type="dxa" w:w="453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Étape ordonnée d'une route + minuteur</w:t>
            </w:r>
          </w:p>
        </w:tc>
        <w:tc>
          <w:tcPr>
            <w:tcW w:type="dxa" w:w="283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N—1 GameRoute · N—1 Zone</w:t>
            </w:r>
          </w:p>
        </w:tc>
      </w:tr>
      <w:tr>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Zone</w:t>
            </w:r>
          </w:p>
        </w:tc>
        <w:tc>
          <w:tcPr>
            <w:tcW w:type="dxa" w:w="453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Carte du jeu : nom, tier, type</w:t>
            </w:r>
          </w:p>
        </w:tc>
        <w:tc>
          <w:tcPr>
            <w:tcW w:type="dxa" w:w="283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1—N Marker / Resource / Mob</w:t>
            </w:r>
          </w:p>
        </w:tc>
      </w:tr>
      <w:tr>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Marker / Resource / Mob</w:t>
            </w:r>
          </w:p>
        </w:tc>
        <w:tc>
          <w:tcPr>
            <w:tcW w:type="dxa" w:w="453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Points d'intérêt d'une zone : coffres, ressources, créatures</w:t>
            </w:r>
          </w:p>
        </w:tc>
        <w:tc>
          <w:tcPr>
            <w:tcW w:type="dxa" w:w="283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N—1 Zone</w:t>
            </w:r>
          </w:p>
        </w:tc>
      </w:tr>
      <w:tr>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Composition</w:t>
            </w:r>
          </w:p>
        </w:tc>
        <w:tc>
          <w:tcPr>
            <w:tcW w:type="dxa" w:w="453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Composition d'équipe : joueurs et équipements (JSON), visibilité, jeton de partage</w:t>
            </w:r>
          </w:p>
        </w:tc>
        <w:tc>
          <w:tcPr>
            <w:tcW w:type="dxa" w:w="283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N—1 User</w:t>
            </w:r>
          </w:p>
        </w:tc>
      </w:tr>
      <w:tr>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Item</w:t>
            </w:r>
          </w:p>
        </w:tc>
        <w:tc>
          <w:tcPr>
            <w:tcW w:type="dxa" w:w="453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12 066 objets du jeu synchronisés, noms localisés (JSON)</w:t>
            </w:r>
          </w:p>
        </w:tc>
        <w:tc>
          <w:tcPr>
            <w:tcW w:type="dxa" w:w="283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1—N ItemMarketData</w:t>
            </w:r>
          </w:p>
        </w:tc>
      </w:tr>
      <w:tr>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ItemMarketData</w:t>
            </w:r>
          </w:p>
        </w:tc>
        <w:tc>
          <w:tcPr>
            <w:tcW w:type="dxa" w:w="453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Prix de marché par ville et qualité, horodatés</w:t>
            </w:r>
          </w:p>
        </w:tc>
        <w:tc>
          <w:tcPr>
            <w:tcW w:type="dxa" w:w="283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N—1 Item</w:t>
            </w:r>
          </w:p>
        </w:tc>
      </w:tr>
      <w:tr>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CraftingRecipe(-Ingredient)</w:t>
            </w:r>
          </w:p>
        </w:tc>
        <w:tc>
          <w:tcPr>
            <w:tcW w:type="dxa" w:w="453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Recettes de craft et leurs ingrédients quantifiés</w:t>
            </w:r>
          </w:p>
        </w:tc>
        <w:tc>
          <w:tcPr>
            <w:tcW w:type="dxa" w:w="283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1—N ingrédients, N—1 Item</w:t>
            </w:r>
          </w:p>
        </w:tc>
      </w:tr>
      <w:tr>
        <w:tc>
          <w:tcPr>
            <w:tcW w:type="dxa" w:w="1701"/>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SearchLog</w:t>
            </w:r>
          </w:p>
        </w:tc>
        <w:tc>
          <w:tcPr>
            <w:tcW w:type="dxa" w:w="4536"/>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Journal des recherches (alimente les KPI de l'administration)</w:t>
            </w:r>
          </w:p>
        </w:tc>
        <w:tc>
          <w:tcPr>
            <w:tcW w:type="dxa" w:w="2835"/>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w:t>
            </w:r>
          </w:p>
        </w:tc>
      </w:tr>
    </w:tbl>
    <w:p>
      <w:pPr>
        <w:pStyle w:val="Heading1"/>
      </w:pPr>
      <w:r>
        <w:t xml:space="preserve">4. Environnements et protocole d'intégration continue</w:t>
      </w:r>
    </w:p>
    <w:p>
      <w:pPr>
        <w:pStyle w:val="Heading2"/>
      </w:pPr>
      <w:r>
        <w:t xml:space="preserve">4.1 Environnements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701"/>
        <w:gridCol w:w="2268"/>
        <w:gridCol w:w="5103"/>
      </w:tblGrid>
      <w:tr>
        <w:trPr>
          <w:tblHeader/>
        </w:trPr>
        <w:tc>
          <w:tcPr>
            <w:tcW w:type="dxa" w:w="1701"/>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Environnement</w:t>
            </w:r>
          </w:p>
        </w:tc>
        <w:tc>
          <w:tcPr>
            <w:tcW w:type="dxa" w:w="2268"/>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Rôle</w:t>
            </w:r>
          </w:p>
        </w:tc>
        <w:tc>
          <w:tcPr>
            <w:tcW w:type="dxa" w:w="5103"/>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Composition</w:t>
            </w:r>
          </w:p>
        </w:tc>
      </w:tr>
      <w:tr>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Développement</w:t>
            </w:r>
          </w:p>
        </w:tc>
        <w:tc>
          <w:tcPr>
            <w:tcW w:type="dxa" w:w="22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Codage et débogage local</w:t>
            </w:r>
          </w:p>
        </w:tc>
        <w:tc>
          <w:tcPr>
            <w:tcW w:type="dxa" w:w="5103"/>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Docker Compose (PostgreSQL 16, mailer), symfony serve (HTTPS local), React dev server avec hot-reload, profiler Symfony</w:t>
            </w:r>
          </w:p>
        </w:tc>
      </w:tr>
      <w:tr>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Test</w:t>
            </w:r>
          </w:p>
        </w:tc>
        <w:tc>
          <w:tcPr>
            <w:tcW w:type="dxa" w:w="22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Exécution isolée des tests</w:t>
            </w:r>
          </w:p>
        </w:tc>
        <w:tc>
          <w:tcPr>
            <w:tcW w:type="dxa" w:w="5103"/>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SQLite dédiée (var/test.db), .env.test, fixtures (comptes admin/test), coût bcrypt réduit, limites de débit désactivées</w:t>
            </w:r>
          </w:p>
        </w:tc>
      </w:tr>
      <w:tr>
        <w:tc>
          <w:tcPr>
            <w:tcW w:type="dxa" w:w="1701"/>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Production</w:t>
            </w:r>
          </w:p>
        </w:tc>
        <w:tc>
          <w:tcPr>
            <w:tcW w:type="dxa" w:w="2268"/>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Service aux utilisateurs</w:t>
            </w:r>
          </w:p>
        </w:tc>
        <w:tc>
          <w:tcPr>
            <w:tcW w:type="dxa" w:w="5103"/>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VPS Nginx + PHP-FPM, front buildé servi en statique, API sur albion-back.perfweb.net, variables d'environnement serveur</w:t>
            </w:r>
          </w:p>
        </w:tc>
      </w:tr>
    </w:tbl>
    <w:p>
      <w:pPr>
        <w:spacing w:after="120" w:before="60" w:line="308"/>
        <w:jc w:val="both"/>
      </w:pPr>
      <w:r>
        <w:rPr>
          <w:b w:val="false"/>
          <w:bCs w:val="false"/>
          <w:i w:val="false"/>
          <w:iCs w:val="false"/>
          <w:sz w:val="22"/>
          <w:szCs w:val="22"/>
        </w:rPr>
        <w:t xml:space="preserve">Composants mobilisés, par rôle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85"/>
        <w:gridCol w:w="7087"/>
      </w:tblGrid>
      <w:tr>
        <w:trPr>
          <w:tblHeader/>
        </w:trPr>
        <w:tc>
          <w:tcPr>
            <w:tcW w:type="dxa" w:w="1985"/>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Rôle</w:t>
            </w:r>
          </w:p>
        </w:tc>
        <w:tc>
          <w:tcPr>
            <w:tcW w:type="dxa" w:w="7087"/>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Composant retenu</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Interpréteur / runtime</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PHP 8.2 (via PHP-FPM en production, serveur CLI Symfony en développement) · Node.js 22 (build et outillage front)</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Compilation / build front</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webpack + Babel (via react-scripts) : transpilation JSX/ES2023, bundle de production minifié</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Serveur web</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Nginx (statique front + reverse proxy FastCGI vers l'API)</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Serveur d'application</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PHP-FPM (pool de processus PHP derrière Nginx)</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SGBD</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PostgreSQL 16 (conteneur Docker en développement, service natif en production)</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Gestion de sources</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git (branches develop/master, Conventional Commits, hook pre-commit) hébergé sur GitHub</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Gestion des dépendances</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Composer (back) · npm avec lockfile (front) · Dependabot (mises à jour hebdomadaires)</w:t>
            </w:r>
          </w:p>
        </w:tc>
      </w:tr>
      <w:tr>
        <w:tc>
          <w:tcPr>
            <w:tcW w:type="dxa" w:w="1985"/>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Exécution des tests</w:t>
            </w:r>
          </w:p>
        </w:tc>
        <w:tc>
          <w:tcPr>
            <w:tcW w:type="dxa" w:w="7087"/>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PHPUnit (back) · Jest + React Testing Library (front) — orchestrés par GitHub Actions</w:t>
            </w:r>
          </w:p>
        </w:tc>
      </w:tr>
    </w:tbl>
    <w:p>
      <w:pPr>
        <w:spacing w:after="40" w:before="0" w:line="308"/>
        <w:jc w:val="both"/>
      </w:pPr>
      <w:r>
        <w:rPr>
          <w:b w:val="false"/>
          <w:bCs w:val="false"/>
          <w:i w:val="false"/>
          <w:iCs w:val="false"/>
          <w:sz w:val="22"/>
          <w:szCs w:val="22"/>
        </w:rPr>
        <w:t xml:space="preserve"/>
      </w:r>
    </w:p>
    <w:p>
      <w:pPr>
        <w:pStyle w:val="Heading2"/>
      </w:pPr>
      <w:r>
        <w:t xml:space="preserve">4.2 Protocole d'intégration continue</w:t>
      </w:r>
    </w:p>
    <w:p>
      <w:pPr>
        <w:spacing w:after="120" w:before="0" w:line="308"/>
        <w:jc w:val="both"/>
      </w:pPr>
      <w:r>
        <w:rPr>
          <w:b w:val="false"/>
          <w:bCs w:val="false"/>
          <w:i w:val="false"/>
          <w:iCs w:val="false"/>
          <w:sz w:val="22"/>
          <w:szCs w:val="22"/>
        </w:rPr>
        <w:t xml:space="preserve">Le pipeline GitHub Actions (.github/workflows/main.yml) se déclenche à chaque push et pull request sur les branches master et develop. Séquences d'intégration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567"/>
        <w:gridCol w:w="2268"/>
        <w:gridCol w:w="6237"/>
      </w:tblGrid>
      <w:tr>
        <w:trPr>
          <w:tblHeader/>
        </w:trPr>
        <w:tc>
          <w:tcPr>
            <w:tcW w:type="dxa" w:w="567"/>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w:t>
            </w:r>
          </w:p>
        </w:tc>
        <w:tc>
          <w:tcPr>
            <w:tcW w:type="dxa" w:w="2268"/>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Étape</w:t>
            </w:r>
          </w:p>
        </w:tc>
        <w:tc>
          <w:tcPr>
            <w:tcW w:type="dxa" w:w="6237"/>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Détail</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1</w:t>
            </w:r>
          </w:p>
        </w:tc>
        <w:tc>
          <w:tcPr>
            <w:tcW w:type="dxa" w:w="22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Checkout + PHP 8.2</w:t>
            </w:r>
          </w:p>
        </w:tc>
        <w:tc>
          <w:tcPr>
            <w:tcW w:type="dxa" w:w="623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actions/checkout, shivammathur/setup-php (extensions : intl, pdo_sqlite…)</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2</w:t>
            </w:r>
          </w:p>
        </w:tc>
        <w:tc>
          <w:tcPr>
            <w:tcW w:type="dxa" w:w="22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Dépendances back</w:t>
            </w:r>
          </w:p>
        </w:tc>
        <w:tc>
          <w:tcPr>
            <w:tcW w:type="dxa" w:w="623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composer install</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3</w:t>
            </w:r>
          </w:p>
        </w:tc>
        <w:tc>
          <w:tcPr>
            <w:tcW w:type="dxa" w:w="22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Clés JWT de test</w:t>
            </w:r>
          </w:p>
        </w:tc>
        <w:tc>
          <w:tcPr>
            <w:tcW w:type="dxa" w:w="623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lexik:jwt:generate-keypair (paire dédiée à la CI, jamais celle de prod)</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4</w:t>
            </w:r>
          </w:p>
        </w:tc>
        <w:tc>
          <w:tcPr>
            <w:tcW w:type="dxa" w:w="22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Base de test</w:t>
            </w:r>
          </w:p>
        </w:tc>
        <w:tc>
          <w:tcPr>
            <w:tcW w:type="dxa" w:w="623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doctrine:schema:create --env=test (SQLite, schéma neuf à chaque exécution)</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5</w:t>
            </w:r>
          </w:p>
        </w:tc>
        <w:tc>
          <w:tcPr>
            <w:tcW w:type="dxa" w:w="22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Tests backend</w:t>
            </w:r>
          </w:p>
        </w:tc>
        <w:tc>
          <w:tcPr>
            <w:tcW w:type="dxa" w:w="623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php bin/phpunit — 35 tests, 98 assertions</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6</w:t>
            </w:r>
          </w:p>
        </w:tc>
        <w:tc>
          <w:tcPr>
            <w:tcW w:type="dxa" w:w="22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Node 22 + dépendances front</w:t>
            </w:r>
          </w:p>
        </w:tc>
        <w:tc>
          <w:tcPr>
            <w:tcW w:type="dxa" w:w="623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npm ci --legacy-peer-deps (installation reproductible depuis le lockfile)</w:t>
            </w:r>
          </w:p>
        </w:tc>
      </w:tr>
      <w:tr>
        <w:tc>
          <w:tcPr>
            <w:tcW w:type="dxa" w:w="567"/>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7</w:t>
            </w:r>
          </w:p>
        </w:tc>
        <w:tc>
          <w:tcPr>
            <w:tcW w:type="dxa" w:w="2268"/>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Tests frontend</w:t>
            </w:r>
          </w:p>
        </w:tc>
        <w:tc>
          <w:tcPr>
            <w:tcW w:type="dxa" w:w="6237"/>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CI=true npm test — 12 suites, 96 tests</w:t>
            </w:r>
          </w:p>
        </w:tc>
      </w:tr>
    </w:tbl>
    <w:p>
      <w:pPr>
        <w:spacing w:after="120" w:before="60" w:line="308"/>
        <w:jc w:val="both"/>
      </w:pPr>
      <w:r>
        <w:rPr>
          <w:b w:val="false"/>
          <w:bCs w:val="false"/>
          <w:i w:val="false"/>
          <w:iCs w:val="false"/>
          <w:sz w:val="22"/>
          <w:szCs w:val="22"/>
        </w:rPr>
        <w:t xml:space="preserve">Les deux jobs (backend-tests, frontend-tests) tournent en parallèle. Tout échec bloque la fusion et le déploiement : c'est la barrière anti-régression du projet — 131 tests au total. Dependabot complète le dispositif en ouvrant chaque semaine des PR de mise à jour (composer, npm, GitHub Actions), elles-mêmes validées par ce même pipeline.</w:t>
      </w:r>
    </w:p>
    <w:p>
      <w:pPr>
        <w:pStyle w:val="Heading2"/>
      </w:pPr>
      <w:r>
        <w:t xml:space="preserve">4.3 Critères de qualité et de performance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85"/>
        <w:gridCol w:w="3686"/>
        <w:gridCol w:w="3401"/>
      </w:tblGrid>
      <w:tr>
        <w:trPr>
          <w:tblHeader/>
        </w:trPr>
        <w:tc>
          <w:tcPr>
            <w:tcW w:type="dxa" w:w="1985"/>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Critère</w:t>
            </w:r>
          </w:p>
        </w:tc>
        <w:tc>
          <w:tcPr>
            <w:tcW w:type="dxa" w:w="3686"/>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Seuil / règle</w:t>
            </w:r>
          </w:p>
        </w:tc>
        <w:tc>
          <w:tcPr>
            <w:tcW w:type="dxa" w:w="3401"/>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Vérification</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Non-régression</w:t>
            </w:r>
          </w:p>
        </w:tc>
        <w:tc>
          <w:tcPr>
            <w:tcW w:type="dxa" w:w="368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100 % des tests verts avant fusion et déploiement</w:t>
            </w:r>
          </w:p>
        </w:tc>
        <w:tc>
          <w:tcPr>
            <w:tcW w:type="dxa" w:w="34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CI bloquante (needs:)</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Sécurité des dépendances</w:t>
            </w:r>
          </w:p>
        </w:tc>
        <w:tc>
          <w:tcPr>
            <w:tcW w:type="dxa" w:w="368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0 advisory critique ou élevée en production</w:t>
            </w:r>
          </w:p>
        </w:tc>
        <w:tc>
          <w:tcPr>
            <w:tcW w:type="dxa" w:w="34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composer audit / npm audit + Dependabot</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Accessibilité</w:t>
            </w:r>
          </w:p>
        </w:tc>
        <w:tc>
          <w:tcPr>
            <w:tcW w:type="dxa" w:w="368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Score Lighthouse ≥ 90 sur les pages publiques, 0 violation axe-core bloquante</w:t>
            </w:r>
          </w:p>
        </w:tc>
        <w:tc>
          <w:tcPr>
            <w:tcW w:type="dxa" w:w="34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Audit outillé (cf. §8)</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Versioning</w:t>
            </w:r>
          </w:p>
        </w:tc>
        <w:tc>
          <w:tcPr>
            <w:tcW w:type="dxa" w:w="368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Messages Conventional Commits, CHANGELOG tenu à jour</w:t>
            </w:r>
          </w:p>
        </w:tc>
        <w:tc>
          <w:tcPr>
            <w:tcW w:type="dxa" w:w="34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Revue avant commit (hook pre-commit : lint PHP + patterns dangereux)</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Performance perçue</w:t>
            </w:r>
          </w:p>
        </w:tc>
        <w:tc>
          <w:tcPr>
            <w:tcW w:type="dxa" w:w="368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États de chargement systématiques ; données marché mises en cache côté API</w:t>
            </w:r>
          </w:p>
        </w:tc>
        <w:tc>
          <w:tcPr>
            <w:tcW w:type="dxa" w:w="34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Recette manuelle (cf. §10)</w:t>
            </w:r>
          </w:p>
        </w:tc>
      </w:tr>
      <w:tr>
        <w:tc>
          <w:tcPr>
            <w:tcW w:type="dxa" w:w="1985"/>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Disponibilité API</w:t>
            </w:r>
          </w:p>
        </w:tc>
        <w:tc>
          <w:tcPr>
            <w:tcW w:type="dxa" w:w="3686"/>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Réponse /api/health &lt; 1 s, statut OK</w:t>
            </w:r>
          </w:p>
        </w:tc>
        <w:tc>
          <w:tcPr>
            <w:tcW w:type="dxa" w:w="3401"/>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Sonde de supervision (Bloc 4)</w:t>
            </w:r>
          </w:p>
        </w:tc>
      </w:tr>
    </w:tbl>
    <w:p>
      <w:pPr>
        <w:pStyle w:val="Heading2"/>
      </w:pPr>
      <w:r>
        <w:t xml:space="preserve">4.4 Configuration et gestion des secrets par environnement</w:t>
      </w:r>
    </w:p>
    <w:p>
      <w:pPr>
        <w:spacing w:after="120" w:before="0" w:line="308"/>
        <w:jc w:val="both"/>
      </w:pPr>
      <w:r>
        <w:rPr>
          <w:b w:val="false"/>
          <w:bCs w:val="false"/>
          <w:i w:val="false"/>
          <w:iCs w:val="false"/>
          <w:sz w:val="22"/>
          <w:szCs w:val="22"/>
        </w:rPr>
        <w:t xml:space="preserve">La règle est simple et vérifiable dans l'historique git : aucun secret n'a jamais été commité. Le fichier .env versionné ne contient que des valeurs par défaut inoffensives ; chaque environnement surcharge localement.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835"/>
        <w:gridCol w:w="3969"/>
      </w:tblGrid>
      <w:tr>
        <w:trPr>
          <w:tblHeader/>
        </w:trPr>
        <w:tc>
          <w:tcPr>
            <w:tcW w:type="dxa" w:w="2268"/>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Variable / secret</w:t>
            </w:r>
          </w:p>
        </w:tc>
        <w:tc>
          <w:tcPr>
            <w:tcW w:type="dxa" w:w="2835"/>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Rôle</w:t>
            </w:r>
          </w:p>
        </w:tc>
        <w:tc>
          <w:tcPr>
            <w:tcW w:type="dxa" w:w="3969"/>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Où elle vit</w:t>
            </w:r>
          </w:p>
        </w:tc>
      </w:tr>
      <w:tr>
        <w:tc>
          <w:tcPr>
            <w:tcW w:type="dxa" w:w="22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APP_SECRET</w:t>
            </w:r>
          </w:p>
        </w:tc>
        <w:tc>
          <w:tcPr>
            <w:tcW w:type="dxa" w:w="283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Secret applicatif Symfony</w:t>
            </w:r>
          </w:p>
        </w:tc>
        <w:tc>
          <w:tcPr>
            <w:tcW w:type="dxa" w:w="396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.env.local (généré, jamais commité)</w:t>
            </w:r>
          </w:p>
        </w:tc>
      </w:tr>
      <w:tr>
        <w:tc>
          <w:tcPr>
            <w:tcW w:type="dxa" w:w="22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DATABASE_URL</w:t>
            </w:r>
          </w:p>
        </w:tc>
        <w:tc>
          <w:tcPr>
            <w:tcW w:type="dxa" w:w="283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Connexion PostgreSQL</w:t>
            </w:r>
          </w:p>
        </w:tc>
        <w:tc>
          <w:tcPr>
            <w:tcW w:type="dxa" w:w="396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.env.local par environnement</w:t>
            </w:r>
          </w:p>
        </w:tc>
      </w:tr>
      <w:tr>
        <w:tc>
          <w:tcPr>
            <w:tcW w:type="dxa" w:w="22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CORS_ALLOW_ORIGIN</w:t>
            </w:r>
          </w:p>
        </w:tc>
        <w:tc>
          <w:tcPr>
            <w:tcW w:type="dxa" w:w="283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Origines front autorisées (origin_regex)</w:t>
            </w:r>
          </w:p>
        </w:tc>
        <w:tc>
          <w:tcPr>
            <w:tcW w:type="dxa" w:w="396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.env.local — localhost en dev, domaine de production en prod</w:t>
            </w:r>
          </w:p>
        </w:tc>
      </w:tr>
      <w:tr>
        <w:tc>
          <w:tcPr>
            <w:tcW w:type="dxa" w:w="22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JWT_PASSPHRASE + clés RSA</w:t>
            </w:r>
          </w:p>
        </w:tc>
        <w:tc>
          <w:tcPr>
            <w:tcW w:type="dxa" w:w="283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Signature RS256 des jetons</w:t>
            </w:r>
          </w:p>
        </w:tc>
        <w:tc>
          <w:tcPr>
            <w:tcW w:type="dxa" w:w="396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Paire de clés générée sur chaque machine (lexik:jwt:generate-keypair), exclue par .gitignore (*.pem)</w:t>
            </w:r>
          </w:p>
        </w:tc>
      </w:tr>
      <w:tr>
        <w:tc>
          <w:tcPr>
            <w:tcW w:type="dxa" w:w="22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REACT_APP_API_URL</w:t>
            </w:r>
          </w:p>
        </w:tc>
        <w:tc>
          <w:tcPr>
            <w:tcW w:type="dxa" w:w="283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URL de l'API pour le front</w:t>
            </w:r>
          </w:p>
        </w:tc>
        <w:tc>
          <w:tcPr>
            <w:tcW w:type="dxa" w:w="396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.env.development / .env.production</w:t>
            </w:r>
          </w:p>
        </w:tc>
      </w:tr>
      <w:tr>
        <w:tc>
          <w:tcPr>
            <w:tcW w:type="dxa" w:w="2268"/>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SSH_HOST, SSH_USER, SSH_PRIVATE_KEY, DEPLOY_PATH</w:t>
            </w:r>
          </w:p>
        </w:tc>
        <w:tc>
          <w:tcPr>
            <w:tcW w:type="dxa" w:w="2835"/>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Déploiement continu</w:t>
            </w:r>
          </w:p>
        </w:tc>
        <w:tc>
          <w:tcPr>
            <w:tcW w:type="dxa" w:w="3969"/>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Secrets GitHub Actions chiffrés — jamais visibles dans les logs ni le code</w:t>
            </w:r>
          </w:p>
        </w:tc>
      </w:tr>
    </w:tbl>
    <w:p>
      <w:pPr>
        <w:spacing w:after="120" w:before="0" w:line="308"/>
        <w:jc w:val="both"/>
      </w:pPr>
      <w:r>
        <w:rPr>
          <w:b w:val="false"/>
          <w:bCs w:val="false"/>
          <w:i w:val="false"/>
          <w:iCs w:val="false"/>
          <w:sz w:val="22"/>
          <w:szCs w:val="22"/>
        </w:rPr>
        <w:t xml:space="preserve">Conséquence observable : sans ses secrets, le job de déploiement refuse simplement de s'exécuter (annexe B) — le dépôt public peut être cloné par quiconque sans exposer quoi que ce soit.</w:t>
      </w:r>
    </w:p>
    <w:p>
      <w:pPr>
        <w:pStyle w:val="Heading1"/>
      </w:pPr>
      <w:r>
        <w:t xml:space="preserve">5. Protocole de déploiement continu</w:t>
      </w:r>
    </w:p>
    <w:p>
      <w:pPr>
        <w:spacing w:after="120" w:before="0" w:line="308"/>
        <w:jc w:val="both"/>
      </w:pPr>
      <w:r>
        <w:rPr>
          <w:b w:val="false"/>
          <w:bCs w:val="false"/>
          <w:i w:val="false"/>
          <w:iCs w:val="false"/>
          <w:sz w:val="22"/>
          <w:szCs w:val="22"/>
        </w:rPr>
        <w:t xml:space="preserve">Le déploiement est entièrement automatisé et conditionné : le job deploy n'est exécuté que si les deux jobs de tests réussissent (needs: [backend-tests, frontend-tests]) et uniquement sur un push de la branche master. Une fusion develop → master constitue donc l'acte de mise en production.</w:t>
      </w:r>
    </w:p>
    <w:p>
      <w:pPr>
        <w:pStyle w:val="Heading2"/>
      </w:pPr>
      <w:r>
        <w:t xml:space="preserve">5.1 Séquences de déploiement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567"/>
        <w:gridCol w:w="2268"/>
        <w:gridCol w:w="6237"/>
      </w:tblGrid>
      <w:tr>
        <w:trPr>
          <w:tblHeader/>
        </w:trPr>
        <w:tc>
          <w:tcPr>
            <w:tcW w:type="dxa" w:w="567"/>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w:t>
            </w:r>
          </w:p>
        </w:tc>
        <w:tc>
          <w:tcPr>
            <w:tcW w:type="dxa" w:w="2268"/>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Séquence</w:t>
            </w:r>
          </w:p>
        </w:tc>
        <w:tc>
          <w:tcPr>
            <w:tcW w:type="dxa" w:w="6237"/>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Commande / mécanisme</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1</w:t>
            </w:r>
          </w:p>
        </w:tc>
        <w:tc>
          <w:tcPr>
            <w:tcW w:type="dxa" w:w="22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Validation complète</w:t>
            </w:r>
          </w:p>
        </w:tc>
        <w:tc>
          <w:tcPr>
            <w:tcW w:type="dxa" w:w="623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Pipeline CI : 131 tests verts requis</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2</w:t>
            </w:r>
          </w:p>
        </w:tc>
        <w:tc>
          <w:tcPr>
            <w:tcW w:type="dxa" w:w="22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Connexion au serveur</w:t>
            </w:r>
          </w:p>
        </w:tc>
        <w:tc>
          <w:tcPr>
            <w:tcW w:type="dxa" w:w="623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appleboy/ssh-action — secrets GitHub : SSH_HOST, SSH_USER, SSH_PRIVATE_KEY, DEPLOY_PATH (aucun identifiant dans le code)</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3</w:t>
            </w:r>
          </w:p>
        </w:tc>
        <w:tc>
          <w:tcPr>
            <w:tcW w:type="dxa" w:w="22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Mise à jour du code</w:t>
            </w:r>
          </w:p>
        </w:tc>
        <w:tc>
          <w:tcPr>
            <w:tcW w:type="dxa" w:w="623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git fetch + git reset --hard origin/master (état reproductible)</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4</w:t>
            </w:r>
          </w:p>
        </w:tc>
        <w:tc>
          <w:tcPr>
            <w:tcW w:type="dxa" w:w="22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Dépendances back</w:t>
            </w:r>
          </w:p>
        </w:tc>
        <w:tc>
          <w:tcPr>
            <w:tcW w:type="dxa" w:w="623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composer install --no-dev --optimize-autoloader</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5</w:t>
            </w:r>
          </w:p>
        </w:tc>
        <w:tc>
          <w:tcPr>
            <w:tcW w:type="dxa" w:w="22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Clés JWT</w:t>
            </w:r>
          </w:p>
        </w:tc>
        <w:tc>
          <w:tcPr>
            <w:tcW w:type="dxa" w:w="623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lexik:jwt:generate-keypair --skip-if-exists</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6</w:t>
            </w:r>
          </w:p>
        </w:tc>
        <w:tc>
          <w:tcPr>
            <w:tcW w:type="dxa" w:w="22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Migration du schéma</w:t>
            </w:r>
          </w:p>
        </w:tc>
        <w:tc>
          <w:tcPr>
            <w:tcW w:type="dxa" w:w="623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doctrine:migrations:migrate --no-interaction --env=prod</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7</w:t>
            </w:r>
          </w:p>
        </w:tc>
        <w:tc>
          <w:tcPr>
            <w:tcW w:type="dxa" w:w="22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Cache de production</w:t>
            </w:r>
          </w:p>
        </w:tc>
        <w:tc>
          <w:tcPr>
            <w:tcW w:type="dxa" w:w="623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cache:clear --env=prod</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8</w:t>
            </w:r>
          </w:p>
        </w:tc>
        <w:tc>
          <w:tcPr>
            <w:tcW w:type="dxa" w:w="22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Build du front</w:t>
            </w:r>
          </w:p>
        </w:tc>
        <w:tc>
          <w:tcPr>
            <w:tcW w:type="dxa" w:w="623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npm ci --legacy-peer-deps &amp;&amp; npm run build (servi en statique par Nginx)</w:t>
            </w:r>
          </w:p>
        </w:tc>
      </w:tr>
      <w:tr>
        <w:tc>
          <w:tcPr>
            <w:tcW w:type="dxa" w:w="567"/>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9</w:t>
            </w:r>
          </w:p>
        </w:tc>
        <w:tc>
          <w:tcPr>
            <w:tcW w:type="dxa" w:w="2268"/>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Sonde de supervision</w:t>
            </w:r>
          </w:p>
        </w:tc>
        <w:tc>
          <w:tcPr>
            <w:tcW w:type="dxa" w:w="6237"/>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Ré-installation idempotente de la crontab (*/5) de deploy/healthcheck-probe.sh : la supervision se déploie avec le code (Bloc 4)</w:t>
            </w:r>
          </w:p>
        </w:tc>
      </w:tr>
    </w:tbl>
    <w:p>
      <w:pPr>
        <w:spacing w:after="120" w:before="60" w:line="308"/>
        <w:jc w:val="both"/>
      </w:pPr>
      <w:r>
        <w:rPr>
          <w:b w:val="false"/>
          <w:bCs w:val="false"/>
          <w:i w:val="false"/>
          <w:iCs w:val="false"/>
          <w:sz w:val="22"/>
          <w:szCs w:val="22"/>
        </w:rPr>
        <w:t xml:space="preserve">Le script deploy/deploy.sh est versionné dans le dépôt : la procédure de déploiement est revue comme du code. En cas d'échec d'une étape (set -e), le déploiement s'interrompt et la version précédente du front reste servie ; un retour arrière consiste à re-déployer le commit précédent de master.</w:t>
      </w:r>
    </w:p>
    <w:p>
      <w:pPr>
        <w:pStyle w:val="Heading2"/>
      </w:pPr>
      <w:r>
        <w:t xml:space="preserve">5.2 Scénarios d'échec et conduite à tenir</w:t>
      </w:r>
    </w:p>
    <w:p>
      <w:pPr>
        <w:spacing w:after="120" w:before="0" w:line="308"/>
        <w:jc w:val="both"/>
      </w:pPr>
      <w:r>
        <w:rPr>
          <w:b w:val="false"/>
          <w:bCs w:val="false"/>
          <w:i w:val="false"/>
          <w:iCs w:val="false"/>
          <w:sz w:val="22"/>
          <w:szCs w:val="22"/>
        </w:rPr>
        <w:t xml:space="preserve">Chaque étape du déploiement a un mode d'échec identifié et une réponse définie — le déploiement est conçu pour échouer proprement plutôt que de laisser la production dans un état intermédiaire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85"/>
        <w:gridCol w:w="3969"/>
        <w:gridCol w:w="3118"/>
      </w:tblGrid>
      <w:tr>
        <w:trPr>
          <w:tblHeader/>
        </w:trPr>
        <w:tc>
          <w:tcPr>
            <w:tcW w:type="dxa" w:w="1985"/>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Défaillance</w:t>
            </w:r>
          </w:p>
        </w:tc>
        <w:tc>
          <w:tcPr>
            <w:tcW w:type="dxa" w:w="3969"/>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Comportement du dispositif</w:t>
            </w:r>
          </w:p>
        </w:tc>
        <w:tc>
          <w:tcPr>
            <w:tcW w:type="dxa" w:w="3118"/>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Conduite à tenir</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Un test échoue dans la CI</w:t>
            </w:r>
          </w:p>
        </w:tc>
        <w:tc>
          <w:tcPr>
            <w:tcW w:type="dxa" w:w="396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Le job deploy n'est jamais lancé (needs:) — la production n'est pas touchée</w:t>
            </w:r>
          </w:p>
        </w:tc>
        <w:tc>
          <w:tcPr>
            <w:tcW w:type="dxa" w:w="311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Corriger sur develop, re-pousser</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Secrets SSH absents ou invalides</w:t>
            </w:r>
          </w:p>
        </w:tc>
        <w:tc>
          <w:tcPr>
            <w:tcW w:type="dxa" w:w="396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Le job deploy s'arrête immédiatement (« missing server host ») — comportement vérifié, cf. annexe B</w:t>
            </w:r>
          </w:p>
        </w:tc>
        <w:tc>
          <w:tcPr>
            <w:tcW w:type="dxa" w:w="311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Renseigner les secrets GitHub, relancer le run</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Échec d'une migration BDD</w:t>
            </w:r>
          </w:p>
        </w:tc>
        <w:tc>
          <w:tcPr>
            <w:tcW w:type="dxa" w:w="396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set -e interrompt le script avant le cache et le build : l'ancien code reste servi</w:t>
            </w:r>
          </w:p>
        </w:tc>
        <w:tc>
          <w:tcPr>
            <w:tcW w:type="dxa" w:w="311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Corriger la migration, re-déployer ; les migrations restent réversibles (down())</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Échec du build front</w:t>
            </w:r>
          </w:p>
        </w:tc>
        <w:tc>
          <w:tcPr>
            <w:tcW w:type="dxa" w:w="396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L'ancien build reste en place (le dossier build/ n'est remplacé qu'en fin de compilation)</w:t>
            </w:r>
          </w:p>
        </w:tc>
        <w:tc>
          <w:tcPr>
            <w:tcW w:type="dxa" w:w="311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Re-déployer après correctif</w:t>
            </w:r>
          </w:p>
        </w:tc>
      </w:tr>
      <w:tr>
        <w:tc>
          <w:tcPr>
            <w:tcW w:type="dxa" w:w="1985"/>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Régression détectée après mise en production</w:t>
            </w:r>
          </w:p>
        </w:tc>
        <w:tc>
          <w:tcPr>
            <w:tcW w:type="dxa" w:w="3969"/>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La sonde (/api/health + cron) alerte en ≤ 5 min ; l'historique master permet de cibler le commit fautif</w:t>
            </w:r>
          </w:p>
        </w:tc>
        <w:tc>
          <w:tcPr>
            <w:tcW w:type="dxa" w:w="3118"/>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Re-déployer le commit master précédent (retour arrière en une commande)</w:t>
            </w:r>
          </w:p>
        </w:tc>
      </w:tr>
    </w:tbl>
    <w:p>
      <w:pPr>
        <w:pStyle w:val="Heading1"/>
      </w:pPr>
      <w:r>
        <w:t xml:space="preserve">6. Harnais de tests unitaires</w:t>
      </w:r>
    </w:p>
    <w:p>
      <w:pPr>
        <w:pStyle w:val="Heading2"/>
      </w:pPr>
      <w:r>
        <w:t xml:space="preserve">6.1 Vue d'ensemble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18"/>
        <w:gridCol w:w="3119"/>
        <w:gridCol w:w="2552"/>
        <w:gridCol w:w="1983"/>
      </w:tblGrid>
      <w:tr>
        <w:trPr>
          <w:tblHeader/>
        </w:trPr>
        <w:tc>
          <w:tcPr>
            <w:tcW w:type="dxa" w:w="1418"/>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Suite</w:t>
            </w:r>
          </w:p>
        </w:tc>
        <w:tc>
          <w:tcPr>
            <w:tcW w:type="dxa" w:w="3119"/>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Outils</w:t>
            </w:r>
          </w:p>
        </w:tc>
        <w:tc>
          <w:tcPr>
            <w:tcW w:type="dxa" w:w="2552"/>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Volume</w:t>
            </w:r>
          </w:p>
        </w:tc>
        <w:tc>
          <w:tcPr>
            <w:tcW w:type="dxa" w:w="1983"/>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Statut (14/07/2026)</w:t>
            </w:r>
          </w:p>
        </w:tc>
      </w:tr>
      <w:tr>
        <w:tc>
          <w:tcPr>
            <w:tcW w:type="dxa" w:w="141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Backend</w:t>
            </w:r>
          </w:p>
        </w:tc>
        <w:tc>
          <w:tcPr>
            <w:tcW w:type="dxa" w:w="311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PHPUnit 9.6, WebTestCase, SQLite dédiée</w:t>
            </w:r>
          </w:p>
        </w:tc>
        <w:tc>
          <w:tcPr>
            <w:tcW w:type="dxa" w:w="25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35 tests, 98 assertions</w:t>
            </w:r>
          </w:p>
        </w:tc>
        <w:tc>
          <w:tcPr>
            <w:tcW w:type="dxa" w:w="1983"/>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100 % verts</w:t>
            </w:r>
          </w:p>
        </w:tc>
      </w:tr>
      <w:tr>
        <w:tc>
          <w:tcPr>
            <w:tcW w:type="dxa" w:w="1418"/>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Frontend</w:t>
            </w:r>
          </w:p>
        </w:tc>
        <w:tc>
          <w:tcPr>
            <w:tcW w:type="dxa" w:w="3119"/>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Jest + React Testing Library 16</w:t>
            </w:r>
          </w:p>
        </w:tc>
        <w:tc>
          <w:tcPr>
            <w:tcW w:type="dxa" w:w="2552"/>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12 suites — 96 tests</w:t>
            </w:r>
          </w:p>
        </w:tc>
        <w:tc>
          <w:tcPr>
            <w:tcW w:type="dxa" w:w="1983"/>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100 % verts</w:t>
            </w:r>
          </w:p>
        </w:tc>
      </w:tr>
    </w:tbl>
    <w:p>
      <w:pPr>
        <w:spacing w:after="40" w:before="0" w:line="308"/>
        <w:jc w:val="both"/>
      </w:pPr>
      <w:r>
        <w:rPr>
          <w:b w:val="false"/>
          <w:bCs w:val="false"/>
          <w:i w:val="false"/>
          <w:iCs w:val="false"/>
          <w:sz w:val="22"/>
          <w:szCs w:val="22"/>
        </w:rPr>
        <w:t xml:space="preserve"/>
      </w:r>
    </w:p>
    <w:p>
      <w:pPr>
        <w:pStyle w:val="Heading2"/>
      </w:pPr>
      <w:r>
        <w:t xml:space="preserve">6.2 Fonctionnalité couverte de bout en bout : l'authentification</w:t>
      </w:r>
    </w:p>
    <w:p>
      <w:pPr>
        <w:spacing w:after="120" w:before="0" w:line="308"/>
        <w:jc w:val="both"/>
      </w:pPr>
      <w:r>
        <w:rPr>
          <w:b w:val="false"/>
          <w:bCs w:val="false"/>
          <w:i w:val="false"/>
          <w:iCs w:val="false"/>
          <w:sz w:val="22"/>
          <w:szCs w:val="22"/>
        </w:rPr>
        <w:t xml:space="preserve">Conformément au référentiel (« un jeu de tests unitaires couvrant une fonctionnalité demandée »), le flux d'authentification est testé sur toute la chaîne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375"/>
        <w:gridCol w:w="3299"/>
        <w:gridCol w:w="4398"/>
      </w:tblGrid>
      <w:tr>
        <w:trPr>
          <w:tblHeader/>
        </w:trPr>
        <w:tc>
          <w:tcPr>
            <w:tcW w:type="dxa" w:w="1375"/>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Niveau</w:t>
            </w:r>
          </w:p>
        </w:tc>
        <w:tc>
          <w:tcPr>
            <w:tcW w:type="dxa" w:w="3299"/>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Fichier</w:t>
            </w:r>
          </w:p>
        </w:tc>
        <w:tc>
          <w:tcPr>
            <w:tcW w:type="dxa" w:w="4398"/>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Cas couverts</w:t>
            </w:r>
          </w:p>
        </w:tc>
      </w:tr>
      <w:tr>
        <w:tc>
          <w:tcPr>
            <w:tcW w:type="dxa" w:w="137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API</w:t>
            </w:r>
          </w:p>
        </w:tc>
        <w:tc>
          <w:tcPr>
            <w:tcW w:type="dxa" w:w="329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tests/Controller/AuthControllerTest.php</w:t>
            </w:r>
          </w:p>
        </w:tc>
        <w:tc>
          <w:tcPr>
            <w:tcW w:type="dxa" w:w="439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Inscription réussie (201), doublon refusé (400), connexion valide → JWT (200), identifiants invalides (401)</w:t>
            </w:r>
          </w:p>
        </w:tc>
      </w:tr>
      <w:tr>
        <w:tc>
          <w:tcPr>
            <w:tcW w:type="dxa" w:w="137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Interface</w:t>
            </w:r>
          </w:p>
        </w:tc>
        <w:tc>
          <w:tcPr>
            <w:tcW w:type="dxa" w:w="329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src/pages/Login/Login.test.jsx</w:t>
            </w:r>
          </w:p>
        </w:tc>
        <w:tc>
          <w:tcPr>
            <w:tcW w:type="dxa" w:w="439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Rendu du formulaire, soumission, stockage des jetons, message d'erreur</w:t>
            </w:r>
          </w:p>
        </w:tc>
      </w:tr>
      <w:tr>
        <w:tc>
          <w:tcPr>
            <w:tcW w:type="dxa" w:w="137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Interface</w:t>
            </w:r>
          </w:p>
        </w:tc>
        <w:tc>
          <w:tcPr>
            <w:tcW w:type="dxa" w:w="329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src/pages/Register/Register.test.jsx</w:t>
            </w:r>
          </w:p>
        </w:tc>
        <w:tc>
          <w:tcPr>
            <w:tcW w:type="dxa" w:w="439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Rendu, validation des champs, succès → redirection login</w:t>
            </w:r>
          </w:p>
        </w:tc>
      </w:tr>
      <w:tr>
        <w:tc>
          <w:tcPr>
            <w:tcW w:type="dxa" w:w="137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Utilitaires</w:t>
            </w:r>
          </w:p>
        </w:tc>
        <w:tc>
          <w:tcPr>
            <w:tcW w:type="dxa" w:w="329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src/utils/authUtils.test.js</w:t>
            </w:r>
          </w:p>
        </w:tc>
        <w:tc>
          <w:tcPr>
            <w:tcW w:type="dxa" w:w="439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Validation d'expiration du JWT, déclenchement du refresh, purge des jetons invalides</w:t>
            </w:r>
          </w:p>
        </w:tc>
      </w:tr>
      <w:tr>
        <w:tc>
          <w:tcPr>
            <w:tcW w:type="dxa" w:w="1375"/>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Client HTTP</w:t>
            </w:r>
          </w:p>
        </w:tc>
        <w:tc>
          <w:tcPr>
            <w:tcW w:type="dxa" w:w="3299"/>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src/api.test.js</w:t>
            </w:r>
          </w:p>
        </w:tc>
        <w:tc>
          <w:tcPr>
            <w:tcW w:type="dxa" w:w="4398"/>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Intercepteurs : ajout du Bearer, gestion 401/403</w:t>
            </w:r>
          </w:p>
        </w:tc>
      </w:tr>
    </w:tbl>
    <w:p>
      <w:pPr>
        <w:spacing w:after="120" w:before="60" w:line="308"/>
        <w:jc w:val="both"/>
      </w:pPr>
      <w:r>
        <w:rPr>
          <w:b w:val="false"/>
          <w:bCs w:val="false"/>
          <w:i w:val="false"/>
          <w:iCs w:val="false"/>
          <w:sz w:val="22"/>
          <w:szCs w:val="22"/>
        </w:rPr>
        <w:t xml:space="preserve">Exemple réel — le scénario nominal d'inscription, exécuté contre l'API complète (WebTestCase, base SQLite dédiée)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E0D5BB" w:sz="2"/>
              <w:left w:val="single" w:color="E0D5BB" w:sz="2"/>
              <w:bottom w:val="single" w:color="E0D5BB" w:sz="2"/>
              <w:right w:val="single" w:color="E0D5BB" w:sz="2"/>
            </w:tcBorders>
            <w:shd w:fill="FAF6EC" w:val="clear"/>
            <w:tcMar>
              <w:top w:type="dxa" w:w="90"/>
              <w:left w:type="dxa" w:w="140"/>
              <w:bottom w:type="dxa" w:w="90"/>
              <w:right w:type="dxa" w:w="140"/>
            </w:tcMar>
          </w:tcPr>
          <w:p>
            <w:pPr>
              <w:spacing w:after="0" w:line="230"/>
            </w:pPr>
            <w:r>
              <w:rPr>
                <w:rFonts w:ascii="Courier New" w:cs="Courier New" w:eastAsia="Courier New" w:hAnsi="Courier New"/>
                <w:color w:val="3A2E15"/>
                <w:sz w:val="16"/>
                <w:szCs w:val="16"/>
              </w:rPr>
              <w:t xml:space="preserve">public function testRegisterSuccess(): void</w:t>
            </w:r>
          </w:p>
          <w:p>
            <w:pPr>
              <w:spacing w:after="0" w:line="230"/>
            </w:pPr>
            <w:r>
              <w:rPr>
                <w:rFonts w:ascii="Courier New" w:cs="Courier New" w:eastAsia="Courier New" w:hAnsi="Courier New"/>
                <w:color w:val="3A2E15"/>
                <w:sz w:val="16"/>
                <w:szCs w:val="16"/>
              </w:rPr>
              <w:t xml:space="preserve">{</w:t>
            </w:r>
          </w:p>
          <w:p>
            <w:pPr>
              <w:spacing w:after="0" w:line="230"/>
            </w:pPr>
            <w:r>
              <w:rPr>
                <w:rFonts w:ascii="Courier New" w:cs="Courier New" w:eastAsia="Courier New" w:hAnsi="Courier New"/>
                <w:color w:val="3A2E15"/>
                <w:sz w:val="16"/>
                <w:szCs w:val="16"/>
              </w:rPr>
              <w:t xml:space="preserve">    $client = static::createClient();</w:t>
            </w:r>
          </w:p>
          <w:p>
            <w:pPr>
              <w:spacing w:after="0" w:line="230"/>
            </w:pPr>
            <w:r>
              <w:rPr>
                <w:rFonts w:ascii="Courier New" w:cs="Courier New" w:eastAsia="Courier New" w:hAnsi="Courier New"/>
                <w:color w:val="3A2E15"/>
                <w:sz w:val="16"/>
                <w:szCs w:val="16"/>
              </w:rPr>
              <w:t xml:space="preserve">    $username = 'testuser_' . uniqid();</w:t>
            </w:r>
          </w:p>
          <w:p>
            <w:pPr>
              <w:spacing w:after="0" w:line="230"/>
            </w:pPr>
            <w:r>
              <w:rPr>
                <w:rFonts w:ascii="Courier New" w:cs="Courier New" w:eastAsia="Courier New" w:hAnsi="Courier New"/>
                <w:color w:val="3A2E15"/>
                <w:sz w:val="16"/>
                <w:szCs w:val="16"/>
              </w:rPr>
              <w:t xml:space="preserve"> </w:t>
            </w:r>
          </w:p>
          <w:p>
            <w:pPr>
              <w:spacing w:after="0" w:line="230"/>
            </w:pPr>
            <w:r>
              <w:rPr>
                <w:rFonts w:ascii="Courier New" w:cs="Courier New" w:eastAsia="Courier New" w:hAnsi="Courier New"/>
                <w:color w:val="3A2E15"/>
                <w:sz w:val="16"/>
                <w:szCs w:val="16"/>
              </w:rPr>
              <w:t xml:space="preserve">    $client-&gt;request('POST', '/api/register', [], [],</w:t>
            </w:r>
          </w:p>
          <w:p>
            <w:pPr>
              <w:spacing w:after="0" w:line="230"/>
            </w:pPr>
            <w:r>
              <w:rPr>
                <w:rFonts w:ascii="Courier New" w:cs="Courier New" w:eastAsia="Courier New" w:hAnsi="Courier New"/>
                <w:color w:val="3A2E15"/>
                <w:sz w:val="16"/>
                <w:szCs w:val="16"/>
              </w:rPr>
              <w:t xml:space="preserve">        ['CONTENT_TYPE' =&gt; 'application/json'],</w:t>
            </w:r>
          </w:p>
          <w:p>
            <w:pPr>
              <w:spacing w:after="0" w:line="230"/>
            </w:pPr>
            <w:r>
              <w:rPr>
                <w:rFonts w:ascii="Courier New" w:cs="Courier New" w:eastAsia="Courier New" w:hAnsi="Courier New"/>
                <w:color w:val="3A2E15"/>
                <w:sz w:val="16"/>
                <w:szCs w:val="16"/>
              </w:rPr>
              <w:t xml:space="preserve">        json_encode(['username' =&gt; $username, 'password' =&gt; 'password123'])</w:t>
            </w:r>
          </w:p>
          <w:p>
            <w:pPr>
              <w:spacing w:after="0" w:line="230"/>
            </w:pPr>
            <w:r>
              <w:rPr>
                <w:rFonts w:ascii="Courier New" w:cs="Courier New" w:eastAsia="Courier New" w:hAnsi="Courier New"/>
                <w:color w:val="3A2E15"/>
                <w:sz w:val="16"/>
                <w:szCs w:val="16"/>
              </w:rPr>
              <w:t xml:space="preserve">    );</w:t>
            </w:r>
          </w:p>
          <w:p>
            <w:pPr>
              <w:spacing w:after="0" w:line="230"/>
            </w:pPr>
            <w:r>
              <w:rPr>
                <w:rFonts w:ascii="Courier New" w:cs="Courier New" w:eastAsia="Courier New" w:hAnsi="Courier New"/>
                <w:color w:val="3A2E15"/>
                <w:sz w:val="16"/>
                <w:szCs w:val="16"/>
              </w:rPr>
              <w:t xml:space="preserve"> </w:t>
            </w:r>
          </w:p>
          <w:p>
            <w:pPr>
              <w:spacing w:after="0" w:line="230"/>
            </w:pPr>
            <w:r>
              <w:rPr>
                <w:rFonts w:ascii="Courier New" w:cs="Courier New" w:eastAsia="Courier New" w:hAnsi="Courier New"/>
                <w:color w:val="3A2E15"/>
                <w:sz w:val="16"/>
                <w:szCs w:val="16"/>
              </w:rPr>
              <w:t xml:space="preserve">    $this-&gt;assertResponseStatusCodeSame(201);</w:t>
            </w:r>
          </w:p>
          <w:p>
            <w:pPr>
              <w:spacing w:after="0" w:line="230"/>
            </w:pPr>
            <w:r>
              <w:rPr>
                <w:rFonts w:ascii="Courier New" w:cs="Courier New" w:eastAsia="Courier New" w:hAnsi="Courier New"/>
                <w:color w:val="3A2E15"/>
                <w:sz w:val="16"/>
                <w:szCs w:val="16"/>
              </w:rPr>
              <w:t xml:space="preserve">    $content = json_decode($client-&gt;getResponse()-&gt;getContent(), true);</w:t>
            </w:r>
          </w:p>
          <w:p>
            <w:pPr>
              <w:spacing w:after="0" w:line="230"/>
            </w:pPr>
            <w:r>
              <w:rPr>
                <w:rFonts w:ascii="Courier New" w:cs="Courier New" w:eastAsia="Courier New" w:hAnsi="Courier New"/>
                <w:color w:val="3A2E15"/>
                <w:sz w:val="16"/>
                <w:szCs w:val="16"/>
              </w:rPr>
              <w:t xml:space="preserve">    $this-&gt;assertEquals('User created', $content['status']);</w:t>
            </w:r>
          </w:p>
          <w:p>
            <w:pPr>
              <w:spacing w:after="0" w:line="230"/>
            </w:pPr>
            <w:r>
              <w:rPr>
                <w:rFonts w:ascii="Courier New" w:cs="Courier New" w:eastAsia="Courier New" w:hAnsi="Courier New"/>
                <w:color w:val="3A2E15"/>
                <w:sz w:val="16"/>
                <w:szCs w:val="16"/>
              </w:rPr>
              <w:t xml:space="preserve">}</w:t>
            </w:r>
          </w:p>
        </w:tc>
      </w:tr>
    </w:tbl>
    <w:p>
      <w:pPr>
        <w:spacing w:after="180" w:before="50"/>
        <w:jc w:val="left"/>
      </w:pPr>
      <w:r>
        <w:rPr>
          <w:i/>
          <w:iCs/>
          <w:color w:val="5A4825"/>
          <w:sz w:val="18"/>
          <w:szCs w:val="18"/>
        </w:rPr>
        <w:t xml:space="preserve">Extrait de back/tests/Controller/AuthControllerTest.php — les sorties complètes des deux suites figurent en annexe C.</w:t>
      </w:r>
    </w:p>
    <w:p>
      <w:pPr>
        <w:spacing w:after="120" w:before="0" w:line="308"/>
        <w:jc w:val="both"/>
      </w:pPr>
      <w:r>
        <w:rPr>
          <w:b w:val="false"/>
          <w:bCs w:val="false"/>
          <w:i w:val="false"/>
          <w:iCs w:val="false"/>
          <w:sz w:val="22"/>
          <w:szCs w:val="22"/>
        </w:rPr>
        <w:t xml:space="preserve">Le reste du périmètre est couvert par les tests des contrôleurs métier (Guild, Player, Zone, batailles et statistiques PvP : accès authentifié, cas vides), des services (MapService, PlayerService, GuildService : logique de recherche, appels HTTP simulés) et des pages front (Dashboard, Guilds, Players, Admin : rendu, recherche, gestion des rôles, dialogues). Les utilitaires de calcul du craft (craftUtils) et l'export d'image des compositions ont leurs suites dédiées.</w:t>
      </w:r>
    </w:p>
    <w:p>
      <w:pPr>
        <w:pStyle w:val="Heading2"/>
      </w:pPr>
      <w:r>
        <w:t xml:space="preserve">6.3 Reproductibilité</w:t>
      </w:r>
    </w:p>
    <w:p>
      <w:pPr>
        <w:pStyle w:val="ListParagraph"/>
        <w:numPr>
          <w:ilvl w:val="0"/>
          <w:numId w:val="3"/>
        </w:numPr>
        <w:spacing w:after="70" w:line="308"/>
        <w:jc w:val="both"/>
      </w:pPr>
      <w:r>
        <w:rPr>
          <w:sz w:val="22"/>
          <w:szCs w:val="22"/>
        </w:rPr>
        <w:t xml:space="preserve">Back : APP_ENV=test php bin/phpunit — base SQLite recréée par la CI à chaque exécution.</w:t>
      </w:r>
    </w:p>
    <w:p>
      <w:pPr>
        <w:pStyle w:val="ListParagraph"/>
        <w:numPr>
          <w:ilvl w:val="0"/>
          <w:numId w:val="3"/>
        </w:numPr>
        <w:spacing w:after="70" w:line="308"/>
        <w:jc w:val="both"/>
      </w:pPr>
      <w:r>
        <w:rPr>
          <w:sz w:val="22"/>
          <w:szCs w:val="22"/>
        </w:rPr>
        <w:t xml:space="preserve">Front : CI=true npm test -- --watchAll=false — aucun appel réseau réel (API simulée par mocks).</w:t>
      </w:r>
    </w:p>
    <w:p>
      <w:pPr>
        <w:pStyle w:val="ListParagraph"/>
        <w:numPr>
          <w:ilvl w:val="0"/>
          <w:numId w:val="3"/>
        </w:numPr>
        <w:spacing w:after="70" w:line="308"/>
        <w:jc w:val="both"/>
      </w:pPr>
      <w:r>
        <w:rPr>
          <w:sz w:val="22"/>
          <w:szCs w:val="22"/>
        </w:rPr>
        <w:t xml:space="preserve">Les mêmes commandes tournent en local et dans le pipeline : un développeur reproduit la CI à l'identique.</w:t>
      </w:r>
    </w:p>
    <w:p>
      <w:pPr>
        <w:pStyle w:val="Heading2"/>
      </w:pPr>
      <w:r>
        <w:t xml:space="preserve">6.4 Stratégie : une pyramide de tests assumée</w:t>
      </w:r>
    </w:p>
    <w:p>
      <w:pPr>
        <w:spacing w:after="120" w:before="0" w:line="308"/>
        <w:jc w:val="both"/>
      </w:pPr>
      <w:r>
        <w:rPr>
          <w:b w:val="false"/>
          <w:bCs w:val="false"/>
          <w:i w:val="false"/>
          <w:iCs w:val="false"/>
          <w:sz w:val="22"/>
          <w:szCs w:val="22"/>
        </w:rPr>
        <w:t xml:space="preserve">Chaque niveau de test a un rôle et un coût d'exécution différents ; l'effort est réparti pour maximiser la détection au moindre coût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2"/>
        <w:gridCol w:w="1967"/>
        <w:gridCol w:w="3826"/>
        <w:gridCol w:w="2077"/>
      </w:tblGrid>
      <w:tr>
        <w:trPr>
          <w:tblHeader/>
        </w:trPr>
        <w:tc>
          <w:tcPr>
            <w:tcW w:type="dxa" w:w="1202"/>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Niveau</w:t>
            </w:r>
          </w:p>
        </w:tc>
        <w:tc>
          <w:tcPr>
            <w:tcW w:type="dxa" w:w="1967"/>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Outillage</w:t>
            </w:r>
          </w:p>
        </w:tc>
        <w:tc>
          <w:tcPr>
            <w:tcW w:type="dxa" w:w="3826"/>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Ce qu'il vérifie</w:t>
            </w:r>
          </w:p>
        </w:tc>
        <w:tc>
          <w:tcPr>
            <w:tcW w:type="dxa" w:w="2077"/>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Déterminisme</w:t>
            </w:r>
          </w:p>
        </w:tc>
      </w:tr>
      <w:tr>
        <w:tc>
          <w:tcPr>
            <w:tcW w:type="dxa" w:w="120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Unitaire</w:t>
            </w:r>
          </w:p>
        </w:tc>
        <w:tc>
          <w:tcPr>
            <w:tcW w:type="dxa" w:w="19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PHPUnit / Jest</w:t>
            </w:r>
          </w:p>
        </w:tc>
        <w:tc>
          <w:tcPr>
            <w:tcW w:type="dxa" w:w="382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Logique pure : calculs de craft (LPB, taux de retour), utilitaires d'authentification, mappage de données</w:t>
            </w:r>
          </w:p>
        </w:tc>
        <w:tc>
          <w:tcPr>
            <w:tcW w:type="dxa" w:w="207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Total — aucune dépendance externe</w:t>
            </w:r>
          </w:p>
        </w:tc>
      </w:tr>
      <w:tr>
        <w:tc>
          <w:tcPr>
            <w:tcW w:type="dxa" w:w="120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Intégration API</w:t>
            </w:r>
          </w:p>
        </w:tc>
        <w:tc>
          <w:tcPr>
            <w:tcW w:type="dxa" w:w="19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WebTestCase + SQLite dédiée</w:t>
            </w:r>
          </w:p>
        </w:tc>
        <w:tc>
          <w:tcPr>
            <w:tcW w:type="dxa" w:w="382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Contrats HTTP réels : codes de statut, corps JSON, règles du firewall, contraintes BDD</w:t>
            </w:r>
          </w:p>
        </w:tc>
        <w:tc>
          <w:tcPr>
            <w:tcW w:type="dxa" w:w="207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Base recréée à chaque exécution</w:t>
            </w:r>
          </w:p>
        </w:tc>
      </w:tr>
      <w:tr>
        <w:tc>
          <w:tcPr>
            <w:tcW w:type="dxa" w:w="120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Composants UI</w:t>
            </w:r>
          </w:p>
        </w:tc>
        <w:tc>
          <w:tcPr>
            <w:tcW w:type="dxa" w:w="19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React Testing Library</w:t>
            </w:r>
          </w:p>
        </w:tc>
        <w:tc>
          <w:tcPr>
            <w:tcW w:type="dxa" w:w="382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Rendu, interactions, états d'erreur — réseau simulé par mocks</w:t>
            </w:r>
          </w:p>
        </w:tc>
        <w:tc>
          <w:tcPr>
            <w:tcW w:type="dxa" w:w="207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Aucun appel réseau réel</w:t>
            </w:r>
          </w:p>
        </w:tc>
      </w:tr>
      <w:tr>
        <w:tc>
          <w:tcPr>
            <w:tcW w:type="dxa" w:w="1202"/>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Recette E2E</w:t>
            </w:r>
          </w:p>
        </w:tc>
        <w:tc>
          <w:tcPr>
            <w:tcW w:type="dxa" w:w="1967"/>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Playwright + API (29 scénarios, §10)</w:t>
            </w:r>
          </w:p>
        </w:tc>
        <w:tc>
          <w:tcPr>
            <w:tcW w:type="dxa" w:w="3826"/>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Parcours complets en conditions réelles (API Albion vivante), sécurité structurelle</w:t>
            </w:r>
          </w:p>
        </w:tc>
        <w:tc>
          <w:tcPr>
            <w:tcW w:type="dxa" w:w="2077"/>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Exécution pilotée, résultats consignés</w:t>
            </w:r>
          </w:p>
        </w:tc>
      </w:tr>
    </w:tbl>
    <w:p>
      <w:pPr>
        <w:spacing w:after="120" w:before="0" w:line="308"/>
        <w:jc w:val="both"/>
      </w:pPr>
      <w:r>
        <w:rPr>
          <w:b w:val="false"/>
          <w:bCs w:val="false"/>
          <w:i w:val="false"/>
          <w:iCs w:val="false"/>
          <w:sz w:val="22"/>
          <w:szCs w:val="22"/>
        </w:rPr>
        <w:t xml:space="preserve">Les appels réseau sont simulés dans les tests automatisés pour une raison précise : l'API du jeu est vivante (données de joueurs qui changent en permanence), donc impropre à des assertions stables. Elle est en revanche volontairement utilisée telle quelle dans la recette (§10), qui vérifie le comportement en conditions réelles.</w:t>
      </w:r>
    </w:p>
    <w:p>
      <w:pPr>
        <w:pStyle w:val="Heading1"/>
      </w:pPr>
      <w:r>
        <w:t xml:space="preserve">7. Mesures de sécurité mises en œuvre</w:t>
      </w:r>
    </w:p>
    <w:p>
      <w:pPr>
        <w:spacing w:after="120" w:before="0" w:line="308"/>
        <w:jc w:val="both"/>
      </w:pPr>
      <w:r>
        <w:rPr>
          <w:b w:val="false"/>
          <w:bCs w:val="false"/>
          <w:i w:val="false"/>
          <w:iCs w:val="false"/>
          <w:sz w:val="22"/>
          <w:szCs w:val="22"/>
        </w:rPr>
        <w:t xml:space="preserve">La sécurité a été traitée au travers du référentiel OWASP Top 10 (2021). Chaque famille de failles est couverte par une mesure concrète, vérifiée soit par les tests automatisés, soit par la recette de sécurité (cf. §10, scénarios SEC-*).</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
        <w:gridCol w:w="1474"/>
        <w:gridCol w:w="4423"/>
        <w:gridCol w:w="2268"/>
      </w:tblGrid>
      <w:tr>
        <w:trPr>
          <w:tblHeader/>
        </w:trPr>
        <w:tc>
          <w:tcPr>
            <w:tcW w:type="dxa" w:w="907"/>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OWASP</w:t>
            </w:r>
          </w:p>
        </w:tc>
        <w:tc>
          <w:tcPr>
            <w:tcW w:type="dxa" w:w="1474"/>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Risque</w:t>
            </w:r>
          </w:p>
        </w:tc>
        <w:tc>
          <w:tcPr>
            <w:tcW w:type="dxa" w:w="4423"/>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Mesures dans Albion Helper</w:t>
            </w:r>
          </w:p>
        </w:tc>
        <w:tc>
          <w:tcPr>
            <w:tcW w:type="dxa" w:w="2268"/>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Preuve</w:t>
            </w:r>
          </w:p>
        </w:tc>
      </w:tr>
      <w:tr>
        <w:tc>
          <w:tcPr>
            <w:tcW w:type="dxa" w:w="90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A01</w:t>
            </w:r>
          </w:p>
        </w:tc>
        <w:tc>
          <w:tcPr>
            <w:tcW w:type="dxa" w:w="1474"/>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Contrôle d'accès défaillant</w:t>
            </w:r>
          </w:p>
        </w:tc>
        <w:tc>
          <w:tcPr>
            <w:tcW w:type="dxa" w:w="4423"/>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Firewall Symfony : toutes les routes /api exigent un JWT sauf liste publique explicite ; /api/admin restreint à ROLE_ADMIN ; contrôle de propriété sur routes et compositions (un utilisateur ne peut ni voir ni supprimer celles d'un autre)</w:t>
            </w:r>
          </w:p>
        </w:tc>
        <w:tc>
          <w:tcPr>
            <w:tcW w:type="dxa" w:w="22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SEC-01 : 401 sans jeton ; SEC-05 : 404 sur suppression par un tiers ; ADM-02 : accès admin refusé</w:t>
            </w:r>
          </w:p>
        </w:tc>
      </w:tr>
      <w:tr>
        <w:tc>
          <w:tcPr>
            <w:tcW w:type="dxa" w:w="90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A02</w:t>
            </w:r>
          </w:p>
        </w:tc>
        <w:tc>
          <w:tcPr>
            <w:tcW w:type="dxa" w:w="1474"/>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Défaillances cryptographiques</w:t>
            </w:r>
          </w:p>
        </w:tc>
        <w:tc>
          <w:tcPr>
            <w:tcW w:type="dxa" w:w="4423"/>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Mots de passe hachés bcrypt (coût auto) ; JWT signés RS256 (paire de clés hors dépôt git) ; jetons délivrés en cookies httpOnly + Secure ; HTTPS en production ; aucun secret commité (variables d'environnement)</w:t>
            </w:r>
          </w:p>
        </w:tc>
        <w:tc>
          <w:tcPr>
            <w:tcW w:type="dxa" w:w="22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Revue de code ; .gitignore (clés *.pem)</w:t>
            </w:r>
          </w:p>
        </w:tc>
      </w:tr>
      <w:tr>
        <w:tc>
          <w:tcPr>
            <w:tcW w:type="dxa" w:w="90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A03</w:t>
            </w:r>
          </w:p>
        </w:tc>
        <w:tc>
          <w:tcPr>
            <w:tcW w:type="dxa" w:w="1474"/>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Injection</w:t>
            </w:r>
          </w:p>
        </w:tc>
        <w:tc>
          <w:tcPr>
            <w:tcW w:type="dxa" w:w="4423"/>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100 % des accès BDD via Doctrine ORM (requêtes paramétrées) ; entrées validées et bornées (regex sur les noms d'items, substr, min/max)</w:t>
            </w:r>
          </w:p>
        </w:tc>
        <w:tc>
          <w:tcPr>
            <w:tcW w:type="dxa" w:w="22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Revue de code ; tests contrôleurs</w:t>
            </w:r>
          </w:p>
        </w:tc>
      </w:tr>
      <w:tr>
        <w:tc>
          <w:tcPr>
            <w:tcW w:type="dxa" w:w="90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A04</w:t>
            </w:r>
          </w:p>
        </w:tc>
        <w:tc>
          <w:tcPr>
            <w:tcW w:type="dxa" w:w="1474"/>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Conception non sécurisée</w:t>
            </w:r>
          </w:p>
        </w:tc>
        <w:tc>
          <w:tcPr>
            <w:tcW w:type="dxa" w:w="4423"/>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Rate limiting : 5 inscriptions/IP/heure (composant RateLimiter) ; expiration automatique des routes à 24 h ; jetons de partage non devinables</w:t>
            </w:r>
          </w:p>
        </w:tc>
        <w:tc>
          <w:tcPr>
            <w:tcW w:type="dxa" w:w="22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SEC-03 : HTTP 429 au 6e appel</w:t>
            </w:r>
          </w:p>
        </w:tc>
      </w:tr>
      <w:tr>
        <w:tc>
          <w:tcPr>
            <w:tcW w:type="dxa" w:w="90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A05</w:t>
            </w:r>
          </w:p>
        </w:tc>
        <w:tc>
          <w:tcPr>
            <w:tcW w:type="dxa" w:w="1474"/>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Mauvaise configuration</w:t>
            </w:r>
          </w:p>
        </w:tc>
        <w:tc>
          <w:tcPr>
            <w:tcW w:type="dxa" w:w="4423"/>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CORS restreint par variable d'environnement (origin_regex, aucun wildcard) ; en-têtes de sécurité globaux : X-Content-Type-Options, X-Frame-Options DENY, Referrer-Policy, Content-Security-Policy ; pas de stack trace en prod</w:t>
            </w:r>
          </w:p>
        </w:tc>
        <w:tc>
          <w:tcPr>
            <w:tcW w:type="dxa" w:w="22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SEC-02 : en-têtes vérifiés sur /api/health</w:t>
            </w:r>
          </w:p>
        </w:tc>
      </w:tr>
      <w:tr>
        <w:tc>
          <w:tcPr>
            <w:tcW w:type="dxa" w:w="90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A06</w:t>
            </w:r>
          </w:p>
        </w:tc>
        <w:tc>
          <w:tcPr>
            <w:tcW w:type="dxa" w:w="1474"/>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Composants vulnérables</w:t>
            </w:r>
          </w:p>
        </w:tc>
        <w:tc>
          <w:tcPr>
            <w:tcW w:type="dxa" w:w="4423"/>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Migration Symfony 7.2 (EOL) → 7.4.13 LTS : 36 advisories corrigées dont CVE-2025-64500 (élevée, contournement d'autorisation) ; axios 1.17 ; composer audit : 0 advisory ; Dependabot hebdomadaire</w:t>
            </w:r>
          </w:p>
        </w:tc>
        <w:tc>
          <w:tcPr>
            <w:tcW w:type="dxa" w:w="22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Rapports composer audit / npm audit</w:t>
            </w:r>
          </w:p>
        </w:tc>
      </w:tr>
      <w:tr>
        <w:tc>
          <w:tcPr>
            <w:tcW w:type="dxa" w:w="90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A07</w:t>
            </w:r>
          </w:p>
        </w:tc>
        <w:tc>
          <w:tcPr>
            <w:tcW w:type="dxa" w:w="1474"/>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Authentification défaillante</w:t>
            </w:r>
          </w:p>
        </w:tc>
        <w:tc>
          <w:tcPr>
            <w:tcW w:type="dxa" w:w="4423"/>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Login throttling : 5 échecs max / 15 min (par utilisateur + IP) ; mot de passe ≥ 8 caractères ; JWT à durée courte (1 h) en cookie httpOnly ; rotation des refresh tokens (single_use) ; déconnexion côté serveur (/api/logout invalide le refresh token)</w:t>
            </w:r>
          </w:p>
        </w:tc>
        <w:tc>
          <w:tcPr>
            <w:tcW w:type="dxa" w:w="22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SEC-04 : verrouillage au 6e essai ; AUTH-02 : mot de passe court refusé</w:t>
            </w:r>
          </w:p>
        </w:tc>
      </w:tr>
      <w:tr>
        <w:tc>
          <w:tcPr>
            <w:tcW w:type="dxa" w:w="90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A08</w:t>
            </w:r>
          </w:p>
        </w:tc>
        <w:tc>
          <w:tcPr>
            <w:tcW w:type="dxa" w:w="1474"/>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Intégrité logiciel/données</w:t>
            </w:r>
          </w:p>
        </w:tc>
        <w:tc>
          <w:tcPr>
            <w:tcW w:type="dxa" w:w="4423"/>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Dépendances installées depuis les lockfiles (composer.lock, package-lock.json) ; pipeline CI signé par GitHub ; migrations versionnées</w:t>
            </w:r>
          </w:p>
        </w:tc>
        <w:tc>
          <w:tcPr>
            <w:tcW w:type="dxa" w:w="22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CI ; revue des lockfiles</w:t>
            </w:r>
          </w:p>
        </w:tc>
      </w:tr>
      <w:tr>
        <w:tc>
          <w:tcPr>
            <w:tcW w:type="dxa" w:w="90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A09</w:t>
            </w:r>
          </w:p>
        </w:tc>
        <w:tc>
          <w:tcPr>
            <w:tcW w:type="dxa" w:w="1474"/>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Journalisation insuffisante</w:t>
            </w:r>
          </w:p>
        </w:tc>
        <w:tc>
          <w:tcPr>
            <w:tcW w:type="dxa" w:w="4423"/>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Canal Monolog « incident » dédié (dev + prod) ; les échecs d'authentification sont tracés par le firewall ; aucun secret ni mot de passe en clair dans les logs</w:t>
            </w:r>
          </w:p>
        </w:tc>
        <w:tc>
          <w:tcPr>
            <w:tcW w:type="dxa" w:w="22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Configuration monolog.yaml</w:t>
            </w:r>
          </w:p>
        </w:tc>
      </w:tr>
      <w:tr>
        <w:tc>
          <w:tcPr>
            <w:tcW w:type="dxa" w:w="907"/>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A10</w:t>
            </w:r>
          </w:p>
        </w:tc>
        <w:tc>
          <w:tcPr>
            <w:tcW w:type="dxa" w:w="1474"/>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SSRF</w:t>
            </w:r>
          </w:p>
        </w:tc>
        <w:tc>
          <w:tcPr>
            <w:tcW w:type="dxa" w:w="4423"/>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Le proxy d'icônes n'accepte qu'un identifiant d'item validé par expression régulière stricte interpolé dans une URL fixe : aucune URL fournie par l'utilisateur n'est requêtée ; les domaines de l'API Albion sont une liste fermée (un par serveur de jeu)</w:t>
            </w:r>
          </w:p>
        </w:tc>
        <w:tc>
          <w:tcPr>
            <w:tcW w:type="dxa" w:w="2268"/>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Revue de code ItemController</w:t>
            </w:r>
          </w:p>
        </w:tc>
      </w:tr>
    </w:tbl>
    <w:p>
      <w:pPr>
        <w:spacing w:after="40" w:before="0" w:line="308"/>
        <w:jc w:val="both"/>
      </w:pPr>
      <w:r>
        <w:rPr>
          <w:b w:val="false"/>
          <w:bCs w:val="false"/>
          <w:i w:val="false"/>
          <w:iCs w:val="false"/>
          <w:sz w:val="22"/>
          <w:szCs w:val="22"/>
        </w:rPr>
        <w:t xml:space="preserve"/>
      </w:r>
    </w:p>
    <w:p>
      <w:pPr>
        <w:pStyle w:val="Heading2"/>
      </w:pPr>
      <w:r>
        <w:t xml:space="preserve">7.1 Stockage des jetons : cookies httpOnly (durcissement v3.1.0)</w:t>
      </w:r>
    </w:p>
    <w:p>
      <w:pPr>
        <w:spacing w:after="120" w:before="0" w:line="308"/>
        <w:jc w:val="both"/>
      </w:pPr>
      <w:r>
        <w:rPr>
          <w:b w:val="false"/>
          <w:bCs w:val="false"/>
          <w:i w:val="false"/>
          <w:iCs w:val="false"/>
          <w:sz w:val="22"/>
          <w:szCs w:val="22"/>
        </w:rPr>
        <w:t xml:space="preserve">Les premières versions conservaient les jetons JWT en localStorage — un choix courant pour les SPA mais qui expose théoriquement le jeton à une attaque XSS. Identifié comme axe d'amélioration lors de la recette de juin, ce point a été traité en v3.1.0 : le jeton d'accès et le refresh token sont désormais délivrés par l'API dans des cookies httpOnly + Secure, invisibles à JavaScript — même en cas d'injection de script, il n'y a plus de jeton à voler. Le front observe la session via GET /api/me (identité + rôles) et la termine via POST /api/logout, qui invalide le refresh token en base puis expire les cookies. Mesures complémentaires : durée de vie du jeton d'accès limitée à 1 heure, rotation des refresh tokens (single_use : un jeton volé ne sert qu'une fois), rafraîchissement automatique et transparent côté client. Le risque CSRF réintroduit par les cookies est couvert par trois barrières : CORS en liste fermée d'origines avec credentials, API exclusivement JSON (tout POST déclenche un préflight, refusé pour une origine inconnue), et absence totale de formulaires interprétés côté serveur.</w:t>
      </w:r>
    </w:p>
    <w:p>
      <w:pPr>
        <w:pStyle w:val="Heading2"/>
      </w:pPr>
      <w:r>
        <w:t xml:space="preserve">7.2 Données personnelles : minimisation par conception (RGPD)</w:t>
      </w:r>
    </w:p>
    <w:p>
      <w:pPr>
        <w:spacing w:after="120" w:before="0" w:line="308"/>
        <w:jc w:val="both"/>
      </w:pPr>
      <w:r>
        <w:rPr>
          <w:b w:val="false"/>
          <w:bCs w:val="false"/>
          <w:i w:val="false"/>
          <w:iCs w:val="false"/>
          <w:sz w:val="22"/>
          <w:szCs w:val="22"/>
        </w:rPr>
        <w:t xml:space="preserve">Le principe de minimisation est appliqué à la racine : l'entité User ne comporte que six champs — identifiant technique, pseudonyme, mot de passe haché, rôles, date de création, préférences d'interface. Aucune adresse e-mail, aucun nom réel, aucune donnée de contact n'est collectée : il n'y a rien à fuiter.</w:t>
      </w:r>
    </w:p>
    <w:p>
      <w:pPr>
        <w:pStyle w:val="ListParagraph"/>
        <w:numPr>
          <w:ilvl w:val="0"/>
          <w:numId w:val="3"/>
        </w:numPr>
        <w:spacing w:after="70" w:line="308"/>
        <w:jc w:val="both"/>
      </w:pPr>
      <w:r>
        <w:rPr>
          <w:sz w:val="22"/>
          <w:szCs w:val="22"/>
        </w:rPr>
        <w:t xml:space="preserve">Pseudonymat natif : le seul identifiant demandé est un pseudonyme choisi par l'utilisateur, sans lien requis avec son identité civile.</w:t>
      </w:r>
    </w:p>
    <w:p>
      <w:pPr>
        <w:pStyle w:val="ListParagraph"/>
        <w:numPr>
          <w:ilvl w:val="0"/>
          <w:numId w:val="3"/>
        </w:numPr>
        <w:spacing w:after="70" w:line="308"/>
        <w:jc w:val="both"/>
      </w:pPr>
      <w:r>
        <w:rPr>
          <w:sz w:val="22"/>
          <w:szCs w:val="22"/>
        </w:rPr>
        <w:t xml:space="preserve">Mots de passe hachés bcrypt avec coût automatique — jamais stockés ni journalisés en clair (vérifié : les logs d'échec d'authentification ne portent pas le mot de passe).</w:t>
      </w:r>
    </w:p>
    <w:p>
      <w:pPr>
        <w:pStyle w:val="ListParagraph"/>
        <w:numPr>
          <w:ilvl w:val="0"/>
          <w:numId w:val="3"/>
        </w:numPr>
        <w:spacing w:after="70" w:line="308"/>
        <w:jc w:val="both"/>
      </w:pPr>
      <w:r>
        <w:rPr>
          <w:sz w:val="22"/>
          <w:szCs w:val="22"/>
        </w:rPr>
        <w:t xml:space="preserve">Aucun traceur tiers : pas d'analytics externe, pas de cookie publicitaire — les seules données d'usage sont les compteurs internes anonymes de recherche (SearchLog) qui alimentent les KPI de l'administration.</w:t>
      </w:r>
    </w:p>
    <w:p>
      <w:pPr>
        <w:pStyle w:val="ListParagraph"/>
        <w:numPr>
          <w:ilvl w:val="0"/>
          <w:numId w:val="3"/>
        </w:numPr>
        <w:spacing w:after="70" w:line="308"/>
        <w:jc w:val="both"/>
      </w:pPr>
      <w:r>
        <w:rPr>
          <w:sz w:val="22"/>
          <w:szCs w:val="22"/>
        </w:rPr>
        <w:t xml:space="preserve">Droit à l'effacement : la suppression d'un compte retire le compte, ses routes et ses compositions (contraintes ON DELETE CASCADE en base — un défaut sur les routes a été détecté lors de cette revue, corrigé et vérifié : BUG-016).</w:t>
      </w:r>
    </w:p>
    <w:p>
      <w:pPr>
        <w:pStyle w:val="ListParagraph"/>
        <w:numPr>
          <w:ilvl w:val="0"/>
          <w:numId w:val="3"/>
        </w:numPr>
        <w:spacing w:after="70" w:line="308"/>
        <w:jc w:val="both"/>
      </w:pPr>
      <w:r>
        <w:rPr>
          <w:sz w:val="22"/>
          <w:szCs w:val="22"/>
        </w:rPr>
        <w:t xml:space="preserve">Les données de jeu affichées (statistiques de joueurs, batailles) proviennent de l'API publique officielle d'Albion Online et ne sont pas persistées par l'application (cf. §3.2).</w:t>
      </w:r>
    </w:p>
    <w:p>
      <w:pPr>
        <w:pStyle w:val="Heading2"/>
      </w:pPr>
      <w:r>
        <w:t xml:space="preserve">7.3 Cycle de vie des clés et des secrets</w:t>
      </w:r>
    </w:p>
    <w:p>
      <w:pPr>
        <w:spacing w:after="120" w:before="0" w:line="308"/>
        <w:jc w:val="both"/>
      </w:pPr>
      <w:r>
        <w:rPr>
          <w:b w:val="false"/>
          <w:bCs w:val="false"/>
          <w:i w:val="false"/>
          <w:iCs w:val="false"/>
          <w:sz w:val="22"/>
          <w:szCs w:val="22"/>
        </w:rPr>
        <w:t xml:space="preserve">Le détail opérationnel (variable par variable) figure en §4.4 ; les principes : les clés RSA de signature JWT sont générées sur chaque machine et n'existent dans aucun dépôt ; le secret applicatif est propre à chaque environnement ; les identifiants de déploiement vivent exclusivement dans les secrets chiffrés de GitHub Actions. En cas de compromission supposée d'une clé JWT, la rotation consiste à regénérer la paire (lexik:jwt:generate-keypair) : tous les jetons en circulation sont invalidés d'un coup, et les utilisateurs se reconnectent.</w:t>
      </w:r>
    </w:p>
    <w:p>
      <w:pPr>
        <w:pStyle w:val="Heading1"/>
      </w:pPr>
      <w:r>
        <w:t xml:space="preserve">8. Accessibilité : actions pour les personnes en situation de handicap</w:t>
      </w:r>
    </w:p>
    <w:p>
      <w:pPr>
        <w:pStyle w:val="Heading2"/>
      </w:pPr>
      <w:r>
        <w:t xml:space="preserve">8.1 Référentiel choisi et justification</w:t>
      </w:r>
    </w:p>
    <w:p>
      <w:pPr>
        <w:spacing w:after="120" w:before="0" w:line="308"/>
        <w:jc w:val="both"/>
      </w:pPr>
      <w:r>
        <w:rPr>
          <w:b w:val="false"/>
          <w:bCs w:val="false"/>
          <w:i w:val="false"/>
          <w:iCs w:val="false"/>
          <w:sz w:val="22"/>
          <w:szCs w:val="22"/>
        </w:rPr>
        <w:t xml:space="preserve">Le référentiel retenu est le RGAA 4.1 (Référentiel Général d'Amélioration de l'Accessibilité). Justification : c'est le référentiel officiel français, aligné sur la norme internationale WCAG 2.1 niveau AA dont il fournit une méthode de vérification concrète et outillable. Les outils d'audit utilisés (Lighthouse, axe-core) implémentent précisément les critères WCAG sous-jacents, ce qui rend la conformité mesurable et reproductible — contrairement à un référentiel purement déclaratif.</w:t>
      </w:r>
    </w:p>
    <w:p>
      <w:pPr>
        <w:pStyle w:val="Heading2"/>
      </w:pPr>
      <w:r>
        <w:t xml:space="preserve">8.2 Actions mises en œuvre</w:t>
      </w:r>
    </w:p>
    <w:p>
      <w:pPr>
        <w:pStyle w:val="ListParagraph"/>
        <w:numPr>
          <w:ilvl w:val="0"/>
          <w:numId w:val="3"/>
        </w:numPr>
        <w:spacing w:after="70" w:line="308"/>
        <w:jc w:val="both"/>
      </w:pPr>
      <w:r>
        <w:rPr>
          <w:sz w:val="22"/>
          <w:szCs w:val="22"/>
        </w:rPr>
        <w:t xml:space="preserve">Langue déclarée (lang), structure sémantique (banner, main, hiérarchie de titres h1→h6).</w:t>
      </w:r>
    </w:p>
    <w:p>
      <w:pPr>
        <w:pStyle w:val="ListParagraph"/>
        <w:numPr>
          <w:ilvl w:val="0"/>
          <w:numId w:val="3"/>
        </w:numPr>
        <w:spacing w:after="70" w:line="308"/>
        <w:jc w:val="both"/>
      </w:pPr>
      <w:r>
        <w:rPr>
          <w:sz w:val="22"/>
          <w:szCs w:val="22"/>
        </w:rPr>
        <w:t xml:space="preserve">Attributs ARIA systématiques : aria-label sur les boutons d'icônes (thème, langue, serveur, suppression), aria-expanded/aria-haspopup sur les sous-menus de navigation et le menu mobile, aria-live sur les messages d'erreur de formulaire.</w:t>
      </w:r>
    </w:p>
    <w:p>
      <w:pPr>
        <w:pStyle w:val="ListParagraph"/>
        <w:numPr>
          <w:ilvl w:val="0"/>
          <w:numId w:val="3"/>
        </w:numPr>
        <w:spacing w:after="70" w:line="308"/>
        <w:jc w:val="both"/>
      </w:pPr>
      <w:r>
        <w:rPr>
          <w:sz w:val="22"/>
          <w:szCs w:val="22"/>
        </w:rPr>
        <w:t xml:space="preserve">Navigation clavier : composants Material UI focusables, dialogues et menus avec piégeage du focus.</w:t>
      </w:r>
    </w:p>
    <w:p>
      <w:pPr>
        <w:pStyle w:val="ListParagraph"/>
        <w:numPr>
          <w:ilvl w:val="0"/>
          <w:numId w:val="3"/>
        </w:numPr>
        <w:spacing w:after="70" w:line="308"/>
        <w:jc w:val="both"/>
      </w:pPr>
      <w:r>
        <w:rPr>
          <w:sz w:val="22"/>
          <w:szCs w:val="22"/>
        </w:rPr>
        <w:t xml:space="preserve">Formulaires : chaque champ a une étiquette associée ; les erreurs sont annoncées (role=alert).</w:t>
      </w:r>
    </w:p>
    <w:p>
      <w:pPr>
        <w:pStyle w:val="ListParagraph"/>
        <w:numPr>
          <w:ilvl w:val="0"/>
          <w:numId w:val="3"/>
        </w:numPr>
        <w:spacing w:after="70" w:line="308"/>
        <w:jc w:val="both"/>
      </w:pPr>
      <w:r>
        <w:rPr>
          <w:sz w:val="22"/>
          <w:szCs w:val="22"/>
        </w:rPr>
        <w:t xml:space="preserve">Mode sombre ET clair : l'utilisateur choisit le contraste qui lui convient, préférence persistée. Les deux thèmes partagent désormais un socle de variables CSS commuté globalement, ce qui garantit la cohérence des contrastes (correctif du 14/07, cf. §11).</w:t>
      </w:r>
    </w:p>
    <w:p>
      <w:pPr>
        <w:pStyle w:val="ListParagraph"/>
        <w:numPr>
          <w:ilvl w:val="0"/>
          <w:numId w:val="3"/>
        </w:numPr>
        <w:spacing w:after="70" w:line="308"/>
        <w:jc w:val="both"/>
      </w:pPr>
      <w:r>
        <w:rPr>
          <w:sz w:val="22"/>
          <w:szCs w:val="22"/>
        </w:rPr>
        <w:t xml:space="preserve">Internationalisation complète : 20 langues d'interface administrables — la compréhension n'est pas conditionnée à une seule langue.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C9B98A" w:sz="4"/>
              <w:left w:val="single" w:color="C9B98A" w:sz="4"/>
              <w:bottom w:val="single" w:color="C9B98A" w:sz="4"/>
              <w:right w:val="single" w:color="C9B98A" w:sz="4"/>
            </w:tcBorders>
            <w:tcMar>
              <w:top w:type="dxa" w:w="50"/>
              <w:left w:type="dxa" w:w="50"/>
              <w:bottom w:type="dxa" w:w="30"/>
              <w:right w:type="dxa" w:w="50"/>
            </w:tcMar>
          </w:tcPr>
          <w:p>
            <w:pPr>
              <w:spacing w:after="0"/>
              <w:jc w:val="center"/>
            </w:pPr>
            <w:r>
              <w:drawing>
                <wp:inline distT="0" distB="0" distL="0" distR="0">
                  <wp:extent cx="4762500" cy="2981325"/>
                  <wp:effectExtent t="0" r="0" b="0" l="0"/>
                  <wp:docPr id="1" name="figure-12" descr="Thème clair : alternative de contraste au thème sombre, préférence persistée" title="Thème clair : alternative de contraste au thème sombre, préférence persist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981325"/>
                          </a:xfrm>
                          <a:prstGeom prst="rect">
                            <a:avLst/>
                          </a:prstGeom>
                        </pic:spPr>
                      </pic:pic>
                    </a:graphicData>
                  </a:graphic>
                </wp:inline>
              </w:drawing>
            </w:r>
          </w:p>
        </w:tc>
      </w:tr>
    </w:tbl>
    <w:p>
      <w:pPr>
        <w:spacing w:after="150" w:before="50"/>
        <w:jc w:val="center"/>
      </w:pPr>
      <w:r>
        <w:rPr>
          <w:i/>
          <w:iCs/>
          <w:color w:val="5A4825"/>
          <w:sz w:val="18"/>
          <w:szCs w:val="18"/>
        </w:rPr>
        <w:t xml:space="preserve">Figure 12 — Thème clair : alternative de contraste au thème sombre, préférence persistée</w:t>
      </w:r>
    </w:p>
    <w:p>
      <w:pPr>
        <w:pStyle w:val="Heading2"/>
      </w:pPr>
      <w:r>
        <w:t xml:space="preserve">8.3 Audit outillé</w:t>
      </w:r>
    </w:p>
    <w:p>
      <w:pPr>
        <w:spacing w:after="120" w:before="0" w:line="308"/>
        <w:jc w:val="both"/>
      </w:pPr>
      <w:r>
        <w:rPr>
          <w:b w:val="false"/>
          <w:bCs w:val="false"/>
          <w:i w:val="false"/>
          <w:iCs w:val="false"/>
          <w:sz w:val="22"/>
          <w:szCs w:val="22"/>
        </w:rPr>
        <w:t xml:space="preserve">Deux outils complémentaires ont été passés sur l'application en fonctionnement réel (audit du 12/06/2026), complétés par une revue visuelle des deux thèmes le 14/07/2026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701"/>
        <w:gridCol w:w="2268"/>
        <w:gridCol w:w="5103"/>
      </w:tblGrid>
      <w:tr>
        <w:trPr>
          <w:tblHeader/>
        </w:trPr>
        <w:tc>
          <w:tcPr>
            <w:tcW w:type="dxa" w:w="1701"/>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Page</w:t>
            </w:r>
          </w:p>
        </w:tc>
        <w:tc>
          <w:tcPr>
            <w:tcW w:type="dxa" w:w="2268"/>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Lighthouse (accessibilité)</w:t>
            </w:r>
          </w:p>
        </w:tc>
        <w:tc>
          <w:tcPr>
            <w:tcW w:type="dxa" w:w="5103"/>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axe-core 4.10 (WCAG 2.0/2.1 AA)</w:t>
            </w:r>
          </w:p>
        </w:tc>
      </w:tr>
      <w:tr>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Connexion</w:t>
            </w:r>
          </w:p>
        </w:tc>
        <w:tc>
          <w:tcPr>
            <w:tcW w:type="dxa" w:w="22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100 / 100</w:t>
            </w:r>
          </w:p>
        </w:tc>
        <w:tc>
          <w:tcPr>
            <w:tcW w:type="dxa" w:w="5103"/>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0 violation (21 critères vérifiés)</w:t>
            </w:r>
          </w:p>
        </w:tc>
      </w:tr>
      <w:tr>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Inscription</w:t>
            </w:r>
          </w:p>
        </w:tc>
        <w:tc>
          <w:tcPr>
            <w:tcW w:type="dxa" w:w="22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100 / 100</w:t>
            </w:r>
          </w:p>
        </w:tc>
        <w:tc>
          <w:tcPr>
            <w:tcW w:type="dxa" w:w="5103"/>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0 violation</w:t>
            </w:r>
          </w:p>
        </w:tc>
      </w:tr>
      <w:tr>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Accueil / tutoriel</w:t>
            </w:r>
          </w:p>
        </w:tc>
        <w:tc>
          <w:tcPr>
            <w:tcW w:type="dxa" w:w="22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93 / 100</w:t>
            </w:r>
          </w:p>
        </w:tc>
        <w:tc>
          <w:tcPr>
            <w:tcW w:type="dxa" w:w="5103"/>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1 violation : contraste sur 3 éléments décoratifs</w:t>
            </w:r>
          </w:p>
        </w:tc>
      </w:tr>
      <w:tr>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Dashboard</w:t>
            </w:r>
          </w:p>
        </w:tc>
        <w:tc>
          <w:tcPr>
            <w:tcW w:type="dxa" w:w="22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w:t>
            </w:r>
          </w:p>
        </w:tc>
        <w:tc>
          <w:tcPr>
            <w:tcW w:type="dxa" w:w="5103"/>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0 violation après correctif (libellé du sélecteur de recherche ajouté)</w:t>
            </w:r>
          </w:p>
        </w:tc>
      </w:tr>
      <w:tr>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Carte</w:t>
            </w:r>
          </w:p>
        </w:tc>
        <w:tc>
          <w:tcPr>
            <w:tcW w:type="dxa" w:w="22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w:t>
            </w:r>
          </w:p>
        </w:tc>
        <w:tc>
          <w:tcPr>
            <w:tcW w:type="dxa" w:w="5103"/>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0 violation (20 critères vérifiés)</w:t>
            </w:r>
          </w:p>
        </w:tc>
      </w:tr>
      <w:tr>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Routes</w:t>
            </w:r>
          </w:p>
        </w:tc>
        <w:tc>
          <w:tcPr>
            <w:tcW w:type="dxa" w:w="22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w:t>
            </w:r>
          </w:p>
        </w:tc>
        <w:tc>
          <w:tcPr>
            <w:tcW w:type="dxa" w:w="5103"/>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0 violation (16 critères vérifiés)</w:t>
            </w:r>
          </w:p>
        </w:tc>
      </w:tr>
      <w:tr>
        <w:tc>
          <w:tcPr>
            <w:tcW w:type="dxa" w:w="1701"/>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Craft</w:t>
            </w:r>
          </w:p>
        </w:tc>
        <w:tc>
          <w:tcPr>
            <w:tcW w:type="dxa" w:w="2268"/>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w:t>
            </w:r>
          </w:p>
        </w:tc>
        <w:tc>
          <w:tcPr>
            <w:tcW w:type="dxa" w:w="5103"/>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47 curseurs sans étiquette : corrigés (aria-label) ; constat de contraste sur les pastilles dorées consigné (OBS-01)</w:t>
            </w:r>
          </w:p>
        </w:tc>
      </w:tr>
    </w:tbl>
    <w:p>
      <w:pPr>
        <w:spacing w:after="120" w:before="60" w:line="308"/>
        <w:jc w:val="both"/>
      </w:pPr>
      <w:r>
        <w:rPr>
          <w:b w:val="false"/>
          <w:bCs w:val="false"/>
          <w:i w:val="false"/>
          <w:iCs w:val="false"/>
          <w:sz w:val="22"/>
          <w:szCs w:val="22"/>
        </w:rPr>
        <w:t xml:space="preserve">Démarche : audit → correction → re-audit. Les violations « libellés manquants » ont été corrigées immédiatement (aria-label sur 47 curseurs de maîtrise, association labelId sur les sélecteurs) puis re-vérifiées à zéro. La revue des thèmes du 14/07 a détecté et corrigé des textes illisibles en mode clair (BUG-015) : les couleurs des feuilles de style sont désormais pilotées par le thème actif (variables CSS), supprimant toute une classe de défauts de contraste. Le constat OBS-01 (pastilles or du tableau de craft, 3,2:1 mesuré pour 4,5:1 requis) reste consigné avec sa remédiation planifiée.</w:t>
      </w:r>
    </w:p>
    <w:p>
      <w:pPr>
        <w:pStyle w:val="Heading1"/>
      </w:pPr>
      <w:r>
        <w:t xml:space="preserve">9. Gestion des versions et historique</w:t>
      </w:r>
    </w:p>
    <w:p>
      <w:pPr>
        <w:pStyle w:val="Heading2"/>
      </w:pPr>
      <w:r>
        <w:t xml:space="preserve">9.1 Organisation git</w:t>
      </w:r>
    </w:p>
    <w:p>
      <w:pPr>
        <w:pStyle w:val="ListParagraph"/>
        <w:numPr>
          <w:ilvl w:val="0"/>
          <w:numId w:val="3"/>
        </w:numPr>
        <w:spacing w:after="70" w:line="308"/>
        <w:jc w:val="both"/>
      </w:pPr>
      <w:r>
        <w:rPr>
          <w:sz w:val="22"/>
          <w:szCs w:val="22"/>
        </w:rPr>
        <w:t xml:space="preserve">Branches : develop (intégration) et master (production). Une fusion vers master déclenche le déploiement continu après validation des tests.</w:t>
      </w:r>
    </w:p>
    <w:p>
      <w:pPr>
        <w:pStyle w:val="ListParagraph"/>
        <w:numPr>
          <w:ilvl w:val="0"/>
          <w:numId w:val="3"/>
        </w:numPr>
        <w:spacing w:after="70" w:line="308"/>
        <w:jc w:val="both"/>
      </w:pPr>
      <w:r>
        <w:rPr>
          <w:sz w:val="22"/>
          <w:szCs w:val="22"/>
        </w:rPr>
        <w:t xml:space="preserve">Convention de messages : Conventional Commits (feat:, fix:, test:, docs:, chore:, ci:) — l'historique raconte la progression : initialisation, recherche de cartes, refonte v2, durcissement sécurité, CI/CD, internationalisation et multi-serveur v3.</w:t>
      </w:r>
    </w:p>
    <w:p>
      <w:pPr>
        <w:pStyle w:val="ListParagraph"/>
        <w:numPr>
          <w:ilvl w:val="0"/>
          <w:numId w:val="3"/>
        </w:numPr>
        <w:spacing w:after="70" w:line="308"/>
        <w:jc w:val="both"/>
      </w:pPr>
      <w:r>
        <w:rPr>
          <w:sz w:val="22"/>
          <w:szCs w:val="22"/>
        </w:rPr>
        <w:t xml:space="preserve">Hook pre-commit : lint syntaxique PHP + détection de motifs dangereux (dangerouslySetInnerHTML, eval, CORS wildcard, secret vide) avant chaque commit.</w:t>
      </w:r>
    </w:p>
    <w:p>
      <w:pPr>
        <w:pStyle w:val="Heading2"/>
      </w:pPr>
      <w:r>
        <w:t xml:space="preserve">9.2 Journal des versions (extrait du CHANGELOG)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851"/>
        <w:gridCol w:w="1134"/>
        <w:gridCol w:w="7087"/>
      </w:tblGrid>
      <w:tr>
        <w:trPr>
          <w:tblHeader/>
        </w:trPr>
        <w:tc>
          <w:tcPr>
            <w:tcW w:type="dxa" w:w="851"/>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Version</w:t>
            </w:r>
          </w:p>
        </w:tc>
        <w:tc>
          <w:tcPr>
            <w:tcW w:type="dxa" w:w="1134"/>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Date</w:t>
            </w:r>
          </w:p>
        </w:tc>
        <w:tc>
          <w:tcPr>
            <w:tcW w:type="dxa" w:w="7087"/>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Contenu</w:t>
            </w:r>
          </w:p>
        </w:tc>
      </w:tr>
      <w:tr>
        <w:tc>
          <w:tcPr>
            <w:tcW w:type="dxa" w:w="85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3.0.0</w:t>
            </w:r>
          </w:p>
        </w:tc>
        <w:tc>
          <w:tcPr>
            <w:tcW w:type="dxa" w:w="1134"/>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03/07/2026</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Multi-serveur (Americas/Europe/Asia), statistiques PvP de session, recherche et détail de batailles, craft localisé, 20 langues administrables (interface 100 % i18n), thème « fantasy », build v3</w:t>
            </w:r>
          </w:p>
        </w:tc>
      </w:tr>
      <w:tr>
        <w:tc>
          <w:tcPr>
            <w:tcW w:type="dxa" w:w="85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2.1.0</w:t>
            </w:r>
          </w:p>
        </w:tc>
        <w:tc>
          <w:tcPr>
            <w:tcW w:type="dxa" w:w="1134"/>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12/06/2026</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Sécurité : rate limiting, CORS restreint, en-têtes, politique de mot de passe, rotation des refresh tokens, Symfony 7.4 LTS (0 advisory), axios 1.17 ; correctifs BUG-009 à BUG-013 ; Dependabot</w:t>
            </w:r>
          </w:p>
        </w:tc>
      </w:tr>
      <w:tr>
        <w:tc>
          <w:tcPr>
            <w:tcW w:type="dxa" w:w="85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2.0.0</w:t>
            </w:r>
          </w:p>
        </w:tc>
        <w:tc>
          <w:tcPr>
            <w:tcW w:type="dxa" w:w="1134"/>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10/06/2026</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Administration (KPI, rôles, sync items), i18n FR/EN administrable, routes partagées, compositions, calculateur de craft, base d'items, profil, mode sombre, tutoriel, refonte UI</w:t>
            </w:r>
          </w:p>
        </w:tc>
      </w:tr>
      <w:tr>
        <w:tc>
          <w:tcPr>
            <w:tcW w:type="dxa" w:w="85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1.2.0</w:t>
            </w:r>
          </w:p>
        </w:tc>
        <w:tc>
          <w:tcPr>
            <w:tcW w:type="dxa" w:w="1134"/>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02/06/2026</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Couverture de tests étendue (back + front), cahier de recettes, correctifs BUG-001 à BUG-008 (validation de jeton, healthcheck public, secret applicatif…)</w:t>
            </w:r>
          </w:p>
        </w:tc>
      </w:tr>
      <w:tr>
        <w:tc>
          <w:tcPr>
            <w:tcW w:type="dxa" w:w="85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1.1.0</w:t>
            </w:r>
          </w:p>
        </w:tc>
        <w:tc>
          <w:tcPr>
            <w:tcW w:type="dxa" w:w="1134"/>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01/06/2026</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Supervision /api/health, canal de log incident, pipeline CI, premiers tests automatisés</w:t>
            </w:r>
          </w:p>
        </w:tc>
      </w:tr>
      <w:tr>
        <w:tc>
          <w:tcPr>
            <w:tcW w:type="dxa" w:w="851"/>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1.0.0</w:t>
            </w:r>
          </w:p>
        </w:tc>
        <w:tc>
          <w:tcPr>
            <w:tcW w:type="dxa" w:w="1134"/>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02/2025</w:t>
            </w:r>
          </w:p>
        </w:tc>
        <w:tc>
          <w:tcPr>
            <w:tcW w:type="dxa" w:w="7087"/>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Socle : authentification JWT, recherche joueurs/guildes, exploration de cartes</w:t>
            </w:r>
          </w:p>
        </w:tc>
      </w:tr>
    </w:tbl>
    <w:p>
      <w:pPr>
        <w:spacing w:after="120" w:before="60" w:line="308"/>
        <w:jc w:val="both"/>
      </w:pPr>
      <w:r>
        <w:rPr>
          <w:b w:val="false"/>
          <w:bCs w:val="false"/>
          <w:i w:val="false"/>
          <w:iCs w:val="false"/>
          <w:sz w:val="22"/>
          <w:szCs w:val="22"/>
        </w:rPr>
        <w:t xml:space="preserve">La dernière version du logiciel est fonctionnelle, fiable et viable : la recette complète (29 scénarios, §10) a été déroulée avec 100 % de réussite, les 131 tests automatisés sont verts sur la version 3.1.0 (vérification du 15/07/2026), et l'application est manipulable en autonomie par un utilisateur (tutoriel public avec visite guidée, messages d'erreur explicites).</w:t>
      </w:r>
    </w:p>
    <w:p>
      <w:pPr>
        <w:pStyle w:val="Heading2"/>
      </w:pPr>
      <w:r>
        <w:t xml:space="preserve">9.3 L'historique comme preuve : extrait du journal git</w:t>
      </w:r>
    </w:p>
    <w:p>
      <w:pPr>
        <w:spacing w:after="120" w:before="0" w:line="308"/>
        <w:jc w:val="both"/>
      </w:pPr>
      <w:r>
        <w:rPr>
          <w:b w:val="false"/>
          <w:bCs w:val="false"/>
          <w:i w:val="false"/>
          <w:iCs w:val="false"/>
          <w:sz w:val="22"/>
          <w:szCs w:val="22"/>
        </w:rPr>
        <w:t xml:space="preserve">L'historique du dépôt raconte chaque évolution avec la convention Conventional Commits — extrait réel, du socle initial à la v3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E0D5BB" w:sz="2"/>
              <w:left w:val="single" w:color="E0D5BB" w:sz="2"/>
              <w:bottom w:val="single" w:color="E0D5BB" w:sz="2"/>
              <w:right w:val="single" w:color="E0D5BB" w:sz="2"/>
            </w:tcBorders>
            <w:shd w:fill="FAF6EC" w:val="clear"/>
            <w:tcMar>
              <w:top w:type="dxa" w:w="90"/>
              <w:left w:type="dxa" w:w="140"/>
              <w:bottom w:type="dxa" w:w="90"/>
              <w:right w:type="dxa" w:w="140"/>
            </w:tcMar>
          </w:tcPr>
          <w:p>
            <w:pPr>
              <w:spacing w:after="0" w:line="230"/>
            </w:pPr>
            <w:r>
              <w:rPr>
                <w:rFonts w:ascii="Courier New" w:cs="Courier New" w:eastAsia="Courier New" w:hAnsi="Courier New"/>
                <w:color w:val="3A2E15"/>
                <w:sz w:val="16"/>
                <w:szCs w:val="16"/>
              </w:rPr>
              <w:t xml:space="preserve">ff4307c6 chore: initialisation du projet — back Symfony 7, front React, monorepo</w:t>
            </w:r>
          </w:p>
          <w:p>
            <w:pPr>
              <w:spacing w:after="0" w:line="230"/>
            </w:pPr>
            <w:r>
              <w:rPr>
                <w:rFonts w:ascii="Courier New" w:cs="Courier New" w:eastAsia="Courier New" w:hAnsi="Courier New"/>
                <w:color w:val="3A2E15"/>
                <w:sz w:val="16"/>
                <w:szCs w:val="16"/>
              </w:rPr>
              <w:t xml:space="preserve">d7d4bbc6 feat: recherche de cartes — entités zones, migrations Doctrine, sécurité</w:t>
            </w:r>
          </w:p>
          <w:p>
            <w:pPr>
              <w:spacing w:after="0" w:line="230"/>
            </w:pPr>
            <w:r>
              <w:rPr>
                <w:rFonts w:ascii="Courier New" w:cs="Courier New" w:eastAsia="Courier New" w:hAnsi="Courier New"/>
                <w:color w:val="3A2E15"/>
                <w:sz w:val="16"/>
                <w:szCs w:val="16"/>
              </w:rPr>
              <w:t xml:space="preserve">322a0f94 feat(back): support multi-serveur de jeu (americas/europe/asia)</w:t>
            </w:r>
          </w:p>
          <w:p>
            <w:pPr>
              <w:spacing w:after="0" w:line="230"/>
            </w:pPr>
            <w:r>
              <w:rPr>
                <w:rFonts w:ascii="Courier New" w:cs="Courier New" w:eastAsia="Courier New" w:hAnsi="Courier New"/>
                <w:color w:val="3A2E15"/>
                <w:sz w:val="16"/>
                <w:szCs w:val="16"/>
              </w:rPr>
              <w:t xml:space="preserve">f94d8bfd feat(back): statistiques PvP joueur (kills, morts, rapport de session)</w:t>
            </w:r>
          </w:p>
          <w:p>
            <w:pPr>
              <w:spacing w:after="0" w:line="230"/>
            </w:pPr>
            <w:r>
              <w:rPr>
                <w:rFonts w:ascii="Courier New" w:cs="Courier New" w:eastAsia="Courier New" w:hAnsi="Courier New"/>
                <w:color w:val="3A2E15"/>
                <w:sz w:val="16"/>
                <w:szCs w:val="16"/>
              </w:rPr>
              <w:t xml:space="preserve">51eefd40 feat(back): recherche et détail de batailles</w:t>
            </w:r>
          </w:p>
          <w:p>
            <w:pPr>
              <w:spacing w:after="0" w:line="230"/>
            </w:pPr>
            <w:r>
              <w:rPr>
                <w:rFonts w:ascii="Courier New" w:cs="Courier New" w:eastAsia="Courier New" w:hAnsi="Courier New"/>
                <w:color w:val="3A2E15"/>
                <w:sz w:val="16"/>
                <w:szCs w:val="16"/>
              </w:rPr>
              <w:t xml:space="preserve">53af2a2e feat(back): gestion dynamique des langues d'interface par l'admin</w:t>
            </w:r>
          </w:p>
          <w:p>
            <w:pPr>
              <w:spacing w:after="0" w:line="230"/>
            </w:pPr>
            <w:r>
              <w:rPr>
                <w:rFonts w:ascii="Courier New" w:cs="Courier New" w:eastAsia="Courier New" w:hAnsi="Courier New"/>
                <w:color w:val="3A2E15"/>
                <w:sz w:val="16"/>
                <w:szCs w:val="16"/>
              </w:rPr>
              <w:t xml:space="preserve">f6e4866c feat(front): page batailles (recherche guilde/alliance, détail)</w:t>
            </w:r>
          </w:p>
          <w:p>
            <w:pPr>
              <w:spacing w:after="0" w:line="230"/>
            </w:pPr>
            <w:r>
              <w:rPr>
                <w:rFonts w:ascii="Courier New" w:cs="Courier New" w:eastAsia="Courier New" w:hAnsi="Courier New"/>
                <w:color w:val="3A2E15"/>
                <w:sz w:val="16"/>
                <w:szCs w:val="16"/>
              </w:rPr>
              <w:t xml:space="preserve">ccb6d69c feat(front): internationalisation des pages restantes</w:t>
            </w:r>
          </w:p>
          <w:p>
            <w:pPr>
              <w:spacing w:after="0" w:line="230"/>
            </w:pPr>
            <w:r>
              <w:rPr>
                <w:rFonts w:ascii="Courier New" w:cs="Courier New" w:eastAsia="Courier New" w:hAnsi="Courier New"/>
                <w:color w:val="3A2E15"/>
                <w:sz w:val="16"/>
                <w:szCs w:val="16"/>
              </w:rPr>
              <w:t xml:space="preserve">a5a63952 fix(front): couleurs du mode clair pilotées par le thème (BUG-015)</w:t>
            </w:r>
          </w:p>
          <w:p>
            <w:pPr>
              <w:spacing w:after="0" w:line="230"/>
            </w:pPr>
            <w:r>
              <w:rPr>
                <w:rFonts w:ascii="Courier New" w:cs="Courier New" w:eastAsia="Courier New" w:hAnsi="Courier New"/>
                <w:color w:val="3A2E15"/>
                <w:sz w:val="16"/>
                <w:szCs w:val="16"/>
              </w:rPr>
              <w:t xml:space="preserve">710a6785 fix(front): clé i18n craft.settings.title (BUG-014)</w:t>
            </w:r>
          </w:p>
        </w:tc>
      </w:tr>
    </w:tbl>
    <w:p>
      <w:pPr>
        <w:spacing w:after="180" w:before="50"/>
        <w:jc w:val="left"/>
      </w:pPr>
      <w:r>
        <w:rPr>
          <w:i/>
          <w:iCs/>
          <w:color w:val="5A4825"/>
          <w:sz w:val="18"/>
          <w:szCs w:val="18"/>
        </w:rPr>
        <w:t xml:space="preserve">git log --oneline (sélection) — chaque correctif du registre (§11.2) est traçable jusqu'à son commit.</w:t>
      </w:r>
    </w:p>
    <w:p>
      <w:pPr>
        <w:pStyle w:val="Heading1"/>
      </w:pPr>
      <w:r>
        <w:t xml:space="preserve">10. Cahier de recettes</w:t>
      </w:r>
    </w:p>
    <w:p>
      <w:pPr>
        <w:spacing w:after="120" w:before="0" w:line="308"/>
        <w:jc w:val="both"/>
      </w:pPr>
      <w:r>
        <w:rPr>
          <w:b w:val="false"/>
          <w:bCs w:val="false"/>
          <w:i w:val="false"/>
          <w:iCs w:val="false"/>
          <w:sz w:val="22"/>
          <w:szCs w:val="22"/>
        </w:rPr>
        <w:t xml:space="preserve">La recette a été exécutée le 12/06/2026 sur la version 2.1.0, en environnement de développement iso-production (PostgreSQL, données réelles de l'API Albion), au travers du navigateur (scénarios pilotés par Playwright) et de l'API (scénarios sécurité). Les scénarios critiques (authentification, routes, compositions, craft, administration) ont été rejoués le 14/07/2026 sur la version 3.0.0 lors de la préparation de ce dossier. Chaque scénario précise ses préconditions, ses étapes et son résultat attendu. Statut : PASS = conforme à l'attendu.</w:t>
      </w:r>
    </w:p>
    <w:p>
      <w:pPr>
        <w:pStyle w:val="Heading2"/>
      </w:pPr>
      <w:r>
        <w:t xml:space="preserve">10.1 Authentification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840"/>
        <w:gridCol w:w="1400"/>
        <w:gridCol w:w="3360"/>
        <w:gridCol w:w="2800"/>
        <w:gridCol w:w="672"/>
      </w:tblGrid>
      <w:tr>
        <w:trPr>
          <w:tblHeader/>
        </w:trPr>
        <w:tc>
          <w:tcPr>
            <w:tcW w:type="dxa" w:w="840"/>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5"/>
                <w:szCs w:val="15"/>
              </w:rPr>
              <w:t xml:space="preserve">ID</w:t>
            </w:r>
          </w:p>
        </w:tc>
        <w:tc>
          <w:tcPr>
            <w:tcW w:type="dxa" w:w="1400"/>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5"/>
                <w:szCs w:val="15"/>
              </w:rPr>
              <w:t xml:space="preserve">Scénario</w:t>
            </w:r>
          </w:p>
        </w:tc>
        <w:tc>
          <w:tcPr>
            <w:tcW w:type="dxa" w:w="3360"/>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5"/>
                <w:szCs w:val="15"/>
              </w:rPr>
              <w:t xml:space="preserve">Étapes (préconditions → actions)</w:t>
            </w:r>
          </w:p>
        </w:tc>
        <w:tc>
          <w:tcPr>
            <w:tcW w:type="dxa" w:w="2800"/>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5"/>
                <w:szCs w:val="15"/>
              </w:rPr>
              <w:t xml:space="preserve">Résultat attendu</w:t>
            </w:r>
          </w:p>
        </w:tc>
        <w:tc>
          <w:tcPr>
            <w:tcW w:type="dxa" w:w="672"/>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5"/>
                <w:szCs w:val="15"/>
              </w:rPr>
              <w:t xml:space="preserve">Statut</w:t>
            </w:r>
          </w:p>
        </w:tc>
      </w:tr>
      <w:tr>
        <w:tc>
          <w:tcPr>
            <w:tcW w:type="dxa" w:w="84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AUTH-01</w:t>
            </w:r>
          </w:p>
        </w:tc>
        <w:tc>
          <w:tcPr>
            <w:tcW w:type="dxa" w:w="140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Inscription valide</w:t>
            </w:r>
          </w:p>
        </w:tc>
        <w:tc>
          <w:tcPr>
            <w:tcW w:type="dxa" w:w="336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Visiteur → /register : saisir un identifiant libre + mot de passe ≥ 8 car. → valider</w:t>
            </w:r>
          </w:p>
        </w:tc>
        <w:tc>
          <w:tcPr>
            <w:tcW w:type="dxa" w:w="280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Compte créé (201), redirection vers /login</w:t>
            </w:r>
          </w:p>
        </w:tc>
        <w:tc>
          <w:tcPr>
            <w:tcW w:type="dxa" w:w="67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PASS</w:t>
            </w:r>
          </w:p>
        </w:tc>
      </w:tr>
      <w:tr>
        <w:tc>
          <w:tcPr>
            <w:tcW w:type="dxa" w:w="84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AUTH-02</w:t>
            </w:r>
          </w:p>
        </w:tc>
        <w:tc>
          <w:tcPr>
            <w:tcW w:type="dxa" w:w="140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Mot de passe trop court</w:t>
            </w:r>
          </w:p>
        </w:tc>
        <w:tc>
          <w:tcPr>
            <w:tcW w:type="dxa" w:w="336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Visiteur → /register : mot de passe « abc »</w:t>
            </w:r>
          </w:p>
        </w:tc>
        <w:tc>
          <w:tcPr>
            <w:tcW w:type="dxa" w:w="280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Refus 400 + message « Password must be at least 8 characters long » affiché</w:t>
            </w:r>
          </w:p>
        </w:tc>
        <w:tc>
          <w:tcPr>
            <w:tcW w:type="dxa" w:w="67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PASS</w:t>
            </w:r>
          </w:p>
        </w:tc>
      </w:tr>
      <w:tr>
        <w:tc>
          <w:tcPr>
            <w:tcW w:type="dxa" w:w="84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AUTH-03</w:t>
            </w:r>
          </w:p>
        </w:tc>
        <w:tc>
          <w:tcPr>
            <w:tcW w:type="dxa" w:w="140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Identifiant déjà pris</w:t>
            </w:r>
          </w:p>
        </w:tc>
        <w:tc>
          <w:tcPr>
            <w:tcW w:type="dxa" w:w="336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Visiteur → /register avec un identifiant existant</w:t>
            </w:r>
          </w:p>
        </w:tc>
        <w:tc>
          <w:tcPr>
            <w:tcW w:type="dxa" w:w="280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Refus 400 + message « User already exists »</w:t>
            </w:r>
          </w:p>
        </w:tc>
        <w:tc>
          <w:tcPr>
            <w:tcW w:type="dxa" w:w="67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PASS</w:t>
            </w:r>
          </w:p>
        </w:tc>
      </w:tr>
      <w:tr>
        <w:tc>
          <w:tcPr>
            <w:tcW w:type="dxa" w:w="84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AUTH-04</w:t>
            </w:r>
          </w:p>
        </w:tc>
        <w:tc>
          <w:tcPr>
            <w:tcW w:type="dxa" w:w="140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Connexion valide</w:t>
            </w:r>
          </w:p>
        </w:tc>
        <w:tc>
          <w:tcPr>
            <w:tcW w:type="dxa" w:w="336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Compte existant → /login : identifiants corrects</w:t>
            </w:r>
          </w:p>
        </w:tc>
        <w:tc>
          <w:tcPr>
            <w:tcW w:type="dxa" w:w="280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Cookies de session httpOnly posés par l'API, redirection /dashboard, navigation complète affichée</w:t>
            </w:r>
          </w:p>
        </w:tc>
        <w:tc>
          <w:tcPr>
            <w:tcW w:type="dxa" w:w="67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PASS</w:t>
            </w:r>
          </w:p>
        </w:tc>
      </w:tr>
      <w:tr>
        <w:tc>
          <w:tcPr>
            <w:tcW w:type="dxa" w:w="84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AUTH-05</w:t>
            </w:r>
          </w:p>
        </w:tc>
        <w:tc>
          <w:tcPr>
            <w:tcW w:type="dxa" w:w="140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Mauvais mot de passe</w:t>
            </w:r>
          </w:p>
        </w:tc>
        <w:tc>
          <w:tcPr>
            <w:tcW w:type="dxa" w:w="336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 /login : mot de passe erroné</w:t>
            </w:r>
          </w:p>
        </w:tc>
        <w:tc>
          <w:tcPr>
            <w:tcW w:type="dxa" w:w="280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Message d'erreur affiché, champs conservés, pas de rechargement</w:t>
            </w:r>
          </w:p>
        </w:tc>
        <w:tc>
          <w:tcPr>
            <w:tcW w:type="dxa" w:w="67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PASS*</w:t>
            </w:r>
          </w:p>
        </w:tc>
      </w:tr>
      <w:tr>
        <w:tc>
          <w:tcPr>
            <w:tcW w:type="dxa" w:w="84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AUTH-06</w:t>
            </w:r>
          </w:p>
        </w:tc>
        <w:tc>
          <w:tcPr>
            <w:tcW w:type="dxa" w:w="140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Accès protégé sans session</w:t>
            </w:r>
          </w:p>
        </w:tc>
        <w:tc>
          <w:tcPr>
            <w:tcW w:type="dxa" w:w="336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Déconnecté → saisir /dashboard dans l'URL</w:t>
            </w:r>
          </w:p>
        </w:tc>
        <w:tc>
          <w:tcPr>
            <w:tcW w:type="dxa" w:w="280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Redirection vers l'accueil public</w:t>
            </w:r>
          </w:p>
        </w:tc>
        <w:tc>
          <w:tcPr>
            <w:tcW w:type="dxa" w:w="67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PASS</w:t>
            </w:r>
          </w:p>
        </w:tc>
      </w:tr>
      <w:tr>
        <w:tc>
          <w:tcPr>
            <w:tcW w:type="dxa" w:w="84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AUTH-07</w:t>
            </w:r>
          </w:p>
        </w:tc>
        <w:tc>
          <w:tcPr>
            <w:tcW w:type="dxa" w:w="140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Déconnexion</w:t>
            </w:r>
          </w:p>
        </w:tc>
        <w:tc>
          <w:tcPr>
            <w:tcW w:type="dxa" w:w="336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Connecté → bouton Déconnexion</w:t>
            </w:r>
          </w:p>
        </w:tc>
        <w:tc>
          <w:tcPr>
            <w:tcW w:type="dxa" w:w="280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Refresh token invalidé en base, cookies expirés, retour à l'accueil</w:t>
            </w:r>
          </w:p>
        </w:tc>
        <w:tc>
          <w:tcPr>
            <w:tcW w:type="dxa" w:w="67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PASS</w:t>
            </w:r>
          </w:p>
        </w:tc>
      </w:tr>
      <w:tr>
        <w:tc>
          <w:tcPr>
            <w:tcW w:type="dxa" w:w="840"/>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5"/>
                <w:szCs w:val="15"/>
              </w:rPr>
              <w:t xml:space="preserve">AUTH-08</w:t>
            </w:r>
          </w:p>
        </w:tc>
        <w:tc>
          <w:tcPr>
            <w:tcW w:type="dxa" w:w="1400"/>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5"/>
                <w:szCs w:val="15"/>
              </w:rPr>
              <w:t xml:space="preserve">Jetons invisibles à JavaScript (v3.1)</w:t>
            </w:r>
          </w:p>
        </w:tc>
        <w:tc>
          <w:tcPr>
            <w:tcW w:type="dxa" w:w="3360"/>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5"/>
                <w:szCs w:val="15"/>
              </w:rPr>
              <w:t xml:space="preserve">Connecté → inspecter localStorage et document.cookie</w:t>
            </w:r>
          </w:p>
        </w:tc>
        <w:tc>
          <w:tcPr>
            <w:tcW w:type="dxa" w:w="2800"/>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5"/>
                <w:szCs w:val="15"/>
              </w:rPr>
              <w:t xml:space="preserve">Aucun jeton en localStorage ; document.cookie vide (cookies httpOnly) ; les données chargent normalement</w:t>
            </w:r>
          </w:p>
        </w:tc>
        <w:tc>
          <w:tcPr>
            <w:tcW w:type="dxa" w:w="672"/>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5"/>
                <w:szCs w:val="15"/>
              </w:rPr>
              <w:t xml:space="preserve">PASS</w:t>
            </w:r>
          </w:p>
        </w:tc>
      </w:tr>
    </w:tbl>
    <w:p>
      <w:pPr>
        <w:spacing w:after="120" w:before="40" w:line="308"/>
        <w:jc w:val="both"/>
      </w:pPr>
      <w:r>
        <w:rPr>
          <w:b w:val="false"/>
          <w:bCs w:val="false"/>
          <w:i/>
          <w:iCs/>
          <w:sz w:val="18"/>
          <w:szCs w:val="18"/>
        </w:rPr>
        <w:t xml:space="preserve">* AUTH-05 a d'abord échoué (FAIL) : l'intercepteur HTTP rechargeait la page sur tout code 401, y compris celui du login, sans afficher d'erreur. Anomalie consignée (BUG-011), corrigée, scénario rejoué : PASS. C'est exactement le rôle de la recette.</w:t>
      </w:r>
    </w:p>
    <w:p>
      <w:pPr>
        <w:pStyle w:val="Heading2"/>
      </w:pPr>
      <w:r>
        <w:t xml:space="preserve">10.2 Recherche et consultation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840"/>
        <w:gridCol w:w="1400"/>
        <w:gridCol w:w="3360"/>
        <w:gridCol w:w="2800"/>
        <w:gridCol w:w="672"/>
      </w:tblGrid>
      <w:tr>
        <w:trPr>
          <w:tblHeader/>
        </w:trPr>
        <w:tc>
          <w:tcPr>
            <w:tcW w:type="dxa" w:w="840"/>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5"/>
                <w:szCs w:val="15"/>
              </w:rPr>
              <w:t xml:space="preserve">ID</w:t>
            </w:r>
          </w:p>
        </w:tc>
        <w:tc>
          <w:tcPr>
            <w:tcW w:type="dxa" w:w="1400"/>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5"/>
                <w:szCs w:val="15"/>
              </w:rPr>
              <w:t xml:space="preserve">Scénario</w:t>
            </w:r>
          </w:p>
        </w:tc>
        <w:tc>
          <w:tcPr>
            <w:tcW w:type="dxa" w:w="3360"/>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5"/>
                <w:szCs w:val="15"/>
              </w:rPr>
              <w:t xml:space="preserve">Étapes</w:t>
            </w:r>
          </w:p>
        </w:tc>
        <w:tc>
          <w:tcPr>
            <w:tcW w:type="dxa" w:w="2800"/>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5"/>
                <w:szCs w:val="15"/>
              </w:rPr>
              <w:t xml:space="preserve">Résultat attendu</w:t>
            </w:r>
          </w:p>
        </w:tc>
        <w:tc>
          <w:tcPr>
            <w:tcW w:type="dxa" w:w="672"/>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5"/>
                <w:szCs w:val="15"/>
              </w:rPr>
              <w:t xml:space="preserve">Statut</w:t>
            </w:r>
          </w:p>
        </w:tc>
      </w:tr>
      <w:tr>
        <w:tc>
          <w:tcPr>
            <w:tcW w:type="dxa" w:w="84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RECH-01</w:t>
            </w:r>
          </w:p>
        </w:tc>
        <w:tc>
          <w:tcPr>
            <w:tcW w:type="dxa" w:w="140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Recherche de joueurs</w:t>
            </w:r>
          </w:p>
        </w:tc>
        <w:tc>
          <w:tcPr>
            <w:tcW w:type="dxa" w:w="336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Dashboard → type « Joueurs » → saisir « lord » → rechercher</w:t>
            </w:r>
          </w:p>
        </w:tc>
        <w:tc>
          <w:tcPr>
            <w:tcW w:type="dxa" w:w="280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Liste de joueurs réels renvoyée par l'API Albion (10 résultats)</w:t>
            </w:r>
          </w:p>
        </w:tc>
        <w:tc>
          <w:tcPr>
            <w:tcW w:type="dxa" w:w="67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PASS</w:t>
            </w:r>
          </w:p>
        </w:tc>
      </w:tr>
      <w:tr>
        <w:tc>
          <w:tcPr>
            <w:tcW w:type="dxa" w:w="84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RECH-02</w:t>
            </w:r>
          </w:p>
        </w:tc>
        <w:tc>
          <w:tcPr>
            <w:tcW w:type="dxa" w:w="140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Fiche joueur</w:t>
            </w:r>
          </w:p>
        </w:tc>
        <w:tc>
          <w:tcPr>
            <w:tcW w:type="dxa" w:w="336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Cliquer un résultat</w:t>
            </w:r>
          </w:p>
        </w:tc>
        <w:tc>
          <w:tcPr>
            <w:tcW w:type="dxa" w:w="280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Statistiques PvP, Fame, PvE, Gathering affichées</w:t>
            </w:r>
          </w:p>
        </w:tc>
        <w:tc>
          <w:tcPr>
            <w:tcW w:type="dxa" w:w="67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PASS</w:t>
            </w:r>
          </w:p>
        </w:tc>
      </w:tr>
      <w:tr>
        <w:tc>
          <w:tcPr>
            <w:tcW w:type="dxa" w:w="84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RECH-03</w:t>
            </w:r>
          </w:p>
        </w:tc>
        <w:tc>
          <w:tcPr>
            <w:tcW w:type="dxa" w:w="140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Recherche de guildes</w:t>
            </w:r>
          </w:p>
        </w:tc>
        <w:tc>
          <w:tcPr>
            <w:tcW w:type="dxa" w:w="336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/guilds → saisir « Black »</w:t>
            </w:r>
          </w:p>
        </w:tc>
        <w:tc>
          <w:tcPr>
            <w:tcW w:type="dxa" w:w="280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10 guildes trouvées</w:t>
            </w:r>
          </w:p>
        </w:tc>
        <w:tc>
          <w:tcPr>
            <w:tcW w:type="dxa" w:w="67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PASS</w:t>
            </w:r>
          </w:p>
        </w:tc>
      </w:tr>
      <w:tr>
        <w:tc>
          <w:tcPr>
            <w:tcW w:type="dxa" w:w="84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RECH-04</w:t>
            </w:r>
          </w:p>
        </w:tc>
        <w:tc>
          <w:tcPr>
            <w:tcW w:type="dxa" w:w="140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Fiche guilde</w:t>
            </w:r>
          </w:p>
        </w:tc>
        <w:tc>
          <w:tcPr>
            <w:tcW w:type="dxa" w:w="336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Cliquer une guilde</w:t>
            </w:r>
          </w:p>
        </w:tc>
        <w:tc>
          <w:tcPr>
            <w:tcW w:type="dxa" w:w="280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Statistiques + liste des membres (42 membres affichés)</w:t>
            </w:r>
          </w:p>
        </w:tc>
        <w:tc>
          <w:tcPr>
            <w:tcW w:type="dxa" w:w="67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PASS</w:t>
            </w:r>
          </w:p>
        </w:tc>
      </w:tr>
      <w:tr>
        <w:tc>
          <w:tcPr>
            <w:tcW w:type="dxa" w:w="84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CARTE-01</w:t>
            </w:r>
          </w:p>
        </w:tc>
        <w:tc>
          <w:tcPr>
            <w:tcW w:type="dxa" w:w="140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Recherche de carte</w:t>
            </w:r>
          </w:p>
        </w:tc>
        <w:tc>
          <w:tcPr>
            <w:tcW w:type="dxa" w:w="336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/map → saisir « Huritos »</w:t>
            </w:r>
          </w:p>
        </w:tc>
        <w:tc>
          <w:tcPr>
            <w:tcW w:type="dxa" w:w="280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Zones correspondantes avec tier ; compteurs de coffres/ressources et légende affichés</w:t>
            </w:r>
          </w:p>
        </w:tc>
        <w:tc>
          <w:tcPr>
            <w:tcW w:type="dxa" w:w="67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PASS</w:t>
            </w:r>
          </w:p>
        </w:tc>
      </w:tr>
      <w:tr>
        <w:tc>
          <w:tcPr>
            <w:tcW w:type="dxa" w:w="84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SRV-01</w:t>
            </w:r>
          </w:p>
        </w:tc>
        <w:tc>
          <w:tcPr>
            <w:tcW w:type="dxa" w:w="140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Multi-serveur (v3)</w:t>
            </w:r>
          </w:p>
        </w:tc>
        <w:tc>
          <w:tcPr>
            <w:tcW w:type="dxa" w:w="336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Sélecteur d'en-tête → Europe → relancer une recherche joueur</w:t>
            </w:r>
          </w:p>
        </w:tc>
        <w:tc>
          <w:tcPr>
            <w:tcW w:type="dxa" w:w="280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Les résultats proviennent du serveur choisi ; la fiche joueur se charge sur ce serveur</w:t>
            </w:r>
          </w:p>
        </w:tc>
        <w:tc>
          <w:tcPr>
            <w:tcW w:type="dxa" w:w="67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PASS</w:t>
            </w:r>
          </w:p>
        </w:tc>
      </w:tr>
      <w:tr>
        <w:tc>
          <w:tcPr>
            <w:tcW w:type="dxa" w:w="840"/>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5"/>
                <w:szCs w:val="15"/>
              </w:rPr>
              <w:t xml:space="preserve">BAT-01</w:t>
            </w:r>
          </w:p>
        </w:tc>
        <w:tc>
          <w:tcPr>
            <w:tcW w:type="dxa" w:w="1400"/>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5"/>
                <w:szCs w:val="15"/>
              </w:rPr>
              <w:t xml:space="preserve">Batailles (v3)</w:t>
            </w:r>
          </w:p>
        </w:tc>
        <w:tc>
          <w:tcPr>
            <w:tcW w:type="dxa" w:w="3360"/>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5"/>
                <w:szCs w:val="15"/>
              </w:rPr>
              <w:t xml:space="preserve">/battles → « Contingent » → période Semaine → ouvrir une bataille</w:t>
            </w:r>
          </w:p>
        </w:tc>
        <w:tc>
          <w:tcPr>
            <w:tcW w:type="dxa" w:w="2800"/>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5"/>
                <w:szCs w:val="15"/>
              </w:rPr>
              <w:t xml:space="preserve">Liste des combats puis détail : joueurs, kills, fame, dégâts, soins</w:t>
            </w:r>
          </w:p>
        </w:tc>
        <w:tc>
          <w:tcPr>
            <w:tcW w:type="dxa" w:w="672"/>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5"/>
                <w:szCs w:val="15"/>
              </w:rPr>
              <w:t xml:space="preserve">PASS</w:t>
            </w:r>
          </w:p>
        </w:tc>
      </w:tr>
    </w:tbl>
    <w:p>
      <w:pPr>
        <w:pStyle w:val="Heading2"/>
      </w:pPr>
      <w:r>
        <w:t xml:space="preserve">10.3 Routes, compositions, craft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90"/>
        <w:gridCol w:w="1375"/>
        <w:gridCol w:w="3299"/>
        <w:gridCol w:w="2749"/>
        <w:gridCol w:w="659"/>
      </w:tblGrid>
      <w:tr>
        <w:trPr>
          <w:tblHeader/>
        </w:trPr>
        <w:tc>
          <w:tcPr>
            <w:tcW w:type="dxa" w:w="990"/>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5"/>
                <w:szCs w:val="15"/>
              </w:rPr>
              <w:t xml:space="preserve">ID</w:t>
            </w:r>
          </w:p>
        </w:tc>
        <w:tc>
          <w:tcPr>
            <w:tcW w:type="dxa" w:w="1375"/>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5"/>
                <w:szCs w:val="15"/>
              </w:rPr>
              <w:t xml:space="preserve">Scénario</w:t>
            </w:r>
          </w:p>
        </w:tc>
        <w:tc>
          <w:tcPr>
            <w:tcW w:type="dxa" w:w="3299"/>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5"/>
                <w:szCs w:val="15"/>
              </w:rPr>
              <w:t xml:space="preserve">Étapes</w:t>
            </w:r>
          </w:p>
        </w:tc>
        <w:tc>
          <w:tcPr>
            <w:tcW w:type="dxa" w:w="2749"/>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5"/>
                <w:szCs w:val="15"/>
              </w:rPr>
              <w:t xml:space="preserve">Résultat attendu</w:t>
            </w:r>
          </w:p>
        </w:tc>
        <w:tc>
          <w:tcPr>
            <w:tcW w:type="dxa" w:w="659"/>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5"/>
                <w:szCs w:val="15"/>
              </w:rPr>
              <w:t xml:space="preserve">Statut</w:t>
            </w:r>
          </w:p>
        </w:tc>
      </w:tr>
      <w:tr>
        <w:tc>
          <w:tcPr>
            <w:tcW w:type="dxa" w:w="99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ROUTE-01</w:t>
            </w:r>
          </w:p>
        </w:tc>
        <w:tc>
          <w:tcPr>
            <w:tcW w:type="dxa" w:w="137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Création d'une route</w:t>
            </w:r>
          </w:p>
        </w:tc>
        <w:tc>
          <w:tcPr>
            <w:tcW w:type="dxa" w:w="329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/routes → créer → nommer → ajouter 2 zones (autocomplétion) → enregistrer</w:t>
            </w:r>
          </w:p>
        </w:tc>
        <w:tc>
          <w:tcPr>
            <w:tcW w:type="dxa" w:w="274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Route affichée avec zones ordonnées, minuteurs, expiration 23 h 59</w:t>
            </w:r>
          </w:p>
        </w:tc>
        <w:tc>
          <w:tcPr>
            <w:tcW w:type="dxa" w:w="65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PASS</w:t>
            </w:r>
          </w:p>
        </w:tc>
      </w:tr>
      <w:tr>
        <w:tc>
          <w:tcPr>
            <w:tcW w:type="dxa" w:w="99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ROUTE-02</w:t>
            </w:r>
          </w:p>
        </w:tc>
        <w:tc>
          <w:tcPr>
            <w:tcW w:type="dxa" w:w="137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Partage public</w:t>
            </w:r>
          </w:p>
        </w:tc>
        <w:tc>
          <w:tcPr>
            <w:tcW w:type="dxa" w:w="329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Récupérer le lien de partage → l'appeler sans authentification</w:t>
            </w:r>
          </w:p>
        </w:tc>
        <w:tc>
          <w:tcPr>
            <w:tcW w:type="dxa" w:w="274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La route est consultable sans compte (jeton aléatoire), avec temps restant</w:t>
            </w:r>
          </w:p>
        </w:tc>
        <w:tc>
          <w:tcPr>
            <w:tcW w:type="dxa" w:w="65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PASS</w:t>
            </w:r>
          </w:p>
        </w:tc>
      </w:tr>
      <w:tr>
        <w:tc>
          <w:tcPr>
            <w:tcW w:type="dxa" w:w="99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ROUTE-03</w:t>
            </w:r>
          </w:p>
        </w:tc>
        <w:tc>
          <w:tcPr>
            <w:tcW w:type="dxa" w:w="137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Suppression protégée</w:t>
            </w:r>
          </w:p>
        </w:tc>
        <w:tc>
          <w:tcPr>
            <w:tcW w:type="dxa" w:w="329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Supprimer la route depuis un AUTRE compte, puis depuis le compte propriétaire</w:t>
            </w:r>
          </w:p>
        </w:tc>
        <w:tc>
          <w:tcPr>
            <w:tcW w:type="dxa" w:w="274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Autre compte : 404 (propriété vérifiée) ; propriétaire : suppression confirmée</w:t>
            </w:r>
          </w:p>
        </w:tc>
        <w:tc>
          <w:tcPr>
            <w:tcW w:type="dxa" w:w="65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PASS</w:t>
            </w:r>
          </w:p>
        </w:tc>
      </w:tr>
      <w:tr>
        <w:tc>
          <w:tcPr>
            <w:tcW w:type="dxa" w:w="99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COMPO-01</w:t>
            </w:r>
          </w:p>
        </w:tc>
        <w:tc>
          <w:tcPr>
            <w:tcW w:type="dxa" w:w="137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Création de composition</w:t>
            </w:r>
          </w:p>
        </w:tc>
        <w:tc>
          <w:tcPr>
            <w:tcW w:type="dxa" w:w="329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/compositions → Nouvelle → nommer → équiper une arme via le sélecteur d'items</w:t>
            </w:r>
          </w:p>
        </w:tc>
        <w:tc>
          <w:tcPr>
            <w:tcW w:type="dxa" w:w="274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Éditeur ouvert, item trouvé par son nom français, slot équipé, sauvegarde OK</w:t>
            </w:r>
          </w:p>
        </w:tc>
        <w:tc>
          <w:tcPr>
            <w:tcW w:type="dxa" w:w="65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PASS</w:t>
            </w:r>
          </w:p>
        </w:tc>
      </w:tr>
      <w:tr>
        <w:tc>
          <w:tcPr>
            <w:tcW w:type="dxa" w:w="99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COMPO-02</w:t>
            </w:r>
          </w:p>
        </w:tc>
        <w:tc>
          <w:tcPr>
            <w:tcW w:type="dxa" w:w="137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Partage par URL</w:t>
            </w:r>
          </w:p>
        </w:tc>
        <w:tc>
          <w:tcPr>
            <w:tcW w:type="dxa" w:w="329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Visibilité « URL only » → appeler le lien de partage sans authentification</w:t>
            </w:r>
          </w:p>
        </w:tc>
        <w:tc>
          <w:tcPr>
            <w:tcW w:type="dxa" w:w="274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Composition consultable (nom, joueurs, équipements) sans compte</w:t>
            </w:r>
          </w:p>
        </w:tc>
        <w:tc>
          <w:tcPr>
            <w:tcW w:type="dxa" w:w="65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PASS</w:t>
            </w:r>
          </w:p>
        </w:tc>
      </w:tr>
      <w:tr>
        <w:tc>
          <w:tcPr>
            <w:tcW w:type="dxa" w:w="990"/>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5"/>
                <w:szCs w:val="15"/>
              </w:rPr>
              <w:t xml:space="preserve">CRAFT-01</w:t>
            </w:r>
          </w:p>
        </w:tc>
        <w:tc>
          <w:tcPr>
            <w:tcW w:type="dxa" w:w="1375"/>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5"/>
                <w:szCs w:val="15"/>
              </w:rPr>
              <w:t xml:space="preserve">Calcul de rentabilité</w:t>
            </w:r>
          </w:p>
        </w:tc>
        <w:tc>
          <w:tcPr>
            <w:tcW w:type="dxa" w:w="3299"/>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5"/>
                <w:szCs w:val="15"/>
              </w:rPr>
              <w:t xml:space="preserve">/craft → Charger les prix marché</w:t>
            </w:r>
          </w:p>
        </w:tc>
        <w:tc>
          <w:tcPr>
            <w:tcW w:type="dxa" w:w="2749"/>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5"/>
                <w:szCs w:val="15"/>
              </w:rPr>
              <w:t xml:space="preserve">Prix réels chargés ; coûts, retours et bénéfices calculés (ex. Cuir fortifié T8 : +119,8 %)</w:t>
            </w:r>
          </w:p>
        </w:tc>
        <w:tc>
          <w:tcPr>
            <w:tcW w:type="dxa" w:w="659"/>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5"/>
                <w:szCs w:val="15"/>
              </w:rPr>
              <w:t xml:space="preserve">PASS</w:t>
            </w:r>
          </w:p>
        </w:tc>
      </w:tr>
    </w:tbl>
    <w:p>
      <w:pPr>
        <w:pStyle w:val="Heading2"/>
      </w:pPr>
      <w:r>
        <w:t xml:space="preserve">10.4 Administration et confort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825"/>
        <w:gridCol w:w="1539"/>
        <w:gridCol w:w="3024"/>
        <w:gridCol w:w="3024"/>
        <w:gridCol w:w="660"/>
      </w:tblGrid>
      <w:tr>
        <w:trPr>
          <w:tblHeader/>
        </w:trPr>
        <w:tc>
          <w:tcPr>
            <w:tcW w:type="dxa" w:w="825"/>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5"/>
                <w:szCs w:val="15"/>
              </w:rPr>
              <w:t xml:space="preserve">ID</w:t>
            </w:r>
          </w:p>
        </w:tc>
        <w:tc>
          <w:tcPr>
            <w:tcW w:type="dxa" w:w="1539"/>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5"/>
                <w:szCs w:val="15"/>
              </w:rPr>
              <w:t xml:space="preserve">Scénario</w:t>
            </w:r>
          </w:p>
        </w:tc>
        <w:tc>
          <w:tcPr>
            <w:tcW w:type="dxa" w:w="3024"/>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5"/>
                <w:szCs w:val="15"/>
              </w:rPr>
              <w:t xml:space="preserve">Étapes</w:t>
            </w:r>
          </w:p>
        </w:tc>
        <w:tc>
          <w:tcPr>
            <w:tcW w:type="dxa" w:w="3024"/>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5"/>
                <w:szCs w:val="15"/>
              </w:rPr>
              <w:t xml:space="preserve">Résultat attendu</w:t>
            </w:r>
          </w:p>
        </w:tc>
        <w:tc>
          <w:tcPr>
            <w:tcW w:type="dxa" w:w="660"/>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5"/>
                <w:szCs w:val="15"/>
              </w:rPr>
              <w:t xml:space="preserve">Statut</w:t>
            </w:r>
          </w:p>
        </w:tc>
      </w:tr>
      <w:tr>
        <w:tc>
          <w:tcPr>
            <w:tcW w:type="dxa" w:w="82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ADM-01</w:t>
            </w:r>
          </w:p>
        </w:tc>
        <w:tc>
          <w:tcPr>
            <w:tcW w:type="dxa" w:w="153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Tableau de bord admin</w:t>
            </w:r>
          </w:p>
        </w:tc>
        <w:tc>
          <w:tcPr>
            <w:tcW w:type="dxa" w:w="3024"/>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Connexion compte ROLE_ADMIN → /admin</w:t>
            </w:r>
          </w:p>
        </w:tc>
        <w:tc>
          <w:tcPr>
            <w:tcW w:type="dxa" w:w="3024"/>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KPI réels (utilisateurs, routes, recherches), liste des comptes, gestion des rôles</w:t>
            </w:r>
          </w:p>
        </w:tc>
        <w:tc>
          <w:tcPr>
            <w:tcW w:type="dxa" w:w="66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PASS</w:t>
            </w:r>
          </w:p>
        </w:tc>
      </w:tr>
      <w:tr>
        <w:tc>
          <w:tcPr>
            <w:tcW w:type="dxa" w:w="82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ADM-02</w:t>
            </w:r>
          </w:p>
        </w:tc>
        <w:tc>
          <w:tcPr>
            <w:tcW w:type="dxa" w:w="153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Accès admin refusé</w:t>
            </w:r>
          </w:p>
        </w:tc>
        <w:tc>
          <w:tcPr>
            <w:tcW w:type="dxa" w:w="3024"/>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Connexion compte standard → /admin</w:t>
            </w:r>
          </w:p>
        </w:tc>
        <w:tc>
          <w:tcPr>
            <w:tcW w:type="dxa" w:w="3024"/>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Accès refusé (403 API), retour à l'authentification</w:t>
            </w:r>
          </w:p>
        </w:tc>
        <w:tc>
          <w:tcPr>
            <w:tcW w:type="dxa" w:w="66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PASS</w:t>
            </w:r>
          </w:p>
        </w:tc>
      </w:tr>
      <w:tr>
        <w:tc>
          <w:tcPr>
            <w:tcW w:type="dxa" w:w="82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ADM-03</w:t>
            </w:r>
          </w:p>
        </w:tc>
        <w:tc>
          <w:tcPr>
            <w:tcW w:type="dxa" w:w="153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Gestion des langues</w:t>
            </w:r>
          </w:p>
        </w:tc>
        <w:tc>
          <w:tcPr>
            <w:tcW w:type="dxa" w:w="3024"/>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/admin → section langues</w:t>
            </w:r>
          </w:p>
        </w:tc>
        <w:tc>
          <w:tcPr>
            <w:tcW w:type="dxa" w:w="3024"/>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20 langues listées, ajout par code ISO + téléchargement du template JSON</w:t>
            </w:r>
          </w:p>
        </w:tc>
        <w:tc>
          <w:tcPr>
            <w:tcW w:type="dxa" w:w="66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PASS</w:t>
            </w:r>
          </w:p>
        </w:tc>
      </w:tr>
      <w:tr>
        <w:tc>
          <w:tcPr>
            <w:tcW w:type="dxa" w:w="82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ADM-04</w:t>
            </w:r>
          </w:p>
        </w:tc>
        <w:tc>
          <w:tcPr>
            <w:tcW w:type="dxa" w:w="153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Synchronisation des items</w:t>
            </w:r>
          </w:p>
        </w:tc>
        <w:tc>
          <w:tcPr>
            <w:tcW w:type="dxa" w:w="3024"/>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Déclencher la synchronisation</w:t>
            </w:r>
          </w:p>
        </w:tc>
        <w:tc>
          <w:tcPr>
            <w:tcW w:type="dxa" w:w="3024"/>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12 066 items en base (9 666 ajoutés, 2 400 mis à jour)</w:t>
            </w:r>
          </w:p>
        </w:tc>
        <w:tc>
          <w:tcPr>
            <w:tcW w:type="dxa" w:w="66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PASS</w:t>
            </w:r>
          </w:p>
        </w:tc>
      </w:tr>
      <w:tr>
        <w:tc>
          <w:tcPr>
            <w:tcW w:type="dxa" w:w="82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CONF-01</w:t>
            </w:r>
          </w:p>
        </w:tc>
        <w:tc>
          <w:tcPr>
            <w:tcW w:type="dxa" w:w="153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Mode sombre / clair</w:t>
            </w:r>
          </w:p>
        </w:tc>
        <w:tc>
          <w:tcPr>
            <w:tcW w:type="dxa" w:w="3024"/>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Bouton de bascule du thème</w:t>
            </w:r>
          </w:p>
        </w:tc>
        <w:tc>
          <w:tcPr>
            <w:tcW w:type="dxa" w:w="3024"/>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Thème appliqué immédiatement et persisté (rechargement compris)</w:t>
            </w:r>
          </w:p>
        </w:tc>
        <w:tc>
          <w:tcPr>
            <w:tcW w:type="dxa" w:w="66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PASS</w:t>
            </w:r>
          </w:p>
        </w:tc>
      </w:tr>
      <w:tr>
        <w:tc>
          <w:tcPr>
            <w:tcW w:type="dxa" w:w="82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CONF-02</w:t>
            </w:r>
          </w:p>
        </w:tc>
        <w:tc>
          <w:tcPr>
            <w:tcW w:type="dxa" w:w="153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Changement de langue</w:t>
            </w:r>
          </w:p>
        </w:tc>
        <w:tc>
          <w:tcPr>
            <w:tcW w:type="dxa" w:w="3024"/>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Menu langue → English</w:t>
            </w:r>
          </w:p>
        </w:tc>
        <w:tc>
          <w:tcPr>
            <w:tcW w:type="dxa" w:w="3024"/>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Interface traduite intégralement, persistance du choix</w:t>
            </w:r>
          </w:p>
        </w:tc>
        <w:tc>
          <w:tcPr>
            <w:tcW w:type="dxa" w:w="66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PASS</w:t>
            </w:r>
          </w:p>
        </w:tc>
      </w:tr>
      <w:tr>
        <w:tc>
          <w:tcPr>
            <w:tcW w:type="dxa" w:w="825"/>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5"/>
                <w:szCs w:val="15"/>
              </w:rPr>
              <w:t xml:space="preserve">CONF-03</w:t>
            </w:r>
          </w:p>
        </w:tc>
        <w:tc>
          <w:tcPr>
            <w:tcW w:type="dxa" w:w="1539"/>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5"/>
                <w:szCs w:val="15"/>
              </w:rPr>
              <w:t xml:space="preserve">Tutoriel public</w:t>
            </w:r>
          </w:p>
        </w:tc>
        <w:tc>
          <w:tcPr>
            <w:tcW w:type="dxa" w:w="3024"/>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5"/>
                <w:szCs w:val="15"/>
              </w:rPr>
              <w:t xml:space="preserve">Déconnecté → page d'accueil → « Démarrer la visite guidée »</w:t>
            </w:r>
          </w:p>
        </w:tc>
        <w:tc>
          <w:tcPr>
            <w:tcW w:type="dxa" w:w="3024"/>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5"/>
                <w:szCs w:val="15"/>
              </w:rPr>
              <w:t xml:space="preserve">Présentation des fonctionnalités + visite guidée interactive accessibles sans compte</w:t>
            </w:r>
          </w:p>
        </w:tc>
        <w:tc>
          <w:tcPr>
            <w:tcW w:type="dxa" w:w="660"/>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5"/>
                <w:szCs w:val="15"/>
              </w:rPr>
              <w:t xml:space="preserve">PASS</w:t>
            </w:r>
          </w:p>
        </w:tc>
      </w:tr>
    </w:tbl>
    <w:p>
      <w:pPr>
        <w:pStyle w:val="Heading2"/>
      </w:pPr>
      <w:r>
        <w:t xml:space="preserve">10.5 Sécurité (tests structurels via API)</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825"/>
        <w:gridCol w:w="1539"/>
        <w:gridCol w:w="3024"/>
        <w:gridCol w:w="3024"/>
        <w:gridCol w:w="660"/>
      </w:tblGrid>
      <w:tr>
        <w:trPr>
          <w:tblHeader/>
        </w:trPr>
        <w:tc>
          <w:tcPr>
            <w:tcW w:type="dxa" w:w="825"/>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5"/>
                <w:szCs w:val="15"/>
              </w:rPr>
              <w:t xml:space="preserve">ID</w:t>
            </w:r>
          </w:p>
        </w:tc>
        <w:tc>
          <w:tcPr>
            <w:tcW w:type="dxa" w:w="1539"/>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5"/>
                <w:szCs w:val="15"/>
              </w:rPr>
              <w:t xml:space="preserve">Scénario</w:t>
            </w:r>
          </w:p>
        </w:tc>
        <w:tc>
          <w:tcPr>
            <w:tcW w:type="dxa" w:w="3024"/>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5"/>
                <w:szCs w:val="15"/>
              </w:rPr>
              <w:t xml:space="preserve">Étapes</w:t>
            </w:r>
          </w:p>
        </w:tc>
        <w:tc>
          <w:tcPr>
            <w:tcW w:type="dxa" w:w="3024"/>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5"/>
                <w:szCs w:val="15"/>
              </w:rPr>
              <w:t xml:space="preserve">Résultat attendu</w:t>
            </w:r>
          </w:p>
        </w:tc>
        <w:tc>
          <w:tcPr>
            <w:tcW w:type="dxa" w:w="660"/>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5"/>
                <w:szCs w:val="15"/>
              </w:rPr>
              <w:t xml:space="preserve">Statut</w:t>
            </w:r>
          </w:p>
        </w:tc>
      </w:tr>
      <w:tr>
        <w:tc>
          <w:tcPr>
            <w:tcW w:type="dxa" w:w="82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SEC-01</w:t>
            </w:r>
          </w:p>
        </w:tc>
        <w:tc>
          <w:tcPr>
            <w:tcW w:type="dxa" w:w="153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API sans jeton</w:t>
            </w:r>
          </w:p>
        </w:tc>
        <w:tc>
          <w:tcPr>
            <w:tcW w:type="dxa" w:w="3024"/>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GET /api/routes sans en-tête Authorization</w:t>
            </w:r>
          </w:p>
        </w:tc>
        <w:tc>
          <w:tcPr>
            <w:tcW w:type="dxa" w:w="3024"/>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HTTP 401</w:t>
            </w:r>
          </w:p>
        </w:tc>
        <w:tc>
          <w:tcPr>
            <w:tcW w:type="dxa" w:w="66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PASS</w:t>
            </w:r>
          </w:p>
        </w:tc>
      </w:tr>
      <w:tr>
        <w:tc>
          <w:tcPr>
            <w:tcW w:type="dxa" w:w="82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SEC-02</w:t>
            </w:r>
          </w:p>
        </w:tc>
        <w:tc>
          <w:tcPr>
            <w:tcW w:type="dxa" w:w="153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En-têtes de sécurité</w:t>
            </w:r>
          </w:p>
        </w:tc>
        <w:tc>
          <w:tcPr>
            <w:tcW w:type="dxa" w:w="3024"/>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Inspecter les en-têtes de /api/health</w:t>
            </w:r>
          </w:p>
        </w:tc>
        <w:tc>
          <w:tcPr>
            <w:tcW w:type="dxa" w:w="3024"/>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X-Content-Type-Options, X-Frame-Options DENY, Referrer-Policy, CSP présents</w:t>
            </w:r>
          </w:p>
        </w:tc>
        <w:tc>
          <w:tcPr>
            <w:tcW w:type="dxa" w:w="66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PASS</w:t>
            </w:r>
          </w:p>
        </w:tc>
      </w:tr>
      <w:tr>
        <w:tc>
          <w:tcPr>
            <w:tcW w:type="dxa" w:w="82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SEC-03</w:t>
            </w:r>
          </w:p>
        </w:tc>
        <w:tc>
          <w:tcPr>
            <w:tcW w:type="dxa" w:w="153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Limite d'inscriptions</w:t>
            </w:r>
          </w:p>
        </w:tc>
        <w:tc>
          <w:tcPr>
            <w:tcW w:type="dxa" w:w="3024"/>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6 inscriptions successives depuis la même IP</w:t>
            </w:r>
          </w:p>
        </w:tc>
        <w:tc>
          <w:tcPr>
            <w:tcW w:type="dxa" w:w="3024"/>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HTTP 429 + « Too many registration attempts » à partir de la 6e</w:t>
            </w:r>
          </w:p>
        </w:tc>
        <w:tc>
          <w:tcPr>
            <w:tcW w:type="dxa" w:w="66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PASS</w:t>
            </w:r>
          </w:p>
        </w:tc>
      </w:tr>
      <w:tr>
        <w:tc>
          <w:tcPr>
            <w:tcW w:type="dxa" w:w="82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SEC-04</w:t>
            </w:r>
          </w:p>
        </w:tc>
        <w:tc>
          <w:tcPr>
            <w:tcW w:type="dxa" w:w="153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Verrouillage du login</w:t>
            </w:r>
          </w:p>
        </w:tc>
        <w:tc>
          <w:tcPr>
            <w:tcW w:type="dxa" w:w="3024"/>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6 connexions échouées sur le même compte</w:t>
            </w:r>
          </w:p>
        </w:tc>
        <w:tc>
          <w:tcPr>
            <w:tcW w:type="dxa" w:w="3024"/>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 Too many failed login attempts, please try again in 15 minutes. »</w:t>
            </w:r>
          </w:p>
        </w:tc>
        <w:tc>
          <w:tcPr>
            <w:tcW w:type="dxa" w:w="66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5"/>
                <w:szCs w:val="15"/>
              </w:rPr>
              <w:t xml:space="preserve">PASS</w:t>
            </w:r>
          </w:p>
        </w:tc>
      </w:tr>
      <w:tr>
        <w:tc>
          <w:tcPr>
            <w:tcW w:type="dxa" w:w="825"/>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5"/>
                <w:szCs w:val="15"/>
              </w:rPr>
              <w:t xml:space="preserve">SEC-05</w:t>
            </w:r>
          </w:p>
        </w:tc>
        <w:tc>
          <w:tcPr>
            <w:tcW w:type="dxa" w:w="1539"/>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5"/>
                <w:szCs w:val="15"/>
              </w:rPr>
              <w:t xml:space="preserve">Propriété des données</w:t>
            </w:r>
          </w:p>
        </w:tc>
        <w:tc>
          <w:tcPr>
            <w:tcW w:type="dxa" w:w="3024"/>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5"/>
                <w:szCs w:val="15"/>
              </w:rPr>
              <w:t xml:space="preserve">Suppression d'une route d'autrui (jeton valide d'un autre compte)</w:t>
            </w:r>
          </w:p>
        </w:tc>
        <w:tc>
          <w:tcPr>
            <w:tcW w:type="dxa" w:w="3024"/>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5"/>
                <w:szCs w:val="15"/>
              </w:rPr>
              <w:t xml:space="preserve">HTTP 404 — la ressource n'est ni révélée ni supprimée</w:t>
            </w:r>
          </w:p>
        </w:tc>
        <w:tc>
          <w:tcPr>
            <w:tcW w:type="dxa" w:w="660"/>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5"/>
                <w:szCs w:val="15"/>
              </w:rPr>
              <w:t xml:space="preserve">PASS</w:t>
            </w:r>
          </w:p>
        </w:tc>
      </w:tr>
    </w:tbl>
    <w:p>
      <w:pPr>
        <w:spacing w:after="120" w:before="60" w:line="308"/>
        <w:jc w:val="both"/>
      </w:pPr>
      <w:r>
        <w:rPr>
          <w:b w:val="false"/>
          <w:bCs w:val="false"/>
          <w:i w:val="false"/>
          <w:iCs w:val="false"/>
          <w:sz w:val="22"/>
          <w:szCs w:val="22"/>
        </w:rPr>
        <w:t xml:space="preserve">Bilan : 29 scénarios au référentiel (26 d'origine + SRV-01, BAT-01 et AUTH-08 ajoutés en v3/v3.1), tous conformes. Trois anomalies détectées lors de la recette initiale (BUG-011, BUG-012, BUG-013) et trois lors des revues v3 des 14–15/07 (BUG-014, BUG-015, BUG-016) ont été consignées, corrigées et re-testées — voir le plan de correction ci-dessous.</w:t>
      </w:r>
    </w:p>
    <w:p>
      <w:pPr>
        <w:pStyle w:val="Heading1"/>
      </w:pPr>
      <w:r>
        <w:t xml:space="preserve">11. Plan de correction des bogues</w:t>
      </w:r>
    </w:p>
    <w:p>
      <w:pPr>
        <w:pStyle w:val="Heading2"/>
      </w:pPr>
      <w:r>
        <w:t xml:space="preserve">11.1 Processus</w:t>
      </w:r>
    </w:p>
    <w:p>
      <w:pPr>
        <w:spacing w:after="120" w:before="0" w:line="308"/>
        <w:jc w:val="both"/>
      </w:pPr>
      <w:r>
        <w:rPr>
          <w:b w:val="false"/>
          <w:bCs w:val="false"/>
          <w:i w:val="false"/>
          <w:iCs w:val="false"/>
          <w:sz w:val="22"/>
          <w:szCs w:val="22"/>
        </w:rPr>
        <w:t xml:space="preserve">Chaque anomalie suit le cycle : détection (recette, tests automatisés, CI ou audit) → consignation (fiche : symptôme, reproduction, gravité, priorité) → qualification → correctif sur develop → validation par la suite de tests complète → re-test du scénario de recette → fusion et entrée au CHANGELOG. Les tests automatisés sont enrichis quand l'anomalie révèle un trou de couverture.</w:t>
      </w:r>
    </w:p>
    <w:p>
      <w:pPr>
        <w:pStyle w:val="Heading2"/>
      </w:pPr>
      <w:r>
        <w:t xml:space="preserve">11.2 Registre des anomalies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778"/>
        <w:gridCol w:w="1140"/>
        <w:gridCol w:w="3110"/>
        <w:gridCol w:w="778"/>
        <w:gridCol w:w="2333"/>
        <w:gridCol w:w="933"/>
      </w:tblGrid>
      <w:tr>
        <w:trPr>
          <w:tblHeader/>
        </w:trPr>
        <w:tc>
          <w:tcPr>
            <w:tcW w:type="dxa" w:w="778"/>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ID</w:t>
            </w:r>
          </w:p>
        </w:tc>
        <w:tc>
          <w:tcPr>
            <w:tcW w:type="dxa" w:w="1140"/>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Origine</w:t>
            </w:r>
          </w:p>
        </w:tc>
        <w:tc>
          <w:tcPr>
            <w:tcW w:type="dxa" w:w="3110"/>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Anomalie</w:t>
            </w:r>
          </w:p>
        </w:tc>
        <w:tc>
          <w:tcPr>
            <w:tcW w:type="dxa" w:w="778"/>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Gravité</w:t>
            </w:r>
          </w:p>
        </w:tc>
        <w:tc>
          <w:tcPr>
            <w:tcW w:type="dxa" w:w="2333"/>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Correctif</w:t>
            </w:r>
          </w:p>
        </w:tc>
        <w:tc>
          <w:tcPr>
            <w:tcW w:type="dxa" w:w="933"/>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Statut</w:t>
            </w:r>
          </w:p>
        </w:tc>
      </w:tr>
      <w:tr>
        <w:tc>
          <w:tcPr>
            <w:tcW w:type="dxa" w:w="77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BUG-001</w:t>
            </w:r>
          </w:p>
        </w:tc>
        <w:tc>
          <w:tcPr>
            <w:tcW w:type="dxa" w:w="114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Revue de code</w:t>
            </w:r>
          </w:p>
        </w:tc>
        <w:tc>
          <w:tcPr>
            <w:tcW w:type="dxa" w:w="311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Validation de jeton inopérante : une Promise (toujours « vraie ») servait de test de validité — le refresh ne fonctionnait pas</w:t>
            </w:r>
          </w:p>
        </w:tc>
        <w:tc>
          <w:tcPr>
            <w:tcW w:type="dxa" w:w="77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Majeure</w:t>
            </w:r>
          </w:p>
        </w:tc>
        <w:tc>
          <w:tcPr>
            <w:tcW w:type="dxa" w:w="2333"/>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Réécriture en async/await dans authUtils.js + tests dédiés</w:t>
            </w:r>
          </w:p>
        </w:tc>
        <w:tc>
          <w:tcPr>
            <w:tcW w:type="dxa" w:w="933"/>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(02/06)</w:t>
            </w:r>
          </w:p>
        </w:tc>
      </w:tr>
      <w:tr>
        <w:tc>
          <w:tcPr>
            <w:tcW w:type="dxa" w:w="77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BUG-004</w:t>
            </w:r>
          </w:p>
        </w:tc>
        <w:tc>
          <w:tcPr>
            <w:tcW w:type="dxa" w:w="114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Supervision</w:t>
            </w:r>
          </w:p>
        </w:tc>
        <w:tc>
          <w:tcPr>
            <w:tcW w:type="dxa" w:w="311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/api/health exigeait un JWT : inutilisable par une sonde externe</w:t>
            </w:r>
          </w:p>
        </w:tc>
        <w:tc>
          <w:tcPr>
            <w:tcW w:type="dxa" w:w="77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Majeure</w:t>
            </w:r>
          </w:p>
        </w:tc>
        <w:tc>
          <w:tcPr>
            <w:tcW w:type="dxa" w:w="2333"/>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Route passée en PUBLIC_ACCESS</w:t>
            </w:r>
          </w:p>
        </w:tc>
        <w:tc>
          <w:tcPr>
            <w:tcW w:type="dxa" w:w="933"/>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(02/06)</w:t>
            </w:r>
          </w:p>
        </w:tc>
      </w:tr>
      <w:tr>
        <w:tc>
          <w:tcPr>
            <w:tcW w:type="dxa" w:w="77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BUG-005</w:t>
            </w:r>
          </w:p>
        </w:tc>
        <w:tc>
          <w:tcPr>
            <w:tcW w:type="dxa" w:w="114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Audit sécurité</w:t>
            </w:r>
          </w:p>
        </w:tc>
        <w:tc>
          <w:tcPr>
            <w:tcW w:type="dxa" w:w="311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Secret applicatif (APP_SECRET) non sécurisé</w:t>
            </w:r>
          </w:p>
        </w:tc>
        <w:tc>
          <w:tcPr>
            <w:tcW w:type="dxa" w:w="77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Majeure</w:t>
            </w:r>
          </w:p>
        </w:tc>
        <w:tc>
          <w:tcPr>
            <w:tcW w:type="dxa" w:w="2333"/>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Nouveau secret généré, hors dépôt</w:t>
            </w:r>
          </w:p>
        </w:tc>
        <w:tc>
          <w:tcPr>
            <w:tcW w:type="dxa" w:w="933"/>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(02/06)</w:t>
            </w:r>
          </w:p>
        </w:tc>
      </w:tr>
      <w:tr>
        <w:tc>
          <w:tcPr>
            <w:tcW w:type="dxa" w:w="77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BUG-007</w:t>
            </w:r>
          </w:p>
        </w:tc>
        <w:tc>
          <w:tcPr>
            <w:tcW w:type="dxa" w:w="114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CI</w:t>
            </w:r>
          </w:p>
        </w:tc>
        <w:tc>
          <w:tcPr>
            <w:tcW w:type="dxa" w:w="311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Pipeline en échec : MySQL configuré alors que les tests utilisent SQLite</w:t>
            </w:r>
          </w:p>
        </w:tc>
        <w:tc>
          <w:tcPr>
            <w:tcW w:type="dxa" w:w="77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Majeure</w:t>
            </w:r>
          </w:p>
        </w:tc>
        <w:tc>
          <w:tcPr>
            <w:tcW w:type="dxa" w:w="2333"/>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Workflow corrigé (SQLite + clés JWT générées)</w:t>
            </w:r>
          </w:p>
        </w:tc>
        <w:tc>
          <w:tcPr>
            <w:tcW w:type="dxa" w:w="933"/>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(02/06)</w:t>
            </w:r>
          </w:p>
        </w:tc>
      </w:tr>
      <w:tr>
        <w:tc>
          <w:tcPr>
            <w:tcW w:type="dxa" w:w="77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BUG-009</w:t>
            </w:r>
          </w:p>
        </w:tc>
        <w:tc>
          <w:tcPr>
            <w:tcW w:type="dxa" w:w="114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Recette</w:t>
            </w:r>
          </w:p>
        </w:tc>
        <w:tc>
          <w:tcPr>
            <w:tcW w:type="dxa" w:w="311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Carte « nouveaux aujourd'hui » de l'admin toujours vide : le front lisait newUsersToday au lieu de newToday renvoyé par l'API</w:t>
            </w:r>
          </w:p>
        </w:tc>
        <w:tc>
          <w:tcPr>
            <w:tcW w:type="dxa" w:w="77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Mineure</w:t>
            </w:r>
          </w:p>
        </w:tc>
        <w:tc>
          <w:tcPr>
            <w:tcW w:type="dxa" w:w="2333"/>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Champ aligné sur le contrat d'API</w:t>
            </w:r>
          </w:p>
        </w:tc>
        <w:tc>
          <w:tcPr>
            <w:tcW w:type="dxa" w:w="933"/>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(12/06)</w:t>
            </w:r>
          </w:p>
        </w:tc>
      </w:tr>
      <w:tr>
        <w:tc>
          <w:tcPr>
            <w:tcW w:type="dxa" w:w="77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BUG-010</w:t>
            </w:r>
          </w:p>
        </w:tc>
        <w:tc>
          <w:tcPr>
            <w:tcW w:type="dxa" w:w="114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Audit sécurité</w:t>
            </w:r>
          </w:p>
        </w:tc>
        <w:tc>
          <w:tcPr>
            <w:tcW w:type="dxa" w:w="311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CORS ouvert à toutes les origines (wildcard *)</w:t>
            </w:r>
          </w:p>
        </w:tc>
        <w:tc>
          <w:tcPr>
            <w:tcW w:type="dxa" w:w="77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Majeure</w:t>
            </w:r>
          </w:p>
        </w:tc>
        <w:tc>
          <w:tcPr>
            <w:tcW w:type="dxa" w:w="2333"/>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Origines pilotées par variable d'environnement (origin_regex)</w:t>
            </w:r>
          </w:p>
        </w:tc>
        <w:tc>
          <w:tcPr>
            <w:tcW w:type="dxa" w:w="933"/>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(12/06)</w:t>
            </w:r>
          </w:p>
        </w:tc>
      </w:tr>
      <w:tr>
        <w:tc>
          <w:tcPr>
            <w:tcW w:type="dxa" w:w="77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BUG-011</w:t>
            </w:r>
          </w:p>
        </w:tc>
        <w:tc>
          <w:tcPr>
            <w:tcW w:type="dxa" w:w="114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Recette AUTH-05</w:t>
            </w:r>
          </w:p>
        </w:tc>
        <w:tc>
          <w:tcPr>
            <w:tcW w:type="dxa" w:w="311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Échec de connexion invisible : l'intercepteur rechargeait la page sur tout 401, y compris celui du login</w:t>
            </w:r>
          </w:p>
        </w:tc>
        <w:tc>
          <w:tcPr>
            <w:tcW w:type="dxa" w:w="77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Majeure</w:t>
            </w:r>
          </w:p>
        </w:tc>
        <w:tc>
          <w:tcPr>
            <w:tcW w:type="dxa" w:w="2333"/>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L'intercepteur ignore les appels d'authentification ; le formulaire affiche l'erreur</w:t>
            </w:r>
          </w:p>
        </w:tc>
        <w:tc>
          <w:tcPr>
            <w:tcW w:type="dxa" w:w="933"/>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(12/06)</w:t>
            </w:r>
          </w:p>
        </w:tc>
      </w:tr>
      <w:tr>
        <w:tc>
          <w:tcPr>
            <w:tcW w:type="dxa" w:w="77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BUG-012</w:t>
            </w:r>
          </w:p>
        </w:tc>
        <w:tc>
          <w:tcPr>
            <w:tcW w:type="dxa" w:w="114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Recette RECH-02</w:t>
            </w:r>
          </w:p>
        </w:tc>
        <w:tc>
          <w:tcPr>
            <w:tcW w:type="dxa" w:w="311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 Kill Ratio : NaN » affiché pour un joueur sans mort (division 0/0)</w:t>
            </w:r>
          </w:p>
        </w:tc>
        <w:tc>
          <w:tcPr>
            <w:tcW w:type="dxa" w:w="77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Mineure</w:t>
            </w:r>
          </w:p>
        </w:tc>
        <w:tc>
          <w:tcPr>
            <w:tcW w:type="dxa" w:w="2333"/>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Garde sur le dénominateur, affichage « — »</w:t>
            </w:r>
          </w:p>
        </w:tc>
        <w:tc>
          <w:tcPr>
            <w:tcW w:type="dxa" w:w="933"/>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(12/06)</w:t>
            </w:r>
          </w:p>
        </w:tc>
      </w:tr>
      <w:tr>
        <w:tc>
          <w:tcPr>
            <w:tcW w:type="dxa" w:w="77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BUG-013</w:t>
            </w:r>
          </w:p>
        </w:tc>
        <w:tc>
          <w:tcPr>
            <w:tcW w:type="dxa" w:w="114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Recette RECH-03</w:t>
            </w:r>
          </w:p>
        </w:tc>
        <w:tc>
          <w:tcPr>
            <w:tcW w:type="dxa" w:w="311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Avertissements React : clés dupliquées dans les listes de guildes (AllianceId non unique)</w:t>
            </w:r>
          </w:p>
        </w:tc>
        <w:tc>
          <w:tcPr>
            <w:tcW w:type="dxa" w:w="77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Mineure</w:t>
            </w:r>
          </w:p>
        </w:tc>
        <w:tc>
          <w:tcPr>
            <w:tcW w:type="dxa" w:w="2333"/>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Clé remplacée par l'identifiant unique de guilde</w:t>
            </w:r>
          </w:p>
        </w:tc>
        <w:tc>
          <w:tcPr>
            <w:tcW w:type="dxa" w:w="933"/>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(12/06)</w:t>
            </w:r>
          </w:p>
        </w:tc>
      </w:tr>
      <w:tr>
        <w:tc>
          <w:tcPr>
            <w:tcW w:type="dxa" w:w="77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BUG-014</w:t>
            </w:r>
          </w:p>
        </w:tc>
        <w:tc>
          <w:tcPr>
            <w:tcW w:type="dxa" w:w="114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Revue v3 (CRAFT-01)</w:t>
            </w:r>
          </w:p>
        </w:tc>
        <w:tc>
          <w:tcPr>
            <w:tcW w:type="dxa" w:w="311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Titre de section du craft affiché comme « KEY 'craft.settings' returned an object » : une clé i18n pointait un objet au lieu d'une chaîne</w:t>
            </w:r>
          </w:p>
        </w:tc>
        <w:tc>
          <w:tcPr>
            <w:tcW w:type="dxa" w:w="77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Mineure</w:t>
            </w:r>
          </w:p>
        </w:tc>
        <w:tc>
          <w:tcPr>
            <w:tcW w:type="dxa" w:w="2333"/>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Clé dédiée craft.settings.title ajoutée (fr + en), usages corrigés</w:t>
            </w:r>
          </w:p>
        </w:tc>
        <w:tc>
          <w:tcPr>
            <w:tcW w:type="dxa" w:w="933"/>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(14/07)</w:t>
            </w:r>
          </w:p>
        </w:tc>
      </w:tr>
      <w:tr>
        <w:tc>
          <w:tcPr>
            <w:tcW w:type="dxa" w:w="77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BUG-015</w:t>
            </w:r>
          </w:p>
        </w:tc>
        <w:tc>
          <w:tcPr>
            <w:tcW w:type="dxa" w:w="114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Revue v3 (CONF-01)</w:t>
            </w:r>
          </w:p>
        </w:tc>
        <w:tc>
          <w:tcPr>
            <w:tcW w:type="dxa" w:w="311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Mode clair : titres illisibles (couleur du fond) — les variables Sass étaient figées sur la palette sombre</w:t>
            </w:r>
          </w:p>
        </w:tc>
        <w:tc>
          <w:tcPr>
            <w:tcW w:type="dxa" w:w="77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Majeure</w:t>
            </w:r>
          </w:p>
        </w:tc>
        <w:tc>
          <w:tcPr>
            <w:tcW w:type="dxa" w:w="2333"/>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Variables CSS commutées par body[data-theme] ; ors des titres adaptés au thème</w:t>
            </w:r>
          </w:p>
        </w:tc>
        <w:tc>
          <w:tcPr>
            <w:tcW w:type="dxa" w:w="933"/>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(14/07)</w:t>
            </w:r>
          </w:p>
        </w:tc>
      </w:tr>
      <w:tr>
        <w:tc>
          <w:tcPr>
            <w:tcW w:type="dxa" w:w="77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BUG-016</w:t>
            </w:r>
          </w:p>
        </w:tc>
        <w:tc>
          <w:tcPr>
            <w:tcW w:type="dxa" w:w="114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Revue RGPD (§7.2)</w:t>
            </w:r>
          </w:p>
        </w:tc>
        <w:tc>
          <w:tcPr>
            <w:tcW w:type="dxa" w:w="311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La suppression d'un compte échouait (violation de clé étrangère) si l'utilisateur possédait des routes : contrainte sans ON DELETE CASCADE</w:t>
            </w:r>
          </w:p>
        </w:tc>
        <w:tc>
          <w:tcPr>
            <w:tcW w:type="dxa" w:w="77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Majeure</w:t>
            </w:r>
          </w:p>
        </w:tc>
        <w:tc>
          <w:tcPr>
            <w:tcW w:type="dxa" w:w="2333"/>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Contrainte game_route.user_id alignée sur composition (CASCADE) via migration ; cascade vérifiée en base</w:t>
            </w:r>
          </w:p>
        </w:tc>
        <w:tc>
          <w:tcPr>
            <w:tcW w:type="dxa" w:w="933"/>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(15/07)</w:t>
            </w:r>
          </w:p>
        </w:tc>
      </w:tr>
      <w:tr>
        <w:tc>
          <w:tcPr>
            <w:tcW w:type="dxa" w:w="778"/>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OBS-01</w:t>
            </w:r>
          </w:p>
        </w:tc>
        <w:tc>
          <w:tcPr>
            <w:tcW w:type="dxa" w:w="1140"/>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Audit axe-core</w:t>
            </w:r>
          </w:p>
        </w:tc>
        <w:tc>
          <w:tcPr>
            <w:tcW w:type="dxa" w:w="3110"/>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Contraste insuffisant des pastilles dorées du tableau de craft (3,2:1 mesuré, 4,5:1 requis)</w:t>
            </w:r>
          </w:p>
        </w:tc>
        <w:tc>
          <w:tcPr>
            <w:tcW w:type="dxa" w:w="778"/>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Mineure</w:t>
            </w:r>
          </w:p>
        </w:tc>
        <w:tc>
          <w:tcPr>
            <w:tcW w:type="dxa" w:w="2333"/>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Planifié : éclaircissement de la palette Chip (texte désactivé déjà corrigé : 1,8 → 4,5:1)</w:t>
            </w:r>
          </w:p>
        </w:tc>
        <w:tc>
          <w:tcPr>
            <w:tcW w:type="dxa" w:w="933"/>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Planifié</w:t>
            </w:r>
          </w:p>
        </w:tc>
      </w:tr>
    </w:tbl>
    <w:p>
      <w:pPr>
        <w:spacing w:after="120" w:before="60" w:line="308"/>
        <w:jc w:val="both"/>
      </w:pPr>
      <w:r>
        <w:rPr>
          <w:b w:val="false"/>
          <w:bCs w:val="false"/>
          <w:i w:val="false"/>
          <w:iCs w:val="false"/>
          <w:sz w:val="22"/>
          <w:szCs w:val="22"/>
        </w:rPr>
        <w:t xml:space="preserve">Le registre complet (BUG-001 à BUG-016) est tenu dans le CHANGELOG du dépôt ; chaque correctif est associé à son commit conventionnel et validé par les 131 tests du pipeline avant fusion.</w:t>
      </w:r>
    </w:p>
    <w:p>
      <w:pPr>
        <w:pStyle w:val="Heading1"/>
      </w:pPr>
      <w:r>
        <w:t xml:space="preserve">12. Documentation technique</w:t>
      </w:r>
    </w:p>
    <w:p>
      <w:pPr>
        <w:pStyle w:val="Heading2"/>
      </w:pPr>
      <w:r>
        <w:t xml:space="preserve">12.1 Manuel de déploiement</w:t>
      </w:r>
    </w:p>
    <w:p>
      <w:pPr>
        <w:spacing w:after="120" w:before="0" w:line="308"/>
        <w:jc w:val="both"/>
      </w:pPr>
      <w:r>
        <w:rPr>
          <w:b w:val="false"/>
          <w:bCs w:val="false"/>
          <w:i w:val="false"/>
          <w:iCs w:val="false"/>
          <w:sz w:val="22"/>
          <w:szCs w:val="22"/>
        </w:rPr>
        <w:t xml:space="preserve">Cible : VPS Linux, Nginx + PHP-FPM 8.2, Node 20+, PostgreSQL 16, accès SSH.</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567"/>
        <w:gridCol w:w="2268"/>
        <w:gridCol w:w="6237"/>
      </w:tblGrid>
      <w:tr>
        <w:trPr>
          <w:tblHeader/>
        </w:trPr>
        <w:tc>
          <w:tcPr>
            <w:tcW w:type="dxa" w:w="567"/>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w:t>
            </w:r>
          </w:p>
        </w:tc>
        <w:tc>
          <w:tcPr>
            <w:tcW w:type="dxa" w:w="2268"/>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Étape</w:t>
            </w:r>
          </w:p>
        </w:tc>
        <w:tc>
          <w:tcPr>
            <w:tcW w:type="dxa" w:w="6237"/>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Commandes / configuration</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1</w:t>
            </w:r>
          </w:p>
        </w:tc>
        <w:tc>
          <w:tcPr>
            <w:tcW w:type="dxa" w:w="22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Récupérer le code</w:t>
            </w:r>
          </w:p>
        </w:tc>
        <w:tc>
          <w:tcPr>
            <w:tcW w:type="dxa" w:w="623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git clone git@github.com:Perfweb-net/albion-helper.git &amp;&amp; cd albion-helper</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2</w:t>
            </w:r>
          </w:p>
        </w:tc>
        <w:tc>
          <w:tcPr>
            <w:tcW w:type="dxa" w:w="22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Configurer l'environnement</w:t>
            </w:r>
          </w:p>
        </w:tc>
        <w:tc>
          <w:tcPr>
            <w:tcW w:type="dxa" w:w="623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Créer back/.env.local : APP_ENV=prod, APP_SECRET (généré), DATABASE_URL (PostgreSQL), CORS_ALLOW_ORIGIN (domaine du front) — aucun secret dans git</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3</w:t>
            </w:r>
          </w:p>
        </w:tc>
        <w:tc>
          <w:tcPr>
            <w:tcW w:type="dxa" w:w="22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Dépendances backend</w:t>
            </w:r>
          </w:p>
        </w:tc>
        <w:tc>
          <w:tcPr>
            <w:tcW w:type="dxa" w:w="623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cd back &amp;&amp; composer install --no-dev --optimize-autoloader</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4</w:t>
            </w:r>
          </w:p>
        </w:tc>
        <w:tc>
          <w:tcPr>
            <w:tcW w:type="dxa" w:w="22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Clés JWT</w:t>
            </w:r>
          </w:p>
        </w:tc>
        <w:tc>
          <w:tcPr>
            <w:tcW w:type="dxa" w:w="623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php bin/console lexik:jwt:generate-keypair</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5</w:t>
            </w:r>
          </w:p>
        </w:tc>
        <w:tc>
          <w:tcPr>
            <w:tcW w:type="dxa" w:w="22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Base de données</w:t>
            </w:r>
          </w:p>
        </w:tc>
        <w:tc>
          <w:tcPr>
            <w:tcW w:type="dxa" w:w="623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php bin/console doctrine:migrations:migrate --no-interaction</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6</w:t>
            </w:r>
          </w:p>
        </w:tc>
        <w:tc>
          <w:tcPr>
            <w:tcW w:type="dxa" w:w="22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Frontend</w:t>
            </w:r>
          </w:p>
        </w:tc>
        <w:tc>
          <w:tcPr>
            <w:tcW w:type="dxa" w:w="623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cd ../front &amp;&amp; créer .env.production (REACT_APP_API_URL) &amp;&amp; npm ci --legacy-peer-deps &amp;&amp; npm run build</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7</w:t>
            </w:r>
          </w:p>
        </w:tc>
        <w:tc>
          <w:tcPr>
            <w:tcW w:type="dxa" w:w="22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Nginx</w:t>
            </w:r>
          </w:p>
        </w:tc>
        <w:tc>
          <w:tcPr>
            <w:tcW w:type="dxa" w:w="623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Site 1 (front) : racine front/build, try_files vers index.html (SPA). Site 2 (API) : fastcgi_pass vers PHP-FPM, racine back/public. HTTPS via certbot.</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8</w:t>
            </w:r>
          </w:p>
        </w:tc>
        <w:tc>
          <w:tcPr>
            <w:tcW w:type="dxa" w:w="22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Vérification</w:t>
            </w:r>
          </w:p>
        </w:tc>
        <w:tc>
          <w:tcPr>
            <w:tcW w:type="dxa" w:w="623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curl https://&lt;api&gt;/api/health → status OK (BDD + API Albion)</w:t>
            </w:r>
          </w:p>
        </w:tc>
      </w:tr>
      <w:tr>
        <w:tc>
          <w:tcPr>
            <w:tcW w:type="dxa" w:w="567"/>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9</w:t>
            </w:r>
          </w:p>
        </w:tc>
        <w:tc>
          <w:tcPr>
            <w:tcW w:type="dxa" w:w="2268"/>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Déploiements suivants</w:t>
            </w:r>
          </w:p>
        </w:tc>
        <w:tc>
          <w:tcPr>
            <w:tcW w:type="dxa" w:w="6237"/>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Automatiques : fusion sur master → pipeline → SSH → deploy/deploy.sh (cf. §5), qui installe aussi la sonde de supervision. Manuel possible : sh deploy/deploy.sh</w:t>
            </w:r>
          </w:p>
        </w:tc>
      </w:tr>
    </w:tbl>
    <w:p>
      <w:pPr>
        <w:spacing w:after="40" w:before="0" w:line="308"/>
        <w:jc w:val="both"/>
      </w:pPr>
      <w:r>
        <w:rPr>
          <w:b w:val="false"/>
          <w:bCs w:val="false"/>
          <w:i w:val="false"/>
          <w:iCs w:val="false"/>
          <w:sz w:val="22"/>
          <w:szCs w:val="22"/>
        </w:rPr>
        <w:t xml:space="preserve"/>
      </w:r>
    </w:p>
    <w:p>
      <w:pPr>
        <w:pStyle w:val="Heading2"/>
      </w:pPr>
      <w:r>
        <w:t xml:space="preserve">12.2 Manuel d'utilisation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6804"/>
      </w:tblGrid>
      <w:tr>
        <w:trPr>
          <w:tblHeader/>
        </w:trPr>
        <w:tc>
          <w:tcPr>
            <w:tcW w:type="dxa" w:w="2268"/>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Fonction</w:t>
            </w:r>
          </w:p>
        </w:tc>
        <w:tc>
          <w:tcPr>
            <w:tcW w:type="dxa" w:w="6804"/>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Mode d'emploi</w:t>
            </w:r>
          </w:p>
        </w:tc>
      </w:tr>
      <w:tr>
        <w:tc>
          <w:tcPr>
            <w:tcW w:type="dxa" w:w="22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Créer un compte / se connecter</w:t>
            </w:r>
          </w:p>
        </w:tc>
        <w:tc>
          <w:tcPr>
            <w:tcW w:type="dxa" w:w="6804"/>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Accueil → « Créer un compte » : identifiant + mot de passe (8 caractères minimum). La visite guidée est accessible sans compte.</w:t>
            </w:r>
          </w:p>
        </w:tc>
      </w:tr>
      <w:tr>
        <w:tc>
          <w:tcPr>
            <w:tcW w:type="dxa" w:w="22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Rechercher un joueur ou une guilde</w:t>
            </w:r>
          </w:p>
        </w:tc>
        <w:tc>
          <w:tcPr>
            <w:tcW w:type="dxa" w:w="6804"/>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Dashboard → choisir le type de recherche → saisir un nom → cliquer un résultat pour la fiche détaillée (dont rapport de session PvP).</w:t>
            </w:r>
          </w:p>
        </w:tc>
      </w:tr>
      <w:tr>
        <w:tc>
          <w:tcPr>
            <w:tcW w:type="dxa" w:w="22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Analyser les batailles</w:t>
            </w:r>
          </w:p>
        </w:tc>
        <w:tc>
          <w:tcPr>
            <w:tcW w:type="dxa" w:w="6804"/>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Menu « Exploration » → Batailles → saisir une guilde ou une alliance → choisir la période → cliquer une bataille pour le détail (kills, fame, dégâts, soins).</w:t>
            </w:r>
          </w:p>
        </w:tc>
      </w:tr>
      <w:tr>
        <w:tc>
          <w:tcPr>
            <w:tcW w:type="dxa" w:w="22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Explorer une carte</w:t>
            </w:r>
          </w:p>
        </w:tc>
        <w:tc>
          <w:tcPr>
            <w:tcW w:type="dxa" w:w="6804"/>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Menu « Exploration » → Carte → saisir au moins 3 caractères → activer/désactiver l'affichage des coffres et ressources.</w:t>
            </w:r>
          </w:p>
        </w:tc>
      </w:tr>
      <w:tr>
        <w:tc>
          <w:tcPr>
            <w:tcW w:type="dxa" w:w="22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Créer et partager une route</w:t>
            </w:r>
          </w:p>
        </w:tc>
        <w:tc>
          <w:tcPr>
            <w:tcW w:type="dxa" w:w="6804"/>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Menu « Outils » → Routes → « Créer une route » → nommer, ajouter jusqu'à 8 zones (autocomplétion) et leurs minuteurs → « Copier le lien » pour partager ; la route expire automatiquement après 24 h.</w:t>
            </w:r>
          </w:p>
        </w:tc>
      </w:tr>
      <w:tr>
        <w:tc>
          <w:tcPr>
            <w:tcW w:type="dxa" w:w="22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Composer une équipe</w:t>
            </w:r>
          </w:p>
        </w:tc>
        <w:tc>
          <w:tcPr>
            <w:tcW w:type="dxa" w:w="6804"/>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Menu « Outils » → Compositions → « Nouvelle » → cliquer chaque emplacement pour choisir l'équipement (recherche par nom localisé) → choisir la visibilité (privé / URL / public) → export JPEG possible.</w:t>
            </w:r>
          </w:p>
        </w:tc>
      </w:tr>
      <w:tr>
        <w:tc>
          <w:tcPr>
            <w:tcW w:type="dxa" w:w="22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Calculer un craft</w:t>
            </w:r>
          </w:p>
        </w:tc>
        <w:tc>
          <w:tcPr>
            <w:tcW w:type="dxa" w:w="6804"/>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Menu « Outils » → Craft → régler ville, premium, focus et maîtrises → « Charger les prix marché » → trier par bénéfice.</w:t>
            </w:r>
          </w:p>
        </w:tc>
      </w:tr>
      <w:tr>
        <w:tc>
          <w:tcPr>
            <w:tcW w:type="dxa" w:w="22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Administrer (admin)</w:t>
            </w:r>
          </w:p>
        </w:tc>
        <w:tc>
          <w:tcPr>
            <w:tcW w:type="dxa" w:w="6804"/>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Menu « Administration » : consulter les KPI, promouvoir/révoquer un rôle, supprimer un compte, synchroniser les items, gérer les 20 langues (ajout par code ISO, template JSON téléchargeable).</w:t>
            </w:r>
          </w:p>
        </w:tc>
      </w:tr>
      <w:tr>
        <w:tc>
          <w:tcPr>
            <w:tcW w:type="dxa" w:w="2268"/>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Préférences</w:t>
            </w:r>
          </w:p>
        </w:tc>
        <w:tc>
          <w:tcPr>
            <w:tcW w:type="dxa" w:w="6804"/>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Depuis l'en-tête : thème clair/sombre (soleil/lune), langue (20 disponibles), serveur de jeu (Americas / Europe / Asia). Tous les choix sont mémorisés.</w:t>
            </w:r>
          </w:p>
        </w:tc>
      </w:tr>
    </w:tbl>
    <w:p>
      <w:pPr>
        <w:spacing w:after="40" w:before="0" w:line="308"/>
        <w:jc w:val="both"/>
      </w:pPr>
      <w:r>
        <w:rPr>
          <w:b w:val="false"/>
          <w:bCs w:val="false"/>
          <w:i w:val="false"/>
          <w:iCs w:val="false"/>
          <w:sz w:val="22"/>
          <w:szCs w:val="22"/>
        </w:rPr>
        <w:t xml:space="preserve"/>
      </w:r>
    </w:p>
    <w:p>
      <w:pPr>
        <w:pStyle w:val="Heading2"/>
      </w:pPr>
      <w:r>
        <w:t xml:space="preserve">12.3 Manuel de mise à jour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85"/>
        <w:gridCol w:w="7087"/>
      </w:tblGrid>
      <w:tr>
        <w:trPr>
          <w:tblHeader/>
        </w:trPr>
        <w:tc>
          <w:tcPr>
            <w:tcW w:type="dxa" w:w="1985"/>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Sujet</w:t>
            </w:r>
          </w:p>
        </w:tc>
        <w:tc>
          <w:tcPr>
            <w:tcW w:type="dxa" w:w="7087"/>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Procédure</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Application</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Fusionner develop → master : le pipeline exécute les 131 tests puis déploie automatiquement (cf. §5). Retour arrière : re-déployer le commit master précédent.</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Dépendances</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PR Dependabot hebdomadaires (composer, npm, actions) validées par la CI. Contrôle manuel : composer audit / composer outdated, npm audit. Toute advisory critique est traitée immédiatement (exemple réel : migration Symfony 7.2 EOL → 7.4 LTS, 36 advisories corrigées).</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Schéma de base de données</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Modifier les entités → make:migration → revue de la migration générée → elle s'applique en production via doctrine:migrations:migrate lors du déploiement. Jamais de SQL manuel en production.</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Données du jeu</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Synchronisation des items déclenchable depuis l'admin (ou script back/sync_standalone.php) ; prix de marché rafraîchis à la demande avec cache côté API.</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Langues d'interface</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Depuis l'admin : ajout d'une langue par code ISO 639-1 ; le template JSON est généré (clés clonées du français) puis complété et déposé — aucune mise en production nécessaire pour corriger une traduction.</w:t>
            </w:r>
          </w:p>
        </w:tc>
      </w:tr>
      <w:tr>
        <w:tc>
          <w:tcPr>
            <w:tcW w:type="dxa" w:w="1985"/>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Environnement de test local</w:t>
            </w:r>
          </w:p>
        </w:tc>
        <w:tc>
          <w:tcPr>
            <w:tcW w:type="dxa" w:w="7087"/>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Après un changement de schéma : rm back/var/test.db &amp;&amp; php bin/console doctrine:schema:create --env=test.</w:t>
            </w:r>
          </w:p>
        </w:tc>
      </w:tr>
    </w:tbl>
    <w:p>
      <w:pPr>
        <w:pStyle w:val="Heading2"/>
      </w:pPr>
      <w:r>
        <w:t xml:space="preserve">12.4 Sauvegarde et restauration des données</w:t>
      </w:r>
    </w:p>
    <w:p>
      <w:pPr>
        <w:spacing w:after="120" w:before="0" w:line="308"/>
        <w:jc w:val="both"/>
      </w:pPr>
      <w:r>
        <w:rPr>
          <w:b w:val="false"/>
          <w:bCs w:val="false"/>
          <w:i w:val="false"/>
          <w:iCs w:val="false"/>
          <w:sz w:val="22"/>
          <w:szCs w:val="22"/>
        </w:rPr>
        <w:t xml:space="preserve">Les seules données à sauvegarder sont celles de PostgreSQL : le code, la configuration et les items du jeu sont reconstructibles (dépôt git, synchronisation depuis l'API officielle). Le périmètre critique se limite donc aux comptes, routes et compositions.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701"/>
        <w:gridCol w:w="7371"/>
      </w:tblGrid>
      <w:tr>
        <w:trPr>
          <w:tblHeader/>
        </w:trPr>
        <w:tc>
          <w:tcPr>
            <w:tcW w:type="dxa" w:w="1701"/>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Opération</w:t>
            </w:r>
          </w:p>
        </w:tc>
        <w:tc>
          <w:tcPr>
            <w:tcW w:type="dxa" w:w="7371"/>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Procédure</w:t>
            </w:r>
          </w:p>
        </w:tc>
      </w:tr>
      <w:tr>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Sauvegarde</w:t>
            </w:r>
          </w:p>
        </w:tc>
        <w:tc>
          <w:tcPr>
            <w:tcW w:type="dxa" w:w="73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pg_dump quotidien (cron sur le VPS) : pg_dump -Fc app &gt; backup_$(date +%F).dump — rotation sur 14 jours</w:t>
            </w:r>
          </w:p>
        </w:tc>
      </w:tr>
      <w:tr>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Restauration</w:t>
            </w:r>
          </w:p>
        </w:tc>
        <w:tc>
          <w:tcPr>
            <w:tcW w:type="dxa" w:w="73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pg_restore -d app --clean backup_YYYY-MM-DD.dump puis doctrine:migrations:migrate pour rattraper les migrations postérieures</w:t>
            </w:r>
          </w:p>
        </w:tc>
      </w:tr>
      <w:tr>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Test de restauration</w:t>
            </w:r>
          </w:p>
        </w:tc>
        <w:tc>
          <w:tcPr>
            <w:tcW w:type="dxa" w:w="73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Rejouer le dump sur la base de développement locale (docker compose) : même moteur, même version PostgreSQL 16</w:t>
            </w:r>
          </w:p>
        </w:tc>
      </w:tr>
      <w:tr>
        <w:tc>
          <w:tcPr>
            <w:tcW w:type="dxa" w:w="1701"/>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Reconstruction des données de jeu</w:t>
            </w:r>
          </w:p>
        </w:tc>
        <w:tc>
          <w:tcPr>
            <w:tcW w:type="dxa" w:w="7371"/>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Synchronisation des 12 066 items depuis l'administration ; prix de marché re-remplis à l'usage (cache)</w:t>
            </w:r>
          </w:p>
        </w:tc>
      </w:tr>
    </w:tbl>
    <w:p>
      <w:pPr>
        <w:pStyle w:val="Heading1"/>
      </w:pPr>
      <w:r>
        <w:t xml:space="preserve">Conclusion</w:t>
      </w:r>
    </w:p>
    <w:p>
      <w:pPr>
        <w:spacing w:after="120" w:before="0" w:line="308"/>
        <w:jc w:val="both"/>
      </w:pPr>
      <w:r>
        <w:rPr>
          <w:b w:val="false"/>
          <w:bCs w:val="false"/>
          <w:i w:val="false"/>
          <w:iCs w:val="false"/>
          <w:sz w:val="22"/>
          <w:szCs w:val="22"/>
        </w:rPr>
        <w:t xml:space="preserve">Ce dossier couvre l'ensemble des livrables attendus pour le Bloc 2 : un prototype complet et fonctionnel (version 3.0.0 : multi-serveur, batailles, statistiques de session, 20 langues) adossé à une architecture en couches maintenable qui a absorbé trois versions majeures sans refonte ; des protocoles d'intégration et de déploiement continus réellement opérationnels (131 tests bloquants, déploiement SSH conditionné, supervision auto-installée) ; un harnais de tests couvrant l'authentification de bout en bout ; des mesures de sécurité alignées sur l'OWASP Top 10 et vérifiées par des tests structurels ; une démarche d'accessibilité outillée (RGAA 4.1, Lighthouse 93-100, axe-core) avec corrections immédiates ; un cahier de recettes de 29 scénarios exécutés à 100 % qui a prouvé son utilité en détectant six anomalies réelles, corrigées et re-testées ; et une documentation technique permettant à un tiers de déployer, utiliser et maintenir l'application en autonomie.</w:t>
      </w:r>
    </w:p>
    <w:p>
      <w:pPr>
        <w:spacing w:after="120" w:before="0" w:line="308"/>
        <w:jc w:val="both"/>
      </w:pPr>
      <w:r>
        <w:rPr>
          <w:b w:val="false"/>
          <w:bCs w:val="false"/>
          <w:i w:val="false"/>
          <w:iCs w:val="false"/>
          <w:sz w:val="22"/>
          <w:szCs w:val="22"/>
        </w:rPr>
        <w:t xml:space="preserve">La démarche d'amélioration continue est illustrée par le traitement du principal axe identifié en juin : la migration des jetons vers des cookies httpOnly a été réalisée en v3.1.0 et vérifiée par la recette (AUTH-08). Axes restants : finalisation des contrastes du tableau de craft (OBS-01), sortie de Create React App vers Vite pour assainir les dépendances de build, extension de la couverture de tests aux modules v3 (batailles, multi-serveur côté API).</w:t>
      </w:r>
    </w:p>
    <w:p>
      <w:r>
        <w:br w:type="page"/>
      </w:r>
    </w:p>
    <w:p>
      <w:pPr>
        <w:pStyle w:val="Heading1"/>
      </w:pPr>
      <w:r>
        <w:t xml:space="preserve">Annexe A — Extraits de code représentatifs</w:t>
      </w:r>
    </w:p>
    <w:p>
      <w:pPr>
        <w:spacing w:after="120" w:before="0" w:line="308"/>
        <w:jc w:val="both"/>
      </w:pPr>
      <w:r>
        <w:rPr>
          <w:b w:val="false"/>
          <w:bCs w:val="false"/>
          <w:i w:val="false"/>
          <w:iCs w:val="false"/>
          <w:sz w:val="22"/>
          <w:szCs w:val="22"/>
        </w:rPr>
        <w:t xml:space="preserve">Les extraits ci-dessous sont reproduits tels quels depuis le dépôt. Ils illustrent trois préoccupations transverses du Bloc 2 : la sécurisation globale des réponses, la supervision, et la protection contre la force brute.</w:t>
      </w:r>
    </w:p>
    <w:p>
      <w:pPr>
        <w:pStyle w:val="Heading2"/>
      </w:pPr>
      <w:r>
        <w:t xml:space="preserve">A.1 En-têtes de sécurité globaux (OWASP A05)</w:t>
      </w:r>
    </w:p>
    <w:p>
      <w:pPr>
        <w:spacing w:after="120" w:before="0" w:line="308"/>
        <w:jc w:val="both"/>
      </w:pPr>
      <w:r>
        <w:rPr>
          <w:b w:val="false"/>
          <w:bCs w:val="false"/>
          <w:i w:val="false"/>
          <w:iCs w:val="false"/>
          <w:sz w:val="22"/>
          <w:szCs w:val="22"/>
        </w:rPr>
        <w:t xml:space="preserve">Un EventSubscriber Symfony pose les en-têtes sur toutes les réponses de l'API — impossible d'oublier une route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E0D5BB" w:sz="2"/>
              <w:left w:val="single" w:color="E0D5BB" w:sz="2"/>
              <w:bottom w:val="single" w:color="E0D5BB" w:sz="2"/>
              <w:right w:val="single" w:color="E0D5BB" w:sz="2"/>
            </w:tcBorders>
            <w:shd w:fill="FAF6EC" w:val="clear"/>
            <w:tcMar>
              <w:top w:type="dxa" w:w="90"/>
              <w:left w:type="dxa" w:w="140"/>
              <w:bottom w:type="dxa" w:w="90"/>
              <w:right w:type="dxa" w:w="140"/>
            </w:tcMar>
          </w:tcPr>
          <w:p>
            <w:pPr>
              <w:spacing w:after="0" w:line="230"/>
            </w:pPr>
            <w:r>
              <w:rPr>
                <w:rFonts w:ascii="Courier New" w:cs="Courier New" w:eastAsia="Courier New" w:hAnsi="Courier New"/>
                <w:color w:val="3A2E15"/>
                <w:sz w:val="16"/>
                <w:szCs w:val="16"/>
              </w:rPr>
              <w:t xml:space="preserve">class SecurityHeadersSubscriber implements EventSubscriberInterface</w:t>
            </w:r>
          </w:p>
          <w:p>
            <w:pPr>
              <w:spacing w:after="0" w:line="230"/>
            </w:pPr>
            <w:r>
              <w:rPr>
                <w:rFonts w:ascii="Courier New" w:cs="Courier New" w:eastAsia="Courier New" w:hAnsi="Courier New"/>
                <w:color w:val="3A2E15"/>
                <w:sz w:val="16"/>
                <w:szCs w:val="16"/>
              </w:rPr>
              <w:t xml:space="preserve">{</w:t>
            </w:r>
          </w:p>
          <w:p>
            <w:pPr>
              <w:spacing w:after="0" w:line="230"/>
            </w:pPr>
            <w:r>
              <w:rPr>
                <w:rFonts w:ascii="Courier New" w:cs="Courier New" w:eastAsia="Courier New" w:hAnsi="Courier New"/>
                <w:color w:val="3A2E15"/>
                <w:sz w:val="16"/>
                <w:szCs w:val="16"/>
              </w:rPr>
              <w:t xml:space="preserve">    // getSubscribedEvents() : ResponseEvent::class =&gt; 'onResponse'</w:t>
            </w:r>
          </w:p>
          <w:p>
            <w:pPr>
              <w:spacing w:after="0" w:line="230"/>
            </w:pPr>
            <w:r>
              <w:rPr>
                <w:rFonts w:ascii="Courier New" w:cs="Courier New" w:eastAsia="Courier New" w:hAnsi="Courier New"/>
                <w:color w:val="3A2E15"/>
                <w:sz w:val="16"/>
                <w:szCs w:val="16"/>
              </w:rPr>
              <w:t xml:space="preserve">    public function onResponse(ResponseEvent $event): void</w:t>
            </w:r>
          </w:p>
          <w:p>
            <w:pPr>
              <w:spacing w:after="0" w:line="230"/>
            </w:pPr>
            <w:r>
              <w:rPr>
                <w:rFonts w:ascii="Courier New" w:cs="Courier New" w:eastAsia="Courier New" w:hAnsi="Courier New"/>
                <w:color w:val="3A2E15"/>
                <w:sz w:val="16"/>
                <w:szCs w:val="16"/>
              </w:rPr>
              <w:t xml:space="preserve">    {</w:t>
            </w:r>
          </w:p>
          <w:p>
            <w:pPr>
              <w:spacing w:after="0" w:line="230"/>
            </w:pPr>
            <w:r>
              <w:rPr>
                <w:rFonts w:ascii="Courier New" w:cs="Courier New" w:eastAsia="Courier New" w:hAnsi="Courier New"/>
                <w:color w:val="3A2E15"/>
                <w:sz w:val="16"/>
                <w:szCs w:val="16"/>
              </w:rPr>
              <w:t xml:space="preserve">        if (!$event-&gt;isMainRequest()</w:t>
            </w:r>
          </w:p>
          <w:p>
            <w:pPr>
              <w:spacing w:after="0" w:line="230"/>
            </w:pPr>
            <w:r>
              <w:rPr>
                <w:rFonts w:ascii="Courier New" w:cs="Courier New" w:eastAsia="Courier New" w:hAnsi="Courier New"/>
                <w:color w:val="3A2E15"/>
                <w:sz w:val="16"/>
                <w:szCs w:val="16"/>
              </w:rPr>
              <w:t xml:space="preserve">            || !str_starts_with($event-&gt;getRequest()-&gt;getPathInfo(), '/api')) {</w:t>
            </w:r>
          </w:p>
          <w:p>
            <w:pPr>
              <w:spacing w:after="0" w:line="230"/>
            </w:pPr>
            <w:r>
              <w:rPr>
                <w:rFonts w:ascii="Courier New" w:cs="Courier New" w:eastAsia="Courier New" w:hAnsi="Courier New"/>
                <w:color w:val="3A2E15"/>
                <w:sz w:val="16"/>
                <w:szCs w:val="16"/>
              </w:rPr>
              <w:t xml:space="preserve">            return;</w:t>
            </w:r>
          </w:p>
          <w:p>
            <w:pPr>
              <w:spacing w:after="0" w:line="230"/>
            </w:pPr>
            <w:r>
              <w:rPr>
                <w:rFonts w:ascii="Courier New" w:cs="Courier New" w:eastAsia="Courier New" w:hAnsi="Courier New"/>
                <w:color w:val="3A2E15"/>
                <w:sz w:val="16"/>
                <w:szCs w:val="16"/>
              </w:rPr>
              <w:t xml:space="preserve">        }</w:t>
            </w:r>
          </w:p>
          <w:p>
            <w:pPr>
              <w:spacing w:after="0" w:line="230"/>
            </w:pPr>
            <w:r>
              <w:rPr>
                <w:rFonts w:ascii="Courier New" w:cs="Courier New" w:eastAsia="Courier New" w:hAnsi="Courier New"/>
                <w:color w:val="3A2E15"/>
                <w:sz w:val="16"/>
                <w:szCs w:val="16"/>
              </w:rPr>
              <w:t xml:space="preserve"> </w:t>
            </w:r>
          </w:p>
          <w:p>
            <w:pPr>
              <w:spacing w:after="0" w:line="230"/>
            </w:pPr>
            <w:r>
              <w:rPr>
                <w:rFonts w:ascii="Courier New" w:cs="Courier New" w:eastAsia="Courier New" w:hAnsi="Courier New"/>
                <w:color w:val="3A2E15"/>
                <w:sz w:val="16"/>
                <w:szCs w:val="16"/>
              </w:rPr>
              <w:t xml:space="preserve">        $headers = $event-&gt;getResponse()-&gt;headers;</w:t>
            </w:r>
          </w:p>
          <w:p>
            <w:pPr>
              <w:spacing w:after="0" w:line="230"/>
            </w:pPr>
            <w:r>
              <w:rPr>
                <w:rFonts w:ascii="Courier New" w:cs="Courier New" w:eastAsia="Courier New" w:hAnsi="Courier New"/>
                <w:color w:val="3A2E15"/>
                <w:sz w:val="16"/>
                <w:szCs w:val="16"/>
              </w:rPr>
              <w:t xml:space="preserve">        $headers-&gt;set('X-Content-Type-Options', 'nosniff');</w:t>
            </w:r>
          </w:p>
          <w:p>
            <w:pPr>
              <w:spacing w:after="0" w:line="230"/>
            </w:pPr>
            <w:r>
              <w:rPr>
                <w:rFonts w:ascii="Courier New" w:cs="Courier New" w:eastAsia="Courier New" w:hAnsi="Courier New"/>
                <w:color w:val="3A2E15"/>
                <w:sz w:val="16"/>
                <w:szCs w:val="16"/>
              </w:rPr>
              <w:t xml:space="preserve">        $headers-&gt;set('X-Frame-Options', 'DENY');</w:t>
            </w:r>
          </w:p>
          <w:p>
            <w:pPr>
              <w:spacing w:after="0" w:line="230"/>
            </w:pPr>
            <w:r>
              <w:rPr>
                <w:rFonts w:ascii="Courier New" w:cs="Courier New" w:eastAsia="Courier New" w:hAnsi="Courier New"/>
                <w:color w:val="3A2E15"/>
                <w:sz w:val="16"/>
                <w:szCs w:val="16"/>
              </w:rPr>
              <w:t xml:space="preserve">        $headers-&gt;set('Referrer-Policy', 'strict-origin-when-cross-origin');</w:t>
            </w:r>
          </w:p>
          <w:p>
            <w:pPr>
              <w:spacing w:after="0" w:line="230"/>
            </w:pPr>
            <w:r>
              <w:rPr>
                <w:rFonts w:ascii="Courier New" w:cs="Courier New" w:eastAsia="Courier New" w:hAnsi="Courier New"/>
                <w:color w:val="3A2E15"/>
                <w:sz w:val="16"/>
                <w:szCs w:val="16"/>
              </w:rPr>
              <w:t xml:space="preserve">        // L'API ne sert que du JSON : aucune exécution de contenu autorisée</w:t>
            </w:r>
          </w:p>
          <w:p>
            <w:pPr>
              <w:spacing w:after="0" w:line="230"/>
            </w:pPr>
            <w:r>
              <w:rPr>
                <w:rFonts w:ascii="Courier New" w:cs="Courier New" w:eastAsia="Courier New" w:hAnsi="Courier New"/>
                <w:color w:val="3A2E15"/>
                <w:sz w:val="16"/>
                <w:szCs w:val="16"/>
              </w:rPr>
              <w:t xml:space="preserve">        $headers-&gt;set('Content-Security-Policy',</w:t>
            </w:r>
          </w:p>
          <w:p>
            <w:pPr>
              <w:spacing w:after="0" w:line="230"/>
            </w:pPr>
            <w:r>
              <w:rPr>
                <w:rFonts w:ascii="Courier New" w:cs="Courier New" w:eastAsia="Courier New" w:hAnsi="Courier New"/>
                <w:color w:val="3A2E15"/>
                <w:sz w:val="16"/>
                <w:szCs w:val="16"/>
              </w:rPr>
              <w:t xml:space="preserve">            "default-src 'none'; frame-ancestors 'none'");</w:t>
            </w:r>
          </w:p>
          <w:p>
            <w:pPr>
              <w:spacing w:after="0" w:line="230"/>
            </w:pPr>
            <w:r>
              <w:rPr>
                <w:rFonts w:ascii="Courier New" w:cs="Courier New" w:eastAsia="Courier New" w:hAnsi="Courier New"/>
                <w:color w:val="3A2E15"/>
                <w:sz w:val="16"/>
                <w:szCs w:val="16"/>
              </w:rPr>
              <w:t xml:space="preserve">    }</w:t>
            </w:r>
          </w:p>
          <w:p>
            <w:pPr>
              <w:spacing w:after="0" w:line="230"/>
            </w:pPr>
            <w:r>
              <w:rPr>
                <w:rFonts w:ascii="Courier New" w:cs="Courier New" w:eastAsia="Courier New" w:hAnsi="Courier New"/>
                <w:color w:val="3A2E15"/>
                <w:sz w:val="16"/>
                <w:szCs w:val="16"/>
              </w:rPr>
              <w:t xml:space="preserve">}</w:t>
            </w:r>
          </w:p>
        </w:tc>
      </w:tr>
    </w:tbl>
    <w:p>
      <w:pPr>
        <w:spacing w:after="180" w:before="50"/>
        <w:jc w:val="left"/>
      </w:pPr>
      <w:r>
        <w:rPr>
          <w:i/>
          <w:iCs/>
          <w:color w:val="5A4825"/>
          <w:sz w:val="18"/>
          <w:szCs w:val="18"/>
        </w:rPr>
        <w:t xml:space="preserve">back/src/EventSubscriber/SecurityHeadersSubscriber.php (intégral) — vérifié par le scénario SEC-02.</w:t>
      </w:r>
    </w:p>
    <w:p>
      <w:pPr>
        <w:pStyle w:val="Heading2"/>
      </w:pPr>
      <w:r>
        <w:t xml:space="preserve">A.2 Sonde de supervision (C4.1.2, utilisée dès le Bloc 2)</w:t>
      </w:r>
    </w:p>
    <w:p>
      <w:pPr>
        <w:spacing w:after="120" w:before="0" w:line="308"/>
        <w:jc w:val="both"/>
      </w:pPr>
      <w:r>
        <w:rPr>
          <w:b w:val="false"/>
          <w:bCs w:val="false"/>
          <w:i w:val="false"/>
          <w:iCs w:val="false"/>
          <w:sz w:val="22"/>
          <w:szCs w:val="22"/>
        </w:rPr>
        <w:t xml:space="preserve">L'endpoint public /api/health agrège l'état des dépendances critiques et renvoie 503 si l'une d'elles est dégradée — c'est lui que les sondes interrogent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E0D5BB" w:sz="2"/>
              <w:left w:val="single" w:color="E0D5BB" w:sz="2"/>
              <w:bottom w:val="single" w:color="E0D5BB" w:sz="2"/>
              <w:right w:val="single" w:color="E0D5BB" w:sz="2"/>
            </w:tcBorders>
            <w:shd w:fill="FAF6EC" w:val="clear"/>
            <w:tcMar>
              <w:top w:type="dxa" w:w="90"/>
              <w:left w:type="dxa" w:w="140"/>
              <w:bottom w:type="dxa" w:w="90"/>
              <w:right w:type="dxa" w:w="140"/>
            </w:tcMar>
          </w:tcPr>
          <w:p>
            <w:pPr>
              <w:spacing w:after="0" w:line="230"/>
            </w:pPr>
            <w:r>
              <w:rPr>
                <w:rFonts w:ascii="Courier New" w:cs="Courier New" w:eastAsia="Courier New" w:hAnsi="Courier New"/>
                <w:color w:val="3A2E15"/>
                <w:sz w:val="16"/>
                <w:szCs w:val="16"/>
              </w:rPr>
              <w:t xml:space="preserve">#[Route('/api/health', name: 'api_health', methods: ['GET'])]</w:t>
            </w:r>
          </w:p>
          <w:p>
            <w:pPr>
              <w:spacing w:after="0" w:line="230"/>
            </w:pPr>
            <w:r>
              <w:rPr>
                <w:rFonts w:ascii="Courier New" w:cs="Courier New" w:eastAsia="Courier New" w:hAnsi="Courier New"/>
                <w:color w:val="3A2E15"/>
                <w:sz w:val="16"/>
                <w:szCs w:val="16"/>
              </w:rPr>
              <w:t xml:space="preserve">public function check(): JsonResponse</w:t>
            </w:r>
          </w:p>
          <w:p>
            <w:pPr>
              <w:spacing w:after="0" w:line="230"/>
            </w:pPr>
            <w:r>
              <w:rPr>
                <w:rFonts w:ascii="Courier New" w:cs="Courier New" w:eastAsia="Courier New" w:hAnsi="Courier New"/>
                <w:color w:val="3A2E15"/>
                <w:sz w:val="16"/>
                <w:szCs w:val="16"/>
              </w:rPr>
              <w:t xml:space="preserve">{</w:t>
            </w:r>
          </w:p>
          <w:p>
            <w:pPr>
              <w:spacing w:after="0" w:line="230"/>
            </w:pPr>
            <w:r>
              <w:rPr>
                <w:rFonts w:ascii="Courier New" w:cs="Courier New" w:eastAsia="Courier New" w:hAnsi="Courier New"/>
                <w:color w:val="3A2E15"/>
                <w:sz w:val="16"/>
                <w:szCs w:val="16"/>
              </w:rPr>
              <w:t xml:space="preserve">    $status = [</w:t>
            </w:r>
          </w:p>
          <w:p>
            <w:pPr>
              <w:spacing w:after="0" w:line="230"/>
            </w:pPr>
            <w:r>
              <w:rPr>
                <w:rFonts w:ascii="Courier New" w:cs="Courier New" w:eastAsia="Courier New" w:hAnsi="Courier New"/>
                <w:color w:val="3A2E15"/>
                <w:sz w:val="16"/>
                <w:szCs w:val="16"/>
              </w:rPr>
              <w:t xml:space="preserve">        'status' =&gt; 'OK',</w:t>
            </w:r>
          </w:p>
          <w:p>
            <w:pPr>
              <w:spacing w:after="0" w:line="230"/>
            </w:pPr>
            <w:r>
              <w:rPr>
                <w:rFonts w:ascii="Courier New" w:cs="Courier New" w:eastAsia="Courier New" w:hAnsi="Courier New"/>
                <w:color w:val="3A2E15"/>
                <w:sz w:val="16"/>
                <w:szCs w:val="16"/>
              </w:rPr>
              <w:t xml:space="preserve">        'timestamp' =&gt; date('c'),</w:t>
            </w:r>
          </w:p>
          <w:p>
            <w:pPr>
              <w:spacing w:after="0" w:line="230"/>
            </w:pPr>
            <w:r>
              <w:rPr>
                <w:rFonts w:ascii="Courier New" w:cs="Courier New" w:eastAsia="Courier New" w:hAnsi="Courier New"/>
                <w:color w:val="3A2E15"/>
                <w:sz w:val="16"/>
                <w:szCs w:val="16"/>
              </w:rPr>
              <w:t xml:space="preserve">        'services' =&gt; [</w:t>
            </w:r>
          </w:p>
          <w:p>
            <w:pPr>
              <w:spacing w:after="0" w:line="230"/>
            </w:pPr>
            <w:r>
              <w:rPr>
                <w:rFonts w:ascii="Courier New" w:cs="Courier New" w:eastAsia="Courier New" w:hAnsi="Courier New"/>
                <w:color w:val="3A2E15"/>
                <w:sz w:val="16"/>
                <w:szCs w:val="16"/>
              </w:rPr>
              <w:t xml:space="preserve">            'database' =&gt; $this-&gt;checkDatabase(),</w:t>
            </w:r>
          </w:p>
          <w:p>
            <w:pPr>
              <w:spacing w:after="0" w:line="230"/>
            </w:pPr>
            <w:r>
              <w:rPr>
                <w:rFonts w:ascii="Courier New" w:cs="Courier New" w:eastAsia="Courier New" w:hAnsi="Courier New"/>
                <w:color w:val="3A2E15"/>
                <w:sz w:val="16"/>
                <w:szCs w:val="16"/>
              </w:rPr>
              <w:t xml:space="preserve">            'albion_api' =&gt; $this-&gt;checkAlbionApi(),</w:t>
            </w:r>
          </w:p>
          <w:p>
            <w:pPr>
              <w:spacing w:after="0" w:line="230"/>
            </w:pPr>
            <w:r>
              <w:rPr>
                <w:rFonts w:ascii="Courier New" w:cs="Courier New" w:eastAsia="Courier New" w:hAnsi="Courier New"/>
                <w:color w:val="3A2E15"/>
                <w:sz w:val="16"/>
                <w:szCs w:val="16"/>
              </w:rPr>
              <w:t xml:space="preserve">        ]</w:t>
            </w:r>
          </w:p>
          <w:p>
            <w:pPr>
              <w:spacing w:after="0" w:line="230"/>
            </w:pPr>
            <w:r>
              <w:rPr>
                <w:rFonts w:ascii="Courier New" w:cs="Courier New" w:eastAsia="Courier New" w:hAnsi="Courier New"/>
                <w:color w:val="3A2E15"/>
                <w:sz w:val="16"/>
                <w:szCs w:val="16"/>
              </w:rPr>
              <w:t xml:space="preserve">    ];</w:t>
            </w:r>
          </w:p>
          <w:p>
            <w:pPr>
              <w:spacing w:after="0" w:line="230"/>
            </w:pPr>
            <w:r>
              <w:rPr>
                <w:rFonts w:ascii="Courier New" w:cs="Courier New" w:eastAsia="Courier New" w:hAnsi="Courier New"/>
                <w:color w:val="3A2E15"/>
                <w:sz w:val="16"/>
                <w:szCs w:val="16"/>
              </w:rPr>
              <w:t xml:space="preserve">    // … 200 si tous les services répondent, 503 sinon</w:t>
            </w:r>
          </w:p>
          <w:p>
            <w:pPr>
              <w:spacing w:after="0" w:line="230"/>
            </w:pPr>
            <w:r>
              <w:rPr>
                <w:rFonts w:ascii="Courier New" w:cs="Courier New" w:eastAsia="Courier New" w:hAnsi="Courier New"/>
                <w:color w:val="3A2E15"/>
                <w:sz w:val="16"/>
                <w:szCs w:val="16"/>
              </w:rPr>
              <w:t xml:space="preserve">}</w:t>
            </w:r>
          </w:p>
        </w:tc>
      </w:tr>
    </w:tbl>
    <w:p>
      <w:pPr>
        <w:spacing w:after="180" w:before="50"/>
        <w:jc w:val="left"/>
      </w:pPr>
      <w:r>
        <w:rPr>
          <w:i/>
          <w:iCs/>
          <w:color w:val="5A4825"/>
          <w:sz w:val="18"/>
          <w:szCs w:val="18"/>
        </w:rPr>
        <w:t xml:space="preserve">back/src/Controller/HealthCheckController.php (extrait) — testé par la recette SEC-02 et supervisé en production.</w:t>
      </w:r>
    </w:p>
    <w:p>
      <w:pPr>
        <w:pStyle w:val="Heading2"/>
      </w:pPr>
      <w:r>
        <w:t xml:space="preserve">A.3 Firewall : authentification et contrôle d'accès (OWASP A01 / A07)</w:t>
      </w:r>
    </w:p>
    <w:p>
      <w:pPr>
        <w:spacing w:after="120" w:before="0" w:line="308"/>
        <w:jc w:val="both"/>
      </w:pPr>
      <w:r>
        <w:rPr>
          <w:b w:val="false"/>
          <w:bCs w:val="false"/>
          <w:i w:val="false"/>
          <w:iCs w:val="false"/>
          <w:sz w:val="22"/>
          <w:szCs w:val="22"/>
        </w:rPr>
        <w:t xml:space="preserve">Le firewall stateless combine JWT, rafraîchissement de jeton et verrouillage du login ; la liste des routes publiques est explicite, tout le reste exige un jeton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E0D5BB" w:sz="2"/>
              <w:left w:val="single" w:color="E0D5BB" w:sz="2"/>
              <w:bottom w:val="single" w:color="E0D5BB" w:sz="2"/>
              <w:right w:val="single" w:color="E0D5BB" w:sz="2"/>
            </w:tcBorders>
            <w:shd w:fill="FAF6EC" w:val="clear"/>
            <w:tcMar>
              <w:top w:type="dxa" w:w="90"/>
              <w:left w:type="dxa" w:w="140"/>
              <w:bottom w:type="dxa" w:w="90"/>
              <w:right w:type="dxa" w:w="140"/>
            </w:tcMar>
          </w:tcPr>
          <w:p>
            <w:pPr>
              <w:spacing w:after="0" w:line="230"/>
            </w:pPr>
            <w:r>
              <w:rPr>
                <w:rFonts w:ascii="Courier New" w:cs="Courier New" w:eastAsia="Courier New" w:hAnsi="Courier New"/>
                <w:color w:val="3A2E15"/>
                <w:sz w:val="16"/>
                <w:szCs w:val="16"/>
              </w:rPr>
              <w:t xml:space="preserve">stateless: true</w:t>
            </w:r>
          </w:p>
          <w:p>
            <w:pPr>
              <w:spacing w:after="0" w:line="230"/>
            </w:pPr>
            <w:r>
              <w:rPr>
                <w:rFonts w:ascii="Courier New" w:cs="Courier New" w:eastAsia="Courier New" w:hAnsi="Courier New"/>
                <w:color w:val="3A2E15"/>
                <w:sz w:val="16"/>
                <w:szCs w:val="16"/>
              </w:rPr>
              <w:t xml:space="preserve">entry_point: jwt</w:t>
            </w:r>
          </w:p>
          <w:p>
            <w:pPr>
              <w:spacing w:after="0" w:line="230"/>
            </w:pPr>
            <w:r>
              <w:rPr>
                <w:rFonts w:ascii="Courier New" w:cs="Courier New" w:eastAsia="Courier New" w:hAnsi="Courier New"/>
                <w:color w:val="3A2E15"/>
                <w:sz w:val="16"/>
                <w:szCs w:val="16"/>
              </w:rPr>
              <w:t xml:space="preserve">jwt: ~</w:t>
            </w:r>
          </w:p>
          <w:p>
            <w:pPr>
              <w:spacing w:after="0" w:line="230"/>
            </w:pPr>
            <w:r>
              <w:rPr>
                <w:rFonts w:ascii="Courier New" w:cs="Courier New" w:eastAsia="Courier New" w:hAnsi="Courier New"/>
                <w:color w:val="3A2E15"/>
                <w:sz w:val="16"/>
                <w:szCs w:val="16"/>
              </w:rPr>
              <w:t xml:space="preserve">refresh_jwt:</w:t>
            </w:r>
          </w:p>
          <w:p>
            <w:pPr>
              <w:spacing w:after="0" w:line="230"/>
            </w:pPr>
            <w:r>
              <w:rPr>
                <w:rFonts w:ascii="Courier New" w:cs="Courier New" w:eastAsia="Courier New" w:hAnsi="Courier New"/>
                <w:color w:val="3A2E15"/>
                <w:sz w:val="16"/>
                <w:szCs w:val="16"/>
              </w:rPr>
              <w:t xml:space="preserve">    check_path: /api/token/refresh</w:t>
            </w:r>
          </w:p>
          <w:p>
            <w:pPr>
              <w:spacing w:after="0" w:line="230"/>
            </w:pPr>
            <w:r>
              <w:rPr>
                <w:rFonts w:ascii="Courier New" w:cs="Courier New" w:eastAsia="Courier New" w:hAnsi="Courier New"/>
                <w:color w:val="3A2E15"/>
                <w:sz w:val="16"/>
                <w:szCs w:val="16"/>
              </w:rPr>
              <w:t xml:space="preserve">json_login:</w:t>
            </w:r>
          </w:p>
          <w:p>
            <w:pPr>
              <w:spacing w:after="0" w:line="230"/>
            </w:pPr>
            <w:r>
              <w:rPr>
                <w:rFonts w:ascii="Courier New" w:cs="Courier New" w:eastAsia="Courier New" w:hAnsi="Courier New"/>
                <w:color w:val="3A2E15"/>
                <w:sz w:val="16"/>
                <w:szCs w:val="16"/>
              </w:rPr>
              <w:t xml:space="preserve">    check_path: /api/login</w:t>
            </w:r>
          </w:p>
          <w:p>
            <w:pPr>
              <w:spacing w:after="0" w:line="230"/>
            </w:pPr>
            <w:r>
              <w:rPr>
                <w:rFonts w:ascii="Courier New" w:cs="Courier New" w:eastAsia="Courier New" w:hAnsi="Courier New"/>
                <w:color w:val="3A2E15"/>
                <w:sz w:val="16"/>
                <w:szCs w:val="16"/>
              </w:rPr>
              <w:t xml:space="preserve">    success_handler: lexik_jwt_authentication.handler.authentication_success</w:t>
            </w:r>
          </w:p>
          <w:p>
            <w:pPr>
              <w:spacing w:after="0" w:line="230"/>
            </w:pPr>
            <w:r>
              <w:rPr>
                <w:rFonts w:ascii="Courier New" w:cs="Courier New" w:eastAsia="Courier New" w:hAnsi="Courier New"/>
                <w:color w:val="3A2E15"/>
                <w:sz w:val="16"/>
                <w:szCs w:val="16"/>
              </w:rPr>
              <w:t xml:space="preserve">    failure_handler: lexik_jwt_authentication.handler.authentication_failure</w:t>
            </w:r>
          </w:p>
          <w:p>
            <w:pPr>
              <w:spacing w:after="0" w:line="230"/>
            </w:pPr>
            <w:r>
              <w:rPr>
                <w:rFonts w:ascii="Courier New" w:cs="Courier New" w:eastAsia="Courier New" w:hAnsi="Courier New"/>
                <w:color w:val="3A2E15"/>
                <w:sz w:val="16"/>
                <w:szCs w:val="16"/>
              </w:rPr>
              <w:t xml:space="preserve"># Protection brute-force : 5 tentatives max par utilisateur/IP, fenêtre de 15 min</w:t>
            </w:r>
          </w:p>
          <w:p>
            <w:pPr>
              <w:spacing w:after="0" w:line="230"/>
            </w:pPr>
            <w:r>
              <w:rPr>
                <w:rFonts w:ascii="Courier New" w:cs="Courier New" w:eastAsia="Courier New" w:hAnsi="Courier New"/>
                <w:color w:val="3A2E15"/>
                <w:sz w:val="16"/>
                <w:szCs w:val="16"/>
              </w:rPr>
              <w:t xml:space="preserve">login_throttling:</w:t>
            </w:r>
          </w:p>
          <w:p>
            <w:pPr>
              <w:spacing w:after="0" w:line="230"/>
            </w:pPr>
            <w:r>
              <w:rPr>
                <w:rFonts w:ascii="Courier New" w:cs="Courier New" w:eastAsia="Courier New" w:hAnsi="Courier New"/>
                <w:color w:val="3A2E15"/>
                <w:sz w:val="16"/>
                <w:szCs w:val="16"/>
              </w:rPr>
              <w:t xml:space="preserve">    max_attempts: 5</w:t>
            </w:r>
          </w:p>
          <w:p>
            <w:pPr>
              <w:spacing w:after="0" w:line="230"/>
            </w:pPr>
            <w:r>
              <w:rPr>
                <w:rFonts w:ascii="Courier New" w:cs="Courier New" w:eastAsia="Courier New" w:hAnsi="Courier New"/>
                <w:color w:val="3A2E15"/>
                <w:sz w:val="16"/>
                <w:szCs w:val="16"/>
              </w:rPr>
              <w:t xml:space="preserve">    interval: '15 minutes'</w:t>
            </w:r>
          </w:p>
          <w:p>
            <w:pPr>
              <w:spacing w:after="0" w:line="230"/>
            </w:pPr>
            <w:r>
              <w:rPr>
                <w:rFonts w:ascii="Courier New" w:cs="Courier New" w:eastAsia="Courier New" w:hAnsi="Courier New"/>
                <w:color w:val="3A2E15"/>
                <w:sz w:val="16"/>
                <w:szCs w:val="16"/>
              </w:rPr>
              <w:t xml:space="preserve"> </w:t>
            </w:r>
          </w:p>
          <w:p>
            <w:pPr>
              <w:spacing w:after="0" w:line="230"/>
            </w:pPr>
            <w:r>
              <w:rPr>
                <w:rFonts w:ascii="Courier New" w:cs="Courier New" w:eastAsia="Courier New" w:hAnsi="Courier New"/>
                <w:color w:val="3A2E15"/>
                <w:sz w:val="16"/>
                <w:szCs w:val="16"/>
              </w:rPr>
              <w:t xml:space="preserve">access_control:</w:t>
            </w:r>
          </w:p>
          <w:p>
            <w:pPr>
              <w:spacing w:after="0" w:line="230"/>
            </w:pPr>
            <w:r>
              <w:rPr>
                <w:rFonts w:ascii="Courier New" w:cs="Courier New" w:eastAsia="Courier New" w:hAnsi="Courier New"/>
                <w:color w:val="3A2E15"/>
                <w:sz w:val="16"/>
                <w:szCs w:val="16"/>
              </w:rPr>
              <w:t xml:space="preserve">    - { path: ^/api/health, roles: PUBLIC_ACCESS }</w:t>
            </w:r>
          </w:p>
          <w:p>
            <w:pPr>
              <w:spacing w:after="0" w:line="230"/>
            </w:pPr>
            <w:r>
              <w:rPr>
                <w:rFonts w:ascii="Courier New" w:cs="Courier New" w:eastAsia="Courier New" w:hAnsi="Courier New"/>
                <w:color w:val="3A2E15"/>
                <w:sz w:val="16"/>
                <w:szCs w:val="16"/>
              </w:rPr>
              <w:t xml:space="preserve">    - { path: ^/api/register, roles: PUBLIC_ACCESS }</w:t>
            </w:r>
          </w:p>
          <w:p>
            <w:pPr>
              <w:spacing w:after="0" w:line="230"/>
            </w:pPr>
            <w:r>
              <w:rPr>
                <w:rFonts w:ascii="Courier New" w:cs="Courier New" w:eastAsia="Courier New" w:hAnsi="Courier New"/>
                <w:color w:val="3A2E15"/>
                <w:sz w:val="16"/>
                <w:szCs w:val="16"/>
              </w:rPr>
              <w:t xml:space="preserve">    - { path: ^/api/login, roles: PUBLIC_ACCESS }</w:t>
            </w:r>
          </w:p>
          <w:p>
            <w:pPr>
              <w:spacing w:after="0" w:line="230"/>
            </w:pPr>
            <w:r>
              <w:rPr>
                <w:rFonts w:ascii="Courier New" w:cs="Courier New" w:eastAsia="Courier New" w:hAnsi="Courier New"/>
                <w:color w:val="3A2E15"/>
                <w:sz w:val="16"/>
                <w:szCs w:val="16"/>
              </w:rPr>
              <w:t xml:space="preserve">    - { path: ^/api/routes/share/, roles: PUBLIC_ACCESS }</w:t>
            </w:r>
          </w:p>
          <w:p>
            <w:pPr>
              <w:spacing w:after="0" w:line="230"/>
            </w:pPr>
            <w:r>
              <w:rPr>
                <w:rFonts w:ascii="Courier New" w:cs="Courier New" w:eastAsia="Courier New" w:hAnsi="Courier New"/>
                <w:color w:val="3A2E15"/>
                <w:sz w:val="16"/>
                <w:szCs w:val="16"/>
              </w:rPr>
              <w:t xml:space="preserve">    - { path: ^/api/compositions/share/, roles: PUBLIC_ACCESS }</w:t>
            </w:r>
          </w:p>
          <w:p>
            <w:pPr>
              <w:spacing w:after="0" w:line="230"/>
            </w:pPr>
            <w:r>
              <w:rPr>
                <w:rFonts w:ascii="Courier New" w:cs="Courier New" w:eastAsia="Courier New" w:hAnsi="Courier New"/>
                <w:color w:val="3A2E15"/>
                <w:sz w:val="16"/>
                <w:szCs w:val="16"/>
              </w:rPr>
              <w:t xml:space="preserve">    - { path: ^/api/admin, roles: ROLE_ADMIN }</w:t>
            </w:r>
          </w:p>
          <w:p>
            <w:pPr>
              <w:spacing w:after="0" w:line="230"/>
            </w:pPr>
            <w:r>
              <w:rPr>
                <w:rFonts w:ascii="Courier New" w:cs="Courier New" w:eastAsia="Courier New" w:hAnsi="Courier New"/>
                <w:color w:val="3A2E15"/>
                <w:sz w:val="16"/>
                <w:szCs w:val="16"/>
              </w:rPr>
              <w:t xml:space="preserve">    - { path: ^/api, roles: IS_AUTHENTICATED_FULLY }</w:t>
            </w:r>
          </w:p>
        </w:tc>
      </w:tr>
    </w:tbl>
    <w:p>
      <w:pPr>
        <w:spacing w:after="180" w:before="50"/>
        <w:jc w:val="left"/>
      </w:pPr>
      <w:r>
        <w:rPr>
          <w:i/>
          <w:iCs/>
          <w:color w:val="5A4825"/>
          <w:sz w:val="18"/>
          <w:szCs w:val="18"/>
        </w:rPr>
        <w:t xml:space="preserve">back/config/packages/security.yaml (extraits) — HTTP 429 dès la 6e tentative (SEC-04), 401 sans jeton (SEC-01), admin réservé (ADM-02).</w:t>
      </w:r>
    </w:p>
    <w:p>
      <w:pPr>
        <w:pStyle w:val="Heading1"/>
      </w:pPr>
      <w:r>
        <w:t xml:space="preserve">Annexe B — Chaîne d'intégration et de déploiement continus</w:t>
      </w:r>
    </w:p>
    <w:p>
      <w:pPr>
        <w:spacing w:after="120" w:before="0" w:line="308"/>
        <w:jc w:val="both"/>
      </w:pPr>
      <w:r>
        <w:rPr>
          <w:b w:val="false"/>
          <w:bCs w:val="false"/>
          <w:i w:val="false"/>
          <w:iCs w:val="false"/>
          <w:sz w:val="22"/>
          <w:szCs w:val="22"/>
        </w:rPr>
        <w:t xml:space="preserve">Le pipeline décrit aux sections 4 et 5 est observable publiquement sur le dépôt GitHub. Les captures ci-dessous en attestent l'exécution réelle.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C9B98A" w:sz="4"/>
              <w:left w:val="single" w:color="C9B98A" w:sz="4"/>
              <w:bottom w:val="single" w:color="C9B98A" w:sz="4"/>
              <w:right w:val="single" w:color="C9B98A" w:sz="4"/>
            </w:tcBorders>
            <w:tcMar>
              <w:top w:type="dxa" w:w="50"/>
              <w:left w:type="dxa" w:w="50"/>
              <w:bottom w:type="dxa" w:w="30"/>
              <w:right w:type="dxa" w:w="50"/>
            </w:tcMar>
          </w:tcPr>
          <w:p>
            <w:pPr>
              <w:spacing w:after="0"/>
              <w:jc w:val="center"/>
            </w:pPr>
            <w:r>
              <w:drawing>
                <wp:inline distT="0" distB="0" distL="0" distR="0">
                  <wp:extent cx="4667250" cy="2914650"/>
                  <wp:effectExtent t="0" r="0" b="0" l="0"/>
                  <wp:docPr id="1" name="figure-13" descr="Détail d'un run vert : jobs backend-tests et frontend-tests exécutés en parallèle sur le commit poussé" title="Détail d'un run vert : jobs backend-tests et frontend-tests exécutés en parallèle sur le commit pouss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667250" cy="2914650"/>
                          </a:xfrm>
                          <a:prstGeom prst="rect">
                            <a:avLst/>
                          </a:prstGeom>
                        </pic:spPr>
                      </pic:pic>
                    </a:graphicData>
                  </a:graphic>
                </wp:inline>
              </w:drawing>
            </w:r>
          </w:p>
        </w:tc>
      </w:tr>
    </w:tbl>
    <w:p>
      <w:pPr>
        <w:spacing w:after="150" w:before="50"/>
        <w:jc w:val="center"/>
      </w:pPr>
      <w:r>
        <w:rPr>
          <w:i/>
          <w:iCs/>
          <w:color w:val="5A4825"/>
          <w:sz w:val="18"/>
          <w:szCs w:val="18"/>
        </w:rPr>
        <w:t xml:space="preserve">Figure 13 — Détail d'un run vert : jobs backend-tests et frontend-tests exécutés en parallèle sur le commit poussé</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C9B98A" w:sz="4"/>
              <w:left w:val="single" w:color="C9B98A" w:sz="4"/>
              <w:bottom w:val="single" w:color="C9B98A" w:sz="4"/>
              <w:right w:val="single" w:color="C9B98A" w:sz="4"/>
            </w:tcBorders>
            <w:tcMar>
              <w:top w:type="dxa" w:w="50"/>
              <w:left w:type="dxa" w:w="50"/>
              <w:bottom w:type="dxa" w:w="30"/>
              <w:right w:type="dxa" w:w="50"/>
            </w:tcMar>
          </w:tcPr>
          <w:p>
            <w:pPr>
              <w:spacing w:after="0"/>
              <w:jc w:val="center"/>
            </w:pPr>
            <w:r>
              <w:drawing>
                <wp:inline distT="0" distB="0" distL="0" distR="0">
                  <wp:extent cx="4667250" cy="2914650"/>
                  <wp:effectExtent t="0" r="0" b="0" l="0"/>
                  <wp:docPr id="1" name="figure-14" descr="Historique des runs. Le run rouge sur master est un garde-fou volontaire : sans les secrets SSH configurés, le job de déploiement refuse de s'exécuter — aucun identifiant n'existe dans le code" title="Historique des runs. Le run rouge sur master est un garde-fou volontaire : sans les secrets SSH configurés, le job de déploiement refuse de s'exécuter — aucun identifiant n'existe dans le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667250" cy="2914650"/>
                          </a:xfrm>
                          <a:prstGeom prst="rect">
                            <a:avLst/>
                          </a:prstGeom>
                        </pic:spPr>
                      </pic:pic>
                    </a:graphicData>
                  </a:graphic>
                </wp:inline>
              </w:drawing>
            </w:r>
          </w:p>
        </w:tc>
      </w:tr>
    </w:tbl>
    <w:p>
      <w:pPr>
        <w:spacing w:after="150" w:before="50"/>
        <w:jc w:val="center"/>
      </w:pPr>
      <w:r>
        <w:rPr>
          <w:i/>
          <w:iCs/>
          <w:color w:val="5A4825"/>
          <w:sz w:val="18"/>
          <w:szCs w:val="18"/>
        </w:rPr>
        <w:t xml:space="preserve">Figure 14 — Historique des runs. Le run rouge sur master est un garde-fou volontaire : sans les secrets SSH configurés, le job de déploiement refuse de s'exécuter — aucun identifiant n'existe dans le code</w:t>
      </w:r>
    </w:p>
    <w:p>
      <w:pPr>
        <w:spacing w:after="120" w:before="0" w:line="308"/>
        <w:jc w:val="both"/>
      </w:pPr>
      <w:r>
        <w:rPr>
          <w:b w:val="false"/>
          <w:bCs w:val="false"/>
          <w:i w:val="false"/>
          <w:iCs w:val="false"/>
          <w:sz w:val="22"/>
          <w:szCs w:val="22"/>
        </w:rPr>
        <w:t xml:space="preserve">Définition condensée du workflow (.github/workflows/main.yml)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E0D5BB" w:sz="2"/>
              <w:left w:val="single" w:color="E0D5BB" w:sz="2"/>
              <w:bottom w:val="single" w:color="E0D5BB" w:sz="2"/>
              <w:right w:val="single" w:color="E0D5BB" w:sz="2"/>
            </w:tcBorders>
            <w:shd w:fill="FAF6EC" w:val="clear"/>
            <w:tcMar>
              <w:top w:type="dxa" w:w="90"/>
              <w:left w:type="dxa" w:w="140"/>
              <w:bottom w:type="dxa" w:w="90"/>
              <w:right w:type="dxa" w:w="140"/>
            </w:tcMar>
          </w:tcPr>
          <w:p>
            <w:pPr>
              <w:spacing w:after="0" w:line="230"/>
            </w:pPr>
            <w:r>
              <w:rPr>
                <w:rFonts w:ascii="Courier New" w:cs="Courier New" w:eastAsia="Courier New" w:hAnsi="Courier New"/>
                <w:color w:val="3A2E15"/>
                <w:sz w:val="16"/>
                <w:szCs w:val="16"/>
              </w:rPr>
              <w:t xml:space="preserve">on:</w:t>
            </w:r>
          </w:p>
          <w:p>
            <w:pPr>
              <w:spacing w:after="0" w:line="230"/>
            </w:pPr>
            <w:r>
              <w:rPr>
                <w:rFonts w:ascii="Courier New" w:cs="Courier New" w:eastAsia="Courier New" w:hAnsi="Courier New"/>
                <w:color w:val="3A2E15"/>
                <w:sz w:val="16"/>
                <w:szCs w:val="16"/>
              </w:rPr>
              <w:t xml:space="preserve">  push: { branches: [master, develop] }</w:t>
            </w:r>
          </w:p>
          <w:p>
            <w:pPr>
              <w:spacing w:after="0" w:line="230"/>
            </w:pPr>
            <w:r>
              <w:rPr>
                <w:rFonts w:ascii="Courier New" w:cs="Courier New" w:eastAsia="Courier New" w:hAnsi="Courier New"/>
                <w:color w:val="3A2E15"/>
                <w:sz w:val="16"/>
                <w:szCs w:val="16"/>
              </w:rPr>
              <w:t xml:space="preserve">  pull_request: { branches: [master, develop] }</w:t>
            </w:r>
          </w:p>
          <w:p>
            <w:pPr>
              <w:spacing w:after="0" w:line="230"/>
            </w:pPr>
            <w:r>
              <w:rPr>
                <w:rFonts w:ascii="Courier New" w:cs="Courier New" w:eastAsia="Courier New" w:hAnsi="Courier New"/>
                <w:color w:val="3A2E15"/>
                <w:sz w:val="16"/>
                <w:szCs w:val="16"/>
              </w:rPr>
              <w:t xml:space="preserve"> </w:t>
            </w:r>
          </w:p>
          <w:p>
            <w:pPr>
              <w:spacing w:after="0" w:line="230"/>
            </w:pPr>
            <w:r>
              <w:rPr>
                <w:rFonts w:ascii="Courier New" w:cs="Courier New" w:eastAsia="Courier New" w:hAnsi="Courier New"/>
                <w:color w:val="3A2E15"/>
                <w:sz w:val="16"/>
                <w:szCs w:val="16"/>
              </w:rPr>
              <w:t xml:space="preserve">jobs:</w:t>
            </w:r>
          </w:p>
          <w:p>
            <w:pPr>
              <w:spacing w:after="0" w:line="230"/>
            </w:pPr>
            <w:r>
              <w:rPr>
                <w:rFonts w:ascii="Courier New" w:cs="Courier New" w:eastAsia="Courier New" w:hAnsi="Courier New"/>
                <w:color w:val="3A2E15"/>
                <w:sz w:val="16"/>
                <w:szCs w:val="16"/>
              </w:rPr>
              <w:t xml:space="preserve">  backend-tests:    # PHP 8.2, clés JWT de test, SQLite, php bin/phpunit</w:t>
            </w:r>
          </w:p>
          <w:p>
            <w:pPr>
              <w:spacing w:after="0" w:line="230"/>
            </w:pPr>
            <w:r>
              <w:rPr>
                <w:rFonts w:ascii="Courier New" w:cs="Courier New" w:eastAsia="Courier New" w:hAnsi="Courier New"/>
                <w:color w:val="3A2E15"/>
                <w:sz w:val="16"/>
                <w:szCs w:val="16"/>
              </w:rPr>
              <w:t xml:space="preserve">  frontend-tests:   # Node 22, npm ci, CI=true npm test</w:t>
            </w:r>
          </w:p>
          <w:p>
            <w:pPr>
              <w:spacing w:after="0" w:line="230"/>
            </w:pPr>
            <w:r>
              <w:rPr>
                <w:rFonts w:ascii="Courier New" w:cs="Courier New" w:eastAsia="Courier New" w:hAnsi="Courier New"/>
                <w:color w:val="3A2E15"/>
                <w:sz w:val="16"/>
                <w:szCs w:val="16"/>
              </w:rPr>
              <w:t xml:space="preserve">  deploy:</w:t>
            </w:r>
          </w:p>
          <w:p>
            <w:pPr>
              <w:spacing w:after="0" w:line="230"/>
            </w:pPr>
            <w:r>
              <w:rPr>
                <w:rFonts w:ascii="Courier New" w:cs="Courier New" w:eastAsia="Courier New" w:hAnsi="Courier New"/>
                <w:color w:val="3A2E15"/>
                <w:sz w:val="16"/>
                <w:szCs w:val="16"/>
              </w:rPr>
              <w:t xml:space="preserve">    needs: [backend-tests, frontend-tests]   # bloqué si un test échoue</w:t>
            </w:r>
          </w:p>
          <w:p>
            <w:pPr>
              <w:spacing w:after="0" w:line="230"/>
            </w:pPr>
            <w:r>
              <w:rPr>
                <w:rFonts w:ascii="Courier New" w:cs="Courier New" w:eastAsia="Courier New" w:hAnsi="Courier New"/>
                <w:color w:val="3A2E15"/>
                <w:sz w:val="16"/>
                <w:szCs w:val="16"/>
              </w:rPr>
              <w:t xml:space="preserve">    if: github.event_name == 'push' &amp;&amp; github.ref == 'refs/heads/master'</w:t>
            </w:r>
          </w:p>
          <w:p>
            <w:pPr>
              <w:spacing w:after="0" w:line="230"/>
            </w:pPr>
            <w:r>
              <w:rPr>
                <w:rFonts w:ascii="Courier New" w:cs="Courier New" w:eastAsia="Courier New" w:hAnsi="Courier New"/>
                <w:color w:val="3A2E15"/>
                <w:sz w:val="16"/>
                <w:szCs w:val="16"/>
              </w:rPr>
              <w:t xml:space="preserve">    steps:</w:t>
            </w:r>
          </w:p>
          <w:p>
            <w:pPr>
              <w:spacing w:after="0" w:line="230"/>
            </w:pPr>
            <w:r>
              <w:rPr>
                <w:rFonts w:ascii="Courier New" w:cs="Courier New" w:eastAsia="Courier New" w:hAnsi="Courier New"/>
                <w:color w:val="3A2E15"/>
                <w:sz w:val="16"/>
                <w:szCs w:val="16"/>
              </w:rPr>
              <w:t xml:space="preserve">      - uses: appleboy/ssh-action@v1.2.0     # secrets: SSH_HOST, SSH_USER…</w:t>
            </w:r>
          </w:p>
          <w:p>
            <w:pPr>
              <w:spacing w:after="0" w:line="230"/>
            </w:pPr>
            <w:r>
              <w:rPr>
                <w:rFonts w:ascii="Courier New" w:cs="Courier New" w:eastAsia="Courier New" w:hAnsi="Courier New"/>
                <w:color w:val="3A2E15"/>
                <w:sz w:val="16"/>
                <w:szCs w:val="16"/>
              </w:rPr>
              <w:t xml:space="preserve">        with:</w:t>
            </w:r>
          </w:p>
          <w:p>
            <w:pPr>
              <w:spacing w:after="0" w:line="230"/>
            </w:pPr>
            <w:r>
              <w:rPr>
                <w:rFonts w:ascii="Courier New" w:cs="Courier New" w:eastAsia="Courier New" w:hAnsi="Courier New"/>
                <w:color w:val="3A2E15"/>
                <w:sz w:val="16"/>
                <w:szCs w:val="16"/>
              </w:rPr>
              <w:t xml:space="preserve">          script: cd ${{ secrets.DEPLOY_PATH }} &amp;&amp; sh deploy/deploy.sh</w:t>
            </w:r>
          </w:p>
        </w:tc>
      </w:tr>
    </w:tbl>
    <w:p>
      <w:pPr>
        <w:spacing w:after="180" w:before="50"/>
        <w:jc w:val="left"/>
      </w:pPr>
      <w:r>
        <w:rPr>
          <w:i/>
          <w:iCs/>
          <w:color w:val="5A4825"/>
          <w:sz w:val="18"/>
          <w:szCs w:val="18"/>
        </w:rPr>
        <w:t xml:space="preserve">Le déploiement n'est possible que depuis master, après succès des 131 tests, via des secrets GitHub.</w:t>
      </w:r>
    </w:p>
    <w:p>
      <w:pPr>
        <w:pStyle w:val="Heading1"/>
      </w:pPr>
      <w:r>
        <w:t xml:space="preserve">Annexe C — Sorties d'outillage (preuves d'exécution)</w:t>
      </w:r>
    </w:p>
    <w:p>
      <w:pPr>
        <w:spacing w:after="120" w:before="0" w:line="308"/>
        <w:jc w:val="both"/>
      </w:pPr>
      <w:r>
        <w:rPr>
          <w:b w:val="false"/>
          <w:bCs w:val="false"/>
          <w:i w:val="false"/>
          <w:iCs w:val="false"/>
          <w:sz w:val="22"/>
          <w:szCs w:val="22"/>
        </w:rPr>
        <w:t xml:space="preserve">Sorties brutes des commandes de qualité et de sécurité, exécutées sur la version 3.0.0 le 14/07/2026.</w:t>
      </w:r>
    </w:p>
    <w:p>
      <w:pPr>
        <w:spacing w:after="60" w:before="140" w:line="308"/>
        <w:jc w:val="left"/>
      </w:pPr>
      <w:r>
        <w:rPr>
          <w:b/>
          <w:bCs/>
          <w:i w:val="false"/>
          <w:iCs w:val="false"/>
          <w:sz w:val="22"/>
          <w:szCs w:val="22"/>
        </w:rPr>
        <w:t xml:space="preserve">C.1 Tests backend — PHPUnit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E0D5BB" w:sz="2"/>
              <w:left w:val="single" w:color="E0D5BB" w:sz="2"/>
              <w:bottom w:val="single" w:color="E0D5BB" w:sz="2"/>
              <w:right w:val="single" w:color="E0D5BB" w:sz="2"/>
            </w:tcBorders>
            <w:shd w:fill="FAF6EC" w:val="clear"/>
            <w:tcMar>
              <w:top w:type="dxa" w:w="90"/>
              <w:left w:type="dxa" w:w="140"/>
              <w:bottom w:type="dxa" w:w="90"/>
              <w:right w:type="dxa" w:w="140"/>
            </w:tcMar>
          </w:tcPr>
          <w:p>
            <w:pPr>
              <w:spacing w:after="0" w:line="230"/>
            </w:pPr>
            <w:r>
              <w:rPr>
                <w:rFonts w:ascii="Courier New" w:cs="Courier New" w:eastAsia="Courier New" w:hAnsi="Courier New"/>
                <w:color w:val="3A2E15"/>
                <w:sz w:val="16"/>
                <w:szCs w:val="16"/>
              </w:rPr>
              <w:t xml:space="preserve">$ cd back &amp;&amp; APP_ENV=test php bin/phpunit</w:t>
            </w:r>
          </w:p>
          <w:p>
            <w:pPr>
              <w:spacing w:after="0" w:line="230"/>
            </w:pPr>
            <w:r>
              <w:rPr>
                <w:rFonts w:ascii="Courier New" w:cs="Courier New" w:eastAsia="Courier New" w:hAnsi="Courier New"/>
                <w:color w:val="3A2E15"/>
                <w:sz w:val="16"/>
                <w:szCs w:val="16"/>
              </w:rPr>
              <w:t xml:space="preserve">PHPUnit 9.6.29 by Sebastian Bergmann and contributors.</w:t>
            </w:r>
          </w:p>
          <w:p>
            <w:pPr>
              <w:spacing w:after="0" w:line="230"/>
            </w:pPr>
            <w:r>
              <w:rPr>
                <w:rFonts w:ascii="Courier New" w:cs="Courier New" w:eastAsia="Courier New" w:hAnsi="Courier New"/>
                <w:color w:val="3A2E15"/>
                <w:sz w:val="16"/>
                <w:szCs w:val="16"/>
              </w:rPr>
              <w:t xml:space="preserve"> </w:t>
            </w:r>
          </w:p>
          <w:p>
            <w:pPr>
              <w:spacing w:after="0" w:line="230"/>
            </w:pPr>
            <w:r>
              <w:rPr>
                <w:rFonts w:ascii="Courier New" w:cs="Courier New" w:eastAsia="Courier New" w:hAnsi="Courier New"/>
                <w:color w:val="3A2E15"/>
                <w:sz w:val="16"/>
                <w:szCs w:val="16"/>
              </w:rPr>
              <w:t xml:space="preserve">.................................                              35 / 35 (100%)</w:t>
            </w:r>
          </w:p>
          <w:p>
            <w:pPr>
              <w:spacing w:after="0" w:line="230"/>
            </w:pPr>
            <w:r>
              <w:rPr>
                <w:rFonts w:ascii="Courier New" w:cs="Courier New" w:eastAsia="Courier New" w:hAnsi="Courier New"/>
                <w:color w:val="3A2E15"/>
                <w:sz w:val="16"/>
                <w:szCs w:val="16"/>
              </w:rPr>
              <w:t xml:space="preserve"> </w:t>
            </w:r>
          </w:p>
          <w:p>
            <w:pPr>
              <w:spacing w:after="0" w:line="230"/>
            </w:pPr>
            <w:r>
              <w:rPr>
                <w:rFonts w:ascii="Courier New" w:cs="Courier New" w:eastAsia="Courier New" w:hAnsi="Courier New"/>
                <w:color w:val="3A2E15"/>
                <w:sz w:val="16"/>
                <w:szCs w:val="16"/>
              </w:rPr>
              <w:t xml:space="preserve">OK (35 tests, 98 assertions)</w:t>
            </w:r>
          </w:p>
        </w:tc>
      </w:tr>
    </w:tbl>
    <w:p>
      <w:pPr>
        <w:spacing w:after="60" w:before="140" w:line="308"/>
        <w:jc w:val="left"/>
      </w:pPr>
      <w:r>
        <w:rPr>
          <w:b/>
          <w:bCs/>
          <w:i w:val="false"/>
          <w:iCs w:val="false"/>
          <w:sz w:val="22"/>
          <w:szCs w:val="22"/>
        </w:rPr>
        <w:t xml:space="preserve">C.2 Tests frontend — Jest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E0D5BB" w:sz="2"/>
              <w:left w:val="single" w:color="E0D5BB" w:sz="2"/>
              <w:bottom w:val="single" w:color="E0D5BB" w:sz="2"/>
              <w:right w:val="single" w:color="E0D5BB" w:sz="2"/>
            </w:tcBorders>
            <w:shd w:fill="FAF6EC" w:val="clear"/>
            <w:tcMar>
              <w:top w:type="dxa" w:w="90"/>
              <w:left w:type="dxa" w:w="140"/>
              <w:bottom w:type="dxa" w:w="90"/>
              <w:right w:type="dxa" w:w="140"/>
            </w:tcMar>
          </w:tcPr>
          <w:p>
            <w:pPr>
              <w:spacing w:after="0" w:line="230"/>
            </w:pPr>
            <w:r>
              <w:rPr>
                <w:rFonts w:ascii="Courier New" w:cs="Courier New" w:eastAsia="Courier New" w:hAnsi="Courier New"/>
                <w:color w:val="3A2E15"/>
                <w:sz w:val="16"/>
                <w:szCs w:val="16"/>
              </w:rPr>
              <w:t xml:space="preserve">$ cd front &amp;&amp; CI=true npm test -- --watchAll=false</w:t>
            </w:r>
          </w:p>
          <w:p>
            <w:pPr>
              <w:spacing w:after="0" w:line="230"/>
            </w:pPr>
            <w:r>
              <w:rPr>
                <w:rFonts w:ascii="Courier New" w:cs="Courier New" w:eastAsia="Courier New" w:hAnsi="Courier New"/>
                <w:color w:val="3A2E15"/>
                <w:sz w:val="16"/>
                <w:szCs w:val="16"/>
              </w:rPr>
              <w:t xml:space="preserve"> </w:t>
            </w:r>
          </w:p>
          <w:p>
            <w:pPr>
              <w:spacing w:after="0" w:line="230"/>
            </w:pPr>
            <w:r>
              <w:rPr>
                <w:rFonts w:ascii="Courier New" w:cs="Courier New" w:eastAsia="Courier New" w:hAnsi="Courier New"/>
                <w:color w:val="3A2E15"/>
                <w:sz w:val="16"/>
                <w:szCs w:val="16"/>
              </w:rPr>
              <w:t xml:space="preserve">Test Suites: 12 passed, 12 total</w:t>
            </w:r>
          </w:p>
          <w:p>
            <w:pPr>
              <w:spacing w:after="0" w:line="230"/>
            </w:pPr>
            <w:r>
              <w:rPr>
                <w:rFonts w:ascii="Courier New" w:cs="Courier New" w:eastAsia="Courier New" w:hAnsi="Courier New"/>
                <w:color w:val="3A2E15"/>
                <w:sz w:val="16"/>
                <w:szCs w:val="16"/>
              </w:rPr>
              <w:t xml:space="preserve">Tests:       96 passed, 96 total</w:t>
            </w:r>
          </w:p>
          <w:p>
            <w:pPr>
              <w:spacing w:after="0" w:line="230"/>
            </w:pPr>
            <w:r>
              <w:rPr>
                <w:rFonts w:ascii="Courier New" w:cs="Courier New" w:eastAsia="Courier New" w:hAnsi="Courier New"/>
                <w:color w:val="3A2E15"/>
                <w:sz w:val="16"/>
                <w:szCs w:val="16"/>
              </w:rPr>
              <w:t xml:space="preserve">Snapshots:   0 total</w:t>
            </w:r>
          </w:p>
          <w:p>
            <w:pPr>
              <w:spacing w:after="0" w:line="230"/>
            </w:pPr>
            <w:r>
              <w:rPr>
                <w:rFonts w:ascii="Courier New" w:cs="Courier New" w:eastAsia="Courier New" w:hAnsi="Courier New"/>
                <w:color w:val="3A2E15"/>
                <w:sz w:val="16"/>
                <w:szCs w:val="16"/>
              </w:rPr>
              <w:t xml:space="preserve">Ran all test suites.</w:t>
            </w:r>
          </w:p>
        </w:tc>
      </w:tr>
    </w:tbl>
    <w:p>
      <w:pPr>
        <w:spacing w:after="60" w:before="140" w:line="308"/>
        <w:jc w:val="left"/>
      </w:pPr>
      <w:r>
        <w:rPr>
          <w:b/>
          <w:bCs/>
          <w:i w:val="false"/>
          <w:iCs w:val="false"/>
          <w:sz w:val="22"/>
          <w:szCs w:val="22"/>
        </w:rPr>
        <w:t xml:space="preserve">C.3 Audit des dépendances backend — Composer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E0D5BB" w:sz="2"/>
              <w:left w:val="single" w:color="E0D5BB" w:sz="2"/>
              <w:bottom w:val="single" w:color="E0D5BB" w:sz="2"/>
              <w:right w:val="single" w:color="E0D5BB" w:sz="2"/>
            </w:tcBorders>
            <w:shd w:fill="FAF6EC" w:val="clear"/>
            <w:tcMar>
              <w:top w:type="dxa" w:w="90"/>
              <w:left w:type="dxa" w:w="140"/>
              <w:bottom w:type="dxa" w:w="90"/>
              <w:right w:type="dxa" w:w="140"/>
            </w:tcMar>
          </w:tcPr>
          <w:p>
            <w:pPr>
              <w:spacing w:after="0" w:line="230"/>
            </w:pPr>
            <w:r>
              <w:rPr>
                <w:rFonts w:ascii="Courier New" w:cs="Courier New" w:eastAsia="Courier New" w:hAnsi="Courier New"/>
                <w:color w:val="3A2E15"/>
                <w:sz w:val="16"/>
                <w:szCs w:val="16"/>
              </w:rPr>
              <w:t xml:space="preserve">$ cd back &amp;&amp; composer audit</w:t>
            </w:r>
          </w:p>
          <w:p>
            <w:pPr>
              <w:spacing w:after="0" w:line="230"/>
            </w:pPr>
            <w:r>
              <w:rPr>
                <w:rFonts w:ascii="Courier New" w:cs="Courier New" w:eastAsia="Courier New" w:hAnsi="Courier New"/>
                <w:color w:val="3A2E15"/>
                <w:sz w:val="16"/>
                <w:szCs w:val="16"/>
              </w:rPr>
              <w:t xml:space="preserve">No security vulnerability advisories found.</w:t>
            </w:r>
          </w:p>
        </w:tc>
      </w:tr>
    </w:tbl>
    <w:p>
      <w:pPr>
        <w:spacing w:after="60" w:before="140" w:line="308"/>
        <w:jc w:val="left"/>
      </w:pPr>
      <w:r>
        <w:rPr>
          <w:b/>
          <w:bCs/>
          <w:i w:val="false"/>
          <w:iCs w:val="false"/>
          <w:sz w:val="22"/>
          <w:szCs w:val="22"/>
        </w:rPr>
        <w:t xml:space="preserve">C.4 Audit des dépendances frontend — npm</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E0D5BB" w:sz="2"/>
              <w:left w:val="single" w:color="E0D5BB" w:sz="2"/>
              <w:bottom w:val="single" w:color="E0D5BB" w:sz="2"/>
              <w:right w:val="single" w:color="E0D5BB" w:sz="2"/>
            </w:tcBorders>
            <w:shd w:fill="FAF6EC" w:val="clear"/>
            <w:tcMar>
              <w:top w:type="dxa" w:w="90"/>
              <w:left w:type="dxa" w:w="140"/>
              <w:bottom w:type="dxa" w:w="90"/>
              <w:right w:type="dxa" w:w="140"/>
            </w:tcMar>
          </w:tcPr>
          <w:p>
            <w:pPr>
              <w:spacing w:after="0" w:line="230"/>
            </w:pPr>
            <w:r>
              <w:rPr>
                <w:rFonts w:ascii="Courier New" w:cs="Courier New" w:eastAsia="Courier New" w:hAnsi="Courier New"/>
                <w:color w:val="3A2E15"/>
                <w:sz w:val="16"/>
                <w:szCs w:val="16"/>
              </w:rPr>
              <w:t xml:space="preserve">$ cd front &amp;&amp; npm audit</w:t>
            </w:r>
          </w:p>
          <w:p>
            <w:pPr>
              <w:spacing w:after="0" w:line="230"/>
            </w:pPr>
            <w:r>
              <w:rPr>
                <w:rFonts w:ascii="Courier New" w:cs="Courier New" w:eastAsia="Courier New" w:hAnsi="Courier New"/>
                <w:color w:val="3A2E15"/>
                <w:sz w:val="16"/>
                <w:szCs w:val="16"/>
              </w:rPr>
              <w:t xml:space="preserve">59 vulnerabilities (13 low, 16 moderate, 28 high, 2 critical)</w:t>
            </w:r>
          </w:p>
        </w:tc>
      </w:tr>
    </w:tbl>
    <w:p>
      <w:pPr>
        <w:spacing w:after="120" w:before="0" w:line="308"/>
        <w:jc w:val="both"/>
      </w:pPr>
      <w:r>
        <w:rPr>
          <w:b w:val="false"/>
          <w:bCs w:val="false"/>
          <w:i w:val="false"/>
          <w:iCs w:val="false"/>
          <w:sz w:val="22"/>
          <w:szCs w:val="22"/>
        </w:rPr>
        <w:t xml:space="preserve">Lecture : la totalité de ces 59 avis concernent la chaîne de build react-scripts (outillage de développement, jamais exécuté ni servi en production). Ce risque est accepté et documenté (§7, A06) ; la sortie de Create React App vers Vite est planifiée comme axe d'amélioration. Les dépendances effectivement embarquées dans le bundle de production (React, MUI, axios, i18next) ne portent aucun avis.</w:t>
      </w:r>
    </w:p>
    <w:p>
      <w:pPr>
        <w:spacing w:after="60" w:before="140" w:line="308"/>
        <w:jc w:val="left"/>
      </w:pPr>
      <w:r>
        <w:rPr>
          <w:b/>
          <w:bCs/>
          <w:i w:val="false"/>
          <w:iCs w:val="false"/>
          <w:sz w:val="22"/>
          <w:szCs w:val="22"/>
        </w:rPr>
        <w:t xml:space="preserve">C.5 Vérification de l'endpoint de supervision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E0D5BB" w:sz="2"/>
              <w:left w:val="single" w:color="E0D5BB" w:sz="2"/>
              <w:bottom w:val="single" w:color="E0D5BB" w:sz="2"/>
              <w:right w:val="single" w:color="E0D5BB" w:sz="2"/>
            </w:tcBorders>
            <w:shd w:fill="FAF6EC" w:val="clear"/>
            <w:tcMar>
              <w:top w:type="dxa" w:w="90"/>
              <w:left w:type="dxa" w:w="140"/>
              <w:bottom w:type="dxa" w:w="90"/>
              <w:right w:type="dxa" w:w="140"/>
            </w:tcMar>
          </w:tcPr>
          <w:p>
            <w:pPr>
              <w:spacing w:after="0" w:line="230"/>
            </w:pPr>
            <w:r>
              <w:rPr>
                <w:rFonts w:ascii="Courier New" w:cs="Courier New" w:eastAsia="Courier New" w:hAnsi="Courier New"/>
                <w:color w:val="3A2E15"/>
                <w:sz w:val="16"/>
                <w:szCs w:val="16"/>
              </w:rPr>
              <w:t xml:space="preserve">$ curl -s https://localhost:8000/api/health</w:t>
            </w:r>
          </w:p>
          <w:p>
            <w:pPr>
              <w:spacing w:after="0" w:line="230"/>
            </w:pPr>
            <w:r>
              <w:rPr>
                <w:rFonts w:ascii="Courier New" w:cs="Courier New" w:eastAsia="Courier New" w:hAnsi="Courier New"/>
                <w:color w:val="3A2E15"/>
                <w:sz w:val="16"/>
                <w:szCs w:val="16"/>
              </w:rPr>
              <w:t xml:space="preserve">{"status":"OK","timestamp":"2026-07-14T21:08:38+00:00",</w:t>
            </w:r>
          </w:p>
          <w:p>
            <w:pPr>
              <w:spacing w:after="0" w:line="230"/>
            </w:pPr>
            <w:r>
              <w:rPr>
                <w:rFonts w:ascii="Courier New" w:cs="Courier New" w:eastAsia="Courier New" w:hAnsi="Courier New"/>
                <w:color w:val="3A2E15"/>
                <w:sz w:val="16"/>
                <w:szCs w:val="16"/>
              </w:rPr>
              <w:t xml:space="preserve"> "services":{"database":{"status":"OK","message":"Database connected"},</w:t>
            </w:r>
          </w:p>
          <w:p>
            <w:pPr>
              <w:spacing w:after="0" w:line="230"/>
            </w:pPr>
            <w:r>
              <w:rPr>
                <w:rFonts w:ascii="Courier New" w:cs="Courier New" w:eastAsia="Courier New" w:hAnsi="Courier New"/>
                <w:color w:val="3A2E15"/>
                <w:sz w:val="16"/>
                <w:szCs w:val="16"/>
              </w:rPr>
              <w:t xml:space="preserve">             "albion_api":{"status":"OK","message":"Albion API reachable"}}}</w:t>
            </w:r>
          </w:p>
        </w:tc>
      </w:tr>
    </w:tbl>
    <w:sectPr>
      <w:headerReference w:type="default" r:id="rId7"/>
      <w:headerReference w:type="first" r:id="rId8"/>
      <w:footerReference w:type="default" r:id="rId9"/>
      <w:footerReference w:type="first" r:id="rId10"/>
      <w:pgSz w:w="11906" w:h="16838" w:orient="portrait"/>
      <w:pgMar w:top="1417" w:right="1417" w:bottom="1417" w:left="141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4825"/>
        <w:sz w:val="16"/>
        <w:szCs w:val="16"/>
      </w:rPr>
      <w:t xml:space="preserve">Pierre Saugues · Dossier Bloc 2 · page </w:t>
    </w:r>
    <w:r>
      <w:rPr>
        <w:color w:val="5A4825"/>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D5BB" w:sz="2" w:space="2"/>
      </w:pBdr>
      <w:jc w:val="right"/>
    </w:pPr>
    <w:r>
      <w:rPr>
        <w:color w:val="5A4825"/>
        <w:sz w:val="16"/>
        <w:szCs w:val="16"/>
      </w:rPr>
      <w:t xml:space="preserve">RNCP39583 · Bloc 2 — Albion Helper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84C" w:sz="8" w:space="4"/>
      </w:pBdr>
      <w:spacing w:after="150" w:before="300"/>
      <w:outlineLvl w:val="0"/>
    </w:pPr>
    <w:rPr>
      <w:rFonts w:ascii="Arial" w:cs="Arial" w:eastAsia="Arial" w:hAnsi="Arial"/>
      <w:b/>
      <w:bCs/>
      <w:color w:val="2D1A00"/>
      <w:sz w:val="34"/>
      <w:szCs w:val="34"/>
    </w:rPr>
  </w:style>
  <w:style w:type="paragraph" w:styleId="Heading2">
    <w:name w:val="Heading 2"/>
    <w:basedOn w:val="Normal"/>
    <w:next w:val="Normal"/>
    <w:qFormat/>
    <w:pPr>
      <w:spacing w:after="110" w:before="220"/>
      <w:outlineLvl w:val="1"/>
    </w:pPr>
    <w:rPr>
      <w:rFonts w:ascii="Arial" w:cs="Arial" w:eastAsia="Arial" w:hAnsi="Arial"/>
      <w:b/>
      <w:bCs/>
      <w:color w:val="8B691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ddd9cf62a844d4860d6e3780b69ee739dde3a6c6.png"/><Relationship Id="rId12" Type="http://schemas.openxmlformats.org/officeDocument/2006/relationships/image" Target="media/24523ff03d88f385605498e823bf94af5f624d34.png"/><Relationship Id="rId13" Type="http://schemas.openxmlformats.org/officeDocument/2006/relationships/image" Target="media/a0d890e78d79c606dbb86a630e1183e2316f8df2.png"/><Relationship Id="rId14" Type="http://schemas.openxmlformats.org/officeDocument/2006/relationships/image" Target="media/67605c51fa6db344626f09601ae2b4970f67b5e8.png"/><Relationship Id="rId15" Type="http://schemas.openxmlformats.org/officeDocument/2006/relationships/image" Target="media/16edd332ae4ff609ddb3a5a6185bde7a4e588887.png"/><Relationship Id="rId16" Type="http://schemas.openxmlformats.org/officeDocument/2006/relationships/image" Target="media/362b92635fd7d946c539c80205fd7878fe018eb4.png"/><Relationship Id="rId17" Type="http://schemas.openxmlformats.org/officeDocument/2006/relationships/image" Target="media/70e83cdb1621b92ae4d7aad92ad8617e0627130b.png"/><Relationship Id="rId18" Type="http://schemas.openxmlformats.org/officeDocument/2006/relationships/image" Target="media/a06cf7abe2a5fe6c28fa47f9b4e60b4162d34c3f.png"/><Relationship Id="rId19" Type="http://schemas.openxmlformats.org/officeDocument/2006/relationships/image" Target="media/ee080f724f39c2aafc03f52899f9e9697f11313c.png"/><Relationship Id="rId20" Type="http://schemas.openxmlformats.org/officeDocument/2006/relationships/image" Target="media/c5d899458dd7414dfdfe417375885797c6a940e9.png"/><Relationship Id="rId21" Type="http://schemas.openxmlformats.org/officeDocument/2006/relationships/image" Target="media/82b06ea85649380d1056133fd2a601ec1653494d.png"/><Relationship Id="rId22" Type="http://schemas.openxmlformats.org/officeDocument/2006/relationships/image" Target="media/335a352075f13e34f24b2f9ea12dcd9fd4abdabc.png"/><Relationship Id="rId23" Type="http://schemas.openxmlformats.org/officeDocument/2006/relationships/image" Target="media/b4ff72b80ee6b0820f14591b921523d59fa3cbf7.png"/><Relationship Id="rId24" Type="http://schemas.openxmlformats.org/officeDocument/2006/relationships/image" Target="media/927e8e4dd176812b11d1f05517e7fbae4319f325.png"/><Relationship Id="rId25" Type="http://schemas.openxmlformats.org/officeDocument/2006/relationships/image" Target="media/a6facdc1fda94b9b5744e3ba1b00b91d4038f5f5.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2026-07-15T11:09:53.620Z</dcterms:created>
  <dcterms:modified xsi:type="dcterms:W3CDTF">2026-07-15T11:09:53.620Z</dcterms:modified>
</cp:coreProperties>
</file>

<file path=docProps/custom.xml><?xml version="1.0" encoding="utf-8"?>
<Properties xmlns="http://schemas.openxmlformats.org/officeDocument/2006/custom-properties" xmlns:vt="http://schemas.openxmlformats.org/officeDocument/2006/docPropsVTypes"/>
</file>