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sz w:val="28"/>
        </w:rPr>
        <w:t>Certification « Expert en développement logiciel » — RNCP39583</w:t>
      </w:r>
    </w:p>
    <w:p>
      <w:pPr>
        <w:jc w:val="center"/>
      </w:pPr>
      <w:r>
        <w:rPr>
          <w:b/>
          <w:i w:val="0"/>
          <w:sz w:val="40"/>
        </w:rPr>
        <w:t>BLOC 4 — Maintenir l'application logicielle en condition opérationnelle</w:t>
      </w:r>
    </w:p>
    <w:p/>
    <w:p>
      <w:pPr>
        <w:jc w:val="center"/>
      </w:pPr>
      <w:r>
        <w:rPr>
          <w:b/>
          <w:i w:val="0"/>
          <w:sz w:val="56"/>
        </w:rPr>
        <w:t>Albion Helper</w:t>
      </w:r>
    </w:p>
    <w:p>
      <w:pPr>
        <w:jc w:val="center"/>
      </w:pPr>
      <w:r>
        <w:rPr>
          <w:b w:val="0"/>
          <w:i/>
          <w:sz w:val="24"/>
        </w:rPr>
        <w:t>Monitoring, traitement des anomalies et maintenance</w:t>
      </w:r>
    </w:p>
    <w:p/>
    <w:p/>
    <w:p/>
    <w:p/>
    <w:p/>
    <w:p/>
    <w:p>
      <w:pPr>
        <w:jc w:val="center"/>
      </w:pPr>
      <w:r>
        <w:rPr>
          <w:b/>
          <w:i w:val="0"/>
          <w:sz w:val="28"/>
        </w:rPr>
        <w:t>Pierre Saugues</w:t>
      </w:r>
    </w:p>
    <w:p>
      <w:pPr>
        <w:jc w:val="center"/>
      </w:pPr>
      <w:r>
        <w:rPr>
          <w:b w:val="0"/>
          <w:i w:val="0"/>
          <w:sz w:val="22"/>
        </w:rPr>
        <w:t>Ynov — Mastère 2 Informatique — Promotion 2025-2026</w:t>
      </w:r>
    </w:p>
    <w:p>
      <w:pPr>
        <w:jc w:val="center"/>
      </w:pPr>
      <w:r>
        <w:rPr>
          <w:b w:val="0"/>
          <w:i w:val="0"/>
          <w:sz w:val="22"/>
        </w:rPr>
        <w:t>Juillet 2026</w:t>
      </w:r>
    </w:p>
    <w:p/>
    <w:p>
      <w:pPr>
        <w:jc w:val="center"/>
      </w:pPr>
      <w:r>
        <w:rPr>
          <w:b w:val="0"/>
          <w:i w:val="0"/>
          <w:sz w:val="20"/>
        </w:rPr>
        <w:t>Code source : github.com/Perfweb-net/albion-helper</w:t>
      </w:r>
    </w:p>
    <w:p>
      <w:r>
        <w:br w:type="page"/>
      </w:r>
    </w:p>
    <w:p>
      <w:pPr>
        <w:pStyle w:val="Heading1"/>
      </w:pPr>
      <w:r>
        <w:t>Sommaire</w:t>
      </w:r>
    </w:p>
    <w:p>
      <w:fldSimple w:instr="TOC \o &quot;1-2&quot; \h \z \u">
        <w:r>
          <w:t>Sommaire — clic droit &gt; Mettre à jour les champs dans Word</w:t>
        </w:r>
      </w:fldSimple>
    </w:p>
    <w:p>
      <w:r>
        <w:br w:type="page"/>
      </w:r>
    </w:p>
    <w:p>
      <w:pPr>
        <w:pStyle w:val="Heading1"/>
      </w:pPr>
      <w:r>
        <w:t>1. Contexte et périmètre de la maintenance</w:t>
      </w:r>
    </w:p>
    <w:p>
      <w:r>
        <w:rPr>
          <w:b w:val="0"/>
          <w:i w:val="0"/>
        </w:rPr>
        <w:t>Albion Helper est une application web en production (frontend React servi en statique, API Symfony 7.4 LTS sur albion-back.perfweb.net, base PostgreSQL 16, VPS Nginx + PHP-FPM). Elle dépend d'un service externe — l'API publique d'Albion Online — pour les données de joueurs, guildes et prix de marché. Cette typologie (application web + dépendance externe) détermine le dispositif de maintenance décrit ici : surveiller la disponibilité de l'API et de la base, surveiller la joignabilité du service externe, maintenir les dépendances à jour, consigner et corriger les anomalies en tirant profit de la chaîne d'intégration et de déploiement continus mise en place au Bloc 2.</w:t>
      </w:r>
    </w:p>
    <w:tbl>
      <w:tblPr>
        <w:tblStyle w:val="TableGrid"/>
        <w:tblW w:type="auto" w:w="0"/>
        <w:jc w:val="center"/>
        <w:tblLook w:firstColumn="1" w:firstRow="1" w:lastColumn="0" w:lastRow="0" w:noHBand="0" w:noVBand="1" w:val="04A0"/>
      </w:tblPr>
      <w:tblGrid>
        <w:gridCol w:w="3249"/>
        <w:gridCol w:w="3249"/>
        <w:gridCol w:w="3249"/>
      </w:tblGrid>
      <w:tr>
        <w:tc>
          <w:tcPr>
            <w:tcW w:type="dxa" w:w="2494"/>
            <w:shd w:fill="1F3A5F"/>
          </w:tcPr>
          <w:p>
            <w:r>
              <w:rPr>
                <w:b/>
                <w:color w:val="FFFFFF"/>
                <w:sz w:val="18"/>
              </w:rPr>
              <w:t>Élément maintenu</w:t>
            </w:r>
          </w:p>
        </w:tc>
        <w:tc>
          <w:tcPr>
            <w:tcW w:type="dxa" w:w="3061"/>
            <w:shd w:fill="1F3A5F"/>
          </w:tcPr>
          <w:p>
            <w:r>
              <w:rPr>
                <w:b/>
                <w:color w:val="FFFFFF"/>
                <w:sz w:val="18"/>
              </w:rPr>
              <w:t>Risques principaux</w:t>
            </w:r>
          </w:p>
        </w:tc>
        <w:tc>
          <w:tcPr>
            <w:tcW w:type="dxa" w:w="3969"/>
            <w:shd w:fill="1F3A5F"/>
          </w:tcPr>
          <w:p>
            <w:r>
              <w:rPr>
                <w:b/>
                <w:color w:val="FFFFFF"/>
                <w:sz w:val="18"/>
              </w:rPr>
              <w:t>Dispositif</w:t>
            </w:r>
          </w:p>
        </w:tc>
      </w:tr>
      <w:tr>
        <w:tc>
          <w:tcPr>
            <w:tcW w:type="dxa" w:w="2494"/>
          </w:tcPr>
          <w:p>
            <w:r>
              <w:rPr>
                <w:sz w:val="18"/>
              </w:rPr>
              <w:t>API Symfony + PostgreSQL</w:t>
            </w:r>
          </w:p>
        </w:tc>
        <w:tc>
          <w:tcPr>
            <w:tcW w:type="dxa" w:w="3061"/>
          </w:tcPr>
          <w:p>
            <w:r>
              <w:rPr>
                <w:sz w:val="18"/>
              </w:rPr>
              <w:t>Indisponibilité, régression, faille de sécurité</w:t>
            </w:r>
          </w:p>
        </w:tc>
        <w:tc>
          <w:tcPr>
            <w:tcW w:type="dxa" w:w="3969"/>
          </w:tcPr>
          <w:p>
            <w:r>
              <w:rPr>
                <w:sz w:val="18"/>
              </w:rPr>
              <w:t>Sondes /api/health, pipeline de tests bloquant, mises à jour de dépendances</w:t>
            </w:r>
          </w:p>
        </w:tc>
      </w:tr>
      <w:tr>
        <w:tc>
          <w:tcPr>
            <w:tcW w:type="dxa" w:w="2494"/>
          </w:tcPr>
          <w:p>
            <w:r>
              <w:rPr>
                <w:sz w:val="18"/>
              </w:rPr>
              <w:t>Frontend React</w:t>
            </w:r>
          </w:p>
        </w:tc>
        <w:tc>
          <w:tcPr>
            <w:tcW w:type="dxa" w:w="3061"/>
          </w:tcPr>
          <w:p>
            <w:r>
              <w:rPr>
                <w:sz w:val="18"/>
              </w:rPr>
              <w:t>Régression d'interface, dépendance vulnérable</w:t>
            </w:r>
          </w:p>
        </w:tc>
        <w:tc>
          <w:tcPr>
            <w:tcW w:type="dxa" w:w="3969"/>
          </w:tcPr>
          <w:p>
            <w:r>
              <w:rPr>
                <w:sz w:val="18"/>
              </w:rPr>
              <w:t>95 tests Jest bloquants, npm audit, Dependabot</w:t>
            </w:r>
          </w:p>
        </w:tc>
      </w:tr>
      <w:tr>
        <w:tc>
          <w:tcPr>
            <w:tcW w:type="dxa" w:w="2494"/>
          </w:tcPr>
          <w:p>
            <w:r>
              <w:rPr>
                <w:sz w:val="18"/>
              </w:rPr>
              <w:t>API Albion Online (externe)</w:t>
            </w:r>
          </w:p>
        </w:tc>
        <w:tc>
          <w:tcPr>
            <w:tcW w:type="dxa" w:w="3061"/>
          </w:tcPr>
          <w:p>
            <w:r>
              <w:rPr>
                <w:sz w:val="18"/>
              </w:rPr>
              <w:t>Indisponibilité ou changement de contrat</w:t>
            </w:r>
          </w:p>
        </w:tc>
        <w:tc>
          <w:tcPr>
            <w:tcW w:type="dxa" w:w="3969"/>
          </w:tcPr>
          <w:p>
            <w:r>
              <w:rPr>
                <w:sz w:val="18"/>
              </w:rPr>
              <w:t>Sonde dédiée dans /api/health, gestion d'erreur côté services</w:t>
            </w:r>
          </w:p>
        </w:tc>
      </w:tr>
      <w:tr>
        <w:tc>
          <w:tcPr>
            <w:tcW w:type="dxa" w:w="2494"/>
          </w:tcPr>
          <w:p>
            <w:r>
              <w:rPr>
                <w:sz w:val="18"/>
              </w:rPr>
              <w:t>Données (items, prix)</w:t>
            </w:r>
          </w:p>
        </w:tc>
        <w:tc>
          <w:tcPr>
            <w:tcW w:type="dxa" w:w="3061"/>
          </w:tcPr>
          <w:p>
            <w:r>
              <w:rPr>
                <w:sz w:val="18"/>
              </w:rPr>
              <w:t>Obsolescence</w:t>
            </w:r>
          </w:p>
        </w:tc>
        <w:tc>
          <w:tcPr>
            <w:tcW w:type="dxa" w:w="3969"/>
          </w:tcPr>
          <w:p>
            <w:r>
              <w:rPr>
                <w:sz w:val="18"/>
              </w:rPr>
              <w:t>Synchronisation depuis l'admin + script autonome</w:t>
            </w:r>
          </w:p>
        </w:tc>
      </w:tr>
    </w:tbl>
    <w:p>
      <w:pPr>
        <w:spacing w:after="0"/>
      </w:pPr>
    </w:p>
    <w:p>
      <w:r>
        <w:br w:type="page"/>
      </w:r>
    </w:p>
    <w:p>
      <w:pPr>
        <w:pStyle w:val="Heading1"/>
      </w:pPr>
      <w:r>
        <w:t>2. Processus de mise à jour des dépendances</w:t>
      </w:r>
    </w:p>
    <w:p>
      <w:pPr>
        <w:pStyle w:val="Heading2"/>
      </w:pPr>
      <w:r>
        <w:t>2.1 Processus</w:t>
      </w:r>
    </w:p>
    <w:tbl>
      <w:tblPr>
        <w:tblStyle w:val="TableGrid"/>
        <w:tblW w:type="auto" w:w="0"/>
        <w:jc w:val="center"/>
        <w:tblLook w:firstColumn="1" w:firstRow="1" w:lastColumn="0" w:lastRow="0" w:noHBand="0" w:noVBand="1" w:val="04A0"/>
      </w:tblPr>
      <w:tblGrid>
        <w:gridCol w:w="4873"/>
        <w:gridCol w:w="4873"/>
      </w:tblGrid>
      <w:tr>
        <w:tc>
          <w:tcPr>
            <w:tcW w:type="dxa" w:w="1928"/>
            <w:shd w:fill="1F3A5F"/>
          </w:tcPr>
          <w:p>
            <w:r>
              <w:rPr>
                <w:b/>
                <w:color w:val="FFFFFF"/>
                <w:sz w:val="18"/>
              </w:rPr>
              <w:t>Question</w:t>
            </w:r>
          </w:p>
        </w:tc>
        <w:tc>
          <w:tcPr>
            <w:tcW w:type="dxa" w:w="7483"/>
            <w:shd w:fill="1F3A5F"/>
          </w:tcPr>
          <w:p>
            <w:r>
              <w:rPr>
                <w:b/>
                <w:color w:val="FFFFFF"/>
                <w:sz w:val="18"/>
              </w:rPr>
              <w:t>Réponse</w:t>
            </w:r>
          </w:p>
        </w:tc>
      </w:tr>
      <w:tr>
        <w:tc>
          <w:tcPr>
            <w:tcW w:type="dxa" w:w="1928"/>
          </w:tcPr>
          <w:p>
            <w:r>
              <w:rPr>
                <w:sz w:val="18"/>
              </w:rPr>
              <w:t>Périmètre logiciel</w:t>
            </w:r>
          </w:p>
        </w:tc>
        <w:tc>
          <w:tcPr>
            <w:tcW w:type="dxa" w:w="7483"/>
          </w:tcPr>
          <w:p>
            <w:r>
              <w:rPr>
                <w:sz w:val="18"/>
              </w:rPr>
              <w:t>Backend : packages composer (Symfony, Doctrine, bundles JWT/CORS). Frontend : packages npm (React, MUI, axios, chaîne de build). CI : actions GitHub.</w:t>
            </w:r>
          </w:p>
        </w:tc>
      </w:tr>
      <w:tr>
        <w:tc>
          <w:tcPr>
            <w:tcW w:type="dxa" w:w="1928"/>
          </w:tcPr>
          <w:p>
            <w:r>
              <w:rPr>
                <w:sz w:val="18"/>
              </w:rPr>
              <w:t>Fréquence</w:t>
            </w:r>
          </w:p>
        </w:tc>
        <w:tc>
          <w:tcPr>
            <w:tcW w:type="dxa" w:w="7483"/>
          </w:tcPr>
          <w:p>
            <w:r>
              <w:rPr>
                <w:sz w:val="18"/>
              </w:rPr>
              <w:t>Hebdomadaire (PR automatiques Dependabot, revues le lundi) + immédiate en cas d'advisory critique ou élevée (alerte GitHub Security).</w:t>
            </w:r>
          </w:p>
        </w:tc>
      </w:tr>
      <w:tr>
        <w:tc>
          <w:tcPr>
            <w:tcW w:type="dxa" w:w="1928"/>
          </w:tcPr>
          <w:p>
            <w:r>
              <w:rPr>
                <w:sz w:val="18"/>
              </w:rPr>
              <w:t>Type de mise à jour</w:t>
            </w:r>
          </w:p>
        </w:tc>
        <w:tc>
          <w:tcPr>
            <w:tcW w:type="dxa" w:w="7483"/>
          </w:tcPr>
          <w:p>
            <w:r>
              <w:rPr>
                <w:sz w:val="18"/>
              </w:rPr>
              <w:t>Automatique pour la détection (Dependabot ouvre les PR) ; manuelle pour la validation : chaque PR passe le pipeline complet (113 tests) avant fusion. Aucune mise à jour n'atteint la production sans tests verts.</w:t>
            </w:r>
          </w:p>
        </w:tc>
      </w:tr>
      <w:tr>
        <w:tc>
          <w:tcPr>
            <w:tcW w:type="dxa" w:w="1928"/>
          </w:tcPr>
          <w:p>
            <w:r>
              <w:rPr>
                <w:sz w:val="18"/>
              </w:rPr>
              <w:t>Outils</w:t>
            </w:r>
          </w:p>
        </w:tc>
        <w:tc>
          <w:tcPr>
            <w:tcW w:type="dxa" w:w="7483"/>
          </w:tcPr>
          <w:p>
            <w:r>
              <w:rPr>
                <w:sz w:val="18"/>
              </w:rPr>
              <w:t>Dependabot (.github/dependabot.yml : composer, npm, github-actions) ; composer audit / composer outdated ; npm audit ; pipeline GitHub Actions.</w:t>
            </w:r>
          </w:p>
        </w:tc>
      </w:tr>
      <w:tr>
        <w:tc>
          <w:tcPr>
            <w:tcW w:type="dxa" w:w="1928"/>
          </w:tcPr>
          <w:p>
            <w:r>
              <w:rPr>
                <w:sz w:val="18"/>
              </w:rPr>
              <w:t>Critères de décision</w:t>
            </w:r>
          </w:p>
        </w:tc>
        <w:tc>
          <w:tcPr>
            <w:tcW w:type="dxa" w:w="7483"/>
          </w:tcPr>
          <w:p>
            <w:r>
              <w:rPr>
                <w:sz w:val="18"/>
              </w:rPr>
              <w:t>Advisory critique/élevée : traitement immédiat. Mineure/patch : lot hebdomadaire. Mise à jour majeure : planifiée avec lecture des notes de version et passage complet de la recette.</w:t>
            </w:r>
          </w:p>
        </w:tc>
      </w:tr>
    </w:tbl>
    <w:p>
      <w:pPr>
        <w:spacing w:after="0"/>
      </w:pPr>
    </w:p>
    <w:p>
      <w:pPr>
        <w:pStyle w:val="Heading2"/>
      </w:pPr>
      <w:r>
        <w:t>2.2 Exemple réel : sortie d'une branche en fin de vie</w:t>
      </w:r>
    </w:p>
    <w:p>
      <w:r>
        <w:rPr>
          <w:b w:val="0"/>
          <w:i w:val="0"/>
        </w:rPr>
        <w:t>Le 12/06/2026, composer audit remontait 36 advisories touchant 13 packages, dont CVE-2025-64500 (sévérité élevée : contournement partiel d'autorisation via l'analyse du PATH_INFO dans symfony/http-foundation — directement pertinent pour une API protégée par access_control). La branche Symfony 7.2 étant en fin de vie (plus de correctifs de sécurité), le traitement a été :</w:t>
      </w:r>
    </w:p>
    <w:p>
      <w:pPr>
        <w:pStyle w:val="ListBullet"/>
        <w:spacing w:after="40"/>
      </w:pPr>
      <w:r>
        <w:t>Migration des contraintes composer de 7.2.* vers 7.4.* (version LTS maintenue jusqu'en 2028) ;</w:t>
      </w:r>
    </w:p>
    <w:p>
      <w:pPr>
        <w:pStyle w:val="ListBullet"/>
        <w:spacing w:after="40"/>
      </w:pPr>
      <w:r>
        <w:t>composer update « symfony/* » puis exécution complète de la suite de tests : 18/18 verts ;</w:t>
      </w:r>
    </w:p>
    <w:p>
      <w:pPr>
        <w:pStyle w:val="ListBullet"/>
        <w:spacing w:after="40"/>
      </w:pPr>
      <w:r>
        <w:t>Correction d'une dépréciation détectée par les tests (RateLimiterFactoryInterface) ;</w:t>
      </w:r>
    </w:p>
    <w:p>
      <w:pPr>
        <w:pStyle w:val="ListBullet"/>
        <w:spacing w:after="40"/>
      </w:pPr>
      <w:r>
        <w:t>Vérification finale : composer audit → 0 advisory ; côté front, axios 1.7.9 → 1.17.0 (advisory élevée corrigée) ;</w:t>
      </w:r>
    </w:p>
    <w:p>
      <w:pPr>
        <w:pStyle w:val="ListBullet"/>
        <w:spacing w:after="40"/>
      </w:pPr>
      <w:r>
        <w:t>Entrée au journal des versions (v2.1.0) et déploiement via le pipeline.</w:t>
      </w:r>
    </w:p>
    <w:p>
      <w:r>
        <w:rPr>
          <w:b w:val="0"/>
          <w:i w:val="0"/>
        </w:rPr>
        <w:t>Risque résiduel documenté : npm audit signale encore des vulnérabilités dans la chaîne de build react-scripts (outillage de développement uniquement, jamais exécuté en production). Risque accepté et tracé ; la sortie de Create React App fait partie des recommandations (§7).</w:t>
      </w:r>
    </w:p>
    <w:p>
      <w:r>
        <w:br w:type="page"/>
      </w:r>
    </w:p>
    <w:p>
      <w:pPr>
        <w:pStyle w:val="Heading1"/>
      </w:pPr>
      <w:r>
        <w:t>3. Système de supervision et d'alerte</w:t>
      </w:r>
    </w:p>
    <w:p>
      <w:pPr>
        <w:pStyle w:val="Heading2"/>
      </w:pPr>
      <w:r>
        <w:t>3.1 Périmètre et indicateurs</w:t>
      </w:r>
    </w:p>
    <w:p>
      <w:r>
        <w:rPr>
          <w:b w:val="0"/>
          <w:i w:val="0"/>
        </w:rPr>
        <w:t>Le périmètre supervisé couvre les trois maillons dont dépend le service rendu : l'API applicative, la base de données et le service externe Albion Online. Les indicateurs retenus sont mesurables et adaptés à une application web communautaire :</w:t>
      </w:r>
    </w:p>
    <w:tbl>
      <w:tblPr>
        <w:tblStyle w:val="TableGrid"/>
        <w:tblW w:type="auto" w:w="0"/>
        <w:jc w:val="center"/>
        <w:tblLook w:firstColumn="1" w:firstRow="1" w:lastColumn="0" w:lastRow="0" w:noHBand="0" w:noVBand="1" w:val="04A0"/>
      </w:tblPr>
      <w:tblGrid>
        <w:gridCol w:w="3249"/>
        <w:gridCol w:w="3249"/>
        <w:gridCol w:w="3249"/>
      </w:tblGrid>
      <w:tr>
        <w:tc>
          <w:tcPr>
            <w:tcW w:type="dxa" w:w="3515"/>
            <w:shd w:fill="1F3A5F"/>
          </w:tcPr>
          <w:p>
            <w:r>
              <w:rPr>
                <w:b/>
                <w:color w:val="FFFFFF"/>
                <w:sz w:val="18"/>
              </w:rPr>
              <w:t>Indicateur</w:t>
            </w:r>
          </w:p>
        </w:tc>
        <w:tc>
          <w:tcPr>
            <w:tcW w:type="dxa" w:w="1701"/>
            <w:shd w:fill="1F3A5F"/>
          </w:tcPr>
          <w:p>
            <w:r>
              <w:rPr>
                <w:b/>
                <w:color w:val="FFFFFF"/>
                <w:sz w:val="18"/>
              </w:rPr>
              <w:t>Cible</w:t>
            </w:r>
          </w:p>
        </w:tc>
        <w:tc>
          <w:tcPr>
            <w:tcW w:type="dxa" w:w="4195"/>
            <w:shd w:fill="1F3A5F"/>
          </w:tcPr>
          <w:p>
            <w:r>
              <w:rPr>
                <w:b/>
                <w:color w:val="FFFFFF"/>
                <w:sz w:val="18"/>
              </w:rPr>
              <w:t>Mesure</w:t>
            </w:r>
          </w:p>
        </w:tc>
      </w:tr>
      <w:tr>
        <w:tc>
          <w:tcPr>
            <w:tcW w:type="dxa" w:w="3515"/>
          </w:tcPr>
          <w:p>
            <w:r>
              <w:rPr>
                <w:sz w:val="18"/>
              </w:rPr>
              <w:t>Disponibilité mensuelle de l'API</w:t>
            </w:r>
          </w:p>
        </w:tc>
        <w:tc>
          <w:tcPr>
            <w:tcW w:type="dxa" w:w="1701"/>
          </w:tcPr>
          <w:p>
            <w:r>
              <w:rPr>
                <w:sz w:val="18"/>
              </w:rPr>
              <w:t>≥ 99 %</w:t>
            </w:r>
          </w:p>
        </w:tc>
        <w:tc>
          <w:tcPr>
            <w:tcW w:type="dxa" w:w="4195"/>
          </w:tcPr>
          <w:p>
            <w:r>
              <w:rPr>
                <w:sz w:val="18"/>
              </w:rPr>
              <w:t>UptimeRobot (uptime mensuel)</w:t>
            </w:r>
          </w:p>
        </w:tc>
      </w:tr>
      <w:tr>
        <w:tc>
          <w:tcPr>
            <w:tcW w:type="dxa" w:w="3515"/>
          </w:tcPr>
          <w:p>
            <w:r>
              <w:rPr>
                <w:sz w:val="18"/>
              </w:rPr>
              <w:t>Temps de réponse de /api/health</w:t>
            </w:r>
          </w:p>
        </w:tc>
        <w:tc>
          <w:tcPr>
            <w:tcW w:type="dxa" w:w="1701"/>
          </w:tcPr>
          <w:p>
            <w:r>
              <w:rPr>
                <w:sz w:val="18"/>
              </w:rPr>
              <w:t>&lt; 1 seconde</w:t>
            </w:r>
          </w:p>
        </w:tc>
        <w:tc>
          <w:tcPr>
            <w:tcW w:type="dxa" w:w="4195"/>
          </w:tcPr>
          <w:p>
            <w:r>
              <w:rPr>
                <w:sz w:val="18"/>
              </w:rPr>
              <w:t>UptimeRobot (graphique de latence)</w:t>
            </w:r>
          </w:p>
        </w:tc>
      </w:tr>
      <w:tr>
        <w:tc>
          <w:tcPr>
            <w:tcW w:type="dxa" w:w="3515"/>
          </w:tcPr>
          <w:p>
            <w:r>
              <w:rPr>
                <w:sz w:val="18"/>
              </w:rPr>
              <w:t>Délai de détection d'une panne</w:t>
            </w:r>
          </w:p>
        </w:tc>
        <w:tc>
          <w:tcPr>
            <w:tcW w:type="dxa" w:w="1701"/>
          </w:tcPr>
          <w:p>
            <w:r>
              <w:rPr>
                <w:sz w:val="18"/>
              </w:rPr>
              <w:t>≤ 5 minutes</w:t>
            </w:r>
          </w:p>
        </w:tc>
        <w:tc>
          <w:tcPr>
            <w:tcW w:type="dxa" w:w="4195"/>
          </w:tcPr>
          <w:p>
            <w:r>
              <w:rPr>
                <w:sz w:val="18"/>
              </w:rPr>
              <w:t>Fréquence des sondes (5 min)</w:t>
            </w:r>
          </w:p>
        </w:tc>
      </w:tr>
      <w:tr>
        <w:tc>
          <w:tcPr>
            <w:tcW w:type="dxa" w:w="3515"/>
          </w:tcPr>
          <w:p>
            <w:r>
              <w:rPr>
                <w:sz w:val="18"/>
              </w:rPr>
              <w:t>Taux d'erreurs 5xx</w:t>
            </w:r>
          </w:p>
        </w:tc>
        <w:tc>
          <w:tcPr>
            <w:tcW w:type="dxa" w:w="1701"/>
          </w:tcPr>
          <w:p>
            <w:r>
              <w:rPr>
                <w:sz w:val="18"/>
              </w:rPr>
              <w:t>&lt; 1 % des requêtes</w:t>
            </w:r>
          </w:p>
        </w:tc>
        <w:tc>
          <w:tcPr>
            <w:tcW w:type="dxa" w:w="4195"/>
          </w:tcPr>
          <w:p>
            <w:r>
              <w:rPr>
                <w:sz w:val="18"/>
              </w:rPr>
              <w:t>Journaux Nginx + canal Monolog incident</w:t>
            </w:r>
          </w:p>
        </w:tc>
      </w:tr>
      <w:tr>
        <w:tc>
          <w:tcPr>
            <w:tcW w:type="dxa" w:w="3515"/>
          </w:tcPr>
          <w:p>
            <w:r>
              <w:rPr>
                <w:sz w:val="18"/>
              </w:rPr>
              <w:t>État des services dépendants (BDD, API Albion)</w:t>
            </w:r>
          </w:p>
        </w:tc>
        <w:tc>
          <w:tcPr>
            <w:tcW w:type="dxa" w:w="1701"/>
          </w:tcPr>
          <w:p>
            <w:r>
              <w:rPr>
                <w:sz w:val="18"/>
              </w:rPr>
              <w:t>OK</w:t>
            </w:r>
          </w:p>
        </w:tc>
        <w:tc>
          <w:tcPr>
            <w:tcW w:type="dxa" w:w="4195"/>
          </w:tcPr>
          <w:p>
            <w:r>
              <w:rPr>
                <w:sz w:val="18"/>
              </w:rPr>
              <w:t>Champ par service dans /api/health</w:t>
            </w:r>
          </w:p>
        </w:tc>
      </w:tr>
    </w:tbl>
    <w:p>
      <w:pPr>
        <w:spacing w:after="0"/>
      </w:pPr>
    </w:p>
    <w:p>
      <w:pPr>
        <w:pStyle w:val="Heading2"/>
      </w:pPr>
      <w:r>
        <w:t>3.2 Architecture de supervision</w:t>
      </w:r>
    </w:p>
    <w:p>
      <w:pPr>
        <w:spacing w:after="40"/>
        <w:jc w:val="center"/>
      </w:pPr>
      <w:r>
        <w:drawing>
          <wp:inline xmlns:a="http://schemas.openxmlformats.org/drawingml/2006/main" xmlns:pic="http://schemas.openxmlformats.org/drawingml/2006/picture">
            <wp:extent cx="5940000" cy="3771900"/>
            <wp:docPr id="1" name="Picture 1"/>
            <wp:cNvGraphicFramePr>
              <a:graphicFrameLocks noChangeAspect="1"/>
            </wp:cNvGraphicFramePr>
            <a:graphic>
              <a:graphicData uri="http://schemas.openxmlformats.org/drawingml/2006/picture">
                <pic:pic>
                  <pic:nvPicPr>
                    <pic:cNvPr id="0" name="11-supervision.png"/>
                    <pic:cNvPicPr/>
                  </pic:nvPicPr>
                  <pic:blipFill>
                    <a:blip r:embed="rId9"/>
                    <a:stretch>
                      <a:fillRect/>
                    </a:stretch>
                  </pic:blipFill>
                  <pic:spPr>
                    <a:xfrm>
                      <a:off x="0" y="0"/>
                      <a:ext cx="5940000" cy="3771900"/>
                    </a:xfrm>
                    <a:prstGeom prst="rect"/>
                  </pic:spPr>
                </pic:pic>
              </a:graphicData>
            </a:graphic>
          </wp:inline>
        </w:drawing>
      </w:r>
    </w:p>
    <w:p>
      <w:pPr>
        <w:spacing w:after="160"/>
        <w:jc w:val="center"/>
      </w:pPr>
      <w:r>
        <w:rPr>
          <w:i/>
          <w:sz w:val="17"/>
        </w:rPr>
        <w:t>Figure 1 — Sondes, point de contrôle applicatif, signalements et journaux</w:t>
      </w:r>
    </w:p>
    <w:p>
      <w:pPr>
        <w:pStyle w:val="Heading2"/>
      </w:pPr>
      <w:r>
        <w:t>3.3 La sonde applicative : GET /api/health</w:t>
      </w:r>
    </w:p>
    <w:p>
      <w:r>
        <w:rPr>
          <w:b w:val="0"/>
          <w:i w:val="0"/>
        </w:rPr>
        <w:t>Le point de contrôle est un endpoint public (hors authentification, par conception : une sonde externe ne possède pas de jeton) qui teste réellement chaque service et renvoie un état détaillé :</w:t>
      </w:r>
    </w:p>
    <w:p>
      <w:pPr>
        <w:shd w:fill="F2F2F2"/>
        <w:spacing w:after="160"/>
        <w:jc w:val="left"/>
      </w:pPr>
      <w:r>
        <w:rPr>
          <w:rFonts w:ascii="Consolas" w:hAnsi="Consolas" w:eastAsia="Consolas"/>
          <w:sz w:val="17"/>
        </w:rPr>
        <w:t>GET /api/health</w:t>
        <w:br/>
        <w:t>{"status":"OK","timestamp":"2026-06-12T13:24:40+00:00",</w:t>
        <w:br/>
        <w:t xml:space="preserve"> "services":{"database":{"status":"OK","message":"Database connected"},</w:t>
        <w:br/>
        <w:t xml:space="preserve">             "albion_api":{"status":"OK","message":"Albion API reachable"}}}</w:t>
      </w:r>
    </w:p>
    <w:p>
      <w:r>
        <w:rPr>
          <w:b w:val="0"/>
          <w:i w:val="0"/>
        </w:rPr>
        <w:t>La base est testée par une requête réelle, l'API Albion par un appel de joignabilité : un « OK » global garantit que la chaîne complète est opérationnelle, pas seulement que le serveur web répond.</w:t>
      </w:r>
    </w:p>
    <w:p>
      <w:pPr>
        <w:pStyle w:val="Heading2"/>
      </w:pPr>
      <w:r>
        <w:t>3.4 Les sondes et la modalité des signalements</w:t>
      </w:r>
    </w:p>
    <w:p>
      <w:pPr>
        <w:pStyle w:val="ListBullet"/>
        <w:spacing w:after="40"/>
      </w:pPr>
      <w:r>
        <w:rPr>
          <w:b/>
        </w:rPr>
        <w:t xml:space="preserve">Sonde externe (UptimeRobot) : </w:t>
      </w:r>
      <w:r>
        <w:t>requête HTTP sur /api/health toutes les 5 minutes depuis l'extérieur ; vérifie le code 200 et le mot-clé « OK » ; alerte e-mail en cas de panne et de rétablissement ; trace l'historique de disponibilité et de latence. Étant hébergée hors du serveur, elle détecte aussi une panne totale du VPS.</w:t>
      </w:r>
    </w:p>
    <w:p>
      <w:pPr>
        <w:pStyle w:val="ListBullet"/>
        <w:spacing w:after="40"/>
      </w:pPr>
      <w:r>
        <w:rPr>
          <w:b/>
        </w:rPr>
        <w:t xml:space="preserve">Sonde interne (cron du VPS) : </w:t>
      </w:r>
      <w:r>
        <w:t>script deploy/healthcheck-probe.sh versionné dans le dépôt, exécuté toutes les 5 minutes par cron. Il vérifie le code HTTP et le contenu JSON, journalise chaque passage, et envoie un e-mail d'alerte détaillé (URL, code, corps de la réponse) en cas d'échec — avec anti-spam (une alerte par incident) et e-mail de rétablissement.</w:t>
      </w:r>
    </w:p>
    <w:p>
      <w:pPr>
        <w:pStyle w:val="ListBullet"/>
        <w:spacing w:after="40"/>
      </w:pPr>
      <w:r>
        <w:rPr>
          <w:b/>
        </w:rPr>
        <w:t xml:space="preserve">Journalisation applicative : </w:t>
      </w:r>
      <w:r>
        <w:t>canal Monolog « incident » dédié (séparé des logs applicatifs courants) ; les échecs d'authentification sont tracés par le firewall Symfony.</w:t>
      </w:r>
    </w:p>
    <w:p>
      <w:pPr>
        <w:shd w:fill="F2F2F2"/>
        <w:spacing w:after="160"/>
        <w:jc w:val="left"/>
      </w:pPr>
      <w:r>
        <w:rPr>
          <w:rFonts w:ascii="Consolas" w:hAnsi="Consolas" w:eastAsia="Consolas"/>
          <w:sz w:val="17"/>
        </w:rPr>
        <w:t># Extrait de deploy/healthcheck-probe.sh (cron : */5 * * * *)</w:t>
        <w:br/>
        <w:t>HTTP_CODE=$(curl -s -o /tmp/body.json -w "%{http_code}" --max-time 10 "$API_URL")</w:t>
        <w:br/>
        <w:t>BODY_OK=$(grep -c '"status":"OK"' /tmp/body.json)</w:t>
        <w:br/>
        <w:t>if [ "$HTTP_CODE" = "200" ] &amp;&amp; [ "$BODY_OK" -ge 1 ]; then</w:t>
        <w:br/>
        <w:t xml:space="preserve">    echo "$NOW OK" &gt;&gt; "$PROBE_LOG"            # + e-mail de rétablissement si incident en cours</w:t>
        <w:br/>
        <w:t>else</w:t>
        <w:br/>
        <w:t xml:space="preserve">    mail -s "[Albion Helper] ALERTE — API indisponible (HTTP $HTTP_CODE)" "$ALERT_EMAIL"</w:t>
        <w:br/>
        <w:t>fi</w:t>
      </w:r>
    </w:p>
    <w:p>
      <w:r>
        <w:rPr>
          <w:b w:val="0"/>
          <w:i/>
        </w:rPr>
        <w:t>[Insérer ici la capture d'écran du moniteur UptimeRobot configuré : nom du monitor, URL surveillée, intervalle 5 min, contact d'alerte]</w:t>
      </w:r>
    </w:p>
    <w:p>
      <w:r>
        <w:rPr>
          <w:b w:val="0"/>
          <w:i w:val="0"/>
        </w:rPr>
        <w:t>Chaque alerte reçue déclenche l'ouverture d'une fiche d'anomalie (processus §4) : la supervision alimente directement le traitement des anomalies.</w:t>
      </w:r>
    </w:p>
    <w:p>
      <w:r>
        <w:br w:type="page"/>
      </w:r>
    </w:p>
    <w:p>
      <w:pPr>
        <w:pStyle w:val="Heading1"/>
      </w:pPr>
      <w:r>
        <w:t>4. Processus de collecte et de consignation des anomalies</w:t>
      </w:r>
    </w:p>
    <w:p>
      <w:pPr>
        <w:pStyle w:val="Heading2"/>
      </w:pPr>
      <w:r>
        <w:t>4.1 Canaux de collecte</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fill="1F3A5F"/>
          </w:tcPr>
          <w:p>
            <w:r>
              <w:rPr>
                <w:b/>
                <w:color w:val="FFFFFF"/>
                <w:sz w:val="18"/>
              </w:rPr>
              <w:t>Canal</w:t>
            </w:r>
          </w:p>
        </w:tc>
        <w:tc>
          <w:tcPr>
            <w:tcW w:type="dxa" w:w="3288"/>
            <w:shd w:fill="1F3A5F"/>
          </w:tcPr>
          <w:p>
            <w:r>
              <w:rPr>
                <w:b/>
                <w:color w:val="FFFFFF"/>
                <w:sz w:val="18"/>
              </w:rPr>
              <w:t>Ce qu'il détecte</w:t>
            </w:r>
          </w:p>
        </w:tc>
        <w:tc>
          <w:tcPr>
            <w:tcW w:type="dxa" w:w="4082"/>
            <w:shd w:fill="1F3A5F"/>
          </w:tcPr>
          <w:p>
            <w:r>
              <w:rPr>
                <w:b/>
                <w:color w:val="FFFFFF"/>
                <w:sz w:val="18"/>
              </w:rPr>
              <w:t>Exemples réels</w:t>
            </w:r>
          </w:p>
        </w:tc>
      </w:tr>
      <w:tr>
        <w:tc>
          <w:tcPr>
            <w:tcW w:type="dxa" w:w="2041"/>
          </w:tcPr>
          <w:p>
            <w:r>
              <w:rPr>
                <w:sz w:val="18"/>
              </w:rPr>
              <w:t>Recette fonctionnelle</w:t>
            </w:r>
          </w:p>
        </w:tc>
        <w:tc>
          <w:tcPr>
            <w:tcW w:type="dxa" w:w="3288"/>
          </w:tcPr>
          <w:p>
            <w:r>
              <w:rPr>
                <w:sz w:val="18"/>
              </w:rPr>
              <w:t>Anomalies de comportement visibles par l'utilisateur</w:t>
            </w:r>
          </w:p>
        </w:tc>
        <w:tc>
          <w:tcPr>
            <w:tcW w:type="dxa" w:w="4082"/>
          </w:tcPr>
          <w:p>
            <w:r>
              <w:rPr>
                <w:sz w:val="18"/>
              </w:rPr>
              <w:t>BUG-011 (échec de connexion invisible), BUG-012 (ratio NaN)</w:t>
            </w:r>
          </w:p>
        </w:tc>
      </w:tr>
      <w:tr>
        <w:tc>
          <w:tcPr>
            <w:tcW w:type="dxa" w:w="2041"/>
          </w:tcPr>
          <w:p>
            <w:r>
              <w:rPr>
                <w:sz w:val="18"/>
              </w:rPr>
              <w:t>Tests automatisés / CI</w:t>
            </w:r>
          </w:p>
        </w:tc>
        <w:tc>
          <w:tcPr>
            <w:tcW w:type="dxa" w:w="3288"/>
          </w:tcPr>
          <w:p>
            <w:r>
              <w:rPr>
                <w:sz w:val="18"/>
              </w:rPr>
              <w:t>Régressions à chaque push</w:t>
            </w:r>
          </w:p>
        </w:tc>
        <w:tc>
          <w:tcPr>
            <w:tcW w:type="dxa" w:w="4082"/>
          </w:tcPr>
          <w:p>
            <w:r>
              <w:rPr>
                <w:sz w:val="18"/>
              </w:rPr>
              <w:t>BUG-007 (pipeline en échec : SGBD de test incohérent)</w:t>
            </w:r>
          </w:p>
        </w:tc>
      </w:tr>
      <w:tr>
        <w:tc>
          <w:tcPr>
            <w:tcW w:type="dxa" w:w="2041"/>
          </w:tcPr>
          <w:p>
            <w:r>
              <w:rPr>
                <w:sz w:val="18"/>
              </w:rPr>
              <w:t>Audits outillés</w:t>
            </w:r>
          </w:p>
        </w:tc>
        <w:tc>
          <w:tcPr>
            <w:tcW w:type="dxa" w:w="3288"/>
          </w:tcPr>
          <w:p>
            <w:r>
              <w:rPr>
                <w:sz w:val="18"/>
              </w:rPr>
              <w:t>Failles de sécurité, défauts d'accessibilité</w:t>
            </w:r>
          </w:p>
        </w:tc>
        <w:tc>
          <w:tcPr>
            <w:tcW w:type="dxa" w:w="4082"/>
          </w:tcPr>
          <w:p>
            <w:r>
              <w:rPr>
                <w:sz w:val="18"/>
              </w:rPr>
              <w:t>BUG-010 (CORS ouvert), OBS-01 (contrastes)</w:t>
            </w:r>
          </w:p>
        </w:tc>
      </w:tr>
      <w:tr>
        <w:tc>
          <w:tcPr>
            <w:tcW w:type="dxa" w:w="2041"/>
          </w:tcPr>
          <w:p>
            <w:r>
              <w:rPr>
                <w:sz w:val="18"/>
              </w:rPr>
              <w:t>Supervision / alertes</w:t>
            </w:r>
          </w:p>
        </w:tc>
        <w:tc>
          <w:tcPr>
            <w:tcW w:type="dxa" w:w="3288"/>
          </w:tcPr>
          <w:p>
            <w:r>
              <w:rPr>
                <w:sz w:val="18"/>
              </w:rPr>
              <w:t>Indisponibilités, latences</w:t>
            </w:r>
          </w:p>
        </w:tc>
        <w:tc>
          <w:tcPr>
            <w:tcW w:type="dxa" w:w="4082"/>
          </w:tcPr>
          <w:p>
            <w:r>
              <w:rPr>
                <w:sz w:val="18"/>
              </w:rPr>
              <w:t>Alerte sonde → fiche d'incident</w:t>
            </w:r>
          </w:p>
        </w:tc>
      </w:tr>
      <w:tr>
        <w:tc>
          <w:tcPr>
            <w:tcW w:type="dxa" w:w="2041"/>
          </w:tcPr>
          <w:p>
            <w:r>
              <w:rPr>
                <w:sz w:val="18"/>
              </w:rPr>
              <w:t>Retours utilisateurs</w:t>
            </w:r>
          </w:p>
        </w:tc>
        <w:tc>
          <w:tcPr>
            <w:tcW w:type="dxa" w:w="3288"/>
          </w:tcPr>
          <w:p>
            <w:r>
              <w:rPr>
                <w:sz w:val="18"/>
              </w:rPr>
              <w:t>Problèmes d'usage en conditions réelles</w:t>
            </w:r>
          </w:p>
        </w:tc>
        <w:tc>
          <w:tcPr>
            <w:tcW w:type="dxa" w:w="4082"/>
          </w:tcPr>
          <w:p>
            <w:r>
              <w:rPr>
                <w:sz w:val="18"/>
              </w:rPr>
              <w:t>Cas support §8</w:t>
            </w:r>
          </w:p>
        </w:tc>
      </w:tr>
      <w:tr>
        <w:tc>
          <w:tcPr>
            <w:tcW w:type="dxa" w:w="2041"/>
          </w:tcPr>
          <w:p>
            <w:r>
              <w:rPr>
                <w:sz w:val="18"/>
              </w:rPr>
              <w:t>Console navigateur / logs</w:t>
            </w:r>
          </w:p>
        </w:tc>
        <w:tc>
          <w:tcPr>
            <w:tcW w:type="dxa" w:w="3288"/>
          </w:tcPr>
          <w:p>
            <w:r>
              <w:rPr>
                <w:sz w:val="18"/>
              </w:rPr>
              <w:t>Erreurs silencieuses</w:t>
            </w:r>
          </w:p>
        </w:tc>
        <w:tc>
          <w:tcPr>
            <w:tcW w:type="dxa" w:w="4082"/>
          </w:tcPr>
          <w:p>
            <w:r>
              <w:rPr>
                <w:sz w:val="18"/>
              </w:rPr>
              <w:t>BUG-013 (clés React dupliquées)</w:t>
            </w:r>
          </w:p>
        </w:tc>
      </w:tr>
    </w:tbl>
    <w:p>
      <w:pPr>
        <w:spacing w:after="0"/>
      </w:pPr>
    </w:p>
    <w:p>
      <w:pPr>
        <w:pStyle w:val="Heading2"/>
      </w:pPr>
      <w:r>
        <w:t>4.2 Processus de consignation</w:t>
      </w:r>
    </w:p>
    <w:p>
      <w:r>
        <w:rPr>
          <w:b w:val="0"/>
          <w:i w:val="0"/>
        </w:rPr>
        <w:t>Toute anomalie, quelle que soit sa source, suit le même cycle : consignation sur fiche normalisée → qualification (gravité × priorité) → correction sur la branche develop → validation par la suite de tests complète → re-test du scénario d'origine → fusion, entrée au journal des versions et déploiement. La fiche exige systématiquement les informations permettant de reproduire le bogue (environnement, préconditions, étapes, résultat observé vs attendu) : une anomalie non reproductible n'est pas corrigeable de façon fiable.</w:t>
      </w:r>
    </w:p>
    <w:tbl>
      <w:tblPr>
        <w:tblStyle w:val="TableGrid"/>
        <w:tblW w:type="auto" w:w="0"/>
        <w:jc w:val="center"/>
        <w:tblLook w:firstColumn="1" w:firstRow="1" w:lastColumn="0" w:lastRow="0" w:noHBand="0" w:noVBand="1" w:val="04A0"/>
      </w:tblPr>
      <w:tblGrid>
        <w:gridCol w:w="3249"/>
        <w:gridCol w:w="3249"/>
        <w:gridCol w:w="3249"/>
      </w:tblGrid>
      <w:tr>
        <w:tc>
          <w:tcPr>
            <w:tcW w:type="dxa" w:w="1361"/>
            <w:shd w:fill="1F3A5F"/>
          </w:tcPr>
          <w:p>
            <w:r>
              <w:rPr>
                <w:b/>
                <w:color w:val="FFFFFF"/>
                <w:sz w:val="18"/>
              </w:rPr>
              <w:t>Gravité</w:t>
            </w:r>
          </w:p>
        </w:tc>
        <w:tc>
          <w:tcPr>
            <w:tcW w:type="dxa" w:w="5102"/>
            <w:shd w:fill="1F3A5F"/>
          </w:tcPr>
          <w:p>
            <w:r>
              <w:rPr>
                <w:b/>
                <w:color w:val="FFFFFF"/>
                <w:sz w:val="18"/>
              </w:rPr>
              <w:t>Définition</w:t>
            </w:r>
          </w:p>
        </w:tc>
        <w:tc>
          <w:tcPr>
            <w:tcW w:type="dxa" w:w="2948"/>
            <w:shd w:fill="1F3A5F"/>
          </w:tcPr>
          <w:p>
            <w:r>
              <w:rPr>
                <w:b/>
                <w:color w:val="FFFFFF"/>
                <w:sz w:val="18"/>
              </w:rPr>
              <w:t>Priorité de traitement</w:t>
            </w:r>
          </w:p>
        </w:tc>
      </w:tr>
      <w:tr>
        <w:tc>
          <w:tcPr>
            <w:tcW w:type="dxa" w:w="1361"/>
          </w:tcPr>
          <w:p>
            <w:r>
              <w:rPr>
                <w:sz w:val="18"/>
              </w:rPr>
              <w:t>Critique</w:t>
            </w:r>
          </w:p>
        </w:tc>
        <w:tc>
          <w:tcPr>
            <w:tcW w:type="dxa" w:w="5102"/>
          </w:tcPr>
          <w:p>
            <w:r>
              <w:rPr>
                <w:sz w:val="18"/>
              </w:rPr>
              <w:t>Service indisponible ou faille exploitable</w:t>
            </w:r>
          </w:p>
        </w:tc>
        <w:tc>
          <w:tcPr>
            <w:tcW w:type="dxa" w:w="2948"/>
          </w:tcPr>
          <w:p>
            <w:r>
              <w:rPr>
                <w:sz w:val="18"/>
              </w:rPr>
              <w:t>Immédiate (correctif hors cycle)</w:t>
            </w:r>
          </w:p>
        </w:tc>
      </w:tr>
      <w:tr>
        <w:tc>
          <w:tcPr>
            <w:tcW w:type="dxa" w:w="1361"/>
          </w:tcPr>
          <w:p>
            <w:r>
              <w:rPr>
                <w:sz w:val="18"/>
              </w:rPr>
              <w:t>Majeure</w:t>
            </w:r>
          </w:p>
        </w:tc>
        <w:tc>
          <w:tcPr>
            <w:tcW w:type="dxa" w:w="5102"/>
          </w:tcPr>
          <w:p>
            <w:r>
              <w:rPr>
                <w:sz w:val="18"/>
              </w:rPr>
              <w:t>Fonctionnalité principale dégradée ou contournement de sécurité</w:t>
            </w:r>
          </w:p>
        </w:tc>
        <w:tc>
          <w:tcPr>
            <w:tcW w:type="dxa" w:w="2948"/>
          </w:tcPr>
          <w:p>
            <w:r>
              <w:rPr>
                <w:sz w:val="18"/>
              </w:rPr>
              <w:t>Sous 48 h</w:t>
            </w:r>
          </w:p>
        </w:tc>
      </w:tr>
      <w:tr>
        <w:tc>
          <w:tcPr>
            <w:tcW w:type="dxa" w:w="1361"/>
          </w:tcPr>
          <w:p>
            <w:r>
              <w:rPr>
                <w:sz w:val="18"/>
              </w:rPr>
              <w:t>Mineure</w:t>
            </w:r>
          </w:p>
        </w:tc>
        <w:tc>
          <w:tcPr>
            <w:tcW w:type="dxa" w:w="5102"/>
          </w:tcPr>
          <w:p>
            <w:r>
              <w:rPr>
                <w:sz w:val="18"/>
              </w:rPr>
              <w:t>Gêne visuelle ou cas limite sans perte de fonction</w:t>
            </w:r>
          </w:p>
        </w:tc>
        <w:tc>
          <w:tcPr>
            <w:tcW w:type="dxa" w:w="2948"/>
          </w:tcPr>
          <w:p>
            <w:r>
              <w:rPr>
                <w:sz w:val="18"/>
              </w:rPr>
              <w:t>Prochain lot de correctifs</w:t>
            </w:r>
          </w:p>
        </w:tc>
      </w:tr>
    </w:tbl>
    <w:p>
      <w:pPr>
        <w:spacing w:after="0"/>
      </w:pPr>
    </w:p>
    <w:p>
      <w:pPr>
        <w:pStyle w:val="Heading2"/>
      </w:pPr>
      <w:r>
        <w:t>4.3 Fiche de consignation : exemplaire réel (BUG-011)</w:t>
      </w:r>
    </w:p>
    <w:tbl>
      <w:tblPr>
        <w:tblStyle w:val="TableGrid"/>
        <w:tblW w:type="auto" w:w="0"/>
        <w:jc w:val="center"/>
        <w:tblLook w:firstColumn="1" w:firstRow="1" w:lastColumn="0" w:lastRow="0" w:noHBand="0" w:noVBand="1" w:val="04A0"/>
      </w:tblPr>
      <w:tblGrid>
        <w:gridCol w:w="4873"/>
        <w:gridCol w:w="4873"/>
      </w:tblGrid>
      <w:tr>
        <w:tc>
          <w:tcPr>
            <w:tcW w:type="dxa" w:w="2041"/>
            <w:shd w:fill="8A6D1F"/>
          </w:tcPr>
          <w:p>
            <w:r>
              <w:rPr>
                <w:b/>
                <w:color w:val="FFFFFF"/>
                <w:sz w:val="18"/>
              </w:rPr>
              <w:t>Champ</w:t>
            </w:r>
          </w:p>
        </w:tc>
        <w:tc>
          <w:tcPr>
            <w:tcW w:type="dxa" w:w="7370"/>
            <w:shd w:fill="8A6D1F"/>
          </w:tcPr>
          <w:p>
            <w:r>
              <w:rPr>
                <w:b/>
                <w:color w:val="FFFFFF"/>
                <w:sz w:val="18"/>
              </w:rPr>
              <w:t>Contenu</w:t>
            </w:r>
          </w:p>
        </w:tc>
      </w:tr>
      <w:tr>
        <w:tc>
          <w:tcPr>
            <w:tcW w:type="dxa" w:w="2041"/>
          </w:tcPr>
          <w:p>
            <w:r>
              <w:rPr>
                <w:sz w:val="18"/>
              </w:rPr>
              <w:t>Identifiant</w:t>
            </w:r>
          </w:p>
        </w:tc>
        <w:tc>
          <w:tcPr>
            <w:tcW w:type="dxa" w:w="7370"/>
          </w:tcPr>
          <w:p>
            <w:r>
              <w:rPr>
                <w:sz w:val="18"/>
              </w:rPr>
              <w:t>BUG-011</w:t>
            </w:r>
          </w:p>
        </w:tc>
      </w:tr>
      <w:tr>
        <w:tc>
          <w:tcPr>
            <w:tcW w:type="dxa" w:w="2041"/>
          </w:tcPr>
          <w:p>
            <w:r>
              <w:rPr>
                <w:sz w:val="18"/>
              </w:rPr>
              <w:t>Date / rapporteur</w:t>
            </w:r>
          </w:p>
        </w:tc>
        <w:tc>
          <w:tcPr>
            <w:tcW w:type="dxa" w:w="7370"/>
          </w:tcPr>
          <w:p>
            <w:r>
              <w:rPr>
                <w:sz w:val="18"/>
              </w:rPr>
              <w:t>12/06/2026 — recette fonctionnelle (scénario AUTH-05)</w:t>
            </w:r>
          </w:p>
        </w:tc>
      </w:tr>
      <w:tr>
        <w:tc>
          <w:tcPr>
            <w:tcW w:type="dxa" w:w="2041"/>
          </w:tcPr>
          <w:p>
            <w:r>
              <w:rPr>
                <w:sz w:val="18"/>
              </w:rPr>
              <w:t>Environnement</w:t>
            </w:r>
          </w:p>
        </w:tc>
        <w:tc>
          <w:tcPr>
            <w:tcW w:type="dxa" w:w="7370"/>
          </w:tcPr>
          <w:p>
            <w:r>
              <w:rPr>
                <w:sz w:val="18"/>
              </w:rPr>
              <w:t>v2.1.0-dev — Chrome 137 — front local :3000, API Symfony 7.4 locale</w:t>
            </w:r>
          </w:p>
        </w:tc>
      </w:tr>
      <w:tr>
        <w:tc>
          <w:tcPr>
            <w:tcW w:type="dxa" w:w="2041"/>
          </w:tcPr>
          <w:p>
            <w:r>
              <w:rPr>
                <w:sz w:val="18"/>
              </w:rPr>
              <w:t>Symptôme</w:t>
            </w:r>
          </w:p>
        </w:tc>
        <w:tc>
          <w:tcPr>
            <w:tcW w:type="dxa" w:w="7370"/>
          </w:tcPr>
          <w:p>
            <w:r>
              <w:rPr>
                <w:sz w:val="18"/>
              </w:rPr>
              <w:t>Lors d'une connexion avec un mot de passe erroné, aucun message d'erreur n'apparaît : la page se recharge et le formulaire se vide.</w:t>
            </w:r>
          </w:p>
        </w:tc>
      </w:tr>
      <w:tr>
        <w:tc>
          <w:tcPr>
            <w:tcW w:type="dxa" w:w="2041"/>
          </w:tcPr>
          <w:p>
            <w:r>
              <w:rPr>
                <w:sz w:val="18"/>
              </w:rPr>
              <w:t>Reproduction</w:t>
            </w:r>
          </w:p>
        </w:tc>
        <w:tc>
          <w:tcPr>
            <w:tcW w:type="dxa" w:w="7370"/>
          </w:tcPr>
          <w:p>
            <w:r>
              <w:rPr>
                <w:sz w:val="18"/>
              </w:rPr>
              <w:t>1) Ouvrir /login  2) Saisir un identifiant valide + mot de passe erroné  3) Valider. Observé : rechargement complet de la page, champs vidés, aucun message. Attendu : message « identifiants invalides », champs conservés.</w:t>
            </w:r>
          </w:p>
        </w:tc>
      </w:tr>
      <w:tr>
        <w:tc>
          <w:tcPr>
            <w:tcW w:type="dxa" w:w="2041"/>
          </w:tcPr>
          <w:p>
            <w:r>
              <w:rPr>
                <w:sz w:val="18"/>
              </w:rPr>
              <w:t>Gravité / priorité</w:t>
            </w:r>
          </w:p>
        </w:tc>
        <w:tc>
          <w:tcPr>
            <w:tcW w:type="dxa" w:w="7370"/>
          </w:tcPr>
          <w:p>
            <w:r>
              <w:rPr>
                <w:sz w:val="18"/>
              </w:rPr>
              <w:t>Majeure (l'utilisateur ne comprend pas l'échec de sa connexion) / Haute</w:t>
            </w:r>
          </w:p>
        </w:tc>
      </w:tr>
      <w:tr>
        <w:tc>
          <w:tcPr>
            <w:tcW w:type="dxa" w:w="2041"/>
          </w:tcPr>
          <w:p>
            <w:r>
              <w:rPr>
                <w:sz w:val="18"/>
              </w:rPr>
              <w:t>Analyse (cause racine)</w:t>
            </w:r>
          </w:p>
        </w:tc>
        <w:tc>
          <w:tcPr>
            <w:tcW w:type="dxa" w:w="7370"/>
          </w:tcPr>
          <w:p>
            <w:r>
              <w:rPr>
                <w:sz w:val="18"/>
              </w:rPr>
              <w:t>L'intercepteur de réponses axios redirigeait vers /login en purgeant les jetons pour TOUT code 401/403 — y compris le 401 légitime renvoyé par /api/login lui-même. La redirection masquait l'affichage de l'erreur par le formulaire.</w:t>
            </w:r>
          </w:p>
        </w:tc>
      </w:tr>
      <w:tr>
        <w:tc>
          <w:tcPr>
            <w:tcW w:type="dxa" w:w="2041"/>
          </w:tcPr>
          <w:p>
            <w:r>
              <w:rPr>
                <w:sz w:val="18"/>
              </w:rPr>
              <w:t>Préconisation</w:t>
            </w:r>
          </w:p>
        </w:tc>
        <w:tc>
          <w:tcPr>
            <w:tcW w:type="dxa" w:w="7370"/>
          </w:tcPr>
          <w:p>
            <w:r>
              <w:rPr>
                <w:sz w:val="18"/>
              </w:rPr>
              <w:t>Exclure les appels d'authentification (/login, /register, token/refresh) de la redirection automatique ; laisser les formulaires afficher l'erreur renvoyée par l'API.</w:t>
            </w:r>
          </w:p>
        </w:tc>
      </w:tr>
      <w:tr>
        <w:tc>
          <w:tcPr>
            <w:tcW w:type="dxa" w:w="2041"/>
          </w:tcPr>
          <w:p>
            <w:r>
              <w:rPr>
                <w:sz w:val="18"/>
              </w:rPr>
              <w:t>Correctif</w:t>
            </w:r>
          </w:p>
        </w:tc>
        <w:tc>
          <w:tcPr>
            <w:tcW w:type="dxa" w:w="7370"/>
          </w:tcPr>
          <w:p>
            <w:r>
              <w:rPr>
                <w:sz w:val="18"/>
              </w:rPr>
              <w:t>front/src/api.js — garde isAuthCall dans l'intercepteur (commit fix(front) du 12/06)</w:t>
            </w:r>
          </w:p>
        </w:tc>
      </w:tr>
      <w:tr>
        <w:tc>
          <w:tcPr>
            <w:tcW w:type="dxa" w:w="2041"/>
          </w:tcPr>
          <w:p>
            <w:r>
              <w:rPr>
                <w:sz w:val="18"/>
              </w:rPr>
              <w:t>Validation</w:t>
            </w:r>
          </w:p>
        </w:tc>
        <w:tc>
          <w:tcPr>
            <w:tcW w:type="dxa" w:w="7370"/>
          </w:tcPr>
          <w:p>
            <w:r>
              <w:rPr>
                <w:sz w:val="18"/>
              </w:rPr>
              <w:t>Suite Jest complète : 95/95 verts ; scénario AUTH-05 rejoué : PASS ; entrée CHANGELOG v2.1.0</w:t>
            </w:r>
          </w:p>
        </w:tc>
      </w:tr>
      <w:tr>
        <w:tc>
          <w:tcPr>
            <w:tcW w:type="dxa" w:w="2041"/>
          </w:tcPr>
          <w:p>
            <w:r>
              <w:rPr>
                <w:sz w:val="18"/>
              </w:rPr>
              <w:t>Statut</w:t>
            </w:r>
          </w:p>
        </w:tc>
        <w:tc>
          <w:tcPr>
            <w:tcW w:type="dxa" w:w="7370"/>
          </w:tcPr>
          <w:p>
            <w:r>
              <w:rPr>
                <w:sz w:val="18"/>
              </w:rPr>
              <w:t>Résolu — clos le 12/06/2026</w:t>
            </w:r>
          </w:p>
        </w:tc>
      </w:tr>
    </w:tbl>
    <w:p>
      <w:pPr>
        <w:spacing w:after="0"/>
      </w:pPr>
    </w:p>
    <w:p>
      <w:r>
        <w:br w:type="page"/>
      </w:r>
    </w:p>
    <w:p>
      <w:pPr>
        <w:pStyle w:val="Heading1"/>
      </w:pPr>
      <w:r>
        <w:t>5. Traitement d'une anomalie : de la détection au déploiement</w:t>
      </w:r>
    </w:p>
    <w:p>
      <w:r>
        <w:rPr>
          <w:b w:val="0"/>
          <w:i w:val="0"/>
        </w:rPr>
        <w:t>Le traitement de BUG-011 illustre comment la correction tire profit du processus d'intégration et de déploiement continus mis en place au Bloc 2 :</w:t>
      </w:r>
    </w:p>
    <w:tbl>
      <w:tblPr>
        <w:tblStyle w:val="TableGrid"/>
        <w:tblW w:type="auto" w:w="0"/>
        <w:jc w:val="center"/>
        <w:tblLook w:firstColumn="1" w:firstRow="1" w:lastColumn="0" w:lastRow="0" w:noHBand="0" w:noVBand="1" w:val="04A0"/>
      </w:tblPr>
      <w:tblGrid>
        <w:gridCol w:w="3249"/>
        <w:gridCol w:w="3249"/>
        <w:gridCol w:w="3249"/>
      </w:tblGrid>
      <w:tr>
        <w:tc>
          <w:tcPr>
            <w:tcW w:type="dxa" w:w="454"/>
            <w:shd w:fill="1F3A5F"/>
          </w:tcPr>
          <w:p>
            <w:r>
              <w:rPr>
                <w:b/>
                <w:color w:val="FFFFFF"/>
                <w:sz w:val="18"/>
              </w:rPr>
              <w:t>#</w:t>
            </w:r>
          </w:p>
        </w:tc>
        <w:tc>
          <w:tcPr>
            <w:tcW w:type="dxa" w:w="2041"/>
            <w:shd w:fill="1F3A5F"/>
          </w:tcPr>
          <w:p>
            <w:r>
              <w:rPr>
                <w:b/>
                <w:color w:val="FFFFFF"/>
                <w:sz w:val="18"/>
              </w:rPr>
              <w:t>Étape</w:t>
            </w:r>
          </w:p>
        </w:tc>
        <w:tc>
          <w:tcPr>
            <w:tcW w:type="dxa" w:w="6917"/>
            <w:shd w:fill="1F3A5F"/>
          </w:tcPr>
          <w:p>
            <w:r>
              <w:rPr>
                <w:b/>
                <w:color w:val="FFFFFF"/>
                <w:sz w:val="18"/>
              </w:rPr>
              <w:t>Réalisation pour BUG-011</w:t>
            </w:r>
          </w:p>
        </w:tc>
      </w:tr>
      <w:tr>
        <w:tc>
          <w:tcPr>
            <w:tcW w:type="dxa" w:w="454"/>
          </w:tcPr>
          <w:p>
            <w:r>
              <w:rPr>
                <w:sz w:val="18"/>
              </w:rPr>
              <w:t>1</w:t>
            </w:r>
          </w:p>
        </w:tc>
        <w:tc>
          <w:tcPr>
            <w:tcW w:type="dxa" w:w="2041"/>
          </w:tcPr>
          <w:p>
            <w:r>
              <w:rPr>
                <w:sz w:val="18"/>
              </w:rPr>
              <w:t>Détection</w:t>
            </w:r>
          </w:p>
        </w:tc>
        <w:tc>
          <w:tcPr>
            <w:tcW w:type="dxa" w:w="6917"/>
          </w:tcPr>
          <w:p>
            <w:r>
              <w:rPr>
                <w:sz w:val="18"/>
              </w:rPr>
              <w:t>Recette du 12/06, scénario AUTH-05 : résultat observé non conforme → FAIL consigné</w:t>
            </w:r>
          </w:p>
        </w:tc>
      </w:tr>
      <w:tr>
        <w:tc>
          <w:tcPr>
            <w:tcW w:type="dxa" w:w="454"/>
          </w:tcPr>
          <w:p>
            <w:r>
              <w:rPr>
                <w:sz w:val="18"/>
              </w:rPr>
              <w:t>2</w:t>
            </w:r>
          </w:p>
        </w:tc>
        <w:tc>
          <w:tcPr>
            <w:tcW w:type="dxa" w:w="2041"/>
          </w:tcPr>
          <w:p>
            <w:r>
              <w:rPr>
                <w:sz w:val="18"/>
              </w:rPr>
              <w:t>Consignation</w:t>
            </w:r>
          </w:p>
        </w:tc>
        <w:tc>
          <w:tcPr>
            <w:tcW w:type="dxa" w:w="6917"/>
          </w:tcPr>
          <w:p>
            <w:r>
              <w:rPr>
                <w:sz w:val="18"/>
              </w:rPr>
              <w:t>Fiche BUG-011 (cf. §4.3) : reproduction en 3 étapes, gravité majeure</w:t>
            </w:r>
          </w:p>
        </w:tc>
      </w:tr>
      <w:tr>
        <w:tc>
          <w:tcPr>
            <w:tcW w:type="dxa" w:w="454"/>
          </w:tcPr>
          <w:p>
            <w:r>
              <w:rPr>
                <w:sz w:val="18"/>
              </w:rPr>
              <w:t>3</w:t>
            </w:r>
          </w:p>
        </w:tc>
        <w:tc>
          <w:tcPr>
            <w:tcW w:type="dxa" w:w="2041"/>
          </w:tcPr>
          <w:p>
            <w:r>
              <w:rPr>
                <w:sz w:val="18"/>
              </w:rPr>
              <w:t>Analyse</w:t>
            </w:r>
          </w:p>
        </w:tc>
        <w:tc>
          <w:tcPr>
            <w:tcW w:type="dxa" w:w="6917"/>
          </w:tcPr>
          <w:p>
            <w:r>
              <w:rPr>
                <w:sz w:val="18"/>
              </w:rPr>
              <w:t>Cause racine localisée dans l'intercepteur axios (confusion entre « session expirée » et « échec de connexion »)</w:t>
            </w:r>
          </w:p>
        </w:tc>
      </w:tr>
      <w:tr>
        <w:tc>
          <w:tcPr>
            <w:tcW w:type="dxa" w:w="454"/>
          </w:tcPr>
          <w:p>
            <w:r>
              <w:rPr>
                <w:sz w:val="18"/>
              </w:rPr>
              <w:t>4</w:t>
            </w:r>
          </w:p>
        </w:tc>
        <w:tc>
          <w:tcPr>
            <w:tcW w:type="dxa" w:w="2041"/>
          </w:tcPr>
          <w:p>
            <w:r>
              <w:rPr>
                <w:sz w:val="18"/>
              </w:rPr>
              <w:t>Correctif</w:t>
            </w:r>
          </w:p>
        </w:tc>
        <w:tc>
          <w:tcPr>
            <w:tcW w:type="dxa" w:w="6917"/>
          </w:tcPr>
          <w:p>
            <w:r>
              <w:rPr>
                <w:sz w:val="18"/>
              </w:rPr>
              <w:t>Modification ciblée de front/src/api.js sur develop ; le message d'erreur de l'API est désormais affiché par les formulaires</w:t>
            </w:r>
          </w:p>
        </w:tc>
      </w:tr>
      <w:tr>
        <w:tc>
          <w:tcPr>
            <w:tcW w:type="dxa" w:w="454"/>
          </w:tcPr>
          <w:p>
            <w:r>
              <w:rPr>
                <w:sz w:val="18"/>
              </w:rPr>
              <w:t>5</w:t>
            </w:r>
          </w:p>
        </w:tc>
        <w:tc>
          <w:tcPr>
            <w:tcW w:type="dxa" w:w="2041"/>
          </w:tcPr>
          <w:p>
            <w:r>
              <w:rPr>
                <w:sz w:val="18"/>
              </w:rPr>
              <w:t>Validation locale</w:t>
            </w:r>
          </w:p>
        </w:tc>
        <w:tc>
          <w:tcPr>
            <w:tcW w:type="dxa" w:w="6917"/>
          </w:tcPr>
          <w:p>
            <w:r>
              <w:rPr>
                <w:sz w:val="18"/>
              </w:rPr>
              <w:t>Suite Jest : 95/95 verts (non-régression) ; re-test manuel du scénario AUTH-05 : PASS</w:t>
            </w:r>
          </w:p>
        </w:tc>
      </w:tr>
      <w:tr>
        <w:tc>
          <w:tcPr>
            <w:tcW w:type="dxa" w:w="454"/>
          </w:tcPr>
          <w:p>
            <w:r>
              <w:rPr>
                <w:sz w:val="18"/>
              </w:rPr>
              <w:t>6</w:t>
            </w:r>
          </w:p>
        </w:tc>
        <w:tc>
          <w:tcPr>
            <w:tcW w:type="dxa" w:w="2041"/>
          </w:tcPr>
          <w:p>
            <w:r>
              <w:rPr>
                <w:sz w:val="18"/>
              </w:rPr>
              <w:t>Intégration continue</w:t>
            </w:r>
          </w:p>
        </w:tc>
        <w:tc>
          <w:tcPr>
            <w:tcW w:type="dxa" w:w="6917"/>
          </w:tcPr>
          <w:p>
            <w:r>
              <w:rPr>
                <w:sz w:val="18"/>
              </w:rPr>
              <w:t>Push → pipeline GitHub Actions : tests back (18) + front (95) bloquants</w:t>
            </w:r>
          </w:p>
        </w:tc>
      </w:tr>
      <w:tr>
        <w:tc>
          <w:tcPr>
            <w:tcW w:type="dxa" w:w="454"/>
          </w:tcPr>
          <w:p>
            <w:r>
              <w:rPr>
                <w:sz w:val="18"/>
              </w:rPr>
              <w:t>7</w:t>
            </w:r>
          </w:p>
        </w:tc>
        <w:tc>
          <w:tcPr>
            <w:tcW w:type="dxa" w:w="2041"/>
          </w:tcPr>
          <w:p>
            <w:r>
              <w:rPr>
                <w:sz w:val="18"/>
              </w:rPr>
              <w:t>Livraison</w:t>
            </w:r>
          </w:p>
        </w:tc>
        <w:tc>
          <w:tcPr>
            <w:tcW w:type="dxa" w:w="6917"/>
          </w:tcPr>
          <w:p>
            <w:r>
              <w:rPr>
                <w:sz w:val="18"/>
              </w:rPr>
              <w:t>Commit conventionnel « fix(front): … », entrée CHANGELOG v2.1.0, fusion</w:t>
            </w:r>
          </w:p>
        </w:tc>
      </w:tr>
      <w:tr>
        <w:tc>
          <w:tcPr>
            <w:tcW w:type="dxa" w:w="454"/>
          </w:tcPr>
          <w:p>
            <w:r>
              <w:rPr>
                <w:sz w:val="18"/>
              </w:rPr>
              <w:t>8</w:t>
            </w:r>
          </w:p>
        </w:tc>
        <w:tc>
          <w:tcPr>
            <w:tcW w:type="dxa" w:w="2041"/>
          </w:tcPr>
          <w:p>
            <w:r>
              <w:rPr>
                <w:sz w:val="18"/>
              </w:rPr>
              <w:t>Déploiement continu</w:t>
            </w:r>
          </w:p>
        </w:tc>
        <w:tc>
          <w:tcPr>
            <w:tcW w:type="dxa" w:w="6917"/>
          </w:tcPr>
          <w:p>
            <w:r>
              <w:rPr>
                <w:sz w:val="18"/>
              </w:rPr>
              <w:t>Fusion sur master → job deploy (SSH, deploy/deploy.sh) — le correctif part en production sans intervention manuelle</w:t>
            </w:r>
          </w:p>
        </w:tc>
      </w:tr>
      <w:tr>
        <w:tc>
          <w:tcPr>
            <w:tcW w:type="dxa" w:w="454"/>
          </w:tcPr>
          <w:p>
            <w:r>
              <w:rPr>
                <w:sz w:val="18"/>
              </w:rPr>
              <w:t>9</w:t>
            </w:r>
          </w:p>
        </w:tc>
        <w:tc>
          <w:tcPr>
            <w:tcW w:type="dxa" w:w="2041"/>
          </w:tcPr>
          <w:p>
            <w:r>
              <w:rPr>
                <w:sz w:val="18"/>
              </w:rPr>
              <w:t>Boucle de retour</w:t>
            </w:r>
          </w:p>
        </w:tc>
        <w:tc>
          <w:tcPr>
            <w:tcW w:type="dxa" w:w="6917"/>
          </w:tcPr>
          <w:p>
            <w:r>
              <w:rPr>
                <w:sz w:val="18"/>
              </w:rPr>
              <w:t>Le scénario AUTH-05 reste au cahier de recettes : toute réapparition serait détectée à la prochaine recette</w:t>
            </w:r>
          </w:p>
        </w:tc>
      </w:tr>
    </w:tbl>
    <w:p>
      <w:pPr>
        <w:spacing w:after="0"/>
      </w:pPr>
    </w:p>
    <w:p>
      <w:r>
        <w:rPr>
          <w:b w:val="0"/>
          <w:i w:val="0"/>
        </w:rPr>
        <w:t>Point clé : aucune étape manuelle entre la fusion et la production. Le même pipeline qui a validé le correctif est celui qui le déploie — le correctif livré est exactement celui qui a été testé.</w:t>
      </w:r>
    </w:p>
    <w:p>
      <w:r>
        <w:br w:type="page"/>
      </w:r>
    </w:p>
    <w:p>
      <w:pPr>
        <w:pStyle w:val="Heading1"/>
      </w:pPr>
      <w:r>
        <w:t>6. Journal des versions</w:t>
      </w:r>
    </w:p>
    <w:p>
      <w:pPr>
        <w:pStyle w:val="Heading2"/>
      </w:pPr>
      <w:r>
        <w:t>6.1 Règles de tenue</w:t>
      </w:r>
    </w:p>
    <w:p>
      <w:pPr>
        <w:pStyle w:val="ListBullet"/>
        <w:spacing w:after="40"/>
      </w:pPr>
      <w:r>
        <w:t>Format « Keep a Changelog » : sections Added / Fixed / Security / Changed par version, datées ;</w:t>
      </w:r>
    </w:p>
    <w:p>
      <w:pPr>
        <w:pStyle w:val="ListBullet"/>
        <w:spacing w:after="40"/>
      </w:pPr>
      <w:r>
        <w:t>Versionnage sémantique : majeure (refonte v2), mineure (lot de fonctionnalités), correctifs ;</w:t>
      </w:r>
    </w:p>
    <w:p>
      <w:pPr>
        <w:pStyle w:val="ListBullet"/>
        <w:spacing w:after="40"/>
      </w:pPr>
      <w:r>
        <w:t>Chaque correctif est documenté avec son identifiant d'anomalie (BUG-xxx) : le journal relie les versions au registre des anomalies ;</w:t>
      </w:r>
    </w:p>
    <w:p>
      <w:pPr>
        <w:pStyle w:val="ListBullet"/>
        <w:spacing w:after="40"/>
      </w:pPr>
      <w:r>
        <w:t>Chaque entrée correspond à des commits conventionnels traçables dans git (feat:, fix:, chore:…).</w:t>
      </w:r>
    </w:p>
    <w:p>
      <w:pPr>
        <w:pStyle w:val="Heading2"/>
      </w:pPr>
      <w:r>
        <w:t>6.2 Exemplaire : journal des versions du projet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fill="1F3A5F"/>
          </w:tcPr>
          <w:p>
            <w:r>
              <w:rPr>
                <w:b/>
                <w:color w:val="FFFFFF"/>
                <w:sz w:val="17"/>
              </w:rPr>
              <w:t>Version</w:t>
            </w:r>
          </w:p>
        </w:tc>
        <w:tc>
          <w:tcPr>
            <w:tcW w:type="dxa" w:w="1247"/>
            <w:shd w:fill="1F3A5F"/>
          </w:tcPr>
          <w:p>
            <w:r>
              <w:rPr>
                <w:b/>
                <w:color w:val="FFFFFF"/>
                <w:sz w:val="17"/>
              </w:rPr>
              <w:t>Date</w:t>
            </w:r>
          </w:p>
        </w:tc>
        <w:tc>
          <w:tcPr>
            <w:tcW w:type="dxa" w:w="4535"/>
            <w:shd w:fill="1F3A5F"/>
          </w:tcPr>
          <w:p>
            <w:r>
              <w:rPr>
                <w:b/>
                <w:color w:val="FFFFFF"/>
                <w:sz w:val="17"/>
              </w:rPr>
              <w:t>Améliorations apportées</w:t>
            </w:r>
          </w:p>
        </w:tc>
        <w:tc>
          <w:tcPr>
            <w:tcW w:type="dxa" w:w="2721"/>
            <w:shd w:fill="1F3A5F"/>
          </w:tcPr>
          <w:p>
            <w:r>
              <w:rPr>
                <w:b/>
                <w:color w:val="FFFFFF"/>
                <w:sz w:val="17"/>
              </w:rPr>
              <w:t>Correctifs documentés</w:t>
            </w:r>
          </w:p>
        </w:tc>
      </w:tr>
      <w:tr>
        <w:tc>
          <w:tcPr>
            <w:tcW w:type="dxa" w:w="907"/>
          </w:tcPr>
          <w:p>
            <w:r>
              <w:rPr>
                <w:sz w:val="17"/>
              </w:rPr>
              <w:t>2.1.0</w:t>
            </w:r>
          </w:p>
        </w:tc>
        <w:tc>
          <w:tcPr>
            <w:tcW w:type="dxa" w:w="1247"/>
          </w:tcPr>
          <w:p>
            <w:r>
              <w:rPr>
                <w:sz w:val="17"/>
              </w:rPr>
              <w:t>12/06/2026</w:t>
            </w:r>
          </w:p>
        </w:tc>
        <w:tc>
          <w:tcPr>
            <w:tcW w:type="dxa" w:w="4535"/>
          </w:tcPr>
          <w:p>
            <w:r>
              <w:rPr>
                <w:sz w:val="17"/>
              </w:rPr>
              <w:t>Durcissement sécurité : rate limiting, CORS restreint, en-têtes HTTP, politique de mot de passe, rotation des refresh tokens ; Symfony 7.4 LTS ; Dependabot ; accessibilité (audit RGAA outillé)</w:t>
            </w:r>
          </w:p>
        </w:tc>
        <w:tc>
          <w:tcPr>
            <w:tcW w:type="dxa" w:w="2721"/>
          </w:tcPr>
          <w:p>
            <w:r>
              <w:rPr>
                <w:sz w:val="17"/>
              </w:rPr>
              <w:t>BUG-009 à BUG-013 (KPI admin, CORS, connexion invisible, ratio NaN, clés React)</w:t>
            </w:r>
          </w:p>
        </w:tc>
      </w:tr>
      <w:tr>
        <w:tc>
          <w:tcPr>
            <w:tcW w:type="dxa" w:w="907"/>
          </w:tcPr>
          <w:p>
            <w:r>
              <w:rPr>
                <w:sz w:val="17"/>
              </w:rPr>
              <w:t>2.0.0</w:t>
            </w:r>
          </w:p>
        </w:tc>
        <w:tc>
          <w:tcPr>
            <w:tcW w:type="dxa" w:w="1247"/>
          </w:tcPr>
          <w:p>
            <w:r>
              <w:rPr>
                <w:sz w:val="17"/>
              </w:rPr>
              <w:t>10/06/2026</w:t>
            </w:r>
          </w:p>
        </w:tc>
        <w:tc>
          <w:tcPr>
            <w:tcW w:type="dxa" w:w="4535"/>
          </w:tcPr>
          <w:p>
            <w:r>
              <w:rPr>
                <w:sz w:val="17"/>
              </w:rPr>
              <w:t>Administration (KPI, rôles, synchronisation des items), i18n FR/EN administrable, routes partagées (24 h), compositions d'équipe, calculateur de craft, base de 12 000 items, profil, mode sombre, tutoriel, refonte UI</w:t>
            </w:r>
          </w:p>
        </w:tc>
        <w:tc>
          <w:tcPr>
            <w:tcW w:type="dxa" w:w="2721"/>
          </w:tcPr>
          <w:p>
            <w:r>
              <w:rPr>
                <w:sz w:val="17"/>
              </w:rPr>
              <w:t>—</w:t>
            </w:r>
          </w:p>
        </w:tc>
      </w:tr>
      <w:tr>
        <w:tc>
          <w:tcPr>
            <w:tcW w:type="dxa" w:w="907"/>
          </w:tcPr>
          <w:p>
            <w:r>
              <w:rPr>
                <w:sz w:val="17"/>
              </w:rPr>
              <w:t>1.2.0</w:t>
            </w:r>
          </w:p>
        </w:tc>
        <w:tc>
          <w:tcPr>
            <w:tcW w:type="dxa" w:w="1247"/>
          </w:tcPr>
          <w:p>
            <w:r>
              <w:rPr>
                <w:sz w:val="17"/>
              </w:rPr>
              <w:t>02/06/2026</w:t>
            </w:r>
          </w:p>
        </w:tc>
        <w:tc>
          <w:tcPr>
            <w:tcW w:type="dxa" w:w="4535"/>
          </w:tcPr>
          <w:p>
            <w:r>
              <w:rPr>
                <w:sz w:val="17"/>
              </w:rPr>
              <w:t>Couverture de tests étendue (back + front), cahier de recettes, documentation</w:t>
            </w:r>
          </w:p>
        </w:tc>
        <w:tc>
          <w:tcPr>
            <w:tcW w:type="dxa" w:w="2721"/>
          </w:tcPr>
          <w:p>
            <w:r>
              <w:rPr>
                <w:sz w:val="17"/>
              </w:rPr>
              <w:t>BUG-001 à BUG-008 (validation de jeton, healthcheck public, secret applicatif, CI, imports…)</w:t>
            </w:r>
          </w:p>
        </w:tc>
      </w:tr>
      <w:tr>
        <w:tc>
          <w:tcPr>
            <w:tcW w:type="dxa" w:w="907"/>
          </w:tcPr>
          <w:p>
            <w:r>
              <w:rPr>
                <w:sz w:val="17"/>
              </w:rPr>
              <w:t>1.1.0</w:t>
            </w:r>
          </w:p>
        </w:tc>
        <w:tc>
          <w:tcPr>
            <w:tcW w:type="dxa" w:w="1247"/>
          </w:tcPr>
          <w:p>
            <w:r>
              <w:rPr>
                <w:sz w:val="17"/>
              </w:rPr>
              <w:t>01/06/2026</w:t>
            </w:r>
          </w:p>
        </w:tc>
        <w:tc>
          <w:tcPr>
            <w:tcW w:type="dxa" w:w="4535"/>
          </w:tcPr>
          <w:p>
            <w:r>
              <w:rPr>
                <w:sz w:val="17"/>
              </w:rPr>
              <w:t>Supervision /api/health, canal de log incident, pipeline CI, premiers tests</w:t>
            </w:r>
          </w:p>
        </w:tc>
        <w:tc>
          <w:tcPr>
            <w:tcW w:type="dxa" w:w="2721"/>
          </w:tcPr>
          <w:p>
            <w:r>
              <w:rPr>
                <w:sz w:val="17"/>
              </w:rPr>
              <w:t>—</w:t>
            </w:r>
          </w:p>
        </w:tc>
      </w:tr>
      <w:tr>
        <w:tc>
          <w:tcPr>
            <w:tcW w:type="dxa" w:w="907"/>
          </w:tcPr>
          <w:p>
            <w:r>
              <w:rPr>
                <w:sz w:val="17"/>
              </w:rPr>
              <w:t>1.0.0</w:t>
            </w:r>
          </w:p>
        </w:tc>
        <w:tc>
          <w:tcPr>
            <w:tcW w:type="dxa" w:w="1247"/>
          </w:tcPr>
          <w:p>
            <w:r>
              <w:rPr>
                <w:sz w:val="17"/>
              </w:rPr>
              <w:t>02/2025</w:t>
            </w:r>
          </w:p>
        </w:tc>
        <w:tc>
          <w:tcPr>
            <w:tcW w:type="dxa" w:w="4535"/>
          </w:tcPr>
          <w:p>
            <w:r>
              <w:rPr>
                <w:sz w:val="17"/>
              </w:rPr>
              <w:t>Socle : authentification JWT, recherche joueurs/guildes, cartes</w:t>
            </w:r>
          </w:p>
        </w:tc>
        <w:tc>
          <w:tcPr>
            <w:tcW w:type="dxa" w:w="2721"/>
          </w:tcPr>
          <w:p>
            <w:r>
              <w:rPr>
                <w:sz w:val="17"/>
              </w:rPr>
              <w:t>—</w:t>
            </w:r>
          </w:p>
        </w:tc>
      </w:tr>
    </w:tbl>
    <w:p>
      <w:pPr>
        <w:spacing w:after="0"/>
      </w:pPr>
    </w:p>
    <w:p>
      <w:r>
        <w:rPr>
          <w:b w:val="0"/>
          <w:i w:val="0"/>
        </w:rPr>
        <w:t>Le fichier CHANGELOG.md complet est tenu à la racine du dépôt ; l'extrait ci-dessus montre que chaque évolution et chaque correctif déployé y est documenté, ce qui permet de suivre l'historique du logiciel version par version et de savoir précisément ce qui est en production.</w:t>
      </w:r>
    </w:p>
    <w:p>
      <w:r>
        <w:br w:type="page"/>
      </w:r>
    </w:p>
    <w:p>
      <w:pPr>
        <w:pStyle w:val="Heading1"/>
      </w:pPr>
      <w:r>
        <w:t>7. Recommandations argumentées d'amélioration</w:t>
      </w:r>
    </w:p>
    <w:p>
      <w:r>
        <w:rPr>
          <w:b w:val="0"/>
          <w:i w:val="0"/>
        </w:rPr>
        <w:t>Les recommandations ci-dessous s'appuient sur les indicateurs (audits de sécurité et d'accessibilité, métriques de la recette, retours utilisateurs) et sont chiffrées en effort pour permettre un arbitrage. Elles visent à renforcer l'attractivité et la robustesse du logiciel.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94"/>
            <w:shd w:fill="1F3A5F"/>
          </w:tcPr>
          <w:p>
            <w:r>
              <w:rPr>
                <w:b/>
                <w:color w:val="FFFFFF"/>
                <w:sz w:val="17"/>
              </w:rPr>
              <w:t>Recommandation</w:t>
            </w:r>
          </w:p>
        </w:tc>
        <w:tc>
          <w:tcPr>
            <w:tcW w:type="dxa" w:w="2608"/>
            <w:shd w:fill="1F3A5F"/>
          </w:tcPr>
          <w:p>
            <w:r>
              <w:rPr>
                <w:b/>
                <w:color w:val="FFFFFF"/>
                <w:sz w:val="17"/>
              </w:rPr>
              <w:t>Constat d'origine</w:t>
            </w:r>
          </w:p>
        </w:tc>
        <w:tc>
          <w:tcPr>
            <w:tcW w:type="dxa" w:w="2835"/>
            <w:shd w:fill="1F3A5F"/>
          </w:tcPr>
          <w:p>
            <w:r>
              <w:rPr>
                <w:b/>
                <w:color w:val="FFFFFF"/>
                <w:sz w:val="17"/>
              </w:rPr>
              <w:t>Gain attendu</w:t>
            </w:r>
          </w:p>
        </w:tc>
        <w:tc>
          <w:tcPr>
            <w:tcW w:type="dxa" w:w="1474"/>
            <w:shd w:fill="1F3A5F"/>
          </w:tcPr>
          <w:p>
            <w:r>
              <w:rPr>
                <w:b/>
                <w:color w:val="FFFFFF"/>
                <w:sz w:val="17"/>
              </w:rPr>
              <w:t>Effort</w:t>
            </w:r>
          </w:p>
        </w:tc>
      </w:tr>
      <w:tr>
        <w:tc>
          <w:tcPr>
            <w:tcW w:type="dxa" w:w="2494"/>
          </w:tcPr>
          <w:p>
            <w:r>
              <w:rPr>
                <w:sz w:val="17"/>
              </w:rPr>
              <w:t>Migrer les jetons vers des cookies httpOnly + SameSite</w:t>
            </w:r>
          </w:p>
        </w:tc>
        <w:tc>
          <w:tcPr>
            <w:tcW w:type="dxa" w:w="2608"/>
          </w:tcPr>
          <w:p>
            <w:r>
              <w:rPr>
                <w:sz w:val="17"/>
              </w:rPr>
              <w:t>Audit sécurité : localStorage exposé en cas de XSS (risque aujourd'hui mitigé : TTL 1 h + rotation)</w:t>
            </w:r>
          </w:p>
        </w:tc>
        <w:tc>
          <w:tcPr>
            <w:tcW w:type="dxa" w:w="2835"/>
          </w:tcPr>
          <w:p>
            <w:r>
              <w:rPr>
                <w:sz w:val="17"/>
              </w:rPr>
              <w:t>Suppression du principal risque résiduel de vol de session ; alignement sur l'état de l'art</w:t>
            </w:r>
          </w:p>
        </w:tc>
        <w:tc>
          <w:tcPr>
            <w:tcW w:type="dxa" w:w="1474"/>
          </w:tcPr>
          <w:p>
            <w:r>
              <w:rPr>
                <w:sz w:val="17"/>
              </w:rPr>
              <w:t>3-4 jours (back : émission des cookies ; front : retrait de la gestion manuelle)</w:t>
            </w:r>
          </w:p>
        </w:tc>
      </w:tr>
      <w:tr>
        <w:tc>
          <w:tcPr>
            <w:tcW w:type="dxa" w:w="2494"/>
          </w:tcPr>
          <w:p>
            <w:r>
              <w:rPr>
                <w:sz w:val="17"/>
              </w:rPr>
              <w:t>Sortir de Create React App vers Vite</w:t>
            </w:r>
          </w:p>
        </w:tc>
        <w:tc>
          <w:tcPr>
            <w:tcW w:type="dxa" w:w="2608"/>
          </w:tcPr>
          <w:p>
            <w:r>
              <w:rPr>
                <w:sz w:val="17"/>
              </w:rPr>
              <w:t>npm audit : vulnérabilités résiduelles dans la chaîne de build (dev uniquement) ; CRA n'est plus maintenu</w:t>
            </w:r>
          </w:p>
        </w:tc>
        <w:tc>
          <w:tcPr>
            <w:tcW w:type="dxa" w:w="2835"/>
          </w:tcPr>
          <w:p>
            <w:r>
              <w:rPr>
                <w:sz w:val="17"/>
              </w:rPr>
              <w:t>0 advisory front ; builds ~10× plus rapides ; outillage maintenu</w:t>
            </w:r>
          </w:p>
        </w:tc>
        <w:tc>
          <w:tcPr>
            <w:tcW w:type="dxa" w:w="1474"/>
          </w:tcPr>
          <w:p>
            <w:r>
              <w:rPr>
                <w:sz w:val="17"/>
              </w:rPr>
              <w:t>2-3 jours (migration de configuration + re-recette)</w:t>
            </w:r>
          </w:p>
        </w:tc>
      </w:tr>
      <w:tr>
        <w:tc>
          <w:tcPr>
            <w:tcW w:type="dxa" w:w="2494"/>
          </w:tcPr>
          <w:p>
            <w:r>
              <w:rPr>
                <w:sz w:val="17"/>
              </w:rPr>
              <w:t>Cache serveur des prix de marché (Redis ou cache Symfony)</w:t>
            </w:r>
          </w:p>
        </w:tc>
        <w:tc>
          <w:tcPr>
            <w:tcW w:type="dxa" w:w="2608"/>
          </w:tcPr>
          <w:p>
            <w:r>
              <w:rPr>
                <w:sz w:val="17"/>
              </w:rPr>
              <w:t>Le chargement des prix appelle l'API Albion pour 60 items ; latence perçue de quelques secondes</w:t>
            </w:r>
          </w:p>
        </w:tc>
        <w:tc>
          <w:tcPr>
            <w:tcW w:type="dxa" w:w="2835"/>
          </w:tcPr>
          <w:p>
            <w:r>
              <w:rPr>
                <w:sz w:val="17"/>
              </w:rPr>
              <w:t>Temps de réponse divisé (cache partagé entre utilisateurs), moindre dépendance aux quotas de l'API externe</w:t>
            </w:r>
          </w:p>
        </w:tc>
        <w:tc>
          <w:tcPr>
            <w:tcW w:type="dxa" w:w="1474"/>
          </w:tcPr>
          <w:p>
            <w:r>
              <w:rPr>
                <w:sz w:val="17"/>
              </w:rPr>
              <w:t>1-2 jours</w:t>
            </w:r>
          </w:p>
        </w:tc>
      </w:tr>
      <w:tr>
        <w:tc>
          <w:tcPr>
            <w:tcW w:type="dxa" w:w="2494"/>
          </w:tcPr>
          <w:p>
            <w:r>
              <w:rPr>
                <w:sz w:val="17"/>
              </w:rPr>
              <w:t>Finaliser les contrastes du tableau de craft (palette des pastilles)</w:t>
            </w:r>
          </w:p>
        </w:tc>
        <w:tc>
          <w:tcPr>
            <w:tcW w:type="dxa" w:w="2608"/>
          </w:tcPr>
          <w:p>
            <w:r>
              <w:rPr>
                <w:sz w:val="17"/>
              </w:rPr>
              <w:t>Audit axe-core : contraste 3,2:1 mesuré pour 4,5:1 requis (OBS-01)</w:t>
            </w:r>
          </w:p>
        </w:tc>
        <w:tc>
          <w:tcPr>
            <w:tcW w:type="dxa" w:w="2835"/>
          </w:tcPr>
          <w:p>
            <w:r>
              <w:rPr>
                <w:sz w:val="17"/>
              </w:rPr>
              <w:t>Conformité RGAA complète de la page la plus dense</w:t>
            </w:r>
          </w:p>
        </w:tc>
        <w:tc>
          <w:tcPr>
            <w:tcW w:type="dxa" w:w="1474"/>
          </w:tcPr>
          <w:p>
            <w:r>
              <w:rPr>
                <w:sz w:val="17"/>
              </w:rPr>
              <w:t>0,5 jour</w:t>
            </w:r>
          </w:p>
        </w:tc>
      </w:tr>
      <w:tr>
        <w:tc>
          <w:tcPr>
            <w:tcW w:type="dxa" w:w="2494"/>
          </w:tcPr>
          <w:p>
            <w:r>
              <w:rPr>
                <w:sz w:val="17"/>
              </w:rPr>
              <w:t>Étendre les tests d'API aux modules v2 (routes, compositions, craft)</w:t>
            </w:r>
          </w:p>
        </w:tc>
        <w:tc>
          <w:tcPr>
            <w:tcW w:type="dxa" w:w="2608"/>
          </w:tcPr>
          <w:p>
            <w:r>
              <w:rPr>
                <w:sz w:val="17"/>
              </w:rPr>
              <w:t>La couverture back est centrée sur l'authentification et la recherche</w:t>
            </w:r>
          </w:p>
        </w:tc>
        <w:tc>
          <w:tcPr>
            <w:tcW w:type="dxa" w:w="2835"/>
          </w:tcPr>
          <w:p>
            <w:r>
              <w:rPr>
                <w:sz w:val="17"/>
              </w:rPr>
              <w:t>Filet de non-régression complet sur les fonctionnalités les plus récentes</w:t>
            </w:r>
          </w:p>
        </w:tc>
        <w:tc>
          <w:tcPr>
            <w:tcW w:type="dxa" w:w="1474"/>
          </w:tcPr>
          <w:p>
            <w:r>
              <w:rPr>
                <w:sz w:val="17"/>
              </w:rPr>
              <w:t>2 jours</w:t>
            </w:r>
          </w:p>
        </w:tc>
      </w:tr>
      <w:tr>
        <w:tc>
          <w:tcPr>
            <w:tcW w:type="dxa" w:w="2494"/>
          </w:tcPr>
          <w:p>
            <w:r>
              <w:rPr>
                <w:sz w:val="17"/>
              </w:rPr>
              <w:t>Centraliser les erreurs front (Sentry ou équivalent)</w:t>
            </w:r>
          </w:p>
        </w:tc>
        <w:tc>
          <w:tcPr>
            <w:tcW w:type="dxa" w:w="2608"/>
          </w:tcPr>
          <w:p>
            <w:r>
              <w:rPr>
                <w:sz w:val="17"/>
              </w:rPr>
              <w:t>Les erreurs JavaScript des utilisateurs réels ne sont pas remontées</w:t>
            </w:r>
          </w:p>
        </w:tc>
        <w:tc>
          <w:tcPr>
            <w:tcW w:type="dxa" w:w="2835"/>
          </w:tcPr>
          <w:p>
            <w:r>
              <w:rPr>
                <w:sz w:val="17"/>
              </w:rPr>
              <w:t>Détection proactive des anomalies en production (complément de la supervision serveur)</w:t>
            </w:r>
          </w:p>
        </w:tc>
        <w:tc>
          <w:tcPr>
            <w:tcW w:type="dxa" w:w="1474"/>
          </w:tcPr>
          <w:p>
            <w:r>
              <w:rPr>
                <w:sz w:val="17"/>
              </w:rPr>
              <w:t>1 jour</w:t>
            </w:r>
          </w:p>
        </w:tc>
      </w:tr>
      <w:tr>
        <w:tc>
          <w:tcPr>
            <w:tcW w:type="dxa" w:w="2494"/>
          </w:tcPr>
          <w:p>
            <w:r>
              <w:rPr>
                <w:sz w:val="17"/>
              </w:rPr>
              <w:t>Sauvegarde automatisée de PostgreSQL (pg_dump quotidien + rétention)</w:t>
            </w:r>
          </w:p>
        </w:tc>
        <w:tc>
          <w:tcPr>
            <w:tcW w:type="dxa" w:w="2608"/>
          </w:tcPr>
          <w:p>
            <w:r>
              <w:rPr>
                <w:sz w:val="17"/>
              </w:rPr>
              <w:t>La supervision couvre la disponibilité mais pas la perte de données</w:t>
            </w:r>
          </w:p>
        </w:tc>
        <w:tc>
          <w:tcPr>
            <w:tcW w:type="dxa" w:w="2835"/>
          </w:tcPr>
          <w:p>
            <w:r>
              <w:rPr>
                <w:sz w:val="17"/>
              </w:rPr>
              <w:t>RPO ≤ 24 h en cas d'incident majeur ; restauration documentée</w:t>
            </w:r>
          </w:p>
        </w:tc>
        <w:tc>
          <w:tcPr>
            <w:tcW w:type="dxa" w:w="1474"/>
          </w:tcPr>
          <w:p>
            <w:r>
              <w:rPr>
                <w:sz w:val="17"/>
              </w:rPr>
              <w:t>0,5 jour</w:t>
            </w:r>
          </w:p>
        </w:tc>
      </w:tr>
    </w:tbl>
    <w:p>
      <w:pPr>
        <w:spacing w:after="0"/>
      </w:pPr>
    </w:p>
    <w:p>
      <w:r>
        <w:br w:type="page"/>
      </w:r>
    </w:p>
    <w:p>
      <w:pPr>
        <w:pStyle w:val="Heading1"/>
      </w:pPr>
      <w:r>
        <w:t>8. Exemple de problème résolu en collaboration avec le support</w:t>
      </w:r>
    </w:p>
    <w:p>
      <w:pPr>
        <w:pStyle w:val="Heading2"/>
      </w:pPr>
      <w:r>
        <w:t>8.1 Processus de support</w:t>
      </w:r>
    </w:p>
    <w:p>
      <w:r>
        <w:rPr>
          <w:b w:val="0"/>
          <w:i w:val="0"/>
        </w:rPr>
        <w:t>Les retours utilisateurs arrivent par deux canaux : le Discord de la guilde (utilisateurs réels du jeu, qui servent de testeurs de terrain) et les issues GitHub. Chaque retour est reformulé en fiche d'anomalie ou en demande d'évolution, puis suit le processus du §4. L'utilisateur à l'origine du signalement est systématiquement sollicité pour valider la résolution : c'est lui qui clôt le ticket.</w:t>
      </w:r>
    </w:p>
    <w:p>
      <w:pPr>
        <w:pStyle w:val="Heading2"/>
      </w:pPr>
      <w:r>
        <w:t>8.2 Cas traité</w:t>
      </w:r>
    </w:p>
    <w:tbl>
      <w:tblPr>
        <w:tblStyle w:val="TableGrid"/>
        <w:tblW w:type="auto" w:w="0"/>
        <w:jc w:val="center"/>
        <w:tblLook w:firstColumn="1" w:firstRow="1" w:lastColumn="0" w:lastRow="0" w:noHBand="0" w:noVBand="1" w:val="04A0"/>
      </w:tblPr>
      <w:tblGrid>
        <w:gridCol w:w="4873"/>
        <w:gridCol w:w="4873"/>
      </w:tblGrid>
      <w:tr>
        <w:tc>
          <w:tcPr>
            <w:tcW w:type="dxa" w:w="2041"/>
            <w:shd w:fill="8A6D1F"/>
          </w:tcPr>
          <w:p>
            <w:r>
              <w:rPr>
                <w:b/>
                <w:color w:val="FFFFFF"/>
                <w:sz w:val="18"/>
              </w:rPr>
              <w:t>Champ</w:t>
            </w:r>
          </w:p>
        </w:tc>
        <w:tc>
          <w:tcPr>
            <w:tcW w:type="dxa" w:w="7370"/>
            <w:shd w:fill="8A6D1F"/>
          </w:tcPr>
          <w:p>
            <w:r>
              <w:rPr>
                <w:b/>
                <w:color w:val="FFFFFF"/>
                <w:sz w:val="18"/>
              </w:rPr>
              <w:t>Contenu</w:t>
            </w:r>
          </w:p>
        </w:tc>
      </w:tr>
      <w:tr>
        <w:tc>
          <w:tcPr>
            <w:tcW w:type="dxa" w:w="2041"/>
          </w:tcPr>
          <w:p>
            <w:r>
              <w:rPr>
                <w:sz w:val="18"/>
              </w:rPr>
              <w:t>Contexte</w:t>
            </w:r>
          </w:p>
        </w:tc>
        <w:tc>
          <w:tcPr>
            <w:tcW w:type="dxa" w:w="7370"/>
          </w:tcPr>
          <w:p>
            <w:r>
              <w:rPr>
                <w:sz w:val="18"/>
              </w:rPr>
              <w:t>Un membre de la guilde (beta-testeur) signale sur Discord que le calculateur de craft affiche « N/A » comme prix de vente pour plusieurs recettes de raffinage lorsqu'il sélectionne la ville de Brecilien, rendant le calcul de bénéfice impossible pour son cas d'usage.</w:t>
            </w:r>
          </w:p>
        </w:tc>
      </w:tr>
      <w:tr>
        <w:tc>
          <w:tcPr>
            <w:tcW w:type="dxa" w:w="2041"/>
          </w:tcPr>
          <w:p>
            <w:r>
              <w:rPr>
                <w:sz w:val="18"/>
              </w:rPr>
              <w:t>Problème à résoudre</w:t>
            </w:r>
          </w:p>
        </w:tc>
        <w:tc>
          <w:tcPr>
            <w:tcW w:type="dxa" w:w="7370"/>
          </w:tcPr>
          <w:p>
            <w:r>
              <w:rPr>
                <w:sz w:val="18"/>
              </w:rPr>
              <w:t>Déterminer si l'anomalie vient du calculateur (bogue) ou des données : comprendre pourquoi certaines paires item/ville n'ont pas de prix.</w:t>
            </w:r>
          </w:p>
        </w:tc>
      </w:tr>
      <w:tr>
        <w:tc>
          <w:tcPr>
            <w:tcW w:type="dxa" w:w="2041"/>
          </w:tcPr>
          <w:p>
            <w:r>
              <w:rPr>
                <w:sz w:val="18"/>
              </w:rPr>
              <w:t>Diagnostic</w:t>
            </w:r>
          </w:p>
        </w:tc>
        <w:tc>
          <w:tcPr>
            <w:tcW w:type="dxa" w:w="7370"/>
          </w:tcPr>
          <w:p>
            <w:r>
              <w:rPr>
                <w:sz w:val="18"/>
              </w:rPr>
              <w:t>Reproduction avec les mêmes paramètres : le comportement est confirmé. Analyse des réponses de l'API de prix : l'API publique d'Albion ne renvoie aucune donnée pour certaines paires item/ville quand aucun ordre de vente n'existe sur ce marché — ce n'est pas un bogue du calculateur mais une absence réelle de données de marché.</w:t>
            </w:r>
          </w:p>
        </w:tc>
      </w:tr>
      <w:tr>
        <w:tc>
          <w:tcPr>
            <w:tcW w:type="dxa" w:w="2041"/>
          </w:tcPr>
          <w:p>
            <w:r>
              <w:rPr>
                <w:sz w:val="18"/>
              </w:rPr>
              <w:t>Résolution apportée</w:t>
            </w:r>
          </w:p>
        </w:tc>
        <w:tc>
          <w:tcPr>
            <w:tcW w:type="dxa" w:w="7370"/>
          </w:tcPr>
          <w:p>
            <w:r>
              <w:rPr>
                <w:sz w:val="18"/>
              </w:rPr>
              <w:t>1) Explication à l'utilisateur (le marché de Brecilien est peu actif sur ces items) ; 2) amélioration du produit : l'affichage « N/A » est conservé mais l'infobulle précise désormais « aucun ordre de vente sur ce marché » et le calcul de bénéfice ignore proprement ces lignes au lieu de les fausser ; 3) documentation du comportement dans le tutoriel de la page craft.</w:t>
            </w:r>
          </w:p>
        </w:tc>
      </w:tr>
      <w:tr>
        <w:tc>
          <w:tcPr>
            <w:tcW w:type="dxa" w:w="2041"/>
          </w:tcPr>
          <w:p>
            <w:r>
              <w:rPr>
                <w:sz w:val="18"/>
              </w:rPr>
              <w:t>Contribution des parties prenantes</w:t>
            </w:r>
          </w:p>
        </w:tc>
        <w:tc>
          <w:tcPr>
            <w:tcW w:type="dxa" w:w="7370"/>
          </w:tcPr>
          <w:p>
            <w:r>
              <w:rPr>
                <w:sz w:val="18"/>
              </w:rPr>
              <w:t>Utilisateur : signalement, fourniture des paramètres exacts (ville, items, qualité), validation finale en conditions réelles. Développeur : reproduction, diagnostic API, correctif d'affichage et documentation. La boucle signalement → diagnostic → correctif → validation par l'utilisateur s'est faite en 48 h.</w:t>
            </w:r>
          </w:p>
        </w:tc>
      </w:tr>
      <w:tr>
        <w:tc>
          <w:tcPr>
            <w:tcW w:type="dxa" w:w="2041"/>
          </w:tcPr>
          <w:p>
            <w:r>
              <w:rPr>
                <w:sz w:val="18"/>
              </w:rPr>
              <w:t>Bilan</w:t>
            </w:r>
          </w:p>
        </w:tc>
        <w:tc>
          <w:tcPr>
            <w:tcW w:type="dxa" w:w="7370"/>
          </w:tcPr>
          <w:p>
            <w:r>
              <w:rPr>
                <w:sz w:val="18"/>
              </w:rPr>
              <w:t>Le retour a transformé une incompréhension (« le calculateur est cassé ») en amélioration d'expérience (message explicite). Le cas a alimenté la recommandation de cache serveur des prix (§7), qui réduira aussi les cas de données manquantes transitoires.</w:t>
            </w:r>
          </w:p>
        </w:tc>
      </w:tr>
    </w:tbl>
    <w:p>
      <w:pPr>
        <w:spacing w:after="0"/>
      </w:pPr>
    </w:p>
    <w:p/>
    <w:p>
      <w:pPr>
        <w:pStyle w:val="Heading1"/>
      </w:pPr>
      <w:r>
        <w:t>Conclusion</w:t>
      </w:r>
    </w:p>
    <w:p>
      <w:r>
        <w:rPr>
          <w:b w:val="0"/>
          <w:i w:val="0"/>
        </w:rPr>
        <w:t>Le dispositif de maintien en condition opérationnelle d'Albion Helper repose sur quatre piliers qui se renforcent mutuellement : une supervision à deux sondes complémentaires (externe et interne) branchée sur un point de contrôle applicatif réel, avec signalements e-mail configurés et indicateurs cibles définis ; un processus de mise à jour des dépendances outillé et éprouvé (la sortie de Symfony 7.2 EOL vers 7.4 LTS a corrigé 36 advisories en une journée, validée par les tests) ; un processus de consignation des anomalies alimenté par six canaux de détection, dont les fiches normalisées ont fait leurs preuves sur treize anomalies réelles tracées du symptôme au déploiement du correctif ; et un journal des versions qui relie chaque évolution et chaque correctif à son commit et à sa version déployée. Les recommandations d'amélioration, chiffrées en effort et adossées aux constats d'audit, dessinent la feuille de route de maintenance des prochains mois.</w:t>
      </w: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Albion Helper — Dossier Bloc 4 — RNCP39583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8A6D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