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before="40" w:after="40"/>
        <w:pBdr>
          <w:bottom w:val="single" w:sz="18" w:space="1" w:color="C9A84C"/>
        </w:pBdr>
      </w:pPr>
    </w:p>
    <w:p>
      <w:pPr>
        <w:spacing w:after="40"/>
        <w:jc w:val="center"/>
      </w:pPr>
      <w:r>
        <w:rPr>
          <w:b w:val="0"/>
          <w:i w:val="0"/>
          <w:color w:val="5A4825"/>
          <w:sz w:val="26"/>
        </w:rPr>
        <w:t>Certification « Expert en développement logiciel »</w:t>
      </w:r>
    </w:p>
    <w:p>
      <w:pPr>
        <w:spacing w:after="360"/>
        <w:jc w:val="center"/>
      </w:pPr>
      <w:r>
        <w:rPr>
          <w:b/>
          <w:i w:val="0"/>
          <w:color w:val="8B6914"/>
          <w:sz w:val="26"/>
        </w:rPr>
        <w:t>RNCP39583 — Bloc 2 : Concevoir et développer des applications logicielles</w:t>
      </w:r>
    </w:p>
    <w:p>
      <w:pPr>
        <w:spacing w:after="80"/>
        <w:jc w:val="center"/>
      </w:pPr>
      <w:r>
        <w:rPr>
          <w:rFonts w:ascii="Palatino" w:hAnsi="Palatino"/>
          <w:b/>
          <w:i w:val="0"/>
          <w:color w:val="2D1A00"/>
          <w:sz w:val="80"/>
        </w:rPr>
        <w:t>Albion Helper</w:t>
      </w:r>
    </w:p>
    <w:p>
      <w:pPr>
        <w:spacing w:after="280"/>
        <w:jc w:val="center"/>
      </w:pPr>
      <w:r>
        <w:rPr>
          <w:b w:val="0"/>
          <w:i/>
          <w:color w:val="5A4825"/>
          <w:sz w:val="26"/>
        </w:rPr>
        <w:t>Application web d'assistance aux joueurs d'Albion Online</w:t>
      </w:r>
    </w:p>
    <w:p>
      <w:pPr>
        <w:spacing w:before="40" w:after="40"/>
        <w:pBdr>
          <w:bottom w:val="single" w:sz="18" w:space="1" w:color="C9A84C"/>
        </w:pBdr>
      </w:pPr>
    </w:p>
    <w:p/>
    <w:p>
      <w:pPr>
        <w:keepNext/>
        <w:spacing w:before="120" w:after="0"/>
        <w:jc w:val="center"/>
      </w:pPr>
      <w:r>
        <w:drawing>
          <wp:inline xmlns:a="http://schemas.openxmlformats.org/drawingml/2006/main" xmlns:pic="http://schemas.openxmlformats.org/drawingml/2006/picture">
            <wp:extent cx="5220000" cy="3262500"/>
            <wp:docPr id="1" name="Picture 1"/>
            <wp:cNvGraphicFramePr>
              <a:graphicFrameLocks noChangeAspect="1"/>
            </wp:cNvGraphicFramePr>
            <a:graphic>
              <a:graphicData uri="http://schemas.openxmlformats.org/drawingml/2006/picture">
                <pic:pic>
                  <pic:nvPicPr>
                    <pic:cNvPr id="0" name="v2-01-accueil-public.png"/>
                    <pic:cNvPicPr/>
                  </pic:nvPicPr>
                  <pic:blipFill>
                    <a:blip r:embed="rId10"/>
                    <a:stretch>
                      <a:fillRect/>
                    </a:stretch>
                  </pic:blipFill>
                  <pic:spPr>
                    <a:xfrm>
                      <a:off x="0" y="0"/>
                      <a:ext cx="5220000" cy="3262500"/>
                    </a:xfrm>
                    <a:prstGeom prst="rect"/>
                  </pic:spPr>
                </pic:pic>
              </a:graphicData>
            </a:graphic>
          </wp:inline>
        </w:drawing>
      </w:r>
    </w:p>
    <w:p>
      <w:pPr>
        <w:spacing w:after="160"/>
        <w:jc w:val="center"/>
      </w:pPr>
      <w:r>
        <w:rPr>
          <w:b w:val="0"/>
          <w:i/>
          <w:color w:val="5A4825"/>
          <w:sz w:val="17"/>
        </w:rPr>
        <w:t>Figure 1 — Accueil public — version 3.0 (thème « fantasy », interface 100 % internationalisée)</w:t>
      </w:r>
    </w:p>
    <w:p/>
    <w:p>
      <w:pPr>
        <w:spacing w:after="40"/>
        <w:jc w:val="center"/>
      </w:pPr>
      <w:r>
        <w:rPr>
          <w:b/>
          <w:i w:val="0"/>
          <w:sz w:val="26"/>
        </w:rPr>
        <w:t>Pierre Saugues</w:t>
      </w:r>
    </w:p>
    <w:p>
      <w:pPr>
        <w:spacing w:after="40"/>
        <w:jc w:val="center"/>
      </w:pPr>
      <w:r>
        <w:rPr>
          <w:b w:val="0"/>
          <w:i w:val="0"/>
          <w:color w:val="5A4825"/>
          <w:sz w:val="21"/>
        </w:rPr>
        <w:t>Ynov — Mastère 2 Informatique — Promotion 2025-2026</w:t>
      </w:r>
    </w:p>
    <w:p>
      <w:pPr>
        <w:spacing w:after="40"/>
        <w:jc w:val="center"/>
      </w:pPr>
      <w:r>
        <w:rPr>
          <w:b w:val="0"/>
          <w:i w:val="0"/>
          <w:color w:val="5A4825"/>
          <w:sz w:val="21"/>
        </w:rPr>
        <w:t>Juillet 2026 — v2 du dossier (application en version 3.0.0)</w:t>
      </w:r>
    </w:p>
    <w:p>
      <w:pPr>
        <w:jc w:val="center"/>
      </w:pPr>
      <w:r>
        <w:rPr>
          <w:b w:val="0"/>
          <w:i w:val="0"/>
          <w:color w:val="8B6914"/>
          <w:sz w:val="21"/>
        </w:rPr>
        <w:t>Code source : github.com/Perfweb-net/albion-helper</w:t>
      </w:r>
    </w:p>
    <w:p>
      <w:r>
        <w:br w:type="page"/>
      </w:r>
    </w:p>
    <w:p>
      <w:pPr>
        <w:pStyle w:val="Heading1"/>
      </w:pPr>
      <w:r>
        <w:t>Sommaire</w:t>
      </w:r>
    </w:p>
    <w:p>
      <w:r>
        <w:fldChar w:fldCharType="begin"/>
      </w:r>
      <w:r>
        <w:instrText xml:space="preserve">TOC \o "1-2" \h \z \u</w:instrText>
      </w:r>
      <w:r>
        <w:fldChar w:fldCharType="end"/>
      </w:r>
    </w:p>
    <w:p>
      <w:r>
        <w:rPr>
          <w:b w:val="0"/>
          <w:i/>
          <w:color w:val="5A4825"/>
          <w:sz w:val="17"/>
        </w:rPr>
        <w:t>(Sommaire à actualiser dans Word : clic droit → « Mettre à jour les champs », ou Cmd+A puis F9.)</w:t>
      </w:r>
    </w:p>
    <w:p>
      <w:r>
        <w:br w:type="page"/>
      </w:r>
    </w:p>
    <w:p>
      <w:pPr>
        <w:pStyle w:val="Heading1"/>
      </w:pPr>
      <w:r>
        <w:t>1. Présentation du projet et du prototype</w:t>
      </w:r>
    </w:p>
    <w:p>
      <w:r>
        <w:rPr>
          <w:b w:val="0"/>
          <w:i w:val="0"/>
        </w:rPr>
        <w:t>Albion Helper est une application web complète d'assistance aux joueurs du MMORPG Albion Online. Elle agrège les données publiques du jeu (joueurs, guildes, batailles, prix de marché) et y ajoute des outils collaboratifs : routes de farming partageables, compositions d'équipe, calculateur de rentabilité de craft. Le projet couvre l'intégralité du cycle de développement : cadrage, conception, développement, tests, recette, sécurisation, CI/CD et maintenance. La version présentée ici est la 3.0.0, qui ajoute le support des trois serveurs de jeu, l'analyse des batailles, les statistiques PvP de session et une interface disponible en 20 langues.</w:t>
      </w:r>
    </w:p>
    <w:p>
      <w:pPr>
        <w:pStyle w:val="Heading2"/>
      </w:pPr>
      <w:r>
        <w:t>1.1 Fonctionnalités du prototype</w:t>
      </w:r>
    </w:p>
    <w:tbl>
      <w:tblPr>
        <w:tblStyle w:val="TableGrid"/>
        <w:tblW w:type="auto" w:w="0"/>
        <w:jc w:val="center"/>
        <w:tblLayout w:type="fixed"/>
        <w:tblLook w:firstColumn="1" w:firstRow="1" w:lastColumn="0" w:lastRow="0" w:noHBand="0" w:noVBand="1" w:val="04A0"/>
        <w:tblCellMar>
          <w:top w:w="30" w:type="dxa"/>
          <w:left w:w="80" w:type="dxa"/>
          <w:bottom w:w="30" w:type="dxa"/>
          <w:right w:w="80" w:type="dxa"/>
        </w:tblCellMar>
      </w:tblPr>
      <w:tblGrid>
        <w:gridCol w:w="3213"/>
        <w:gridCol w:w="3213"/>
        <w:gridCol w:w="3213"/>
      </w:tblGrid>
      <w:tr>
        <w:tc>
          <w:tcPr>
            <w:tcW w:type="dxa" w:w="1807"/>
            <w:shd w:val="clear" w:fill="2D1A00"/>
          </w:tcPr>
          <w:p>
            <w:r/>
            <w:r>
              <w:rPr>
                <w:rFonts w:ascii="Palatino" w:hAnsi="Palatino"/>
                <w:b/>
                <w:color w:val="FFFFFF"/>
                <w:sz w:val="17"/>
              </w:rPr>
              <w:t>Fonctionnalité</w:t>
            </w:r>
          </w:p>
        </w:tc>
        <w:tc>
          <w:tcPr>
            <w:tcW w:type="dxa" w:w="6024"/>
            <w:shd w:val="clear" w:fill="2D1A00"/>
          </w:tcPr>
          <w:p>
            <w:r/>
            <w:r>
              <w:rPr>
                <w:rFonts w:ascii="Palatino" w:hAnsi="Palatino"/>
                <w:b/>
                <w:color w:val="FFFFFF"/>
                <w:sz w:val="17"/>
              </w:rPr>
              <w:t>Description</w:t>
            </w:r>
          </w:p>
        </w:tc>
        <w:tc>
          <w:tcPr>
            <w:tcW w:type="dxa" w:w="1807"/>
            <w:shd w:val="clear" w:fill="2D1A00"/>
          </w:tcPr>
          <w:p>
            <w:r/>
            <w:r>
              <w:rPr>
                <w:rFonts w:ascii="Palatino" w:hAnsi="Palatino"/>
                <w:b/>
                <w:color w:val="FFFFFF"/>
                <w:sz w:val="17"/>
              </w:rPr>
              <w:t>Accès</w:t>
            </w:r>
          </w:p>
        </w:tc>
      </w:tr>
      <w:tr>
        <w:tc>
          <w:tcPr>
            <w:tcW w:type="dxa" w:w="1807"/>
          </w:tcPr>
          <w:p>
            <w:r/>
            <w:r>
              <w:rPr>
                <w:sz w:val="17"/>
              </w:rPr>
              <w:t>Authentification</w:t>
            </w:r>
          </w:p>
        </w:tc>
        <w:tc>
          <w:tcPr>
            <w:tcW w:type="dxa" w:w="6024"/>
          </w:tcPr>
          <w:p>
            <w:r/>
            <w:r>
              <w:rPr>
                <w:sz w:val="17"/>
              </w:rPr>
              <w:t>Inscription, connexion JWT, refresh token, déconnexion</w:t>
            </w:r>
          </w:p>
        </w:tc>
        <w:tc>
          <w:tcPr>
            <w:tcW w:type="dxa" w:w="1807"/>
          </w:tcPr>
          <w:p>
            <w:r/>
            <w:r>
              <w:rPr>
                <w:sz w:val="17"/>
              </w:rPr>
              <w:t>Public</w:t>
            </w:r>
          </w:p>
        </w:tc>
      </w:tr>
      <w:tr>
        <w:tc>
          <w:tcPr>
            <w:tcW w:type="dxa" w:w="1807"/>
            <w:shd w:val="clear" w:fill="F7F0E0"/>
          </w:tcPr>
          <w:p>
            <w:r/>
            <w:r>
              <w:rPr>
                <w:sz w:val="17"/>
              </w:rPr>
              <w:t>Recherche de joueurs</w:t>
            </w:r>
          </w:p>
        </w:tc>
        <w:tc>
          <w:tcPr>
            <w:tcW w:type="dxa" w:w="6024"/>
            <w:shd w:val="clear" w:fill="F7F0E0"/>
          </w:tcPr>
          <w:p>
            <w:r/>
            <w:r>
              <w:rPr>
                <w:sz w:val="17"/>
              </w:rPr>
              <w:t>Statistiques PvP/PvE/Fame/Gathering via l'API Albion + rapport de session (kills, morts, classement d'équipe)</w:t>
            </w:r>
          </w:p>
        </w:tc>
        <w:tc>
          <w:tcPr>
            <w:tcW w:type="dxa" w:w="1807"/>
            <w:shd w:val="clear" w:fill="F7F0E0"/>
          </w:tcPr>
          <w:p>
            <w:r/>
            <w:r>
              <w:rPr>
                <w:sz w:val="17"/>
              </w:rPr>
              <w:t>Connecté</w:t>
            </w:r>
          </w:p>
        </w:tc>
      </w:tr>
      <w:tr>
        <w:tc>
          <w:tcPr>
            <w:tcW w:type="dxa" w:w="1807"/>
          </w:tcPr>
          <w:p>
            <w:r/>
            <w:r>
              <w:rPr>
                <w:sz w:val="17"/>
              </w:rPr>
              <w:t>Recherche de guildes</w:t>
            </w:r>
          </w:p>
        </w:tc>
        <w:tc>
          <w:tcPr>
            <w:tcW w:type="dxa" w:w="6024"/>
          </w:tcPr>
          <w:p>
            <w:r/>
            <w:r>
              <w:rPr>
                <w:sz w:val="17"/>
              </w:rPr>
              <w:t>Statistiques et liste des membres</w:t>
            </w:r>
          </w:p>
        </w:tc>
        <w:tc>
          <w:tcPr>
            <w:tcW w:type="dxa" w:w="1807"/>
          </w:tcPr>
          <w:p>
            <w:r/>
            <w:r>
              <w:rPr>
                <w:sz w:val="17"/>
              </w:rPr>
              <w:t>Connecté</w:t>
            </w:r>
          </w:p>
        </w:tc>
      </w:tr>
      <w:tr>
        <w:tc>
          <w:tcPr>
            <w:tcW w:type="dxa" w:w="1807"/>
            <w:shd w:val="clear" w:fill="F7F0E0"/>
          </w:tcPr>
          <w:p>
            <w:r/>
            <w:r>
              <w:rPr>
                <w:sz w:val="17"/>
              </w:rPr>
              <w:t>Batailles (v3)</w:t>
            </w:r>
          </w:p>
        </w:tc>
        <w:tc>
          <w:tcPr>
            <w:tcW w:type="dxa" w:w="6024"/>
            <w:shd w:val="clear" w:fill="F7F0E0"/>
          </w:tcPr>
          <w:p>
            <w:r/>
            <w:r>
              <w:rPr>
                <w:sz w:val="17"/>
              </w:rPr>
              <w:t>Recherche par guilde/alliance, liste des combats ZvZ (jour/semaine/mois), détail complet : top fragger, dégâts, soins</w:t>
            </w:r>
          </w:p>
        </w:tc>
        <w:tc>
          <w:tcPr>
            <w:tcW w:type="dxa" w:w="1807"/>
            <w:shd w:val="clear" w:fill="F7F0E0"/>
          </w:tcPr>
          <w:p>
            <w:r/>
            <w:r>
              <w:rPr>
                <w:sz w:val="17"/>
              </w:rPr>
              <w:t>Connecté</w:t>
            </w:r>
          </w:p>
        </w:tc>
      </w:tr>
      <w:tr>
        <w:tc>
          <w:tcPr>
            <w:tcW w:type="dxa" w:w="1807"/>
          </w:tcPr>
          <w:p>
            <w:r/>
            <w:r>
              <w:rPr>
                <w:sz w:val="17"/>
              </w:rPr>
              <w:t>Multi-serveur (v3)</w:t>
            </w:r>
          </w:p>
        </w:tc>
        <w:tc>
          <w:tcPr>
            <w:tcW w:type="dxa" w:w="6024"/>
          </w:tcPr>
          <w:p>
            <w:r/>
            <w:r>
              <w:rPr>
                <w:sz w:val="17"/>
              </w:rPr>
              <w:t>Sélecteur Americas / Europe / Asia — toutes les recherches sont paramétrées par serveur</w:t>
            </w:r>
          </w:p>
        </w:tc>
        <w:tc>
          <w:tcPr>
            <w:tcW w:type="dxa" w:w="1807"/>
          </w:tcPr>
          <w:p>
            <w:r/>
            <w:r>
              <w:rPr>
                <w:sz w:val="17"/>
              </w:rPr>
              <w:t>Connecté</w:t>
            </w:r>
          </w:p>
        </w:tc>
      </w:tr>
      <w:tr>
        <w:tc>
          <w:tcPr>
            <w:tcW w:type="dxa" w:w="1807"/>
            <w:shd w:val="clear" w:fill="F7F0E0"/>
          </w:tcPr>
          <w:p>
            <w:r/>
            <w:r>
              <w:rPr>
                <w:sz w:val="17"/>
              </w:rPr>
              <w:t>Exploration de cartes</w:t>
            </w:r>
          </w:p>
        </w:tc>
        <w:tc>
          <w:tcPr>
            <w:tcW w:type="dxa" w:w="6024"/>
            <w:shd w:val="clear" w:fill="F7F0E0"/>
          </w:tcPr>
          <w:p>
            <w:r/>
            <w:r>
              <w:rPr>
                <w:sz w:val="17"/>
              </w:rPr>
              <w:t>Recherche de zones, tiers, coffres, ressources, tunnels</w:t>
            </w:r>
          </w:p>
        </w:tc>
        <w:tc>
          <w:tcPr>
            <w:tcW w:type="dxa" w:w="1807"/>
            <w:shd w:val="clear" w:fill="F7F0E0"/>
          </w:tcPr>
          <w:p>
            <w:r/>
            <w:r>
              <w:rPr>
                <w:sz w:val="17"/>
              </w:rPr>
              <w:t>Connecté</w:t>
            </w:r>
          </w:p>
        </w:tc>
      </w:tr>
      <w:tr>
        <w:tc>
          <w:tcPr>
            <w:tcW w:type="dxa" w:w="1807"/>
          </w:tcPr>
          <w:p>
            <w:r/>
            <w:r>
              <w:rPr>
                <w:sz w:val="17"/>
              </w:rPr>
              <w:t>Routes de farming</w:t>
            </w:r>
          </w:p>
        </w:tc>
        <w:tc>
          <w:tcPr>
            <w:tcW w:type="dxa" w:w="6024"/>
          </w:tcPr>
          <w:p>
            <w:r/>
            <w:r>
              <w:rPr>
                <w:sz w:val="17"/>
              </w:rPr>
              <w:t>Jusqu'à 8 zones liées, minuteur par zone, expiration 24 h, partage par lien public</w:t>
            </w:r>
          </w:p>
        </w:tc>
        <w:tc>
          <w:tcPr>
            <w:tcW w:type="dxa" w:w="1807"/>
          </w:tcPr>
          <w:p>
            <w:r/>
            <w:r>
              <w:rPr>
                <w:sz w:val="17"/>
              </w:rPr>
              <w:t>Connecté (lien public)</w:t>
            </w:r>
          </w:p>
        </w:tc>
      </w:tr>
      <w:tr>
        <w:tc>
          <w:tcPr>
            <w:tcW w:type="dxa" w:w="1807"/>
            <w:shd w:val="clear" w:fill="F7F0E0"/>
          </w:tcPr>
          <w:p>
            <w:r/>
            <w:r>
              <w:rPr>
                <w:sz w:val="17"/>
              </w:rPr>
              <w:t>Compositions d'équipe</w:t>
            </w:r>
          </w:p>
        </w:tc>
        <w:tc>
          <w:tcPr>
            <w:tcW w:type="dxa" w:w="6024"/>
            <w:shd w:val="clear" w:fill="F7F0E0"/>
          </w:tcPr>
          <w:p>
            <w:r/>
            <w:r>
              <w:rPr>
                <w:sz w:val="17"/>
              </w:rPr>
              <w:t>Éditeur d'équipements (jusqu'à 100 joueurs), items localisés, visibilité privé/URL/public, export JPEG</w:t>
            </w:r>
          </w:p>
        </w:tc>
        <w:tc>
          <w:tcPr>
            <w:tcW w:type="dxa" w:w="1807"/>
            <w:shd w:val="clear" w:fill="F7F0E0"/>
          </w:tcPr>
          <w:p>
            <w:r/>
            <w:r>
              <w:rPr>
                <w:sz w:val="17"/>
              </w:rPr>
              <w:t>Connecté (lien public)</w:t>
            </w:r>
          </w:p>
        </w:tc>
      </w:tr>
      <w:tr>
        <w:tc>
          <w:tcPr>
            <w:tcW w:type="dxa" w:w="1807"/>
          </w:tcPr>
          <w:p>
            <w:r/>
            <w:r>
              <w:rPr>
                <w:sz w:val="17"/>
              </w:rPr>
              <w:t>Calculateur de craft</w:t>
            </w:r>
          </w:p>
        </w:tc>
        <w:tc>
          <w:tcPr>
            <w:tcW w:type="dxa" w:w="6024"/>
          </w:tcPr>
          <w:p>
            <w:r/>
            <w:r>
              <w:rPr>
                <w:sz w:val="17"/>
              </w:rPr>
              <w:t>Prix marché temps réel, taux de retour, focus, maîtrise, bénéfice par recette (noms d'objets traduits)</w:t>
            </w:r>
          </w:p>
        </w:tc>
        <w:tc>
          <w:tcPr>
            <w:tcW w:type="dxa" w:w="1807"/>
          </w:tcPr>
          <w:p>
            <w:r/>
            <w:r>
              <w:rPr>
                <w:sz w:val="17"/>
              </w:rPr>
              <w:t>Connecté</w:t>
            </w:r>
          </w:p>
        </w:tc>
      </w:tr>
      <w:tr>
        <w:tc>
          <w:tcPr>
            <w:tcW w:type="dxa" w:w="1807"/>
            <w:shd w:val="clear" w:fill="F7F0E0"/>
          </w:tcPr>
          <w:p>
            <w:r/>
            <w:r>
              <w:rPr>
                <w:sz w:val="17"/>
              </w:rPr>
              <w:t>Recherche d'items</w:t>
            </w:r>
          </w:p>
        </w:tc>
        <w:tc>
          <w:tcPr>
            <w:tcW w:type="dxa" w:w="6024"/>
            <w:shd w:val="clear" w:fill="F7F0E0"/>
          </w:tcPr>
          <w:p>
            <w:r/>
            <w:r>
              <w:rPr>
                <w:sz w:val="17"/>
              </w:rPr>
              <w:t>12 066 items synchronisés, prix par ville et qualité</w:t>
            </w:r>
          </w:p>
        </w:tc>
        <w:tc>
          <w:tcPr>
            <w:tcW w:type="dxa" w:w="1807"/>
            <w:shd w:val="clear" w:fill="F7F0E0"/>
          </w:tcPr>
          <w:p>
            <w:r/>
            <w:r>
              <w:rPr>
                <w:sz w:val="17"/>
              </w:rPr>
              <w:t>Connecté</w:t>
            </w:r>
          </w:p>
        </w:tc>
      </w:tr>
      <w:tr>
        <w:tc>
          <w:tcPr>
            <w:tcW w:type="dxa" w:w="1807"/>
          </w:tcPr>
          <w:p>
            <w:r/>
            <w:r>
              <w:rPr>
                <w:sz w:val="17"/>
              </w:rPr>
              <w:t>Administration</w:t>
            </w:r>
          </w:p>
        </w:tc>
        <w:tc>
          <w:tcPr>
            <w:tcW w:type="dxa" w:w="6024"/>
          </w:tcPr>
          <w:p>
            <w:r/>
            <w:r>
              <w:rPr>
                <w:sz w:val="17"/>
              </w:rPr>
              <w:t>KPI, gestion des comptes et rôles, synchronisation des items, 20 langues administrables</w:t>
            </w:r>
          </w:p>
        </w:tc>
        <w:tc>
          <w:tcPr>
            <w:tcW w:type="dxa" w:w="1807"/>
          </w:tcPr>
          <w:p>
            <w:r/>
            <w:r>
              <w:rPr>
                <w:sz w:val="17"/>
              </w:rPr>
              <w:t>ROLE_ADMIN</w:t>
            </w:r>
          </w:p>
        </w:tc>
      </w:tr>
      <w:tr>
        <w:tc>
          <w:tcPr>
            <w:tcW w:type="dxa" w:w="1807"/>
            <w:shd w:val="clear" w:fill="F7F0E0"/>
          </w:tcPr>
          <w:p>
            <w:r/>
            <w:r>
              <w:rPr>
                <w:sz w:val="17"/>
              </w:rPr>
              <w:t>Confort</w:t>
            </w:r>
          </w:p>
        </w:tc>
        <w:tc>
          <w:tcPr>
            <w:tcW w:type="dxa" w:w="6024"/>
            <w:shd w:val="clear" w:fill="F7F0E0"/>
          </w:tcPr>
          <w:p>
            <w:r/>
            <w:r>
              <w:rPr>
                <w:sz w:val="17"/>
              </w:rPr>
              <w:t>Mode sombre/clair persistant, i18n complet (20 langues), tutoriel public avec visite guidée</w:t>
            </w:r>
          </w:p>
        </w:tc>
        <w:tc>
          <w:tcPr>
            <w:tcW w:type="dxa" w:w="1807"/>
            <w:shd w:val="clear" w:fill="F7F0E0"/>
          </w:tcPr>
          <w:p>
            <w:r/>
            <w:r>
              <w:rPr>
                <w:sz w:val="17"/>
              </w:rPr>
              <w:t>Public</w:t>
            </w:r>
          </w:p>
        </w:tc>
      </w:tr>
    </w:tbl>
    <w:p>
      <w:pPr>
        <w:spacing w:after="40"/>
      </w:pPr>
    </w:p>
    <w:p>
      <w:pPr>
        <w:pStyle w:val="Heading2"/>
      </w:pPr>
      <w:r>
        <w:t>1.2 Spécificités ergonomiques et équipements ciblés</w:t>
      </w:r>
    </w:p>
    <w:p>
      <w:r>
        <w:rPr>
          <w:b w:val="0"/>
          <w:i w:val="0"/>
        </w:rPr>
        <w:t>L'interface est une SPA (Single Page Application) pensée d'abord pour un usage desktop — le public visé joue sur PC — mais entièrement responsive (grilles Material UI, menu tiroir en mobile). L'identité visuelle « fantasy » (palette or/brun, typographie Cinzel) reprend l'univers médiéval du jeu pour favoriser l'adhésion des utilisateurs. La navigation est regroupée en deux sous-menus (Exploration, Outils) pour rester lisible malgré la croissance fonctionnelle de la v3. Les états de chargement, les messages d'erreur contextualisés et la visite guidée interactive (react-joyride) accompagnent l'utilisateur à chaque étape.</w:t>
      </w:r>
    </w:p>
    <w:p>
      <w:pPr>
        <w:pStyle w:val="Heading2"/>
      </w:pPr>
      <w:r>
        <w:t>1.3 Aperçu des fonctionnalités principales</w:t>
      </w:r>
    </w:p>
    <w:p>
      <w:pPr>
        <w:keepNext/>
        <w:spacing w:before="120" w:after="0"/>
        <w:jc w:val="center"/>
      </w:pPr>
      <w:r>
        <w:drawing>
          <wp:inline xmlns:a="http://schemas.openxmlformats.org/drawingml/2006/main" xmlns:pic="http://schemas.openxmlformats.org/drawingml/2006/picture">
            <wp:extent cx="4896000" cy="3060000"/>
            <wp:docPr id="2" name="Picture 2"/>
            <wp:cNvGraphicFramePr>
              <a:graphicFrameLocks noChangeAspect="1"/>
            </wp:cNvGraphicFramePr>
            <a:graphic>
              <a:graphicData uri="http://schemas.openxmlformats.org/drawingml/2006/picture">
                <pic:pic>
                  <pic:nvPicPr>
                    <pic:cNvPr id="0" name="v2-02-dashboard-recherche.png"/>
                    <pic:cNvPicPr/>
                  </pic:nvPicPr>
                  <pic:blipFill>
                    <a:blip r:embed="rId11"/>
                    <a:stretch>
                      <a:fillRect/>
                    </a:stretch>
                  </pic:blipFill>
                  <pic:spPr>
                    <a:xfrm>
                      <a:off x="0" y="0"/>
                      <a:ext cx="4896000" cy="3060000"/>
                    </a:xfrm>
                    <a:prstGeom prst="rect"/>
                  </pic:spPr>
                </pic:pic>
              </a:graphicData>
            </a:graphic>
          </wp:inline>
        </w:drawing>
      </w:r>
    </w:p>
    <w:p>
      <w:pPr>
        <w:spacing w:after="160"/>
        <w:jc w:val="center"/>
      </w:pPr>
      <w:r>
        <w:rPr>
          <w:b w:val="0"/>
          <w:i/>
          <w:color w:val="5A4825"/>
          <w:sz w:val="17"/>
        </w:rPr>
        <w:t>Figure 2 — Dashboard : recherche unifiée joueurs / guildes / cartes (ici sur le serveur Americas)</w:t>
      </w:r>
    </w:p>
    <w:p>
      <w:pPr>
        <w:keepNext/>
        <w:spacing w:before="120" w:after="0"/>
        <w:jc w:val="center"/>
      </w:pPr>
      <w:r>
        <w:drawing>
          <wp:inline xmlns:a="http://schemas.openxmlformats.org/drawingml/2006/main" xmlns:pic="http://schemas.openxmlformats.org/drawingml/2006/picture">
            <wp:extent cx="4896000" cy="3060000"/>
            <wp:docPr id="3" name="Picture 3"/>
            <wp:cNvGraphicFramePr>
              <a:graphicFrameLocks noChangeAspect="1"/>
            </wp:cNvGraphicFramePr>
            <a:graphic>
              <a:graphicData uri="http://schemas.openxmlformats.org/drawingml/2006/picture">
                <pic:pic>
                  <pic:nvPicPr>
                    <pic:cNvPr id="0" name="v2-03-joueur.png"/>
                    <pic:cNvPicPr/>
                  </pic:nvPicPr>
                  <pic:blipFill>
                    <a:blip r:embed="rId12"/>
                    <a:stretch>
                      <a:fillRect/>
                    </a:stretch>
                  </pic:blipFill>
                  <pic:spPr>
                    <a:xfrm>
                      <a:off x="0" y="0"/>
                      <a:ext cx="4896000" cy="3060000"/>
                    </a:xfrm>
                    <a:prstGeom prst="rect"/>
                  </pic:spPr>
                </pic:pic>
              </a:graphicData>
            </a:graphic>
          </wp:inline>
        </w:drawing>
      </w:r>
    </w:p>
    <w:p>
      <w:pPr>
        <w:spacing w:after="160"/>
        <w:jc w:val="center"/>
      </w:pPr>
      <w:r>
        <w:rPr>
          <w:b w:val="0"/>
          <w:i/>
          <w:color w:val="5A4825"/>
          <w:sz w:val="17"/>
        </w:rPr>
        <w:t>Figure 3 — Fiche joueur : statistiques PvP, Fame, PvE, Gathering (API Albion temps réel, serveur Europe)</w:t>
      </w:r>
    </w:p>
    <w:p>
      <w:pPr>
        <w:keepNext/>
        <w:spacing w:before="120" w:after="0"/>
        <w:jc w:val="center"/>
      </w:pPr>
      <w:r>
        <w:drawing>
          <wp:inline xmlns:a="http://schemas.openxmlformats.org/drawingml/2006/main" xmlns:pic="http://schemas.openxmlformats.org/drawingml/2006/picture">
            <wp:extent cx="4896000" cy="3060000"/>
            <wp:docPr id="4" name="Picture 4"/>
            <wp:cNvGraphicFramePr>
              <a:graphicFrameLocks noChangeAspect="1"/>
            </wp:cNvGraphicFramePr>
            <a:graphic>
              <a:graphicData uri="http://schemas.openxmlformats.org/drawingml/2006/picture">
                <pic:pic>
                  <pic:nvPicPr>
                    <pic:cNvPr id="0" name="v2-03b-joueur-session.png"/>
                    <pic:cNvPicPr/>
                  </pic:nvPicPr>
                  <pic:blipFill>
                    <a:blip r:embed="rId13"/>
                    <a:stretch>
                      <a:fillRect/>
                    </a:stretch>
                  </pic:blipFill>
                  <pic:spPr>
                    <a:xfrm>
                      <a:off x="0" y="0"/>
                      <a:ext cx="4896000" cy="3060000"/>
                    </a:xfrm>
                    <a:prstGeom prst="rect"/>
                  </pic:spPr>
                </pic:pic>
              </a:graphicData>
            </a:graphic>
          </wp:inline>
        </w:drawing>
      </w:r>
    </w:p>
    <w:p>
      <w:pPr>
        <w:spacing w:after="160"/>
        <w:jc w:val="center"/>
      </w:pPr>
      <w:r>
        <w:rPr>
          <w:b w:val="0"/>
          <w:i/>
          <w:color w:val="5A4825"/>
          <w:sz w:val="17"/>
        </w:rPr>
        <w:t>Figure 4 — Rapport de session PvP (v3) : kills/morts analysés, fame nette, classement de l'équipe</w:t>
      </w:r>
    </w:p>
    <w:p>
      <w:pPr>
        <w:keepNext/>
        <w:spacing w:before="120" w:after="0"/>
        <w:jc w:val="center"/>
      </w:pPr>
      <w:r>
        <w:drawing>
          <wp:inline xmlns:a="http://schemas.openxmlformats.org/drawingml/2006/main" xmlns:pic="http://schemas.openxmlformats.org/drawingml/2006/picture">
            <wp:extent cx="4896000" cy="3060000"/>
            <wp:docPr id="5" name="Picture 5"/>
            <wp:cNvGraphicFramePr>
              <a:graphicFrameLocks noChangeAspect="1"/>
            </wp:cNvGraphicFramePr>
            <a:graphic>
              <a:graphicData uri="http://schemas.openxmlformats.org/drawingml/2006/picture">
                <pic:pic>
                  <pic:nvPicPr>
                    <pic:cNvPr id="0" name="v2-05-bataille-detail.png"/>
                    <pic:cNvPicPr/>
                  </pic:nvPicPr>
                  <pic:blipFill>
                    <a:blip r:embed="rId14"/>
                    <a:stretch>
                      <a:fillRect/>
                    </a:stretch>
                  </pic:blipFill>
                  <pic:spPr>
                    <a:xfrm>
                      <a:off x="0" y="0"/>
                      <a:ext cx="4896000" cy="3060000"/>
                    </a:xfrm>
                    <a:prstGeom prst="rect"/>
                  </pic:spPr>
                </pic:pic>
              </a:graphicData>
            </a:graphic>
          </wp:inline>
        </w:drawing>
      </w:r>
    </w:p>
    <w:p>
      <w:pPr>
        <w:spacing w:after="160"/>
        <w:jc w:val="center"/>
      </w:pPr>
      <w:r>
        <w:rPr>
          <w:b w:val="0"/>
          <w:i/>
          <w:color w:val="5A4825"/>
          <w:sz w:val="17"/>
        </w:rPr>
        <w:t>Figure 5 — Détail d'une bataille ZvZ (v3) : 40 joueurs, top fragger, meilleur soigneur, tableau complet</w:t>
      </w:r>
    </w:p>
    <w:p>
      <w:pPr>
        <w:keepNext/>
        <w:spacing w:before="120" w:after="0"/>
        <w:jc w:val="center"/>
      </w:pPr>
      <w:r>
        <w:drawing>
          <wp:inline xmlns:a="http://schemas.openxmlformats.org/drawingml/2006/main" xmlns:pic="http://schemas.openxmlformats.org/drawingml/2006/picture">
            <wp:extent cx="4896000" cy="3060000"/>
            <wp:docPr id="6" name="Picture 6"/>
            <wp:cNvGraphicFramePr>
              <a:graphicFrameLocks noChangeAspect="1"/>
            </wp:cNvGraphicFramePr>
            <a:graphic>
              <a:graphicData uri="http://schemas.openxmlformats.org/drawingml/2006/picture">
                <pic:pic>
                  <pic:nvPicPr>
                    <pic:cNvPr id="0" name="v2-07-routes.png"/>
                    <pic:cNvPicPr/>
                  </pic:nvPicPr>
                  <pic:blipFill>
                    <a:blip r:embed="rId15"/>
                    <a:stretch>
                      <a:fillRect/>
                    </a:stretch>
                  </pic:blipFill>
                  <pic:spPr>
                    <a:xfrm>
                      <a:off x="0" y="0"/>
                      <a:ext cx="4896000" cy="3060000"/>
                    </a:xfrm>
                    <a:prstGeom prst="rect"/>
                  </pic:spPr>
                </pic:pic>
              </a:graphicData>
            </a:graphic>
          </wp:inline>
        </w:drawing>
      </w:r>
    </w:p>
    <w:p>
      <w:pPr>
        <w:spacing w:after="160"/>
        <w:jc w:val="center"/>
      </w:pPr>
      <w:r>
        <w:rPr>
          <w:b w:val="0"/>
          <w:i/>
          <w:color w:val="5A4825"/>
          <w:sz w:val="17"/>
        </w:rPr>
        <w:t>Figure 6 — Routes de farming : zones ordonnées, minuteurs, expiration 24 h (route créée pour cette recette)</w:t>
      </w:r>
    </w:p>
    <w:p>
      <w:pPr>
        <w:keepNext/>
        <w:spacing w:before="120" w:after="0"/>
        <w:jc w:val="center"/>
      </w:pPr>
      <w:r>
        <w:drawing>
          <wp:inline xmlns:a="http://schemas.openxmlformats.org/drawingml/2006/main" xmlns:pic="http://schemas.openxmlformats.org/drawingml/2006/picture">
            <wp:extent cx="4896000" cy="3060000"/>
            <wp:docPr id="7" name="Picture 7"/>
            <wp:cNvGraphicFramePr>
              <a:graphicFrameLocks noChangeAspect="1"/>
            </wp:cNvGraphicFramePr>
            <a:graphic>
              <a:graphicData uri="http://schemas.openxmlformats.org/drawingml/2006/picture">
                <pic:pic>
                  <pic:nvPicPr>
                    <pic:cNvPr id="0" name="v2-08-composition.png"/>
                    <pic:cNvPicPr/>
                  </pic:nvPicPr>
                  <pic:blipFill>
                    <a:blip r:embed="rId16"/>
                    <a:stretch>
                      <a:fillRect/>
                    </a:stretch>
                  </pic:blipFill>
                  <pic:spPr>
                    <a:xfrm>
                      <a:off x="0" y="0"/>
                      <a:ext cx="4896000" cy="3060000"/>
                    </a:xfrm>
                    <a:prstGeom prst="rect"/>
                  </pic:spPr>
                </pic:pic>
              </a:graphicData>
            </a:graphic>
          </wp:inline>
        </w:drawing>
      </w:r>
    </w:p>
    <w:p>
      <w:pPr>
        <w:spacing w:after="160"/>
        <w:jc w:val="center"/>
      </w:pPr>
      <w:r>
        <w:rPr>
          <w:b w:val="0"/>
          <w:i/>
          <w:color w:val="5A4825"/>
          <w:sz w:val="17"/>
        </w:rPr>
        <w:t>Figure 7 — Éditeur de composition : slots d'équipement avec icônes officielles, visibilité, export JPEG</w:t>
      </w:r>
    </w:p>
    <w:p>
      <w:pPr>
        <w:keepNext/>
        <w:spacing w:before="120" w:after="0"/>
        <w:jc w:val="center"/>
      </w:pPr>
      <w:r>
        <w:drawing>
          <wp:inline xmlns:a="http://schemas.openxmlformats.org/drawingml/2006/main" xmlns:pic="http://schemas.openxmlformats.org/drawingml/2006/picture">
            <wp:extent cx="4896000" cy="3060000"/>
            <wp:docPr id="8" name="Picture 8"/>
            <wp:cNvGraphicFramePr>
              <a:graphicFrameLocks noChangeAspect="1"/>
            </wp:cNvGraphicFramePr>
            <a:graphic>
              <a:graphicData uri="http://schemas.openxmlformats.org/drawingml/2006/picture">
                <pic:pic>
                  <pic:nvPicPr>
                    <pic:cNvPr id="0" name="v2-09-craft.png"/>
                    <pic:cNvPicPr/>
                  </pic:nvPicPr>
                  <pic:blipFill>
                    <a:blip r:embed="rId17"/>
                    <a:stretch>
                      <a:fillRect/>
                    </a:stretch>
                  </pic:blipFill>
                  <pic:spPr>
                    <a:xfrm>
                      <a:off x="0" y="0"/>
                      <a:ext cx="4896000" cy="3060000"/>
                    </a:xfrm>
                    <a:prstGeom prst="rect"/>
                  </pic:spPr>
                </pic:pic>
              </a:graphicData>
            </a:graphic>
          </wp:inline>
        </w:drawing>
      </w:r>
    </w:p>
    <w:p>
      <w:pPr>
        <w:spacing w:after="160"/>
        <w:jc w:val="center"/>
      </w:pPr>
      <w:r>
        <w:rPr>
          <w:b w:val="0"/>
          <w:i/>
          <w:color w:val="5A4825"/>
          <w:sz w:val="17"/>
        </w:rPr>
        <w:t>Figure 8 — Calculateur de craft : prix marché réels, noms d'objets localisés, bénéfice par recette</w:t>
      </w:r>
    </w:p>
    <w:p>
      <w:pPr>
        <w:keepNext/>
        <w:spacing w:before="120" w:after="0"/>
        <w:jc w:val="center"/>
      </w:pPr>
      <w:r>
        <w:drawing>
          <wp:inline xmlns:a="http://schemas.openxmlformats.org/drawingml/2006/main" xmlns:pic="http://schemas.openxmlformats.org/drawingml/2006/picture">
            <wp:extent cx="4896000" cy="3060000"/>
            <wp:docPr id="9" name="Picture 9"/>
            <wp:cNvGraphicFramePr>
              <a:graphicFrameLocks noChangeAspect="1"/>
            </wp:cNvGraphicFramePr>
            <a:graphic>
              <a:graphicData uri="http://schemas.openxmlformats.org/drawingml/2006/picture">
                <pic:pic>
                  <pic:nvPicPr>
                    <pic:cNvPr id="0" name="v2-12-admin.png"/>
                    <pic:cNvPicPr/>
                  </pic:nvPicPr>
                  <pic:blipFill>
                    <a:blip r:embed="rId18"/>
                    <a:stretch>
                      <a:fillRect/>
                    </a:stretch>
                  </pic:blipFill>
                  <pic:spPr>
                    <a:xfrm>
                      <a:off x="0" y="0"/>
                      <a:ext cx="4896000" cy="3060000"/>
                    </a:xfrm>
                    <a:prstGeom prst="rect"/>
                  </pic:spPr>
                </pic:pic>
              </a:graphicData>
            </a:graphic>
          </wp:inline>
        </w:drawing>
      </w:r>
    </w:p>
    <w:p>
      <w:pPr>
        <w:spacing w:after="160"/>
        <w:jc w:val="center"/>
      </w:pPr>
      <w:r>
        <w:rPr>
          <w:b w:val="0"/>
          <w:i/>
          <w:color w:val="5A4825"/>
          <w:sz w:val="17"/>
        </w:rPr>
        <w:t>Figure 9 — Administration : KPI temps réel, synchronisation des items, gestion des langues</w:t>
      </w:r>
    </w:p>
    <w:tbl>
      <w:tblPr>
        <w:tblW w:type="auto" w:w="0"/>
        <w:jc w:val="center"/>
        <w:tblLook w:firstColumn="1" w:firstRow="1" w:lastColumn="0" w:lastRow="0" w:noHBand="0" w:noVBand="1" w:val="04A0"/>
      </w:tblPr>
      <w:tblGrid>
        <w:gridCol w:w="4819"/>
        <w:gridCol w:w="4819"/>
      </w:tblGrid>
      <w:tr>
        <w:tc>
          <w:tcPr>
            <w:tcW w:type="dxa" w:w="4819"/>
          </w:tcPr>
          <w:p>
            <w:pPr>
              <w:jc w:val="center"/>
            </w:pPr>
            <w:r/>
            <w:r>
              <w:drawing>
                <wp:inline xmlns:a="http://schemas.openxmlformats.org/drawingml/2006/main" xmlns:pic="http://schemas.openxmlformats.org/drawingml/2006/picture">
                  <wp:extent cx="2916000" cy="1822500"/>
                  <wp:docPr id="10" name="Picture 10"/>
                  <wp:cNvGraphicFramePr>
                    <a:graphicFrameLocks noChangeAspect="1"/>
                  </wp:cNvGraphicFramePr>
                  <a:graphic>
                    <a:graphicData uri="http://schemas.openxmlformats.org/drawingml/2006/picture">
                      <pic:pic>
                        <pic:nvPicPr>
                          <pic:cNvPr id="0" name="v2-10-menu-langues.png"/>
                          <pic:cNvPicPr/>
                        </pic:nvPicPr>
                        <pic:blipFill>
                          <a:blip r:embed="rId19"/>
                          <a:stretch>
                            <a:fillRect/>
                          </a:stretch>
                        </pic:blipFill>
                        <pic:spPr>
                          <a:xfrm>
                            <a:off x="0" y="0"/>
                            <a:ext cx="2916000" cy="1822500"/>
                          </a:xfrm>
                          <a:prstGeom prst="rect"/>
                        </pic:spPr>
                      </pic:pic>
                    </a:graphicData>
                  </a:graphic>
                </wp:inline>
              </w:drawing>
            </w:r>
          </w:p>
        </w:tc>
        <w:tc>
          <w:tcPr>
            <w:tcW w:type="dxa" w:w="4819"/>
          </w:tcPr>
          <w:p>
            <w:pPr>
              <w:jc w:val="center"/>
            </w:pPr>
            <w:r/>
            <w:r>
              <w:drawing>
                <wp:inline xmlns:a="http://schemas.openxmlformats.org/drawingml/2006/main" xmlns:pic="http://schemas.openxmlformats.org/drawingml/2006/picture">
                  <wp:extent cx="2916000" cy="1822500"/>
                  <wp:docPr id="11" name="Picture 11"/>
                  <wp:cNvGraphicFramePr>
                    <a:graphicFrameLocks noChangeAspect="1"/>
                  </wp:cNvGraphicFramePr>
                  <a:graphic>
                    <a:graphicData uri="http://schemas.openxmlformats.org/drawingml/2006/picture">
                      <pic:pic>
                        <pic:nvPicPr>
                          <pic:cNvPr id="0" name="v2-11-menu-serveur.png"/>
                          <pic:cNvPicPr/>
                        </pic:nvPicPr>
                        <pic:blipFill>
                          <a:blip r:embed="rId20"/>
                          <a:stretch>
                            <a:fillRect/>
                          </a:stretch>
                        </pic:blipFill>
                        <pic:spPr>
                          <a:xfrm>
                            <a:off x="0" y="0"/>
                            <a:ext cx="2916000" cy="1822500"/>
                          </a:xfrm>
                          <a:prstGeom prst="rect"/>
                        </pic:spPr>
                      </pic:pic>
                    </a:graphicData>
                  </a:graphic>
                </wp:inline>
              </w:drawing>
            </w:r>
          </w:p>
        </w:tc>
      </w:tr>
      <w:tr>
        <w:tc>
          <w:tcPr>
            <w:tcW w:type="dxa" w:w="4819"/>
          </w:tcPr>
          <w:p>
            <w:pPr>
              <w:jc w:val="center"/>
            </w:pPr>
            <w:r/>
            <w:r>
              <w:rPr>
                <w:i/>
                <w:color w:val="5A4825"/>
                <w:sz w:val="17"/>
              </w:rPr>
              <w:t>Figure 10 — 20 langues d'interface administrables</w:t>
            </w:r>
          </w:p>
        </w:tc>
        <w:tc>
          <w:tcPr>
            <w:tcW w:type="dxa" w:w="4819"/>
          </w:tcPr>
          <w:p>
            <w:pPr>
              <w:jc w:val="center"/>
            </w:pPr>
            <w:r/>
            <w:r>
              <w:rPr>
                <w:i/>
                <w:color w:val="5A4825"/>
                <w:sz w:val="17"/>
              </w:rPr>
              <w:t>Figure 11 — Sélecteur de serveur de jeu (v3)</w:t>
            </w:r>
          </w:p>
        </w:tc>
      </w:tr>
    </w:tbl>
    <w:p>
      <w:pPr>
        <w:spacing w:after="40"/>
      </w:pPr>
    </w:p>
    <w:p>
      <w:pPr>
        <w:pStyle w:val="Heading1"/>
      </w:pPr>
      <w:r>
        <w:t>2. Frameworks et paradigmes de développement</w:t>
      </w:r>
    </w:p>
    <w:p>
      <w:pPr>
        <w:pStyle w:val="Heading2"/>
      </w:pPr>
      <w:r>
        <w:t>2.1 Choix des frameworks</w:t>
      </w:r>
    </w:p>
    <w:tbl>
      <w:tblPr>
        <w:tblStyle w:val="TableGrid"/>
        <w:tblW w:type="auto" w:w="0"/>
        <w:jc w:val="center"/>
        <w:tblLayout w:type="fixed"/>
        <w:tblLook w:firstColumn="1" w:firstRow="1" w:lastColumn="0" w:lastRow="0" w:noHBand="0" w:noVBand="1" w:val="04A0"/>
        <w:tblCellMar>
          <w:top w:w="30" w:type="dxa"/>
          <w:left w:w="80" w:type="dxa"/>
          <w:bottom w:w="30" w:type="dxa"/>
          <w:right w:w="80" w:type="dxa"/>
        </w:tblCellMar>
      </w:tblPr>
      <w:tblGrid>
        <w:gridCol w:w="3213"/>
        <w:gridCol w:w="3213"/>
        <w:gridCol w:w="3213"/>
      </w:tblGrid>
      <w:tr>
        <w:tc>
          <w:tcPr>
            <w:tcW w:type="dxa" w:w="1554"/>
            <w:shd w:val="clear" w:fill="2D1A00"/>
          </w:tcPr>
          <w:p>
            <w:r/>
            <w:r>
              <w:rPr>
                <w:rFonts w:ascii="Palatino" w:hAnsi="Palatino"/>
                <w:b/>
                <w:color w:val="FFFFFF"/>
                <w:sz w:val="17"/>
              </w:rPr>
              <w:t>Couche</w:t>
            </w:r>
          </w:p>
        </w:tc>
        <w:tc>
          <w:tcPr>
            <w:tcW w:type="dxa" w:w="2487"/>
            <w:shd w:val="clear" w:fill="2D1A00"/>
          </w:tcPr>
          <w:p>
            <w:r/>
            <w:r>
              <w:rPr>
                <w:rFonts w:ascii="Palatino" w:hAnsi="Palatino"/>
                <w:b/>
                <w:color w:val="FFFFFF"/>
                <w:sz w:val="17"/>
              </w:rPr>
              <w:t>Technologie</w:t>
            </w:r>
          </w:p>
        </w:tc>
        <w:tc>
          <w:tcPr>
            <w:tcW w:type="dxa" w:w="5596"/>
            <w:shd w:val="clear" w:fill="2D1A00"/>
          </w:tcPr>
          <w:p>
            <w:r/>
            <w:r>
              <w:rPr>
                <w:rFonts w:ascii="Palatino" w:hAnsi="Palatino"/>
                <w:b/>
                <w:color w:val="FFFFFF"/>
                <w:sz w:val="17"/>
              </w:rPr>
              <w:t>Justification</w:t>
            </w:r>
          </w:p>
        </w:tc>
      </w:tr>
      <w:tr>
        <w:tc>
          <w:tcPr>
            <w:tcW w:type="dxa" w:w="1554"/>
          </w:tcPr>
          <w:p>
            <w:r/>
            <w:r>
              <w:rPr>
                <w:sz w:val="17"/>
              </w:rPr>
              <w:t>Backend</w:t>
            </w:r>
          </w:p>
        </w:tc>
        <w:tc>
          <w:tcPr>
            <w:tcW w:type="dxa" w:w="2487"/>
          </w:tcPr>
          <w:p>
            <w:r/>
            <w:r>
              <w:rPr>
                <w:sz w:val="17"/>
              </w:rPr>
              <w:t>Symfony 7.4 LTS (PHP 8.2)</w:t>
            </w:r>
          </w:p>
        </w:tc>
        <w:tc>
          <w:tcPr>
            <w:tcW w:type="dxa" w:w="5596"/>
          </w:tcPr>
          <w:p>
            <w:r/>
            <w:r>
              <w:rPr>
                <w:sz w:val="17"/>
              </w:rPr>
              <w:t>Framework structurant (DI, firewall, ORM), LTS supportée jusqu'en 2028, écosystème de bundles de sécurité éprouvés (lexik/JWT, NelmioCors), forte employabilité en France</w:t>
            </w:r>
          </w:p>
        </w:tc>
      </w:tr>
      <w:tr>
        <w:tc>
          <w:tcPr>
            <w:tcW w:type="dxa" w:w="1554"/>
            <w:shd w:val="clear" w:fill="F7F0E0"/>
          </w:tcPr>
          <w:p>
            <w:r/>
            <w:r>
              <w:rPr>
                <w:sz w:val="17"/>
              </w:rPr>
              <w:t>Frontend</w:t>
            </w:r>
          </w:p>
        </w:tc>
        <w:tc>
          <w:tcPr>
            <w:tcW w:type="dxa" w:w="2487"/>
            <w:shd w:val="clear" w:fill="F7F0E0"/>
          </w:tcPr>
          <w:p>
            <w:r/>
            <w:r>
              <w:rPr>
                <w:sz w:val="17"/>
              </w:rPr>
              <w:t>React 19 + Material UI</w:t>
            </w:r>
          </w:p>
        </w:tc>
        <w:tc>
          <w:tcPr>
            <w:tcW w:type="dxa" w:w="5596"/>
            <w:shd w:val="clear" w:fill="F7F0E0"/>
          </w:tcPr>
          <w:p>
            <w:r/>
            <w:r>
              <w:rPr>
                <w:sz w:val="17"/>
              </w:rPr>
              <w:t>Composants réutilisables, écosystème mature, MUI fournit des composants accessibles (ARIA) par défaut</w:t>
            </w:r>
          </w:p>
        </w:tc>
      </w:tr>
      <w:tr>
        <w:tc>
          <w:tcPr>
            <w:tcW w:type="dxa" w:w="1554"/>
          </w:tcPr>
          <w:p>
            <w:r/>
            <w:r>
              <w:rPr>
                <w:sz w:val="17"/>
              </w:rPr>
              <w:t>Base de données</w:t>
            </w:r>
          </w:p>
        </w:tc>
        <w:tc>
          <w:tcPr>
            <w:tcW w:type="dxa" w:w="2487"/>
          </w:tcPr>
          <w:p>
            <w:r/>
            <w:r>
              <w:rPr>
                <w:sz w:val="17"/>
              </w:rPr>
              <w:t>PostgreSQL 16</w:t>
            </w:r>
          </w:p>
        </w:tc>
        <w:tc>
          <w:tcPr>
            <w:tcW w:type="dxa" w:w="5596"/>
          </w:tcPr>
          <w:p>
            <w:r/>
            <w:r>
              <w:rPr>
                <w:sz w:val="17"/>
              </w:rPr>
              <w:t>Robustesse transactionnelle, types JSON natifs (préférences, noms localisés), open source</w:t>
            </w:r>
          </w:p>
        </w:tc>
      </w:tr>
      <w:tr>
        <w:tc>
          <w:tcPr>
            <w:tcW w:type="dxa" w:w="1554"/>
            <w:shd w:val="clear" w:fill="F7F0E0"/>
          </w:tcPr>
          <w:p>
            <w:r/>
            <w:r>
              <w:rPr>
                <w:sz w:val="17"/>
              </w:rPr>
              <w:t>ORM</w:t>
            </w:r>
          </w:p>
        </w:tc>
        <w:tc>
          <w:tcPr>
            <w:tcW w:type="dxa" w:w="2487"/>
            <w:shd w:val="clear" w:fill="F7F0E0"/>
          </w:tcPr>
          <w:p>
            <w:r/>
            <w:r>
              <w:rPr>
                <w:sz w:val="17"/>
              </w:rPr>
              <w:t>Doctrine ORM + Migrations</w:t>
            </w:r>
          </w:p>
        </w:tc>
        <w:tc>
          <w:tcPr>
            <w:tcW w:type="dxa" w:w="5596"/>
            <w:shd w:val="clear" w:fill="F7F0E0"/>
          </w:tcPr>
          <w:p>
            <w:r/>
            <w:r>
              <w:rPr>
                <w:sz w:val="17"/>
              </w:rPr>
              <w:t>Requêtes paramétrées par défaut (anti-injection), schéma versionné et reproductible</w:t>
            </w:r>
          </w:p>
        </w:tc>
      </w:tr>
      <w:tr>
        <w:tc>
          <w:tcPr>
            <w:tcW w:type="dxa" w:w="1554"/>
          </w:tcPr>
          <w:p>
            <w:r/>
            <w:r>
              <w:rPr>
                <w:sz w:val="17"/>
              </w:rPr>
              <w:t>i18n</w:t>
            </w:r>
          </w:p>
        </w:tc>
        <w:tc>
          <w:tcPr>
            <w:tcW w:type="dxa" w:w="2487"/>
          </w:tcPr>
          <w:p>
            <w:r/>
            <w:r>
              <w:rPr>
                <w:sz w:val="17"/>
              </w:rPr>
              <w:t>react-i18next</w:t>
            </w:r>
          </w:p>
        </w:tc>
        <w:tc>
          <w:tcPr>
            <w:tcW w:type="dxa" w:w="5596"/>
          </w:tcPr>
          <w:p>
            <w:r/>
            <w:r>
              <w:rPr>
                <w:sz w:val="17"/>
              </w:rPr>
              <w:t>Détection de langue, lazy-loading des dictionnaires, 20 langues gérées depuis le back office</w:t>
            </w:r>
          </w:p>
        </w:tc>
      </w:tr>
      <w:tr>
        <w:tc>
          <w:tcPr>
            <w:tcW w:type="dxa" w:w="1554"/>
            <w:shd w:val="clear" w:fill="F7F0E0"/>
          </w:tcPr>
          <w:p>
            <w:r/>
            <w:r>
              <w:rPr>
                <w:sz w:val="17"/>
              </w:rPr>
              <w:t>Tests</w:t>
            </w:r>
          </w:p>
        </w:tc>
        <w:tc>
          <w:tcPr>
            <w:tcW w:type="dxa" w:w="2487"/>
            <w:shd w:val="clear" w:fill="F7F0E0"/>
          </w:tcPr>
          <w:p>
            <w:r/>
            <w:r>
              <w:rPr>
                <w:sz w:val="17"/>
              </w:rPr>
              <w:t>PHPUnit 9 + Jest / Testing Library</w:t>
            </w:r>
          </w:p>
        </w:tc>
        <w:tc>
          <w:tcPr>
            <w:tcW w:type="dxa" w:w="5596"/>
            <w:shd w:val="clear" w:fill="F7F0E0"/>
          </w:tcPr>
          <w:p>
            <w:r/>
            <w:r>
              <w:rPr>
                <w:sz w:val="17"/>
              </w:rPr>
              <w:t>Standards de facto de chaque écosystème</w:t>
            </w:r>
          </w:p>
        </w:tc>
      </w:tr>
    </w:tbl>
    <w:p>
      <w:pPr>
        <w:spacing w:after="40"/>
      </w:pPr>
    </w:p>
    <w:p>
      <w:pPr>
        <w:pStyle w:val="Heading2"/>
      </w:pPr>
      <w:r>
        <w:t>2.2 Paradigmes mis en œuvre</w:t>
      </w:r>
    </w:p>
    <w:p>
      <w:pPr>
        <w:pStyle w:val="ListBullet"/>
      </w:pPr>
      <w:r>
        <w:rPr>
          <w:b w:val="0"/>
          <w:i w:val="0"/>
        </w:rPr>
        <w:t>Architecture en couches (back) : Contrôleur → Service → Repository → Entité. Les contrôleurs restent minces ; la logique métier (calculs de craft, synchronisation d'items, agrégation des batailles) vit dans des services injectés.</w:t>
      </w:r>
    </w:p>
    <w:p>
      <w:pPr>
        <w:pStyle w:val="ListBullet"/>
      </w:pPr>
      <w:r>
        <w:rPr>
          <w:b w:val="0"/>
          <w:i w:val="0"/>
        </w:rPr>
        <w:t>Injection de dépendances : autowiring Symfony ; aucun composant n'instancie ses dépendances, ce qui rend chaque brique testable isolément.</w:t>
      </w:r>
    </w:p>
    <w:p>
      <w:pPr>
        <w:pStyle w:val="ListBullet"/>
      </w:pPr>
      <w:r>
        <w:rPr>
          <w:b w:val="0"/>
          <w:i w:val="0"/>
        </w:rPr>
        <w:t>API REST stateless : le backend n'a aucune session ; chaque requête porte son jeton JWT, ce qui permet la montée en charge horizontale.</w:t>
      </w:r>
    </w:p>
    <w:p>
      <w:pPr>
        <w:pStyle w:val="ListBullet"/>
      </w:pPr>
      <w:r>
        <w:rPr>
          <w:b w:val="0"/>
          <w:i w:val="0"/>
        </w:rPr>
        <w:t>Programmation par composants (front) : pages co-localisées avec leurs styles et leurs tests ; hooks (useState/useEffect/useCallback) ; contextes pour les préoccupations transverses (session, thème, langue, serveur de jeu).</w:t>
      </w:r>
    </w:p>
    <w:p>
      <w:pPr>
        <w:pStyle w:val="ListBullet"/>
      </w:pPr>
      <w:r>
        <w:rPr>
          <w:b w:val="0"/>
          <w:i w:val="0"/>
        </w:rPr>
        <w:t>Data-mapper : les entités Doctrine sont de purs objets métier, la persistance est déléguée aux repositories.</w:t>
      </w:r>
    </w:p>
    <w:p>
      <w:pPr>
        <w:pStyle w:val="Heading1"/>
      </w:pPr>
      <w:r>
        <w:t>3. Architecture logicielle</w:t>
      </w:r>
    </w:p>
    <w:p>
      <w:r>
        <w:rPr>
          <w:b w:val="0"/>
          <w:i w:val="0"/>
        </w:rPr>
        <w:t>L'architecture sépare strictement les responsabilités pour garantir la maintenabilité : le frontend ne connaît que le contrat REST ; le backend encapsule la logique métier et les accès aux données ; les services externes (API Albion, un domaine par serveur de jeu) sont isolés derrière des services dédiés, ce qui a permis d'ajouter le multi-serveur en v3 sans toucher aux contrôleurs.</w:t>
      </w:r>
    </w:p>
    <w:p>
      <w:pPr>
        <w:keepNext/>
        <w:spacing w:before="120" w:after="0"/>
        <w:jc w:val="center"/>
      </w:pPr>
      <w:r>
        <w:drawing>
          <wp:inline xmlns:a="http://schemas.openxmlformats.org/drawingml/2006/main" xmlns:pic="http://schemas.openxmlformats.org/drawingml/2006/picture">
            <wp:extent cx="5220000" cy="4023750"/>
            <wp:docPr id="12" name="Picture 12"/>
            <wp:cNvGraphicFramePr>
              <a:graphicFrameLocks noChangeAspect="1"/>
            </wp:cNvGraphicFramePr>
            <a:graphic>
              <a:graphicData uri="http://schemas.openxmlformats.org/drawingml/2006/picture">
                <pic:pic>
                  <pic:nvPicPr>
                    <pic:cNvPr id="0" name="10-architecture.png"/>
                    <pic:cNvPicPr/>
                  </pic:nvPicPr>
                  <pic:blipFill>
                    <a:blip r:embed="rId21"/>
                    <a:stretch>
                      <a:fillRect/>
                    </a:stretch>
                  </pic:blipFill>
                  <pic:spPr>
                    <a:xfrm>
                      <a:off x="0" y="0"/>
                      <a:ext cx="5220000" cy="4023750"/>
                    </a:xfrm>
                    <a:prstGeom prst="rect"/>
                  </pic:spPr>
                </pic:pic>
              </a:graphicData>
            </a:graphic>
          </wp:inline>
        </w:drawing>
      </w:r>
    </w:p>
    <w:p>
      <w:pPr>
        <w:spacing w:after="160"/>
        <w:jc w:val="center"/>
      </w:pPr>
      <w:r>
        <w:rPr>
          <w:b w:val="0"/>
          <w:i/>
          <w:color w:val="5A4825"/>
          <w:sz w:val="17"/>
        </w:rPr>
        <w:t>Figure 12 — Architecture en couches, flux de données et chaîne CI/CD</w:t>
      </w:r>
    </w:p>
    <w:p>
      <w:pPr>
        <w:pStyle w:val="Heading2"/>
      </w:pPr>
      <w:r>
        <w:t>3.1 Garanties apportées par cette architecture</w:t>
      </w:r>
    </w:p>
    <w:p>
      <w:pPr>
        <w:pStyle w:val="ListBullet"/>
      </w:pPr>
      <w:r>
        <w:rPr>
          <w:b w:val="0"/>
          <w:i w:val="0"/>
        </w:rPr>
        <w:t>Maintenable : chaque couche a une responsabilité unique ; un correctif de calcul de craft ne touche que le service concerné, vérifié par les tests unitaires.</w:t>
      </w:r>
    </w:p>
    <w:p>
      <w:pPr>
        <w:pStyle w:val="ListBullet"/>
      </w:pPr>
      <w:r>
        <w:rPr>
          <w:b w:val="0"/>
          <w:i w:val="0"/>
        </w:rPr>
        <w:t>Extensible : ajouter une fonctionnalité = nouvelle entité + migration + contrôleur + page ; les fonctionnalités v3 (multi-serveur, batailles, stats PvP, langues dynamiques) ont été ajoutées sans refonte.</w:t>
      </w:r>
    </w:p>
    <w:p>
      <w:pPr>
        <w:pStyle w:val="ListBullet"/>
      </w:pPr>
      <w:r>
        <w:rPr>
          <w:b w:val="0"/>
          <w:i w:val="0"/>
        </w:rPr>
        <w:t>Sécurisée : tout passe par le firewall Symfony (JWT, rôles, throttling) avant d'atteindre le moindre contrôleur ; les en-têtes de sécurité sont posés globalement par un EventSubscriber.</w:t>
      </w:r>
    </w:p>
    <w:p>
      <w:pPr>
        <w:pStyle w:val="ListBullet"/>
      </w:pPr>
      <w:r>
        <w:rPr>
          <w:b w:val="0"/>
          <w:i w:val="0"/>
        </w:rPr>
        <w:t>Supervisable : endpoint public /api/health (état BDD + API externe) interrogeable par une sonde, canal de log « incident » dédié.</w:t>
      </w:r>
    </w:p>
    <w:p>
      <w:pPr>
        <w:pStyle w:val="Heading1"/>
      </w:pPr>
      <w:r>
        <w:t>4. Environnements et protocole d'intégration continue</w:t>
      </w:r>
    </w:p>
    <w:p>
      <w:pPr>
        <w:pStyle w:val="Heading2"/>
      </w:pPr>
      <w:r>
        <w:t>4.1 Environnements</w:t>
      </w:r>
    </w:p>
    <w:tbl>
      <w:tblPr>
        <w:tblStyle w:val="TableGrid"/>
        <w:tblW w:type="auto" w:w="0"/>
        <w:jc w:val="center"/>
        <w:tblLayout w:type="fixed"/>
        <w:tblLook w:firstColumn="1" w:firstRow="1" w:lastColumn="0" w:lastRow="0" w:noHBand="0" w:noVBand="1" w:val="04A0"/>
        <w:tblCellMar>
          <w:top w:w="30" w:type="dxa"/>
          <w:left w:w="80" w:type="dxa"/>
          <w:bottom w:w="30" w:type="dxa"/>
          <w:right w:w="80" w:type="dxa"/>
        </w:tblCellMar>
      </w:tblPr>
      <w:tblGrid>
        <w:gridCol w:w="3213"/>
        <w:gridCol w:w="3213"/>
        <w:gridCol w:w="3213"/>
      </w:tblGrid>
      <w:tr>
        <w:tc>
          <w:tcPr>
            <w:tcW w:type="dxa" w:w="1807"/>
            <w:shd w:val="clear" w:fill="2D1A00"/>
          </w:tcPr>
          <w:p>
            <w:r/>
            <w:r>
              <w:rPr>
                <w:rFonts w:ascii="Palatino" w:hAnsi="Palatino"/>
                <w:b/>
                <w:color w:val="FFFFFF"/>
                <w:sz w:val="17"/>
              </w:rPr>
              <w:t>Environnement</w:t>
            </w:r>
          </w:p>
        </w:tc>
        <w:tc>
          <w:tcPr>
            <w:tcW w:type="dxa" w:w="2409"/>
            <w:shd w:val="clear" w:fill="2D1A00"/>
          </w:tcPr>
          <w:p>
            <w:r/>
            <w:r>
              <w:rPr>
                <w:rFonts w:ascii="Palatino" w:hAnsi="Palatino"/>
                <w:b/>
                <w:color w:val="FFFFFF"/>
                <w:sz w:val="17"/>
              </w:rPr>
              <w:t>Rôle</w:t>
            </w:r>
          </w:p>
        </w:tc>
        <w:tc>
          <w:tcPr>
            <w:tcW w:type="dxa" w:w="5421"/>
            <w:shd w:val="clear" w:fill="2D1A00"/>
          </w:tcPr>
          <w:p>
            <w:r/>
            <w:r>
              <w:rPr>
                <w:rFonts w:ascii="Palatino" w:hAnsi="Palatino"/>
                <w:b/>
                <w:color w:val="FFFFFF"/>
                <w:sz w:val="17"/>
              </w:rPr>
              <w:t>Composition</w:t>
            </w:r>
          </w:p>
        </w:tc>
      </w:tr>
      <w:tr>
        <w:tc>
          <w:tcPr>
            <w:tcW w:type="dxa" w:w="1807"/>
          </w:tcPr>
          <w:p>
            <w:r/>
            <w:r>
              <w:rPr>
                <w:sz w:val="17"/>
              </w:rPr>
              <w:t>Développement</w:t>
            </w:r>
          </w:p>
        </w:tc>
        <w:tc>
          <w:tcPr>
            <w:tcW w:type="dxa" w:w="2409"/>
          </w:tcPr>
          <w:p>
            <w:r/>
            <w:r>
              <w:rPr>
                <w:sz w:val="17"/>
              </w:rPr>
              <w:t>Codage et débogage local</w:t>
            </w:r>
          </w:p>
        </w:tc>
        <w:tc>
          <w:tcPr>
            <w:tcW w:type="dxa" w:w="5421"/>
          </w:tcPr>
          <w:p>
            <w:r/>
            <w:r>
              <w:rPr>
                <w:sz w:val="17"/>
              </w:rPr>
              <w:t>Docker Compose (PostgreSQL 16, mailer), symfony serve (HTTPS local), React dev server avec hot-reload, profiler Symfony</w:t>
            </w:r>
          </w:p>
        </w:tc>
      </w:tr>
      <w:tr>
        <w:tc>
          <w:tcPr>
            <w:tcW w:type="dxa" w:w="1807"/>
            <w:shd w:val="clear" w:fill="F7F0E0"/>
          </w:tcPr>
          <w:p>
            <w:r/>
            <w:r>
              <w:rPr>
                <w:sz w:val="17"/>
              </w:rPr>
              <w:t>Test</w:t>
            </w:r>
          </w:p>
        </w:tc>
        <w:tc>
          <w:tcPr>
            <w:tcW w:type="dxa" w:w="2409"/>
            <w:shd w:val="clear" w:fill="F7F0E0"/>
          </w:tcPr>
          <w:p>
            <w:r/>
            <w:r>
              <w:rPr>
                <w:sz w:val="17"/>
              </w:rPr>
              <w:t>Exécution isolée des tests</w:t>
            </w:r>
          </w:p>
        </w:tc>
        <w:tc>
          <w:tcPr>
            <w:tcW w:type="dxa" w:w="5421"/>
            <w:shd w:val="clear" w:fill="F7F0E0"/>
          </w:tcPr>
          <w:p>
            <w:r/>
            <w:r>
              <w:rPr>
                <w:sz w:val="17"/>
              </w:rPr>
              <w:t>SQLite dédiée (var/test.db), .env.test, fixtures (comptes admin/test), coût bcrypt réduit, limites de débit désactivées</w:t>
            </w:r>
          </w:p>
        </w:tc>
      </w:tr>
      <w:tr>
        <w:tc>
          <w:tcPr>
            <w:tcW w:type="dxa" w:w="1807"/>
          </w:tcPr>
          <w:p>
            <w:r/>
            <w:r>
              <w:rPr>
                <w:sz w:val="17"/>
              </w:rPr>
              <w:t>Production</w:t>
            </w:r>
          </w:p>
        </w:tc>
        <w:tc>
          <w:tcPr>
            <w:tcW w:type="dxa" w:w="2409"/>
          </w:tcPr>
          <w:p>
            <w:r/>
            <w:r>
              <w:rPr>
                <w:sz w:val="17"/>
              </w:rPr>
              <w:t>Service aux utilisateurs</w:t>
            </w:r>
          </w:p>
        </w:tc>
        <w:tc>
          <w:tcPr>
            <w:tcW w:type="dxa" w:w="5421"/>
          </w:tcPr>
          <w:p>
            <w:r/>
            <w:r>
              <w:rPr>
                <w:sz w:val="17"/>
              </w:rPr>
              <w:t>VPS Nginx + PHP-FPM, front buildé servi en statique, API sur albion-back.perfweb.net, variables d'environnement serveur</w:t>
            </w:r>
          </w:p>
        </w:tc>
      </w:tr>
    </w:tbl>
    <w:p>
      <w:pPr>
        <w:spacing w:after="40"/>
      </w:pPr>
    </w:p>
    <w:p>
      <w:pPr>
        <w:pStyle w:val="Heading2"/>
      </w:pPr>
      <w:r>
        <w:t>4.2 Protocole d'intégration continue</w:t>
      </w:r>
    </w:p>
    <w:p>
      <w:r>
        <w:rPr>
          <w:b w:val="0"/>
          <w:i w:val="0"/>
        </w:rPr>
        <w:t>Le pipeline GitHub Actions (.github/workflows/main.yml) se déclenche à chaque push et pull request sur les branches master et develop. Séquences d'intégration :</w:t>
      </w:r>
    </w:p>
    <w:tbl>
      <w:tblPr>
        <w:tblStyle w:val="TableGrid"/>
        <w:tblW w:type="auto" w:w="0"/>
        <w:jc w:val="center"/>
        <w:tblLayout w:type="fixed"/>
        <w:tblLook w:firstColumn="1" w:firstRow="1" w:lastColumn="0" w:lastRow="0" w:noHBand="0" w:noVBand="1" w:val="04A0"/>
        <w:tblCellMar>
          <w:top w:w="30" w:type="dxa"/>
          <w:left w:w="80" w:type="dxa"/>
          <w:bottom w:w="30" w:type="dxa"/>
          <w:right w:w="80" w:type="dxa"/>
        </w:tblCellMar>
      </w:tblPr>
      <w:tblGrid>
        <w:gridCol w:w="3213"/>
        <w:gridCol w:w="3213"/>
        <w:gridCol w:w="3213"/>
      </w:tblGrid>
      <w:tr>
        <w:tc>
          <w:tcPr>
            <w:tcW w:type="dxa" w:w="602"/>
            <w:shd w:val="clear" w:fill="2D1A00"/>
          </w:tcPr>
          <w:p>
            <w:r/>
            <w:r>
              <w:rPr>
                <w:rFonts w:ascii="Palatino" w:hAnsi="Palatino"/>
                <w:b/>
                <w:color w:val="FFFFFF"/>
                <w:sz w:val="17"/>
              </w:rPr>
              <w:t>#</w:t>
            </w:r>
          </w:p>
        </w:tc>
        <w:tc>
          <w:tcPr>
            <w:tcW w:type="dxa" w:w="2409"/>
            <w:shd w:val="clear" w:fill="2D1A00"/>
          </w:tcPr>
          <w:p>
            <w:r/>
            <w:r>
              <w:rPr>
                <w:rFonts w:ascii="Palatino" w:hAnsi="Palatino"/>
                <w:b/>
                <w:color w:val="FFFFFF"/>
                <w:sz w:val="17"/>
              </w:rPr>
              <w:t>Étape</w:t>
            </w:r>
          </w:p>
        </w:tc>
        <w:tc>
          <w:tcPr>
            <w:tcW w:type="dxa" w:w="6626"/>
            <w:shd w:val="clear" w:fill="2D1A00"/>
          </w:tcPr>
          <w:p>
            <w:r/>
            <w:r>
              <w:rPr>
                <w:rFonts w:ascii="Palatino" w:hAnsi="Palatino"/>
                <w:b/>
                <w:color w:val="FFFFFF"/>
                <w:sz w:val="17"/>
              </w:rPr>
              <w:t>Détail</w:t>
            </w:r>
          </w:p>
        </w:tc>
      </w:tr>
      <w:tr>
        <w:tc>
          <w:tcPr>
            <w:tcW w:type="dxa" w:w="602"/>
          </w:tcPr>
          <w:p>
            <w:r/>
            <w:r>
              <w:rPr>
                <w:sz w:val="17"/>
              </w:rPr>
              <w:t>1</w:t>
            </w:r>
          </w:p>
        </w:tc>
        <w:tc>
          <w:tcPr>
            <w:tcW w:type="dxa" w:w="2409"/>
          </w:tcPr>
          <w:p>
            <w:r/>
            <w:r>
              <w:rPr>
                <w:sz w:val="17"/>
              </w:rPr>
              <w:t>Checkout + PHP 8.2</w:t>
            </w:r>
          </w:p>
        </w:tc>
        <w:tc>
          <w:tcPr>
            <w:tcW w:type="dxa" w:w="6626"/>
          </w:tcPr>
          <w:p>
            <w:r/>
            <w:r>
              <w:rPr>
                <w:sz w:val="17"/>
              </w:rPr>
              <w:t>actions/checkout, shivammathur/setup-php (extensions : intl, pdo_sqlite…)</w:t>
            </w:r>
          </w:p>
        </w:tc>
      </w:tr>
      <w:tr>
        <w:tc>
          <w:tcPr>
            <w:tcW w:type="dxa" w:w="602"/>
            <w:shd w:val="clear" w:fill="F7F0E0"/>
          </w:tcPr>
          <w:p>
            <w:r/>
            <w:r>
              <w:rPr>
                <w:sz w:val="17"/>
              </w:rPr>
              <w:t>2</w:t>
            </w:r>
          </w:p>
        </w:tc>
        <w:tc>
          <w:tcPr>
            <w:tcW w:type="dxa" w:w="2409"/>
            <w:shd w:val="clear" w:fill="F7F0E0"/>
          </w:tcPr>
          <w:p>
            <w:r/>
            <w:r>
              <w:rPr>
                <w:sz w:val="17"/>
              </w:rPr>
              <w:t>Dépendances back</w:t>
            </w:r>
          </w:p>
        </w:tc>
        <w:tc>
          <w:tcPr>
            <w:tcW w:type="dxa" w:w="6626"/>
            <w:shd w:val="clear" w:fill="F7F0E0"/>
          </w:tcPr>
          <w:p>
            <w:r/>
            <w:r>
              <w:rPr>
                <w:sz w:val="17"/>
              </w:rPr>
              <w:t>composer install</w:t>
            </w:r>
          </w:p>
        </w:tc>
      </w:tr>
      <w:tr>
        <w:tc>
          <w:tcPr>
            <w:tcW w:type="dxa" w:w="602"/>
          </w:tcPr>
          <w:p>
            <w:r/>
            <w:r>
              <w:rPr>
                <w:sz w:val="17"/>
              </w:rPr>
              <w:t>3</w:t>
            </w:r>
          </w:p>
        </w:tc>
        <w:tc>
          <w:tcPr>
            <w:tcW w:type="dxa" w:w="2409"/>
          </w:tcPr>
          <w:p>
            <w:r/>
            <w:r>
              <w:rPr>
                <w:sz w:val="17"/>
              </w:rPr>
              <w:t>Clés JWT de test</w:t>
            </w:r>
          </w:p>
        </w:tc>
        <w:tc>
          <w:tcPr>
            <w:tcW w:type="dxa" w:w="6626"/>
          </w:tcPr>
          <w:p>
            <w:r/>
            <w:r>
              <w:rPr>
                <w:sz w:val="17"/>
              </w:rPr>
              <w:t>lexik:jwt:generate-keypair (paire dédiée à la CI, jamais celle de prod)</w:t>
            </w:r>
          </w:p>
        </w:tc>
      </w:tr>
      <w:tr>
        <w:tc>
          <w:tcPr>
            <w:tcW w:type="dxa" w:w="602"/>
            <w:shd w:val="clear" w:fill="F7F0E0"/>
          </w:tcPr>
          <w:p>
            <w:r/>
            <w:r>
              <w:rPr>
                <w:sz w:val="17"/>
              </w:rPr>
              <w:t>4</w:t>
            </w:r>
          </w:p>
        </w:tc>
        <w:tc>
          <w:tcPr>
            <w:tcW w:type="dxa" w:w="2409"/>
            <w:shd w:val="clear" w:fill="F7F0E0"/>
          </w:tcPr>
          <w:p>
            <w:r/>
            <w:r>
              <w:rPr>
                <w:sz w:val="17"/>
              </w:rPr>
              <w:t>Base de test</w:t>
            </w:r>
          </w:p>
        </w:tc>
        <w:tc>
          <w:tcPr>
            <w:tcW w:type="dxa" w:w="6626"/>
            <w:shd w:val="clear" w:fill="F7F0E0"/>
          </w:tcPr>
          <w:p>
            <w:r/>
            <w:r>
              <w:rPr>
                <w:sz w:val="17"/>
              </w:rPr>
              <w:t>doctrine:schema:create --env=test (SQLite, schéma neuf à chaque exécution)</w:t>
            </w:r>
          </w:p>
        </w:tc>
      </w:tr>
      <w:tr>
        <w:tc>
          <w:tcPr>
            <w:tcW w:type="dxa" w:w="602"/>
          </w:tcPr>
          <w:p>
            <w:r/>
            <w:r>
              <w:rPr>
                <w:sz w:val="17"/>
              </w:rPr>
              <w:t>5</w:t>
            </w:r>
          </w:p>
        </w:tc>
        <w:tc>
          <w:tcPr>
            <w:tcW w:type="dxa" w:w="2409"/>
          </w:tcPr>
          <w:p>
            <w:r/>
            <w:r>
              <w:rPr>
                <w:sz w:val="17"/>
              </w:rPr>
              <w:t>Tests backend</w:t>
            </w:r>
          </w:p>
        </w:tc>
        <w:tc>
          <w:tcPr>
            <w:tcW w:type="dxa" w:w="6626"/>
          </w:tcPr>
          <w:p>
            <w:r/>
            <w:r>
              <w:rPr>
                <w:sz w:val="17"/>
              </w:rPr>
              <w:t>php bin/phpunit — 31 tests, 85 assertions</w:t>
            </w:r>
          </w:p>
        </w:tc>
      </w:tr>
      <w:tr>
        <w:tc>
          <w:tcPr>
            <w:tcW w:type="dxa" w:w="602"/>
            <w:shd w:val="clear" w:fill="F7F0E0"/>
          </w:tcPr>
          <w:p>
            <w:r/>
            <w:r>
              <w:rPr>
                <w:sz w:val="17"/>
              </w:rPr>
              <w:t>6</w:t>
            </w:r>
          </w:p>
        </w:tc>
        <w:tc>
          <w:tcPr>
            <w:tcW w:type="dxa" w:w="2409"/>
            <w:shd w:val="clear" w:fill="F7F0E0"/>
          </w:tcPr>
          <w:p>
            <w:r/>
            <w:r>
              <w:rPr>
                <w:sz w:val="17"/>
              </w:rPr>
              <w:t>Node 22 + dépendances front</w:t>
            </w:r>
          </w:p>
        </w:tc>
        <w:tc>
          <w:tcPr>
            <w:tcW w:type="dxa" w:w="6626"/>
            <w:shd w:val="clear" w:fill="F7F0E0"/>
          </w:tcPr>
          <w:p>
            <w:r/>
            <w:r>
              <w:rPr>
                <w:sz w:val="17"/>
              </w:rPr>
              <w:t>npm ci --legacy-peer-deps (installation reproductible depuis le lockfile)</w:t>
            </w:r>
          </w:p>
        </w:tc>
      </w:tr>
      <w:tr>
        <w:tc>
          <w:tcPr>
            <w:tcW w:type="dxa" w:w="602"/>
          </w:tcPr>
          <w:p>
            <w:r/>
            <w:r>
              <w:rPr>
                <w:sz w:val="17"/>
              </w:rPr>
              <w:t>7</w:t>
            </w:r>
          </w:p>
        </w:tc>
        <w:tc>
          <w:tcPr>
            <w:tcW w:type="dxa" w:w="2409"/>
          </w:tcPr>
          <w:p>
            <w:r/>
            <w:r>
              <w:rPr>
                <w:sz w:val="17"/>
              </w:rPr>
              <w:t>Tests frontend</w:t>
            </w:r>
          </w:p>
        </w:tc>
        <w:tc>
          <w:tcPr>
            <w:tcW w:type="dxa" w:w="6626"/>
          </w:tcPr>
          <w:p>
            <w:r/>
            <w:r>
              <w:rPr>
                <w:sz w:val="17"/>
              </w:rPr>
              <w:t>CI=true npm test — 12 suites, 95 tests</w:t>
            </w:r>
          </w:p>
        </w:tc>
      </w:tr>
    </w:tbl>
    <w:p>
      <w:pPr>
        <w:spacing w:after="40"/>
      </w:pPr>
    </w:p>
    <w:p>
      <w:r>
        <w:rPr>
          <w:b w:val="0"/>
          <w:i w:val="0"/>
        </w:rPr>
        <w:t>Les deux jobs (backend-tests, frontend-tests) tournent en parallèle. Tout échec bloque la fusion et le déploiement : c'est la barrière anti-régression du projet — 126 tests au total. Dependabot complète le dispositif en ouvrant chaque semaine des PR de mise à jour (composer, npm, GitHub Actions), elles-mêmes validées par ce même pipeline.</w:t>
      </w:r>
    </w:p>
    <w:p>
      <w:pPr>
        <w:pStyle w:val="Heading2"/>
      </w:pPr>
      <w:r>
        <w:t>4.3 Critères de qualité et de performance</w:t>
      </w:r>
    </w:p>
    <w:tbl>
      <w:tblPr>
        <w:tblStyle w:val="TableGrid"/>
        <w:tblW w:type="auto" w:w="0"/>
        <w:jc w:val="center"/>
        <w:tblLayout w:type="fixed"/>
        <w:tblLook w:firstColumn="1" w:firstRow="1" w:lastColumn="0" w:lastRow="0" w:noHBand="0" w:noVBand="1" w:val="04A0"/>
        <w:tblCellMar>
          <w:top w:w="30" w:type="dxa"/>
          <w:left w:w="80" w:type="dxa"/>
          <w:bottom w:w="30" w:type="dxa"/>
          <w:right w:w="80" w:type="dxa"/>
        </w:tblCellMar>
      </w:tblPr>
      <w:tblGrid>
        <w:gridCol w:w="3213"/>
        <w:gridCol w:w="3213"/>
        <w:gridCol w:w="3213"/>
      </w:tblGrid>
      <w:tr>
        <w:tc>
          <w:tcPr>
            <w:tcW w:type="dxa" w:w="2108"/>
            <w:shd w:val="clear" w:fill="2D1A00"/>
          </w:tcPr>
          <w:p>
            <w:r/>
            <w:r>
              <w:rPr>
                <w:rFonts w:ascii="Palatino" w:hAnsi="Palatino"/>
                <w:b/>
                <w:color w:val="FFFFFF"/>
                <w:sz w:val="17"/>
              </w:rPr>
              <w:t>Critère</w:t>
            </w:r>
          </w:p>
        </w:tc>
        <w:tc>
          <w:tcPr>
            <w:tcW w:type="dxa" w:w="3915"/>
            <w:shd w:val="clear" w:fill="2D1A00"/>
          </w:tcPr>
          <w:p>
            <w:r/>
            <w:r>
              <w:rPr>
                <w:rFonts w:ascii="Palatino" w:hAnsi="Palatino"/>
                <w:b/>
                <w:color w:val="FFFFFF"/>
                <w:sz w:val="17"/>
              </w:rPr>
              <w:t>Seuil / règle</w:t>
            </w:r>
          </w:p>
        </w:tc>
        <w:tc>
          <w:tcPr>
            <w:tcW w:type="dxa" w:w="3614"/>
            <w:shd w:val="clear" w:fill="2D1A00"/>
          </w:tcPr>
          <w:p>
            <w:r/>
            <w:r>
              <w:rPr>
                <w:rFonts w:ascii="Palatino" w:hAnsi="Palatino"/>
                <w:b/>
                <w:color w:val="FFFFFF"/>
                <w:sz w:val="17"/>
              </w:rPr>
              <w:t>Vérification</w:t>
            </w:r>
          </w:p>
        </w:tc>
      </w:tr>
      <w:tr>
        <w:tc>
          <w:tcPr>
            <w:tcW w:type="dxa" w:w="2108"/>
          </w:tcPr>
          <w:p>
            <w:r/>
            <w:r>
              <w:rPr>
                <w:sz w:val="17"/>
              </w:rPr>
              <w:t>Non-régression</w:t>
            </w:r>
          </w:p>
        </w:tc>
        <w:tc>
          <w:tcPr>
            <w:tcW w:type="dxa" w:w="3915"/>
          </w:tcPr>
          <w:p>
            <w:r/>
            <w:r>
              <w:rPr>
                <w:sz w:val="17"/>
              </w:rPr>
              <w:t>100 % des tests verts avant fusion et déploiement</w:t>
            </w:r>
          </w:p>
        </w:tc>
        <w:tc>
          <w:tcPr>
            <w:tcW w:type="dxa" w:w="3614"/>
          </w:tcPr>
          <w:p>
            <w:r/>
            <w:r>
              <w:rPr>
                <w:sz w:val="17"/>
              </w:rPr>
              <w:t>CI bloquante (needs:)</w:t>
            </w:r>
          </w:p>
        </w:tc>
      </w:tr>
      <w:tr>
        <w:tc>
          <w:tcPr>
            <w:tcW w:type="dxa" w:w="2108"/>
            <w:shd w:val="clear" w:fill="F7F0E0"/>
          </w:tcPr>
          <w:p>
            <w:r/>
            <w:r>
              <w:rPr>
                <w:sz w:val="17"/>
              </w:rPr>
              <w:t>Sécurité des dépendances</w:t>
            </w:r>
          </w:p>
        </w:tc>
        <w:tc>
          <w:tcPr>
            <w:tcW w:type="dxa" w:w="3915"/>
            <w:shd w:val="clear" w:fill="F7F0E0"/>
          </w:tcPr>
          <w:p>
            <w:r/>
            <w:r>
              <w:rPr>
                <w:sz w:val="17"/>
              </w:rPr>
              <w:t>0 advisory critique ou élevée en production</w:t>
            </w:r>
          </w:p>
        </w:tc>
        <w:tc>
          <w:tcPr>
            <w:tcW w:type="dxa" w:w="3614"/>
            <w:shd w:val="clear" w:fill="F7F0E0"/>
          </w:tcPr>
          <w:p>
            <w:r/>
            <w:r>
              <w:rPr>
                <w:sz w:val="17"/>
              </w:rPr>
              <w:t>composer audit / npm audit + Dependabot</w:t>
            </w:r>
          </w:p>
        </w:tc>
      </w:tr>
      <w:tr>
        <w:tc>
          <w:tcPr>
            <w:tcW w:type="dxa" w:w="2108"/>
          </w:tcPr>
          <w:p>
            <w:r/>
            <w:r>
              <w:rPr>
                <w:sz w:val="17"/>
              </w:rPr>
              <w:t>Accessibilité</w:t>
            </w:r>
          </w:p>
        </w:tc>
        <w:tc>
          <w:tcPr>
            <w:tcW w:type="dxa" w:w="3915"/>
          </w:tcPr>
          <w:p>
            <w:r/>
            <w:r>
              <w:rPr>
                <w:sz w:val="17"/>
              </w:rPr>
              <w:t>Score Lighthouse ≥ 90 sur les pages publiques, 0 violation axe-core bloquante</w:t>
            </w:r>
          </w:p>
        </w:tc>
        <w:tc>
          <w:tcPr>
            <w:tcW w:type="dxa" w:w="3614"/>
          </w:tcPr>
          <w:p>
            <w:r/>
            <w:r>
              <w:rPr>
                <w:sz w:val="17"/>
              </w:rPr>
              <w:t>Audit outillé (cf. §8)</w:t>
            </w:r>
          </w:p>
        </w:tc>
      </w:tr>
      <w:tr>
        <w:tc>
          <w:tcPr>
            <w:tcW w:type="dxa" w:w="2108"/>
            <w:shd w:val="clear" w:fill="F7F0E0"/>
          </w:tcPr>
          <w:p>
            <w:r/>
            <w:r>
              <w:rPr>
                <w:sz w:val="17"/>
              </w:rPr>
              <w:t>Versioning</w:t>
            </w:r>
          </w:p>
        </w:tc>
        <w:tc>
          <w:tcPr>
            <w:tcW w:type="dxa" w:w="3915"/>
            <w:shd w:val="clear" w:fill="F7F0E0"/>
          </w:tcPr>
          <w:p>
            <w:r/>
            <w:r>
              <w:rPr>
                <w:sz w:val="17"/>
              </w:rPr>
              <w:t>Messages Conventional Commits, CHANGELOG tenu à jour</w:t>
            </w:r>
          </w:p>
        </w:tc>
        <w:tc>
          <w:tcPr>
            <w:tcW w:type="dxa" w:w="3614"/>
            <w:shd w:val="clear" w:fill="F7F0E0"/>
          </w:tcPr>
          <w:p>
            <w:r/>
            <w:r>
              <w:rPr>
                <w:sz w:val="17"/>
              </w:rPr>
              <w:t>Revue avant commit (hook pre-commit : lint PHP + patterns dangereux)</w:t>
            </w:r>
          </w:p>
        </w:tc>
      </w:tr>
      <w:tr>
        <w:tc>
          <w:tcPr>
            <w:tcW w:type="dxa" w:w="2108"/>
          </w:tcPr>
          <w:p>
            <w:r/>
            <w:r>
              <w:rPr>
                <w:sz w:val="17"/>
              </w:rPr>
              <w:t>Performance perçue</w:t>
            </w:r>
          </w:p>
        </w:tc>
        <w:tc>
          <w:tcPr>
            <w:tcW w:type="dxa" w:w="3915"/>
          </w:tcPr>
          <w:p>
            <w:r/>
            <w:r>
              <w:rPr>
                <w:sz w:val="17"/>
              </w:rPr>
              <w:t>États de chargement systématiques ; données marché mises en cache côté API</w:t>
            </w:r>
          </w:p>
        </w:tc>
        <w:tc>
          <w:tcPr>
            <w:tcW w:type="dxa" w:w="3614"/>
          </w:tcPr>
          <w:p>
            <w:r/>
            <w:r>
              <w:rPr>
                <w:sz w:val="17"/>
              </w:rPr>
              <w:t>Recette manuelle (cf. §10)</w:t>
            </w:r>
          </w:p>
        </w:tc>
      </w:tr>
      <w:tr>
        <w:tc>
          <w:tcPr>
            <w:tcW w:type="dxa" w:w="2108"/>
            <w:shd w:val="clear" w:fill="F7F0E0"/>
          </w:tcPr>
          <w:p>
            <w:r/>
            <w:r>
              <w:rPr>
                <w:sz w:val="17"/>
              </w:rPr>
              <w:t>Disponibilité API</w:t>
            </w:r>
          </w:p>
        </w:tc>
        <w:tc>
          <w:tcPr>
            <w:tcW w:type="dxa" w:w="3915"/>
            <w:shd w:val="clear" w:fill="F7F0E0"/>
          </w:tcPr>
          <w:p>
            <w:r/>
            <w:r>
              <w:rPr>
                <w:sz w:val="17"/>
              </w:rPr>
              <w:t>Réponse /api/health &lt; 1 s, statut OK</w:t>
            </w:r>
          </w:p>
        </w:tc>
        <w:tc>
          <w:tcPr>
            <w:tcW w:type="dxa" w:w="3614"/>
            <w:shd w:val="clear" w:fill="F7F0E0"/>
          </w:tcPr>
          <w:p>
            <w:r/>
            <w:r>
              <w:rPr>
                <w:sz w:val="17"/>
              </w:rPr>
              <w:t>Sonde de supervision (Bloc 4)</w:t>
            </w:r>
          </w:p>
        </w:tc>
      </w:tr>
    </w:tbl>
    <w:p>
      <w:pPr>
        <w:spacing w:after="40"/>
      </w:pPr>
    </w:p>
    <w:p>
      <w:pPr>
        <w:pStyle w:val="Heading1"/>
      </w:pPr>
      <w:r>
        <w:t>5. Protocole de déploiement continu</w:t>
      </w:r>
    </w:p>
    <w:p>
      <w:r>
        <w:rPr>
          <w:b w:val="0"/>
          <w:i w:val="0"/>
        </w:rPr>
        <w:t>Le déploiement est entièrement automatisé et conditionné : le job deploy n'est exécuté que si les deux jobs de tests réussissent (needs: [backend-tests, frontend-tests]) et uniquement sur un push de la branche master. Une fusion develop → master constitue donc l'acte de mise en production.</w:t>
      </w:r>
    </w:p>
    <w:p>
      <w:pPr>
        <w:pStyle w:val="Heading2"/>
      </w:pPr>
      <w:r>
        <w:t>5.1 Séquences de déploiement</w:t>
      </w:r>
    </w:p>
    <w:tbl>
      <w:tblPr>
        <w:tblStyle w:val="TableGrid"/>
        <w:tblW w:type="auto" w:w="0"/>
        <w:jc w:val="center"/>
        <w:tblLayout w:type="fixed"/>
        <w:tblLook w:firstColumn="1" w:firstRow="1" w:lastColumn="0" w:lastRow="0" w:noHBand="0" w:noVBand="1" w:val="04A0"/>
        <w:tblCellMar>
          <w:top w:w="30" w:type="dxa"/>
          <w:left w:w="80" w:type="dxa"/>
          <w:bottom w:w="30" w:type="dxa"/>
          <w:right w:w="80" w:type="dxa"/>
        </w:tblCellMar>
      </w:tblPr>
      <w:tblGrid>
        <w:gridCol w:w="3213"/>
        <w:gridCol w:w="3213"/>
        <w:gridCol w:w="3213"/>
      </w:tblGrid>
      <w:tr>
        <w:tc>
          <w:tcPr>
            <w:tcW w:type="dxa" w:w="602"/>
            <w:shd w:val="clear" w:fill="2D1A00"/>
          </w:tcPr>
          <w:p>
            <w:r/>
            <w:r>
              <w:rPr>
                <w:rFonts w:ascii="Palatino" w:hAnsi="Palatino"/>
                <w:b/>
                <w:color w:val="FFFFFF"/>
                <w:sz w:val="17"/>
              </w:rPr>
              <w:t>#</w:t>
            </w:r>
          </w:p>
        </w:tc>
        <w:tc>
          <w:tcPr>
            <w:tcW w:type="dxa" w:w="2409"/>
            <w:shd w:val="clear" w:fill="2D1A00"/>
          </w:tcPr>
          <w:p>
            <w:r/>
            <w:r>
              <w:rPr>
                <w:rFonts w:ascii="Palatino" w:hAnsi="Palatino"/>
                <w:b/>
                <w:color w:val="FFFFFF"/>
                <w:sz w:val="17"/>
              </w:rPr>
              <w:t>Séquence</w:t>
            </w:r>
          </w:p>
        </w:tc>
        <w:tc>
          <w:tcPr>
            <w:tcW w:type="dxa" w:w="6626"/>
            <w:shd w:val="clear" w:fill="2D1A00"/>
          </w:tcPr>
          <w:p>
            <w:r/>
            <w:r>
              <w:rPr>
                <w:rFonts w:ascii="Palatino" w:hAnsi="Palatino"/>
                <w:b/>
                <w:color w:val="FFFFFF"/>
                <w:sz w:val="17"/>
              </w:rPr>
              <w:t>Commande / mécanisme</w:t>
            </w:r>
          </w:p>
        </w:tc>
      </w:tr>
      <w:tr>
        <w:tc>
          <w:tcPr>
            <w:tcW w:type="dxa" w:w="602"/>
          </w:tcPr>
          <w:p>
            <w:r/>
            <w:r>
              <w:rPr>
                <w:sz w:val="17"/>
              </w:rPr>
              <w:t>1</w:t>
            </w:r>
          </w:p>
        </w:tc>
        <w:tc>
          <w:tcPr>
            <w:tcW w:type="dxa" w:w="2409"/>
          </w:tcPr>
          <w:p>
            <w:r/>
            <w:r>
              <w:rPr>
                <w:sz w:val="17"/>
              </w:rPr>
              <w:t>Validation complète</w:t>
            </w:r>
          </w:p>
        </w:tc>
        <w:tc>
          <w:tcPr>
            <w:tcW w:type="dxa" w:w="6626"/>
          </w:tcPr>
          <w:p>
            <w:r/>
            <w:r>
              <w:rPr>
                <w:sz w:val="17"/>
              </w:rPr>
              <w:t>Pipeline CI : 126 tests verts requis</w:t>
            </w:r>
          </w:p>
        </w:tc>
      </w:tr>
      <w:tr>
        <w:tc>
          <w:tcPr>
            <w:tcW w:type="dxa" w:w="602"/>
            <w:shd w:val="clear" w:fill="F7F0E0"/>
          </w:tcPr>
          <w:p>
            <w:r/>
            <w:r>
              <w:rPr>
                <w:sz w:val="17"/>
              </w:rPr>
              <w:t>2</w:t>
            </w:r>
          </w:p>
        </w:tc>
        <w:tc>
          <w:tcPr>
            <w:tcW w:type="dxa" w:w="2409"/>
            <w:shd w:val="clear" w:fill="F7F0E0"/>
          </w:tcPr>
          <w:p>
            <w:r/>
            <w:r>
              <w:rPr>
                <w:sz w:val="17"/>
              </w:rPr>
              <w:t>Connexion au serveur</w:t>
            </w:r>
          </w:p>
        </w:tc>
        <w:tc>
          <w:tcPr>
            <w:tcW w:type="dxa" w:w="6626"/>
            <w:shd w:val="clear" w:fill="F7F0E0"/>
          </w:tcPr>
          <w:p>
            <w:r/>
            <w:r>
              <w:rPr>
                <w:sz w:val="17"/>
              </w:rPr>
              <w:t>appleboy/ssh-action — secrets GitHub : SSH_HOST, SSH_USER, SSH_PRIVATE_KEY, DEPLOY_PATH (aucun identifiant dans le code)</w:t>
            </w:r>
          </w:p>
        </w:tc>
      </w:tr>
      <w:tr>
        <w:tc>
          <w:tcPr>
            <w:tcW w:type="dxa" w:w="602"/>
          </w:tcPr>
          <w:p>
            <w:r/>
            <w:r>
              <w:rPr>
                <w:sz w:val="17"/>
              </w:rPr>
              <w:t>3</w:t>
            </w:r>
          </w:p>
        </w:tc>
        <w:tc>
          <w:tcPr>
            <w:tcW w:type="dxa" w:w="2409"/>
          </w:tcPr>
          <w:p>
            <w:r/>
            <w:r>
              <w:rPr>
                <w:sz w:val="17"/>
              </w:rPr>
              <w:t>Mise à jour du code</w:t>
            </w:r>
          </w:p>
        </w:tc>
        <w:tc>
          <w:tcPr>
            <w:tcW w:type="dxa" w:w="6626"/>
          </w:tcPr>
          <w:p>
            <w:r/>
            <w:r>
              <w:rPr>
                <w:sz w:val="17"/>
              </w:rPr>
              <w:t>git fetch + git reset --hard origin/master (état reproductible)</w:t>
            </w:r>
          </w:p>
        </w:tc>
      </w:tr>
      <w:tr>
        <w:tc>
          <w:tcPr>
            <w:tcW w:type="dxa" w:w="602"/>
            <w:shd w:val="clear" w:fill="F7F0E0"/>
          </w:tcPr>
          <w:p>
            <w:r/>
            <w:r>
              <w:rPr>
                <w:sz w:val="17"/>
              </w:rPr>
              <w:t>4</w:t>
            </w:r>
          </w:p>
        </w:tc>
        <w:tc>
          <w:tcPr>
            <w:tcW w:type="dxa" w:w="2409"/>
            <w:shd w:val="clear" w:fill="F7F0E0"/>
          </w:tcPr>
          <w:p>
            <w:r/>
            <w:r>
              <w:rPr>
                <w:sz w:val="17"/>
              </w:rPr>
              <w:t>Dépendances back</w:t>
            </w:r>
          </w:p>
        </w:tc>
        <w:tc>
          <w:tcPr>
            <w:tcW w:type="dxa" w:w="6626"/>
            <w:shd w:val="clear" w:fill="F7F0E0"/>
          </w:tcPr>
          <w:p>
            <w:r/>
            <w:r>
              <w:rPr>
                <w:sz w:val="17"/>
              </w:rPr>
              <w:t>composer install --no-dev --optimize-autoloader</w:t>
            </w:r>
          </w:p>
        </w:tc>
      </w:tr>
      <w:tr>
        <w:tc>
          <w:tcPr>
            <w:tcW w:type="dxa" w:w="602"/>
          </w:tcPr>
          <w:p>
            <w:r/>
            <w:r>
              <w:rPr>
                <w:sz w:val="17"/>
              </w:rPr>
              <w:t>5</w:t>
            </w:r>
          </w:p>
        </w:tc>
        <w:tc>
          <w:tcPr>
            <w:tcW w:type="dxa" w:w="2409"/>
          </w:tcPr>
          <w:p>
            <w:r/>
            <w:r>
              <w:rPr>
                <w:sz w:val="17"/>
              </w:rPr>
              <w:t>Clés JWT</w:t>
            </w:r>
          </w:p>
        </w:tc>
        <w:tc>
          <w:tcPr>
            <w:tcW w:type="dxa" w:w="6626"/>
          </w:tcPr>
          <w:p>
            <w:r/>
            <w:r>
              <w:rPr>
                <w:sz w:val="17"/>
              </w:rPr>
              <w:t>lexik:jwt:generate-keypair --skip-if-exists</w:t>
            </w:r>
          </w:p>
        </w:tc>
      </w:tr>
      <w:tr>
        <w:tc>
          <w:tcPr>
            <w:tcW w:type="dxa" w:w="602"/>
            <w:shd w:val="clear" w:fill="F7F0E0"/>
          </w:tcPr>
          <w:p>
            <w:r/>
            <w:r>
              <w:rPr>
                <w:sz w:val="17"/>
              </w:rPr>
              <w:t>6</w:t>
            </w:r>
          </w:p>
        </w:tc>
        <w:tc>
          <w:tcPr>
            <w:tcW w:type="dxa" w:w="2409"/>
            <w:shd w:val="clear" w:fill="F7F0E0"/>
          </w:tcPr>
          <w:p>
            <w:r/>
            <w:r>
              <w:rPr>
                <w:sz w:val="17"/>
              </w:rPr>
              <w:t>Migration du schéma</w:t>
            </w:r>
          </w:p>
        </w:tc>
        <w:tc>
          <w:tcPr>
            <w:tcW w:type="dxa" w:w="6626"/>
            <w:shd w:val="clear" w:fill="F7F0E0"/>
          </w:tcPr>
          <w:p>
            <w:r/>
            <w:r>
              <w:rPr>
                <w:sz w:val="17"/>
              </w:rPr>
              <w:t>doctrine:migrations:migrate --no-interaction --env=prod</w:t>
            </w:r>
          </w:p>
        </w:tc>
      </w:tr>
      <w:tr>
        <w:tc>
          <w:tcPr>
            <w:tcW w:type="dxa" w:w="602"/>
          </w:tcPr>
          <w:p>
            <w:r/>
            <w:r>
              <w:rPr>
                <w:sz w:val="17"/>
              </w:rPr>
              <w:t>7</w:t>
            </w:r>
          </w:p>
        </w:tc>
        <w:tc>
          <w:tcPr>
            <w:tcW w:type="dxa" w:w="2409"/>
          </w:tcPr>
          <w:p>
            <w:r/>
            <w:r>
              <w:rPr>
                <w:sz w:val="17"/>
              </w:rPr>
              <w:t>Cache de production</w:t>
            </w:r>
          </w:p>
        </w:tc>
        <w:tc>
          <w:tcPr>
            <w:tcW w:type="dxa" w:w="6626"/>
          </w:tcPr>
          <w:p>
            <w:r/>
            <w:r>
              <w:rPr>
                <w:sz w:val="17"/>
              </w:rPr>
              <w:t>cache:clear --env=prod</w:t>
            </w:r>
          </w:p>
        </w:tc>
      </w:tr>
      <w:tr>
        <w:tc>
          <w:tcPr>
            <w:tcW w:type="dxa" w:w="602"/>
            <w:shd w:val="clear" w:fill="F7F0E0"/>
          </w:tcPr>
          <w:p>
            <w:r/>
            <w:r>
              <w:rPr>
                <w:sz w:val="17"/>
              </w:rPr>
              <w:t>8</w:t>
            </w:r>
          </w:p>
        </w:tc>
        <w:tc>
          <w:tcPr>
            <w:tcW w:type="dxa" w:w="2409"/>
            <w:shd w:val="clear" w:fill="F7F0E0"/>
          </w:tcPr>
          <w:p>
            <w:r/>
            <w:r>
              <w:rPr>
                <w:sz w:val="17"/>
              </w:rPr>
              <w:t>Build du front</w:t>
            </w:r>
          </w:p>
        </w:tc>
        <w:tc>
          <w:tcPr>
            <w:tcW w:type="dxa" w:w="6626"/>
            <w:shd w:val="clear" w:fill="F7F0E0"/>
          </w:tcPr>
          <w:p>
            <w:r/>
            <w:r>
              <w:rPr>
                <w:sz w:val="17"/>
              </w:rPr>
              <w:t>npm ci --legacy-peer-deps &amp;&amp; npm run build (servi en statique par Nginx)</w:t>
            </w:r>
          </w:p>
        </w:tc>
      </w:tr>
      <w:tr>
        <w:tc>
          <w:tcPr>
            <w:tcW w:type="dxa" w:w="602"/>
          </w:tcPr>
          <w:p>
            <w:r/>
            <w:r>
              <w:rPr>
                <w:sz w:val="17"/>
              </w:rPr>
              <w:t>9</w:t>
            </w:r>
          </w:p>
        </w:tc>
        <w:tc>
          <w:tcPr>
            <w:tcW w:type="dxa" w:w="2409"/>
          </w:tcPr>
          <w:p>
            <w:r/>
            <w:r>
              <w:rPr>
                <w:sz w:val="17"/>
              </w:rPr>
              <w:t>Sonde de supervision</w:t>
            </w:r>
          </w:p>
        </w:tc>
        <w:tc>
          <w:tcPr>
            <w:tcW w:type="dxa" w:w="6626"/>
          </w:tcPr>
          <w:p>
            <w:r/>
            <w:r>
              <w:rPr>
                <w:sz w:val="17"/>
              </w:rPr>
              <w:t>Ré-installation idempotente de la crontab (*/5) de deploy/healthcheck-probe.sh : la supervision se déploie avec le code (Bloc 4)</w:t>
            </w:r>
          </w:p>
        </w:tc>
      </w:tr>
    </w:tbl>
    <w:p>
      <w:pPr>
        <w:spacing w:after="40"/>
      </w:pPr>
    </w:p>
    <w:p>
      <w:r>
        <w:rPr>
          <w:b w:val="0"/>
          <w:i w:val="0"/>
        </w:rPr>
        <w:t>Le script deploy/deploy.sh est versionné dans le dépôt : la procédure de déploiement est revue comme du code. En cas d'échec d'une étape (set -e), le déploiement s'interrompt et la version précédente du front reste servie ; un retour arrière consiste à re-déployer le commit précédent de master.</w:t>
      </w:r>
    </w:p>
    <w:p>
      <w:pPr>
        <w:pStyle w:val="Heading1"/>
      </w:pPr>
      <w:r>
        <w:t>6. Harnais de tests unitaires</w:t>
      </w:r>
    </w:p>
    <w:p>
      <w:pPr>
        <w:pStyle w:val="Heading2"/>
      </w:pPr>
      <w:r>
        <w:t>6.1 Vue d'ensemble</w:t>
      </w:r>
    </w:p>
    <w:tbl>
      <w:tblPr>
        <w:tblStyle w:val="TableGrid"/>
        <w:tblW w:type="auto" w:w="0"/>
        <w:jc w:val="center"/>
        <w:tblLayout w:type="fixed"/>
        <w:tblLook w:firstColumn="1" w:firstRow="1" w:lastColumn="0" w:lastRow="0" w:noHBand="0" w:noVBand="1" w:val="04A0"/>
        <w:tblCellMar>
          <w:top w:w="30" w:type="dxa"/>
          <w:left w:w="80" w:type="dxa"/>
          <w:bottom w:w="30" w:type="dxa"/>
          <w:right w:w="80" w:type="dxa"/>
        </w:tblCellMar>
      </w:tblPr>
      <w:tblGrid>
        <w:gridCol w:w="2409"/>
        <w:gridCol w:w="2409"/>
        <w:gridCol w:w="2409"/>
        <w:gridCol w:w="2409"/>
      </w:tblGrid>
      <w:tr>
        <w:tc>
          <w:tcPr>
            <w:tcW w:type="dxa" w:w="1506"/>
            <w:shd w:val="clear" w:fill="2D1A00"/>
          </w:tcPr>
          <w:p>
            <w:r/>
            <w:r>
              <w:rPr>
                <w:rFonts w:ascii="Palatino" w:hAnsi="Palatino"/>
                <w:b/>
                <w:color w:val="FFFFFF"/>
                <w:sz w:val="17"/>
              </w:rPr>
              <w:t>Suite</w:t>
            </w:r>
          </w:p>
        </w:tc>
        <w:tc>
          <w:tcPr>
            <w:tcW w:type="dxa" w:w="3313"/>
            <w:shd w:val="clear" w:fill="2D1A00"/>
          </w:tcPr>
          <w:p>
            <w:r/>
            <w:r>
              <w:rPr>
                <w:rFonts w:ascii="Palatino" w:hAnsi="Palatino"/>
                <w:b/>
                <w:color w:val="FFFFFF"/>
                <w:sz w:val="17"/>
              </w:rPr>
              <w:t>Outils</w:t>
            </w:r>
          </w:p>
        </w:tc>
        <w:tc>
          <w:tcPr>
            <w:tcW w:type="dxa" w:w="2711"/>
            <w:shd w:val="clear" w:fill="2D1A00"/>
          </w:tcPr>
          <w:p>
            <w:r/>
            <w:r>
              <w:rPr>
                <w:rFonts w:ascii="Palatino" w:hAnsi="Palatino"/>
                <w:b/>
                <w:color w:val="FFFFFF"/>
                <w:sz w:val="17"/>
              </w:rPr>
              <w:t>Volume</w:t>
            </w:r>
          </w:p>
        </w:tc>
        <w:tc>
          <w:tcPr>
            <w:tcW w:type="dxa" w:w="2108"/>
            <w:shd w:val="clear" w:fill="2D1A00"/>
          </w:tcPr>
          <w:p>
            <w:r/>
            <w:r>
              <w:rPr>
                <w:rFonts w:ascii="Palatino" w:hAnsi="Palatino"/>
                <w:b/>
                <w:color w:val="FFFFFF"/>
                <w:sz w:val="17"/>
              </w:rPr>
              <w:t>Statut (14/07/2026)</w:t>
            </w:r>
          </w:p>
        </w:tc>
      </w:tr>
      <w:tr>
        <w:tc>
          <w:tcPr>
            <w:tcW w:type="dxa" w:w="1506"/>
          </w:tcPr>
          <w:p>
            <w:r/>
            <w:r>
              <w:rPr>
                <w:sz w:val="17"/>
              </w:rPr>
              <w:t>Backend</w:t>
            </w:r>
          </w:p>
        </w:tc>
        <w:tc>
          <w:tcPr>
            <w:tcW w:type="dxa" w:w="3313"/>
          </w:tcPr>
          <w:p>
            <w:r/>
            <w:r>
              <w:rPr>
                <w:sz w:val="17"/>
              </w:rPr>
              <w:t>PHPUnit 9.6, WebTestCase, SQLite dédiée</w:t>
            </w:r>
          </w:p>
        </w:tc>
        <w:tc>
          <w:tcPr>
            <w:tcW w:type="dxa" w:w="2711"/>
          </w:tcPr>
          <w:p>
            <w:r/>
            <w:r>
              <w:rPr>
                <w:sz w:val="17"/>
              </w:rPr>
              <w:t>31 tests, 85 assertions</w:t>
            </w:r>
          </w:p>
        </w:tc>
        <w:tc>
          <w:tcPr>
            <w:tcW w:type="dxa" w:w="2108"/>
          </w:tcPr>
          <w:p>
            <w:r/>
            <w:r>
              <w:rPr>
                <w:sz w:val="17"/>
              </w:rPr>
              <w:t>100 % verts</w:t>
            </w:r>
          </w:p>
        </w:tc>
      </w:tr>
      <w:tr>
        <w:tc>
          <w:tcPr>
            <w:tcW w:type="dxa" w:w="1506"/>
            <w:shd w:val="clear" w:fill="F7F0E0"/>
          </w:tcPr>
          <w:p>
            <w:r/>
            <w:r>
              <w:rPr>
                <w:sz w:val="17"/>
              </w:rPr>
              <w:t>Frontend</w:t>
            </w:r>
          </w:p>
        </w:tc>
        <w:tc>
          <w:tcPr>
            <w:tcW w:type="dxa" w:w="3313"/>
            <w:shd w:val="clear" w:fill="F7F0E0"/>
          </w:tcPr>
          <w:p>
            <w:r/>
            <w:r>
              <w:rPr>
                <w:sz w:val="17"/>
              </w:rPr>
              <w:t>Jest + React Testing Library 16</w:t>
            </w:r>
          </w:p>
        </w:tc>
        <w:tc>
          <w:tcPr>
            <w:tcW w:type="dxa" w:w="2711"/>
            <w:shd w:val="clear" w:fill="F7F0E0"/>
          </w:tcPr>
          <w:p>
            <w:r/>
            <w:r>
              <w:rPr>
                <w:sz w:val="17"/>
              </w:rPr>
              <w:t>12 suites — 95 tests</w:t>
            </w:r>
          </w:p>
        </w:tc>
        <w:tc>
          <w:tcPr>
            <w:tcW w:type="dxa" w:w="2108"/>
            <w:shd w:val="clear" w:fill="F7F0E0"/>
          </w:tcPr>
          <w:p>
            <w:r/>
            <w:r>
              <w:rPr>
                <w:sz w:val="17"/>
              </w:rPr>
              <w:t>100 % verts</w:t>
            </w:r>
          </w:p>
        </w:tc>
      </w:tr>
    </w:tbl>
    <w:p>
      <w:pPr>
        <w:spacing w:after="40"/>
      </w:pPr>
    </w:p>
    <w:p>
      <w:pPr>
        <w:pStyle w:val="Heading2"/>
      </w:pPr>
      <w:r>
        <w:t>6.2 Fonctionnalité couverte de bout en bout : l'authentification</w:t>
      </w:r>
    </w:p>
    <w:p>
      <w:r>
        <w:rPr>
          <w:b w:val="0"/>
          <w:i w:val="0"/>
        </w:rPr>
        <w:t>Conformément au référentiel (« un jeu de tests unitaires couvrant une fonctionnalité demandée »), le flux d'authentification est testé sur toute la chaîne :</w:t>
      </w:r>
    </w:p>
    <w:tbl>
      <w:tblPr>
        <w:tblStyle w:val="TableGrid"/>
        <w:tblW w:type="auto" w:w="0"/>
        <w:jc w:val="center"/>
        <w:tblLayout w:type="fixed"/>
        <w:tblLook w:firstColumn="1" w:firstRow="1" w:lastColumn="0" w:lastRow="0" w:noHBand="0" w:noVBand="1" w:val="04A0"/>
        <w:tblCellMar>
          <w:top w:w="30" w:type="dxa"/>
          <w:left w:w="80" w:type="dxa"/>
          <w:bottom w:w="30" w:type="dxa"/>
          <w:right w:w="80" w:type="dxa"/>
        </w:tblCellMar>
      </w:tblPr>
      <w:tblGrid>
        <w:gridCol w:w="3213"/>
        <w:gridCol w:w="3213"/>
        <w:gridCol w:w="3213"/>
      </w:tblGrid>
      <w:tr>
        <w:tc>
          <w:tcPr>
            <w:tcW w:type="dxa" w:w="1460"/>
            <w:shd w:val="clear" w:fill="2D1A00"/>
          </w:tcPr>
          <w:p>
            <w:r/>
            <w:r>
              <w:rPr>
                <w:rFonts w:ascii="Palatino" w:hAnsi="Palatino"/>
                <w:b/>
                <w:color w:val="FFFFFF"/>
                <w:sz w:val="17"/>
              </w:rPr>
              <w:t>Niveau</w:t>
            </w:r>
          </w:p>
        </w:tc>
        <w:tc>
          <w:tcPr>
            <w:tcW w:type="dxa" w:w="3505"/>
            <w:shd w:val="clear" w:fill="2D1A00"/>
          </w:tcPr>
          <w:p>
            <w:r/>
            <w:r>
              <w:rPr>
                <w:rFonts w:ascii="Palatino" w:hAnsi="Palatino"/>
                <w:b/>
                <w:color w:val="FFFFFF"/>
                <w:sz w:val="17"/>
              </w:rPr>
              <w:t>Fichier</w:t>
            </w:r>
          </w:p>
        </w:tc>
        <w:tc>
          <w:tcPr>
            <w:tcW w:type="dxa" w:w="4673"/>
            <w:shd w:val="clear" w:fill="2D1A00"/>
          </w:tcPr>
          <w:p>
            <w:r/>
            <w:r>
              <w:rPr>
                <w:rFonts w:ascii="Palatino" w:hAnsi="Palatino"/>
                <w:b/>
                <w:color w:val="FFFFFF"/>
                <w:sz w:val="17"/>
              </w:rPr>
              <w:t>Cas couverts</w:t>
            </w:r>
          </w:p>
        </w:tc>
      </w:tr>
      <w:tr>
        <w:tc>
          <w:tcPr>
            <w:tcW w:type="dxa" w:w="1460"/>
          </w:tcPr>
          <w:p>
            <w:r/>
            <w:r>
              <w:rPr>
                <w:sz w:val="17"/>
              </w:rPr>
              <w:t>API</w:t>
            </w:r>
          </w:p>
        </w:tc>
        <w:tc>
          <w:tcPr>
            <w:tcW w:type="dxa" w:w="3505"/>
          </w:tcPr>
          <w:p>
            <w:r/>
            <w:r>
              <w:rPr>
                <w:sz w:val="17"/>
              </w:rPr>
              <w:t>tests/Controller/AuthControllerTest.php</w:t>
            </w:r>
          </w:p>
        </w:tc>
        <w:tc>
          <w:tcPr>
            <w:tcW w:type="dxa" w:w="4673"/>
          </w:tcPr>
          <w:p>
            <w:r/>
            <w:r>
              <w:rPr>
                <w:sz w:val="17"/>
              </w:rPr>
              <w:t>Inscription réussie (201), doublon refusé (400), connexion valide → JWT (200), identifiants invalides (401)</w:t>
            </w:r>
          </w:p>
        </w:tc>
      </w:tr>
      <w:tr>
        <w:tc>
          <w:tcPr>
            <w:tcW w:type="dxa" w:w="1460"/>
            <w:shd w:val="clear" w:fill="F7F0E0"/>
          </w:tcPr>
          <w:p>
            <w:r/>
            <w:r>
              <w:rPr>
                <w:sz w:val="17"/>
              </w:rPr>
              <w:t>Interface</w:t>
            </w:r>
          </w:p>
        </w:tc>
        <w:tc>
          <w:tcPr>
            <w:tcW w:type="dxa" w:w="3505"/>
            <w:shd w:val="clear" w:fill="F7F0E0"/>
          </w:tcPr>
          <w:p>
            <w:r/>
            <w:r>
              <w:rPr>
                <w:sz w:val="17"/>
              </w:rPr>
              <w:t>src/pages/Login/Login.test.jsx</w:t>
            </w:r>
          </w:p>
        </w:tc>
        <w:tc>
          <w:tcPr>
            <w:tcW w:type="dxa" w:w="4673"/>
            <w:shd w:val="clear" w:fill="F7F0E0"/>
          </w:tcPr>
          <w:p>
            <w:r/>
            <w:r>
              <w:rPr>
                <w:sz w:val="17"/>
              </w:rPr>
              <w:t>Rendu du formulaire, soumission, stockage des jetons, message d'erreur</w:t>
            </w:r>
          </w:p>
        </w:tc>
      </w:tr>
      <w:tr>
        <w:tc>
          <w:tcPr>
            <w:tcW w:type="dxa" w:w="1460"/>
          </w:tcPr>
          <w:p>
            <w:r/>
            <w:r>
              <w:rPr>
                <w:sz w:val="17"/>
              </w:rPr>
              <w:t>Interface</w:t>
            </w:r>
          </w:p>
        </w:tc>
        <w:tc>
          <w:tcPr>
            <w:tcW w:type="dxa" w:w="3505"/>
          </w:tcPr>
          <w:p>
            <w:r/>
            <w:r>
              <w:rPr>
                <w:sz w:val="17"/>
              </w:rPr>
              <w:t>src/pages/Register/Register.test.jsx</w:t>
            </w:r>
          </w:p>
        </w:tc>
        <w:tc>
          <w:tcPr>
            <w:tcW w:type="dxa" w:w="4673"/>
          </w:tcPr>
          <w:p>
            <w:r/>
            <w:r>
              <w:rPr>
                <w:sz w:val="17"/>
              </w:rPr>
              <w:t>Rendu, validation des champs, succès → redirection login</w:t>
            </w:r>
          </w:p>
        </w:tc>
      </w:tr>
      <w:tr>
        <w:tc>
          <w:tcPr>
            <w:tcW w:type="dxa" w:w="1460"/>
            <w:shd w:val="clear" w:fill="F7F0E0"/>
          </w:tcPr>
          <w:p>
            <w:r/>
            <w:r>
              <w:rPr>
                <w:sz w:val="17"/>
              </w:rPr>
              <w:t>Utilitaires</w:t>
            </w:r>
          </w:p>
        </w:tc>
        <w:tc>
          <w:tcPr>
            <w:tcW w:type="dxa" w:w="3505"/>
            <w:shd w:val="clear" w:fill="F7F0E0"/>
          </w:tcPr>
          <w:p>
            <w:r/>
            <w:r>
              <w:rPr>
                <w:sz w:val="17"/>
              </w:rPr>
              <w:t>src/utils/authUtils.test.js</w:t>
            </w:r>
          </w:p>
        </w:tc>
        <w:tc>
          <w:tcPr>
            <w:tcW w:type="dxa" w:w="4673"/>
            <w:shd w:val="clear" w:fill="F7F0E0"/>
          </w:tcPr>
          <w:p>
            <w:r/>
            <w:r>
              <w:rPr>
                <w:sz w:val="17"/>
              </w:rPr>
              <w:t>Validation d'expiration du JWT, déclenchement du refresh, purge des jetons invalides</w:t>
            </w:r>
          </w:p>
        </w:tc>
      </w:tr>
      <w:tr>
        <w:tc>
          <w:tcPr>
            <w:tcW w:type="dxa" w:w="1460"/>
          </w:tcPr>
          <w:p>
            <w:r/>
            <w:r>
              <w:rPr>
                <w:sz w:val="17"/>
              </w:rPr>
              <w:t>Client HTTP</w:t>
            </w:r>
          </w:p>
        </w:tc>
        <w:tc>
          <w:tcPr>
            <w:tcW w:type="dxa" w:w="3505"/>
          </w:tcPr>
          <w:p>
            <w:r/>
            <w:r>
              <w:rPr>
                <w:sz w:val="17"/>
              </w:rPr>
              <w:t>src/api.test.js</w:t>
            </w:r>
          </w:p>
        </w:tc>
        <w:tc>
          <w:tcPr>
            <w:tcW w:type="dxa" w:w="4673"/>
          </w:tcPr>
          <w:p>
            <w:r/>
            <w:r>
              <w:rPr>
                <w:sz w:val="17"/>
              </w:rPr>
              <w:t>Intercepteurs : ajout du Bearer, gestion 401/403</w:t>
            </w:r>
          </w:p>
        </w:tc>
      </w:tr>
    </w:tbl>
    <w:p>
      <w:pPr>
        <w:spacing w:after="40"/>
      </w:pPr>
    </w:p>
    <w:p>
      <w:r>
        <w:rPr>
          <w:b w:val="0"/>
          <w:i w:val="0"/>
        </w:rPr>
        <w:t>Le reste du périmètre est couvert par les tests des contrôleurs métier (Guild, Player, Zone, batailles et statistiques PvP : accès authentifié, cas vides), des services (MapService, PlayerService, GuildService : logique de recherche, appels HTTP simulés) et des pages front (Dashboard, Guilds, Players, Admin : rendu, recherche, gestion des rôles, dialogues). Les utilitaires de calcul du craft (craftUtils) et l'export d'image des compositions ont leurs suites dédiées.</w:t>
      </w:r>
    </w:p>
    <w:p>
      <w:pPr>
        <w:pStyle w:val="Heading2"/>
      </w:pPr>
      <w:r>
        <w:t>6.3 Reproductibilité</w:t>
      </w:r>
    </w:p>
    <w:p>
      <w:pPr>
        <w:pStyle w:val="ListBullet"/>
      </w:pPr>
      <w:r>
        <w:rPr>
          <w:b w:val="0"/>
          <w:i w:val="0"/>
        </w:rPr>
        <w:t>Back : APP_ENV=test php bin/phpunit — base SQLite recréée par la CI à chaque exécution.</w:t>
      </w:r>
    </w:p>
    <w:p>
      <w:pPr>
        <w:pStyle w:val="ListBullet"/>
      </w:pPr>
      <w:r>
        <w:rPr>
          <w:b w:val="0"/>
          <w:i w:val="0"/>
        </w:rPr>
        <w:t>Front : CI=true npm test -- --watchAll=false — aucun appel réseau réel (API simulée par mocks).</w:t>
      </w:r>
    </w:p>
    <w:p>
      <w:pPr>
        <w:pStyle w:val="ListBullet"/>
      </w:pPr>
      <w:r>
        <w:rPr>
          <w:b w:val="0"/>
          <w:i w:val="0"/>
        </w:rPr>
        <w:t>Les mêmes commandes tournent en local et dans le pipeline : un développeur reproduit la CI à l'identique.</w:t>
      </w:r>
    </w:p>
    <w:p>
      <w:pPr>
        <w:pStyle w:val="Heading1"/>
      </w:pPr>
      <w:r>
        <w:t>7. Mesures de sécurité mises en œuvre</w:t>
      </w:r>
    </w:p>
    <w:p>
      <w:r>
        <w:rPr>
          <w:b w:val="0"/>
          <w:i w:val="0"/>
        </w:rPr>
        <w:t>La sécurité a été traitée au travers du référentiel OWASP Top 10 (2021). Chaque famille de failles est couverte par une mesure concrète, vérifiée soit par les tests automatisés, soit par la recette de sécurité (cf. §10, scénarios SEC-*).</w:t>
      </w:r>
    </w:p>
    <w:tbl>
      <w:tblPr>
        <w:tblStyle w:val="TableGrid"/>
        <w:tblW w:type="auto" w:w="0"/>
        <w:jc w:val="center"/>
        <w:tblLayout w:type="fixed"/>
        <w:tblLook w:firstColumn="1" w:firstRow="1" w:lastColumn="0" w:lastRow="0" w:noHBand="0" w:noVBand="1" w:val="04A0"/>
        <w:tblCellMar>
          <w:top w:w="30" w:type="dxa"/>
          <w:left w:w="80" w:type="dxa"/>
          <w:bottom w:w="30" w:type="dxa"/>
          <w:right w:w="80" w:type="dxa"/>
        </w:tblCellMar>
      </w:tblPr>
      <w:tblGrid>
        <w:gridCol w:w="2409"/>
        <w:gridCol w:w="2409"/>
        <w:gridCol w:w="2409"/>
        <w:gridCol w:w="2409"/>
      </w:tblGrid>
      <w:tr>
        <w:tc>
          <w:tcPr>
            <w:tcW w:type="dxa" w:w="723"/>
            <w:shd w:val="clear" w:fill="2D1A00"/>
          </w:tcPr>
          <w:p>
            <w:r/>
            <w:r>
              <w:rPr>
                <w:rFonts w:ascii="Palatino" w:hAnsi="Palatino"/>
                <w:b/>
                <w:color w:val="FFFFFF"/>
                <w:sz w:val="16"/>
              </w:rPr>
              <w:t>OWASP</w:t>
            </w:r>
          </w:p>
        </w:tc>
        <w:tc>
          <w:tcPr>
            <w:tcW w:type="dxa" w:w="1687"/>
            <w:shd w:val="clear" w:fill="2D1A00"/>
          </w:tcPr>
          <w:p>
            <w:r/>
            <w:r>
              <w:rPr>
                <w:rFonts w:ascii="Palatino" w:hAnsi="Palatino"/>
                <w:b/>
                <w:color w:val="FFFFFF"/>
                <w:sz w:val="16"/>
              </w:rPr>
              <w:t>Risque</w:t>
            </w:r>
          </w:p>
        </w:tc>
        <w:tc>
          <w:tcPr>
            <w:tcW w:type="dxa" w:w="4819"/>
            <w:shd w:val="clear" w:fill="2D1A00"/>
          </w:tcPr>
          <w:p>
            <w:r/>
            <w:r>
              <w:rPr>
                <w:rFonts w:ascii="Palatino" w:hAnsi="Palatino"/>
                <w:b/>
                <w:color w:val="FFFFFF"/>
                <w:sz w:val="16"/>
              </w:rPr>
              <w:t>Mesures dans Albion Helper</w:t>
            </w:r>
          </w:p>
        </w:tc>
        <w:tc>
          <w:tcPr>
            <w:tcW w:type="dxa" w:w="2409"/>
            <w:shd w:val="clear" w:fill="2D1A00"/>
          </w:tcPr>
          <w:p>
            <w:r/>
            <w:r>
              <w:rPr>
                <w:rFonts w:ascii="Palatino" w:hAnsi="Palatino"/>
                <w:b/>
                <w:color w:val="FFFFFF"/>
                <w:sz w:val="16"/>
              </w:rPr>
              <w:t>Preuve</w:t>
            </w:r>
          </w:p>
        </w:tc>
      </w:tr>
      <w:tr>
        <w:tc>
          <w:tcPr>
            <w:tcW w:type="dxa" w:w="723"/>
          </w:tcPr>
          <w:p>
            <w:r/>
            <w:r>
              <w:rPr>
                <w:sz w:val="16"/>
              </w:rPr>
              <w:t>A01</w:t>
            </w:r>
          </w:p>
        </w:tc>
        <w:tc>
          <w:tcPr>
            <w:tcW w:type="dxa" w:w="1687"/>
          </w:tcPr>
          <w:p>
            <w:r/>
            <w:r>
              <w:rPr>
                <w:sz w:val="16"/>
              </w:rPr>
              <w:t>Contrôle d'accès défaillant</w:t>
            </w:r>
          </w:p>
        </w:tc>
        <w:tc>
          <w:tcPr>
            <w:tcW w:type="dxa" w:w="4819"/>
          </w:tcPr>
          <w:p>
            <w:r/>
            <w:r>
              <w:rPr>
                <w:sz w:val="16"/>
              </w:rPr>
              <w:t>Firewall Symfony : toutes les routes /api exigent un JWT sauf liste publique explicite ; /api/admin restreint à ROLE_ADMIN ; contrôle de propriété sur routes et compositions (un utilisateur ne peut ni voir ni supprimer celles d'un autre)</w:t>
            </w:r>
          </w:p>
        </w:tc>
        <w:tc>
          <w:tcPr>
            <w:tcW w:type="dxa" w:w="2409"/>
          </w:tcPr>
          <w:p>
            <w:r/>
            <w:r>
              <w:rPr>
                <w:sz w:val="16"/>
              </w:rPr>
              <w:t>SEC-01 : 401 sans jeton ; SEC-05 : 404 sur suppression par un tiers ; ADM-02 : accès admin refusé</w:t>
            </w:r>
          </w:p>
        </w:tc>
      </w:tr>
      <w:tr>
        <w:tc>
          <w:tcPr>
            <w:tcW w:type="dxa" w:w="723"/>
            <w:shd w:val="clear" w:fill="F7F0E0"/>
          </w:tcPr>
          <w:p>
            <w:r/>
            <w:r>
              <w:rPr>
                <w:sz w:val="16"/>
              </w:rPr>
              <w:t>A02</w:t>
            </w:r>
          </w:p>
        </w:tc>
        <w:tc>
          <w:tcPr>
            <w:tcW w:type="dxa" w:w="1687"/>
            <w:shd w:val="clear" w:fill="F7F0E0"/>
          </w:tcPr>
          <w:p>
            <w:r/>
            <w:r>
              <w:rPr>
                <w:sz w:val="16"/>
              </w:rPr>
              <w:t>Défaillances cryptographiques</w:t>
            </w:r>
          </w:p>
        </w:tc>
        <w:tc>
          <w:tcPr>
            <w:tcW w:type="dxa" w:w="4819"/>
            <w:shd w:val="clear" w:fill="F7F0E0"/>
          </w:tcPr>
          <w:p>
            <w:r/>
            <w:r>
              <w:rPr>
                <w:sz w:val="16"/>
              </w:rPr>
              <w:t>Mots de passe hachés bcrypt (coût auto) ; JWT signés RS256 (paire de clés hors dépôt git) ; HTTPS en production ; aucun secret commité (variables d'environnement)</w:t>
            </w:r>
          </w:p>
        </w:tc>
        <w:tc>
          <w:tcPr>
            <w:tcW w:type="dxa" w:w="2409"/>
            <w:shd w:val="clear" w:fill="F7F0E0"/>
          </w:tcPr>
          <w:p>
            <w:r/>
            <w:r>
              <w:rPr>
                <w:sz w:val="16"/>
              </w:rPr>
              <w:t>Revue de code ; .gitignore (clés *.pem)</w:t>
            </w:r>
          </w:p>
        </w:tc>
      </w:tr>
      <w:tr>
        <w:tc>
          <w:tcPr>
            <w:tcW w:type="dxa" w:w="723"/>
          </w:tcPr>
          <w:p>
            <w:r/>
            <w:r>
              <w:rPr>
                <w:sz w:val="16"/>
              </w:rPr>
              <w:t>A03</w:t>
            </w:r>
          </w:p>
        </w:tc>
        <w:tc>
          <w:tcPr>
            <w:tcW w:type="dxa" w:w="1687"/>
          </w:tcPr>
          <w:p>
            <w:r/>
            <w:r>
              <w:rPr>
                <w:sz w:val="16"/>
              </w:rPr>
              <w:t>Injection</w:t>
            </w:r>
          </w:p>
        </w:tc>
        <w:tc>
          <w:tcPr>
            <w:tcW w:type="dxa" w:w="4819"/>
          </w:tcPr>
          <w:p>
            <w:r/>
            <w:r>
              <w:rPr>
                <w:sz w:val="16"/>
              </w:rPr>
              <w:t>100 % des accès BDD via Doctrine ORM (requêtes paramétrées) ; entrées validées et bornées (regex sur les noms d'items, substr, min/max)</w:t>
            </w:r>
          </w:p>
        </w:tc>
        <w:tc>
          <w:tcPr>
            <w:tcW w:type="dxa" w:w="2409"/>
          </w:tcPr>
          <w:p>
            <w:r/>
            <w:r>
              <w:rPr>
                <w:sz w:val="16"/>
              </w:rPr>
              <w:t>Revue de code ; tests contrôleurs</w:t>
            </w:r>
          </w:p>
        </w:tc>
      </w:tr>
      <w:tr>
        <w:tc>
          <w:tcPr>
            <w:tcW w:type="dxa" w:w="723"/>
            <w:shd w:val="clear" w:fill="F7F0E0"/>
          </w:tcPr>
          <w:p>
            <w:r/>
            <w:r>
              <w:rPr>
                <w:sz w:val="16"/>
              </w:rPr>
              <w:t>A04</w:t>
            </w:r>
          </w:p>
        </w:tc>
        <w:tc>
          <w:tcPr>
            <w:tcW w:type="dxa" w:w="1687"/>
            <w:shd w:val="clear" w:fill="F7F0E0"/>
          </w:tcPr>
          <w:p>
            <w:r/>
            <w:r>
              <w:rPr>
                <w:sz w:val="16"/>
              </w:rPr>
              <w:t>Conception non sécurisée</w:t>
            </w:r>
          </w:p>
        </w:tc>
        <w:tc>
          <w:tcPr>
            <w:tcW w:type="dxa" w:w="4819"/>
            <w:shd w:val="clear" w:fill="F7F0E0"/>
          </w:tcPr>
          <w:p>
            <w:r/>
            <w:r>
              <w:rPr>
                <w:sz w:val="16"/>
              </w:rPr>
              <w:t>Rate limiting : 5 inscriptions/IP/heure (composant RateLimiter) ; expiration automatique des routes à 24 h ; jetons de partage non devinables</w:t>
            </w:r>
          </w:p>
        </w:tc>
        <w:tc>
          <w:tcPr>
            <w:tcW w:type="dxa" w:w="2409"/>
            <w:shd w:val="clear" w:fill="F7F0E0"/>
          </w:tcPr>
          <w:p>
            <w:r/>
            <w:r>
              <w:rPr>
                <w:sz w:val="16"/>
              </w:rPr>
              <w:t>SEC-03 : HTTP 429 au 6e appel</w:t>
            </w:r>
          </w:p>
        </w:tc>
      </w:tr>
      <w:tr>
        <w:tc>
          <w:tcPr>
            <w:tcW w:type="dxa" w:w="723"/>
          </w:tcPr>
          <w:p>
            <w:r/>
            <w:r>
              <w:rPr>
                <w:sz w:val="16"/>
              </w:rPr>
              <w:t>A05</w:t>
            </w:r>
          </w:p>
        </w:tc>
        <w:tc>
          <w:tcPr>
            <w:tcW w:type="dxa" w:w="1687"/>
          </w:tcPr>
          <w:p>
            <w:r/>
            <w:r>
              <w:rPr>
                <w:sz w:val="16"/>
              </w:rPr>
              <w:t>Mauvaise configuration</w:t>
            </w:r>
          </w:p>
        </w:tc>
        <w:tc>
          <w:tcPr>
            <w:tcW w:type="dxa" w:w="4819"/>
          </w:tcPr>
          <w:p>
            <w:r/>
            <w:r>
              <w:rPr>
                <w:sz w:val="16"/>
              </w:rPr>
              <w:t>CORS restreint par variable d'environnement (origin_regex, aucun wildcard) ; en-têtes de sécurité globaux : X-Content-Type-Options, X-Frame-Options DENY, Referrer-Policy, Content-Security-Policy ; pas de stack trace en prod</w:t>
            </w:r>
          </w:p>
        </w:tc>
        <w:tc>
          <w:tcPr>
            <w:tcW w:type="dxa" w:w="2409"/>
          </w:tcPr>
          <w:p>
            <w:r/>
            <w:r>
              <w:rPr>
                <w:sz w:val="16"/>
              </w:rPr>
              <w:t>SEC-02 : en-têtes vérifiés sur /api/health</w:t>
            </w:r>
          </w:p>
        </w:tc>
      </w:tr>
      <w:tr>
        <w:tc>
          <w:tcPr>
            <w:tcW w:type="dxa" w:w="723"/>
            <w:shd w:val="clear" w:fill="F7F0E0"/>
          </w:tcPr>
          <w:p>
            <w:r/>
            <w:r>
              <w:rPr>
                <w:sz w:val="16"/>
              </w:rPr>
              <w:t>A06</w:t>
            </w:r>
          </w:p>
        </w:tc>
        <w:tc>
          <w:tcPr>
            <w:tcW w:type="dxa" w:w="1687"/>
            <w:shd w:val="clear" w:fill="F7F0E0"/>
          </w:tcPr>
          <w:p>
            <w:r/>
            <w:r>
              <w:rPr>
                <w:sz w:val="16"/>
              </w:rPr>
              <w:t>Composants vulnérables</w:t>
            </w:r>
          </w:p>
        </w:tc>
        <w:tc>
          <w:tcPr>
            <w:tcW w:type="dxa" w:w="4819"/>
            <w:shd w:val="clear" w:fill="F7F0E0"/>
          </w:tcPr>
          <w:p>
            <w:r/>
            <w:r>
              <w:rPr>
                <w:sz w:val="16"/>
              </w:rPr>
              <w:t>Migration Symfony 7.2 (EOL) → 7.4.13 LTS : 36 advisories corrigées dont CVE-2025-64500 (élevée, contournement d'autorisation) ; axios 1.17 ; composer audit : 0 advisory ; Dependabot hebdomadaire</w:t>
            </w:r>
          </w:p>
        </w:tc>
        <w:tc>
          <w:tcPr>
            <w:tcW w:type="dxa" w:w="2409"/>
            <w:shd w:val="clear" w:fill="F7F0E0"/>
          </w:tcPr>
          <w:p>
            <w:r/>
            <w:r>
              <w:rPr>
                <w:sz w:val="16"/>
              </w:rPr>
              <w:t>Rapports composer audit / npm audit</w:t>
            </w:r>
          </w:p>
        </w:tc>
      </w:tr>
      <w:tr>
        <w:tc>
          <w:tcPr>
            <w:tcW w:type="dxa" w:w="723"/>
          </w:tcPr>
          <w:p>
            <w:r/>
            <w:r>
              <w:rPr>
                <w:sz w:val="16"/>
              </w:rPr>
              <w:t>A07</w:t>
            </w:r>
          </w:p>
        </w:tc>
        <w:tc>
          <w:tcPr>
            <w:tcW w:type="dxa" w:w="1687"/>
          </w:tcPr>
          <w:p>
            <w:r/>
            <w:r>
              <w:rPr>
                <w:sz w:val="16"/>
              </w:rPr>
              <w:t>Authentification défaillante</w:t>
            </w:r>
          </w:p>
        </w:tc>
        <w:tc>
          <w:tcPr>
            <w:tcW w:type="dxa" w:w="4819"/>
          </w:tcPr>
          <w:p>
            <w:r/>
            <w:r>
              <w:rPr>
                <w:sz w:val="16"/>
              </w:rPr>
              <w:t>Login throttling : 5 échecs max / 15 min (par utilisateur + IP) ; mot de passe ≥ 8 caractères ; JWT à durée courte (1 h) ; rotation des refresh tokens (single_use : un jeton volé ne sert qu'une fois)</w:t>
            </w:r>
          </w:p>
        </w:tc>
        <w:tc>
          <w:tcPr>
            <w:tcW w:type="dxa" w:w="2409"/>
          </w:tcPr>
          <w:p>
            <w:r/>
            <w:r>
              <w:rPr>
                <w:sz w:val="16"/>
              </w:rPr>
              <w:t>SEC-04 : verrouillage au 6e essai ; AUTH-02 : mot de passe court refusé</w:t>
            </w:r>
          </w:p>
        </w:tc>
      </w:tr>
      <w:tr>
        <w:tc>
          <w:tcPr>
            <w:tcW w:type="dxa" w:w="723"/>
            <w:shd w:val="clear" w:fill="F7F0E0"/>
          </w:tcPr>
          <w:p>
            <w:r/>
            <w:r>
              <w:rPr>
                <w:sz w:val="16"/>
              </w:rPr>
              <w:t>A08</w:t>
            </w:r>
          </w:p>
        </w:tc>
        <w:tc>
          <w:tcPr>
            <w:tcW w:type="dxa" w:w="1687"/>
            <w:shd w:val="clear" w:fill="F7F0E0"/>
          </w:tcPr>
          <w:p>
            <w:r/>
            <w:r>
              <w:rPr>
                <w:sz w:val="16"/>
              </w:rPr>
              <w:t>Intégrité logiciel/données</w:t>
            </w:r>
          </w:p>
        </w:tc>
        <w:tc>
          <w:tcPr>
            <w:tcW w:type="dxa" w:w="4819"/>
            <w:shd w:val="clear" w:fill="F7F0E0"/>
          </w:tcPr>
          <w:p>
            <w:r/>
            <w:r>
              <w:rPr>
                <w:sz w:val="16"/>
              </w:rPr>
              <w:t>Dépendances installées depuis les lockfiles (composer.lock, package-lock.json) ; pipeline CI signé par GitHub ; migrations versionnées</w:t>
            </w:r>
          </w:p>
        </w:tc>
        <w:tc>
          <w:tcPr>
            <w:tcW w:type="dxa" w:w="2409"/>
            <w:shd w:val="clear" w:fill="F7F0E0"/>
          </w:tcPr>
          <w:p>
            <w:r/>
            <w:r>
              <w:rPr>
                <w:sz w:val="16"/>
              </w:rPr>
              <w:t>CI ; revue des lockfiles</w:t>
            </w:r>
          </w:p>
        </w:tc>
      </w:tr>
      <w:tr>
        <w:tc>
          <w:tcPr>
            <w:tcW w:type="dxa" w:w="723"/>
          </w:tcPr>
          <w:p>
            <w:r/>
            <w:r>
              <w:rPr>
                <w:sz w:val="16"/>
              </w:rPr>
              <w:t>A09</w:t>
            </w:r>
          </w:p>
        </w:tc>
        <w:tc>
          <w:tcPr>
            <w:tcW w:type="dxa" w:w="1687"/>
          </w:tcPr>
          <w:p>
            <w:r/>
            <w:r>
              <w:rPr>
                <w:sz w:val="16"/>
              </w:rPr>
              <w:t>Journalisation insuffisante</w:t>
            </w:r>
          </w:p>
        </w:tc>
        <w:tc>
          <w:tcPr>
            <w:tcW w:type="dxa" w:w="4819"/>
          </w:tcPr>
          <w:p>
            <w:r/>
            <w:r>
              <w:rPr>
                <w:sz w:val="16"/>
              </w:rPr>
              <w:t>Canal Monolog « incident » dédié (dev + prod) ; les échecs d'authentification sont tracés par le firewall ; aucun secret ni mot de passe en clair dans les logs</w:t>
            </w:r>
          </w:p>
        </w:tc>
        <w:tc>
          <w:tcPr>
            <w:tcW w:type="dxa" w:w="2409"/>
          </w:tcPr>
          <w:p>
            <w:r/>
            <w:r>
              <w:rPr>
                <w:sz w:val="16"/>
              </w:rPr>
              <w:t>Configuration monolog.yaml</w:t>
            </w:r>
          </w:p>
        </w:tc>
      </w:tr>
      <w:tr>
        <w:tc>
          <w:tcPr>
            <w:tcW w:type="dxa" w:w="723"/>
            <w:shd w:val="clear" w:fill="F7F0E0"/>
          </w:tcPr>
          <w:p>
            <w:r/>
            <w:r>
              <w:rPr>
                <w:sz w:val="16"/>
              </w:rPr>
              <w:t>A10</w:t>
            </w:r>
          </w:p>
        </w:tc>
        <w:tc>
          <w:tcPr>
            <w:tcW w:type="dxa" w:w="1687"/>
            <w:shd w:val="clear" w:fill="F7F0E0"/>
          </w:tcPr>
          <w:p>
            <w:r/>
            <w:r>
              <w:rPr>
                <w:sz w:val="16"/>
              </w:rPr>
              <w:t>SSRF</w:t>
            </w:r>
          </w:p>
        </w:tc>
        <w:tc>
          <w:tcPr>
            <w:tcW w:type="dxa" w:w="4819"/>
            <w:shd w:val="clear" w:fill="F7F0E0"/>
          </w:tcPr>
          <w:p>
            <w:r/>
            <w:r>
              <w:rPr>
                <w:sz w:val="16"/>
              </w:rPr>
              <w:t>Le proxy d'icônes n'accepte qu'un identifiant d'item validé par expression régulière stricte ([A-Za-z0-9_@:]+) interpolé dans une URL fixe : aucune URL fournie par l'utilisateur n'est requêtée ; les domaines de l'API Albion sont une liste fermée (un par serveur de jeu)</w:t>
            </w:r>
          </w:p>
        </w:tc>
        <w:tc>
          <w:tcPr>
            <w:tcW w:type="dxa" w:w="2409"/>
            <w:shd w:val="clear" w:fill="F7F0E0"/>
          </w:tcPr>
          <w:p>
            <w:r/>
            <w:r>
              <w:rPr>
                <w:sz w:val="16"/>
              </w:rPr>
              <w:t>Revue de code ItemController</w:t>
            </w:r>
          </w:p>
        </w:tc>
      </w:tr>
    </w:tbl>
    <w:p>
      <w:pPr>
        <w:spacing w:after="40"/>
      </w:pPr>
    </w:p>
    <w:p>
      <w:pPr>
        <w:pStyle w:val="Heading2"/>
      </w:pPr>
      <w:r>
        <w:t>7.1 Choix assumé : stockage des jetons en localStorage</w:t>
      </w:r>
    </w:p>
    <w:p>
      <w:r>
        <w:rPr>
          <w:b w:val="0"/>
          <w:i w:val="0"/>
        </w:rPr>
        <w:t>Les jetons JWT sont conservés en localStorage plutôt qu'en cookie httpOnly. Ce choix, courant pour les SPA, expose théoriquement le jeton à une attaque XSS ; il est assumé et mitigé : (1) aucune injection de HTML brut dans l'application (pas de dangerouslySetInnerHTML, échappement React par défaut), (2) durée de vie du jeton limitée à 1 heure, (3) rotation des refresh tokens — un jeton de rafraîchissement volé est invalidé dès sa première utilisation, (4) en-tête Content-Security-Policy sur l'API. La migration vers un cookie httpOnly + SameSite est planifiée comme axe d'amélioration.</w:t>
      </w:r>
    </w:p>
    <w:p>
      <w:pPr>
        <w:pStyle w:val="Heading1"/>
      </w:pPr>
      <w:r>
        <w:t>8. Accessibilité : actions pour les personnes en situation de handicap</w:t>
      </w:r>
    </w:p>
    <w:p>
      <w:pPr>
        <w:pStyle w:val="Heading2"/>
      </w:pPr>
      <w:r>
        <w:t>8.1 Référentiel choisi et justification</w:t>
      </w:r>
    </w:p>
    <w:p>
      <w:r>
        <w:rPr>
          <w:b w:val="0"/>
          <w:i w:val="0"/>
        </w:rPr>
        <w:t>Le référentiel retenu est le RGAA 4.1 (Référentiel Général d'Amélioration de l'Accessibilité). Justification : c'est le référentiel officiel français, aligné sur la norme internationale WCAG 2.1 niveau AA dont il fournit une méthode de vérification concrète et outillable. Les outils d'audit utilisés (Lighthouse, axe-core) implémentent précisément les critères WCAG sous-jacents, ce qui rend la conformité mesurable et reproductible — contrairement à un référentiel purement déclaratif.</w:t>
      </w:r>
    </w:p>
    <w:p>
      <w:pPr>
        <w:pStyle w:val="Heading2"/>
      </w:pPr>
      <w:r>
        <w:t>8.2 Actions mises en œuvre</w:t>
      </w:r>
    </w:p>
    <w:p>
      <w:pPr>
        <w:pStyle w:val="ListBullet"/>
      </w:pPr>
      <w:r>
        <w:rPr>
          <w:b w:val="0"/>
          <w:i w:val="0"/>
        </w:rPr>
        <w:t>Langue déclarée (lang), structure sémantique (banner, main, hiérarchie de titres h1→h6).</w:t>
      </w:r>
    </w:p>
    <w:p>
      <w:pPr>
        <w:pStyle w:val="ListBullet"/>
      </w:pPr>
      <w:r>
        <w:rPr>
          <w:b w:val="0"/>
          <w:i w:val="0"/>
        </w:rPr>
        <w:t>Attributs ARIA systématiques : aria-label sur les boutons d'icônes (thème, langue, serveur, suppression), aria-expanded/aria-haspopup sur les sous-menus de navigation et le menu mobile, aria-live sur les messages d'erreur de formulaire.</w:t>
      </w:r>
    </w:p>
    <w:p>
      <w:pPr>
        <w:pStyle w:val="ListBullet"/>
      </w:pPr>
      <w:r>
        <w:rPr>
          <w:b w:val="0"/>
          <w:i w:val="0"/>
        </w:rPr>
        <w:t>Navigation clavier : composants Material UI focusables, dialogues et menus avec piégeage du focus.</w:t>
      </w:r>
    </w:p>
    <w:p>
      <w:pPr>
        <w:pStyle w:val="ListBullet"/>
      </w:pPr>
      <w:r>
        <w:rPr>
          <w:b w:val="0"/>
          <w:i w:val="0"/>
        </w:rPr>
        <w:t>Formulaires : chaque champ a une étiquette associée ; les erreurs sont annoncées (role=alert).</w:t>
      </w:r>
    </w:p>
    <w:p>
      <w:pPr>
        <w:pStyle w:val="ListBullet"/>
      </w:pPr>
      <w:r>
        <w:rPr>
          <w:b w:val="0"/>
          <w:i w:val="0"/>
        </w:rPr>
        <w:t>Mode sombre ET clair : l'utilisateur choisit le contraste qui lui convient, préférence persistée. Les deux thèmes partagent désormais un socle de variables CSS commuté globalement, ce qui garantit la cohérence des contrastes (correctif du 14/07, cf. §11).</w:t>
      </w:r>
    </w:p>
    <w:p>
      <w:pPr>
        <w:pStyle w:val="ListBullet"/>
      </w:pPr>
      <w:r>
        <w:rPr>
          <w:b w:val="0"/>
          <w:i w:val="0"/>
        </w:rPr>
        <w:t>Internationalisation complète : 20 langues d'interface administrables — la compréhension n'est pas conditionnée à une seule langue.</w:t>
      </w:r>
    </w:p>
    <w:p>
      <w:pPr>
        <w:keepNext/>
        <w:spacing w:before="120" w:after="0"/>
        <w:jc w:val="center"/>
      </w:pPr>
      <w:r>
        <w:drawing>
          <wp:inline xmlns:a="http://schemas.openxmlformats.org/drawingml/2006/main" xmlns:pic="http://schemas.openxmlformats.org/drawingml/2006/picture">
            <wp:extent cx="4500000" cy="2812500"/>
            <wp:docPr id="13" name="Picture 13"/>
            <wp:cNvGraphicFramePr>
              <a:graphicFrameLocks noChangeAspect="1"/>
            </wp:cNvGraphicFramePr>
            <a:graphic>
              <a:graphicData uri="http://schemas.openxmlformats.org/drawingml/2006/picture">
                <pic:pic>
                  <pic:nvPicPr>
                    <pic:cNvPr id="0" name="v2-13-theme-clair.png"/>
                    <pic:cNvPicPr/>
                  </pic:nvPicPr>
                  <pic:blipFill>
                    <a:blip r:embed="rId22"/>
                    <a:stretch>
                      <a:fillRect/>
                    </a:stretch>
                  </pic:blipFill>
                  <pic:spPr>
                    <a:xfrm>
                      <a:off x="0" y="0"/>
                      <a:ext cx="4500000" cy="2812500"/>
                    </a:xfrm>
                    <a:prstGeom prst="rect"/>
                  </pic:spPr>
                </pic:pic>
              </a:graphicData>
            </a:graphic>
          </wp:inline>
        </w:drawing>
      </w:r>
    </w:p>
    <w:p>
      <w:pPr>
        <w:spacing w:after="160"/>
        <w:jc w:val="center"/>
      </w:pPr>
      <w:r>
        <w:rPr>
          <w:b w:val="0"/>
          <w:i/>
          <w:color w:val="5A4825"/>
          <w:sz w:val="17"/>
        </w:rPr>
        <w:t>Figure 13 — Thème clair : alternative de contraste au thème sombre, préférence persistée</w:t>
      </w:r>
    </w:p>
    <w:p>
      <w:pPr>
        <w:pStyle w:val="Heading2"/>
      </w:pPr>
      <w:r>
        <w:t>8.3 Audit outillé</w:t>
      </w:r>
    </w:p>
    <w:p>
      <w:r>
        <w:rPr>
          <w:b w:val="0"/>
          <w:i w:val="0"/>
        </w:rPr>
        <w:t>Deux outils complémentaires ont été passés sur l'application en fonctionnement réel (audit du 12/06/2026), complétés par une revue visuelle des deux thèmes le 14/07/2026 :</w:t>
      </w:r>
    </w:p>
    <w:tbl>
      <w:tblPr>
        <w:tblStyle w:val="TableGrid"/>
        <w:tblW w:type="auto" w:w="0"/>
        <w:jc w:val="center"/>
        <w:tblLayout w:type="fixed"/>
        <w:tblLook w:firstColumn="1" w:firstRow="1" w:lastColumn="0" w:lastRow="0" w:noHBand="0" w:noVBand="1" w:val="04A0"/>
        <w:tblCellMar>
          <w:top w:w="30" w:type="dxa"/>
          <w:left w:w="80" w:type="dxa"/>
          <w:bottom w:w="30" w:type="dxa"/>
          <w:right w:w="80" w:type="dxa"/>
        </w:tblCellMar>
      </w:tblPr>
      <w:tblGrid>
        <w:gridCol w:w="3213"/>
        <w:gridCol w:w="3213"/>
        <w:gridCol w:w="3213"/>
      </w:tblGrid>
      <w:tr>
        <w:tc>
          <w:tcPr>
            <w:tcW w:type="dxa" w:w="1807"/>
            <w:shd w:val="clear" w:fill="2D1A00"/>
          </w:tcPr>
          <w:p>
            <w:r/>
            <w:r>
              <w:rPr>
                <w:rFonts w:ascii="Palatino" w:hAnsi="Palatino"/>
                <w:b/>
                <w:color w:val="FFFFFF"/>
                <w:sz w:val="17"/>
              </w:rPr>
              <w:t>Page</w:t>
            </w:r>
          </w:p>
        </w:tc>
        <w:tc>
          <w:tcPr>
            <w:tcW w:type="dxa" w:w="2409"/>
            <w:shd w:val="clear" w:fill="2D1A00"/>
          </w:tcPr>
          <w:p>
            <w:r/>
            <w:r>
              <w:rPr>
                <w:rFonts w:ascii="Palatino" w:hAnsi="Palatino"/>
                <w:b/>
                <w:color w:val="FFFFFF"/>
                <w:sz w:val="17"/>
              </w:rPr>
              <w:t>Lighthouse (accessibilité)</w:t>
            </w:r>
          </w:p>
        </w:tc>
        <w:tc>
          <w:tcPr>
            <w:tcW w:type="dxa" w:w="5421"/>
            <w:shd w:val="clear" w:fill="2D1A00"/>
          </w:tcPr>
          <w:p>
            <w:r/>
            <w:r>
              <w:rPr>
                <w:rFonts w:ascii="Palatino" w:hAnsi="Palatino"/>
                <w:b/>
                <w:color w:val="FFFFFF"/>
                <w:sz w:val="17"/>
              </w:rPr>
              <w:t>axe-core 4.10 (WCAG 2.0/2.1 AA)</w:t>
            </w:r>
          </w:p>
        </w:tc>
      </w:tr>
      <w:tr>
        <w:tc>
          <w:tcPr>
            <w:tcW w:type="dxa" w:w="1807"/>
          </w:tcPr>
          <w:p>
            <w:r/>
            <w:r>
              <w:rPr>
                <w:sz w:val="17"/>
              </w:rPr>
              <w:t>Connexion</w:t>
            </w:r>
          </w:p>
        </w:tc>
        <w:tc>
          <w:tcPr>
            <w:tcW w:type="dxa" w:w="2409"/>
          </w:tcPr>
          <w:p>
            <w:r/>
            <w:r>
              <w:rPr>
                <w:sz w:val="17"/>
              </w:rPr>
              <w:t>100 / 100</w:t>
            </w:r>
          </w:p>
        </w:tc>
        <w:tc>
          <w:tcPr>
            <w:tcW w:type="dxa" w:w="5421"/>
          </w:tcPr>
          <w:p>
            <w:r/>
            <w:r>
              <w:rPr>
                <w:sz w:val="17"/>
              </w:rPr>
              <w:t>0 violation (21 critères vérifiés)</w:t>
            </w:r>
          </w:p>
        </w:tc>
      </w:tr>
      <w:tr>
        <w:tc>
          <w:tcPr>
            <w:tcW w:type="dxa" w:w="1807"/>
            <w:shd w:val="clear" w:fill="F7F0E0"/>
          </w:tcPr>
          <w:p>
            <w:r/>
            <w:r>
              <w:rPr>
                <w:sz w:val="17"/>
              </w:rPr>
              <w:t>Inscription</w:t>
            </w:r>
          </w:p>
        </w:tc>
        <w:tc>
          <w:tcPr>
            <w:tcW w:type="dxa" w:w="2409"/>
            <w:shd w:val="clear" w:fill="F7F0E0"/>
          </w:tcPr>
          <w:p>
            <w:r/>
            <w:r>
              <w:rPr>
                <w:sz w:val="17"/>
              </w:rPr>
              <w:t>100 / 100</w:t>
            </w:r>
          </w:p>
        </w:tc>
        <w:tc>
          <w:tcPr>
            <w:tcW w:type="dxa" w:w="5421"/>
            <w:shd w:val="clear" w:fill="F7F0E0"/>
          </w:tcPr>
          <w:p>
            <w:r/>
            <w:r>
              <w:rPr>
                <w:sz w:val="17"/>
              </w:rPr>
              <w:t>0 violation</w:t>
            </w:r>
          </w:p>
        </w:tc>
      </w:tr>
      <w:tr>
        <w:tc>
          <w:tcPr>
            <w:tcW w:type="dxa" w:w="1807"/>
          </w:tcPr>
          <w:p>
            <w:r/>
            <w:r>
              <w:rPr>
                <w:sz w:val="17"/>
              </w:rPr>
              <w:t>Accueil / tutoriel</w:t>
            </w:r>
          </w:p>
        </w:tc>
        <w:tc>
          <w:tcPr>
            <w:tcW w:type="dxa" w:w="2409"/>
          </w:tcPr>
          <w:p>
            <w:r/>
            <w:r>
              <w:rPr>
                <w:sz w:val="17"/>
              </w:rPr>
              <w:t>93 / 100</w:t>
            </w:r>
          </w:p>
        </w:tc>
        <w:tc>
          <w:tcPr>
            <w:tcW w:type="dxa" w:w="5421"/>
          </w:tcPr>
          <w:p>
            <w:r/>
            <w:r>
              <w:rPr>
                <w:sz w:val="17"/>
              </w:rPr>
              <w:t>1 violation : contraste sur 3 éléments décoratifs</w:t>
            </w:r>
          </w:p>
        </w:tc>
      </w:tr>
      <w:tr>
        <w:tc>
          <w:tcPr>
            <w:tcW w:type="dxa" w:w="1807"/>
            <w:shd w:val="clear" w:fill="F7F0E0"/>
          </w:tcPr>
          <w:p>
            <w:r/>
            <w:r>
              <w:rPr>
                <w:sz w:val="17"/>
              </w:rPr>
              <w:t>Dashboard</w:t>
            </w:r>
          </w:p>
        </w:tc>
        <w:tc>
          <w:tcPr>
            <w:tcW w:type="dxa" w:w="2409"/>
            <w:shd w:val="clear" w:fill="F7F0E0"/>
          </w:tcPr>
          <w:p>
            <w:r/>
            <w:r>
              <w:rPr>
                <w:sz w:val="17"/>
              </w:rPr>
              <w:t>—</w:t>
            </w:r>
          </w:p>
        </w:tc>
        <w:tc>
          <w:tcPr>
            <w:tcW w:type="dxa" w:w="5421"/>
            <w:shd w:val="clear" w:fill="F7F0E0"/>
          </w:tcPr>
          <w:p>
            <w:r/>
            <w:r>
              <w:rPr>
                <w:sz w:val="17"/>
              </w:rPr>
              <w:t>0 violation après correctif (libellé du sélecteur de recherche ajouté)</w:t>
            </w:r>
          </w:p>
        </w:tc>
      </w:tr>
      <w:tr>
        <w:tc>
          <w:tcPr>
            <w:tcW w:type="dxa" w:w="1807"/>
          </w:tcPr>
          <w:p>
            <w:r/>
            <w:r>
              <w:rPr>
                <w:sz w:val="17"/>
              </w:rPr>
              <w:t>Carte</w:t>
            </w:r>
          </w:p>
        </w:tc>
        <w:tc>
          <w:tcPr>
            <w:tcW w:type="dxa" w:w="2409"/>
          </w:tcPr>
          <w:p>
            <w:r/>
            <w:r>
              <w:rPr>
                <w:sz w:val="17"/>
              </w:rPr>
              <w:t>—</w:t>
            </w:r>
          </w:p>
        </w:tc>
        <w:tc>
          <w:tcPr>
            <w:tcW w:type="dxa" w:w="5421"/>
          </w:tcPr>
          <w:p>
            <w:r/>
            <w:r>
              <w:rPr>
                <w:sz w:val="17"/>
              </w:rPr>
              <w:t>0 violation (20 critères vérifiés)</w:t>
            </w:r>
          </w:p>
        </w:tc>
      </w:tr>
      <w:tr>
        <w:tc>
          <w:tcPr>
            <w:tcW w:type="dxa" w:w="1807"/>
            <w:shd w:val="clear" w:fill="F7F0E0"/>
          </w:tcPr>
          <w:p>
            <w:r/>
            <w:r>
              <w:rPr>
                <w:sz w:val="17"/>
              </w:rPr>
              <w:t>Routes</w:t>
            </w:r>
          </w:p>
        </w:tc>
        <w:tc>
          <w:tcPr>
            <w:tcW w:type="dxa" w:w="2409"/>
            <w:shd w:val="clear" w:fill="F7F0E0"/>
          </w:tcPr>
          <w:p>
            <w:r/>
            <w:r>
              <w:rPr>
                <w:sz w:val="17"/>
              </w:rPr>
              <w:t>—</w:t>
            </w:r>
          </w:p>
        </w:tc>
        <w:tc>
          <w:tcPr>
            <w:tcW w:type="dxa" w:w="5421"/>
            <w:shd w:val="clear" w:fill="F7F0E0"/>
          </w:tcPr>
          <w:p>
            <w:r/>
            <w:r>
              <w:rPr>
                <w:sz w:val="17"/>
              </w:rPr>
              <w:t>0 violation (16 critères vérifiés)</w:t>
            </w:r>
          </w:p>
        </w:tc>
      </w:tr>
      <w:tr>
        <w:tc>
          <w:tcPr>
            <w:tcW w:type="dxa" w:w="1807"/>
          </w:tcPr>
          <w:p>
            <w:r/>
            <w:r>
              <w:rPr>
                <w:sz w:val="17"/>
              </w:rPr>
              <w:t>Craft</w:t>
            </w:r>
          </w:p>
        </w:tc>
        <w:tc>
          <w:tcPr>
            <w:tcW w:type="dxa" w:w="2409"/>
          </w:tcPr>
          <w:p>
            <w:r/>
            <w:r>
              <w:rPr>
                <w:sz w:val="17"/>
              </w:rPr>
              <w:t>—</w:t>
            </w:r>
          </w:p>
        </w:tc>
        <w:tc>
          <w:tcPr>
            <w:tcW w:type="dxa" w:w="5421"/>
          </w:tcPr>
          <w:p>
            <w:r/>
            <w:r>
              <w:rPr>
                <w:sz w:val="17"/>
              </w:rPr>
              <w:t>47 curseurs sans étiquette : corrigés (aria-label) ; constat de contraste sur les pastilles dorées consigné (OBS-01)</w:t>
            </w:r>
          </w:p>
        </w:tc>
      </w:tr>
    </w:tbl>
    <w:p>
      <w:pPr>
        <w:spacing w:after="40"/>
      </w:pPr>
    </w:p>
    <w:p>
      <w:r>
        <w:rPr>
          <w:b w:val="0"/>
          <w:i w:val="0"/>
        </w:rPr>
        <w:t>Démarche : audit → correction → re-audit. Les violations « libellés manquants » ont été corrigées immédiatement (aria-label sur 47 curseurs de maîtrise, association labelId sur les sélecteurs) puis re-vérifiées à zéro. La revue des thèmes du 14/07 a détecté et corrigé des textes illisibles en mode clair (BUG-015) : les couleurs des feuilles de style sont désormais pilotées par le thème actif (variables CSS), supprimant toute une classe de défauts de contraste. Le constat OBS-01 (pastilles or du tableau de craft, 3,2:1 mesuré pour 4,5:1 requis) reste consigné avec sa remédiation planifiée.</w:t>
      </w:r>
    </w:p>
    <w:p>
      <w:pPr>
        <w:pStyle w:val="Heading1"/>
      </w:pPr>
      <w:r>
        <w:t>9. Gestion des versions et historique</w:t>
      </w:r>
    </w:p>
    <w:p>
      <w:pPr>
        <w:pStyle w:val="Heading2"/>
      </w:pPr>
      <w:r>
        <w:t>9.1 Organisation git</w:t>
      </w:r>
    </w:p>
    <w:p>
      <w:pPr>
        <w:pStyle w:val="ListBullet"/>
      </w:pPr>
      <w:r>
        <w:rPr>
          <w:b w:val="0"/>
          <w:i w:val="0"/>
        </w:rPr>
        <w:t>Branches : develop (intégration) et master (production). Une fusion vers master déclenche le déploiement continu après validation des tests.</w:t>
      </w:r>
    </w:p>
    <w:p>
      <w:pPr>
        <w:pStyle w:val="ListBullet"/>
      </w:pPr>
      <w:r>
        <w:rPr>
          <w:b w:val="0"/>
          <w:i w:val="0"/>
        </w:rPr>
        <w:t>Convention de messages : Conventional Commits (feat:, fix:, test:, docs:, chore:, ci:) — l'historique raconte la progression : initialisation, recherche de cartes, refonte v2, durcissement sécurité, CI/CD, internationalisation et multi-serveur v3.</w:t>
      </w:r>
    </w:p>
    <w:p>
      <w:pPr>
        <w:pStyle w:val="ListBullet"/>
      </w:pPr>
      <w:r>
        <w:rPr>
          <w:b w:val="0"/>
          <w:i w:val="0"/>
        </w:rPr>
        <w:t>Hook pre-commit : lint syntaxique PHP + détection de motifs dangereux (dangerouslySetInnerHTML, eval, CORS wildcard, secret vide) avant chaque commit.</w:t>
      </w:r>
    </w:p>
    <w:p>
      <w:pPr>
        <w:pStyle w:val="Heading2"/>
      </w:pPr>
      <w:r>
        <w:t>9.2 Journal des versions (extrait du CHANGELOG)</w:t>
      </w:r>
    </w:p>
    <w:tbl>
      <w:tblPr>
        <w:tblStyle w:val="TableGrid"/>
        <w:tblW w:type="auto" w:w="0"/>
        <w:jc w:val="center"/>
        <w:tblLayout w:type="fixed"/>
        <w:tblLook w:firstColumn="1" w:firstRow="1" w:lastColumn="0" w:lastRow="0" w:noHBand="0" w:noVBand="1" w:val="04A0"/>
        <w:tblCellMar>
          <w:top w:w="30" w:type="dxa"/>
          <w:left w:w="80" w:type="dxa"/>
          <w:bottom w:w="30" w:type="dxa"/>
          <w:right w:w="80" w:type="dxa"/>
        </w:tblCellMar>
      </w:tblPr>
      <w:tblGrid>
        <w:gridCol w:w="3213"/>
        <w:gridCol w:w="3213"/>
        <w:gridCol w:w="3213"/>
      </w:tblGrid>
      <w:tr>
        <w:tc>
          <w:tcPr>
            <w:tcW w:type="dxa" w:w="904"/>
            <w:shd w:val="clear" w:fill="2D1A00"/>
          </w:tcPr>
          <w:p>
            <w:r/>
            <w:r>
              <w:rPr>
                <w:rFonts w:ascii="Palatino" w:hAnsi="Palatino"/>
                <w:b/>
                <w:color w:val="FFFFFF"/>
                <w:sz w:val="17"/>
              </w:rPr>
              <w:t>Version</w:t>
            </w:r>
          </w:p>
        </w:tc>
        <w:tc>
          <w:tcPr>
            <w:tcW w:type="dxa" w:w="1205"/>
            <w:shd w:val="clear" w:fill="2D1A00"/>
          </w:tcPr>
          <w:p>
            <w:r/>
            <w:r>
              <w:rPr>
                <w:rFonts w:ascii="Palatino" w:hAnsi="Palatino"/>
                <w:b/>
                <w:color w:val="FFFFFF"/>
                <w:sz w:val="17"/>
              </w:rPr>
              <w:t>Date</w:t>
            </w:r>
          </w:p>
        </w:tc>
        <w:tc>
          <w:tcPr>
            <w:tcW w:type="dxa" w:w="7530"/>
            <w:shd w:val="clear" w:fill="2D1A00"/>
          </w:tcPr>
          <w:p>
            <w:r/>
            <w:r>
              <w:rPr>
                <w:rFonts w:ascii="Palatino" w:hAnsi="Palatino"/>
                <w:b/>
                <w:color w:val="FFFFFF"/>
                <w:sz w:val="17"/>
              </w:rPr>
              <w:t>Contenu</w:t>
            </w:r>
          </w:p>
        </w:tc>
      </w:tr>
      <w:tr>
        <w:tc>
          <w:tcPr>
            <w:tcW w:type="dxa" w:w="904"/>
          </w:tcPr>
          <w:p>
            <w:r/>
            <w:r>
              <w:rPr>
                <w:sz w:val="17"/>
              </w:rPr>
              <w:t>3.0.0</w:t>
            </w:r>
          </w:p>
        </w:tc>
        <w:tc>
          <w:tcPr>
            <w:tcW w:type="dxa" w:w="1205"/>
          </w:tcPr>
          <w:p>
            <w:r/>
            <w:r>
              <w:rPr>
                <w:sz w:val="17"/>
              </w:rPr>
              <w:t>03/07/2026</w:t>
            </w:r>
          </w:p>
        </w:tc>
        <w:tc>
          <w:tcPr>
            <w:tcW w:type="dxa" w:w="7530"/>
          </w:tcPr>
          <w:p>
            <w:r/>
            <w:r>
              <w:rPr>
                <w:sz w:val="17"/>
              </w:rPr>
              <w:t>Multi-serveur (Americas/Europe/Asia), statistiques PvP de session, recherche et détail de batailles, craft localisé, 20 langues administrables (interface 100 % i18n), thème « fantasy », build v3</w:t>
            </w:r>
          </w:p>
        </w:tc>
      </w:tr>
      <w:tr>
        <w:tc>
          <w:tcPr>
            <w:tcW w:type="dxa" w:w="904"/>
            <w:shd w:val="clear" w:fill="F7F0E0"/>
          </w:tcPr>
          <w:p>
            <w:r/>
            <w:r>
              <w:rPr>
                <w:sz w:val="17"/>
              </w:rPr>
              <w:t>2.1.0</w:t>
            </w:r>
          </w:p>
        </w:tc>
        <w:tc>
          <w:tcPr>
            <w:tcW w:type="dxa" w:w="1205"/>
            <w:shd w:val="clear" w:fill="F7F0E0"/>
          </w:tcPr>
          <w:p>
            <w:r/>
            <w:r>
              <w:rPr>
                <w:sz w:val="17"/>
              </w:rPr>
              <w:t>12/06/2026</w:t>
            </w:r>
          </w:p>
        </w:tc>
        <w:tc>
          <w:tcPr>
            <w:tcW w:type="dxa" w:w="7530"/>
            <w:shd w:val="clear" w:fill="F7F0E0"/>
          </w:tcPr>
          <w:p>
            <w:r/>
            <w:r>
              <w:rPr>
                <w:sz w:val="17"/>
              </w:rPr>
              <w:t>Sécurité : rate limiting, CORS restreint, en-têtes, politique de mot de passe, rotation des refresh tokens, Symfony 7.4 LTS (0 advisory), axios 1.17 ; correctifs BUG-009 à BUG-013 ; Dependabot</w:t>
            </w:r>
          </w:p>
        </w:tc>
      </w:tr>
      <w:tr>
        <w:tc>
          <w:tcPr>
            <w:tcW w:type="dxa" w:w="904"/>
          </w:tcPr>
          <w:p>
            <w:r/>
            <w:r>
              <w:rPr>
                <w:sz w:val="17"/>
              </w:rPr>
              <w:t>2.0.0</w:t>
            </w:r>
          </w:p>
        </w:tc>
        <w:tc>
          <w:tcPr>
            <w:tcW w:type="dxa" w:w="1205"/>
          </w:tcPr>
          <w:p>
            <w:r/>
            <w:r>
              <w:rPr>
                <w:sz w:val="17"/>
              </w:rPr>
              <w:t>10/06/2026</w:t>
            </w:r>
          </w:p>
        </w:tc>
        <w:tc>
          <w:tcPr>
            <w:tcW w:type="dxa" w:w="7530"/>
          </w:tcPr>
          <w:p>
            <w:r/>
            <w:r>
              <w:rPr>
                <w:sz w:val="17"/>
              </w:rPr>
              <w:t>Administration (KPI, rôles, sync items), i18n FR/EN administrable, routes partagées, compositions, calculateur de craft, base d'items, profil, mode sombre, tutoriel, refonte UI</w:t>
            </w:r>
          </w:p>
        </w:tc>
      </w:tr>
      <w:tr>
        <w:tc>
          <w:tcPr>
            <w:tcW w:type="dxa" w:w="904"/>
            <w:shd w:val="clear" w:fill="F7F0E0"/>
          </w:tcPr>
          <w:p>
            <w:r/>
            <w:r>
              <w:rPr>
                <w:sz w:val="17"/>
              </w:rPr>
              <w:t>1.2.0</w:t>
            </w:r>
          </w:p>
        </w:tc>
        <w:tc>
          <w:tcPr>
            <w:tcW w:type="dxa" w:w="1205"/>
            <w:shd w:val="clear" w:fill="F7F0E0"/>
          </w:tcPr>
          <w:p>
            <w:r/>
            <w:r>
              <w:rPr>
                <w:sz w:val="17"/>
              </w:rPr>
              <w:t>02/06/2026</w:t>
            </w:r>
          </w:p>
        </w:tc>
        <w:tc>
          <w:tcPr>
            <w:tcW w:type="dxa" w:w="7530"/>
            <w:shd w:val="clear" w:fill="F7F0E0"/>
          </w:tcPr>
          <w:p>
            <w:r/>
            <w:r>
              <w:rPr>
                <w:sz w:val="17"/>
              </w:rPr>
              <w:t>Couverture de tests étendue (back + front), cahier de recettes, correctifs BUG-001 à BUG-008 (validation de jeton, healthcheck public, secret applicatif…)</w:t>
            </w:r>
          </w:p>
        </w:tc>
      </w:tr>
      <w:tr>
        <w:tc>
          <w:tcPr>
            <w:tcW w:type="dxa" w:w="904"/>
          </w:tcPr>
          <w:p>
            <w:r/>
            <w:r>
              <w:rPr>
                <w:sz w:val="17"/>
              </w:rPr>
              <w:t>1.1.0</w:t>
            </w:r>
          </w:p>
        </w:tc>
        <w:tc>
          <w:tcPr>
            <w:tcW w:type="dxa" w:w="1205"/>
          </w:tcPr>
          <w:p>
            <w:r/>
            <w:r>
              <w:rPr>
                <w:sz w:val="17"/>
              </w:rPr>
              <w:t>01/06/2026</w:t>
            </w:r>
          </w:p>
        </w:tc>
        <w:tc>
          <w:tcPr>
            <w:tcW w:type="dxa" w:w="7530"/>
          </w:tcPr>
          <w:p>
            <w:r/>
            <w:r>
              <w:rPr>
                <w:sz w:val="17"/>
              </w:rPr>
              <w:t>Supervision /api/health, canal de log incident, pipeline CI, premiers tests automatisés</w:t>
            </w:r>
          </w:p>
        </w:tc>
      </w:tr>
      <w:tr>
        <w:tc>
          <w:tcPr>
            <w:tcW w:type="dxa" w:w="904"/>
            <w:shd w:val="clear" w:fill="F7F0E0"/>
          </w:tcPr>
          <w:p>
            <w:r/>
            <w:r>
              <w:rPr>
                <w:sz w:val="17"/>
              </w:rPr>
              <w:t>1.0.0</w:t>
            </w:r>
          </w:p>
        </w:tc>
        <w:tc>
          <w:tcPr>
            <w:tcW w:type="dxa" w:w="1205"/>
            <w:shd w:val="clear" w:fill="F7F0E0"/>
          </w:tcPr>
          <w:p>
            <w:r/>
            <w:r>
              <w:rPr>
                <w:sz w:val="17"/>
              </w:rPr>
              <w:t>02/2025</w:t>
            </w:r>
          </w:p>
        </w:tc>
        <w:tc>
          <w:tcPr>
            <w:tcW w:type="dxa" w:w="7530"/>
            <w:shd w:val="clear" w:fill="F7F0E0"/>
          </w:tcPr>
          <w:p>
            <w:r/>
            <w:r>
              <w:rPr>
                <w:sz w:val="17"/>
              </w:rPr>
              <w:t>Socle : authentification JWT, recherche joueurs/guildes, exploration de cartes</w:t>
            </w:r>
          </w:p>
        </w:tc>
      </w:tr>
    </w:tbl>
    <w:p>
      <w:pPr>
        <w:spacing w:after="40"/>
      </w:pPr>
    </w:p>
    <w:p>
      <w:r>
        <w:rPr>
          <w:b w:val="0"/>
          <w:i w:val="0"/>
        </w:rPr>
        <w:t>La dernière version du logiciel est fonctionnelle, fiable et viable : la recette complète (26 scénarios, §10) a été déroulée avec 100 % de réussite, les 126 tests automatisés sont verts sur la version 3.0.0 (vérification du 14/07/2026), et l'application est manipulable en autonomie par un utilisateur (tutoriel public avec visite guidée, messages d'erreur explicites).</w:t>
      </w:r>
    </w:p>
    <w:p>
      <w:pPr>
        <w:pStyle w:val="Heading1"/>
      </w:pPr>
      <w:r>
        <w:t>10. Cahier de recettes</w:t>
      </w:r>
    </w:p>
    <w:p>
      <w:r>
        <w:rPr>
          <w:b w:val="0"/>
          <w:i w:val="0"/>
        </w:rPr>
        <w:t>La recette a été exécutée le 12/06/2026 sur la version 2.1.0, en environnement de développement iso-production (PostgreSQL, données réelles de l'API Albion), au travers du navigateur (scénarios pilotés par Playwright) et de l'API (scénarios sécurité). Les scénarios critiques (authentification, routes, compositions, craft, administration) ont été rejoués le 14/07/2026 sur la version 3.0.0 lors de la préparation de ce dossier. Chaque scénario précise ses préconditions, ses étapes et son résultat attendu. Statut : PASS = conforme à l'attendu.</w:t>
      </w:r>
    </w:p>
    <w:p>
      <w:pPr>
        <w:pStyle w:val="Heading2"/>
      </w:pPr>
      <w:r>
        <w:t>10.1 Authentification</w:t>
      </w:r>
    </w:p>
    <w:tbl>
      <w:tblPr>
        <w:tblStyle w:val="TableGrid"/>
        <w:tblW w:type="auto" w:w="0"/>
        <w:jc w:val="center"/>
        <w:tblLayout w:type="fixed"/>
        <w:tblLook w:firstColumn="1" w:firstRow="1" w:lastColumn="0" w:lastRow="0" w:noHBand="0" w:noVBand="1" w:val="04A0"/>
        <w:tblCellMar>
          <w:top w:w="30" w:type="dxa"/>
          <w:left w:w="80" w:type="dxa"/>
          <w:bottom w:w="30" w:type="dxa"/>
          <w:right w:w="80" w:type="dxa"/>
        </w:tblCellMar>
      </w:tblPr>
      <w:tblGrid>
        <w:gridCol w:w="1928"/>
        <w:gridCol w:w="1928"/>
        <w:gridCol w:w="1928"/>
        <w:gridCol w:w="1928"/>
        <w:gridCol w:w="1928"/>
      </w:tblGrid>
      <w:tr>
        <w:tc>
          <w:tcPr>
            <w:tcW w:type="dxa" w:w="892"/>
            <w:shd w:val="clear" w:fill="2D1A00"/>
          </w:tcPr>
          <w:p>
            <w:r/>
            <w:r>
              <w:rPr>
                <w:rFonts w:ascii="Palatino" w:hAnsi="Palatino"/>
                <w:b/>
                <w:color w:val="FFFFFF"/>
                <w:sz w:val="16"/>
              </w:rPr>
              <w:t>ID</w:t>
            </w:r>
          </w:p>
        </w:tc>
        <w:tc>
          <w:tcPr>
            <w:tcW w:type="dxa" w:w="1487"/>
            <w:shd w:val="clear" w:fill="2D1A00"/>
          </w:tcPr>
          <w:p>
            <w:r/>
            <w:r>
              <w:rPr>
                <w:rFonts w:ascii="Palatino" w:hAnsi="Palatino"/>
                <w:b/>
                <w:color w:val="FFFFFF"/>
                <w:sz w:val="16"/>
              </w:rPr>
              <w:t>Scénario</w:t>
            </w:r>
          </w:p>
        </w:tc>
        <w:tc>
          <w:tcPr>
            <w:tcW w:type="dxa" w:w="3570"/>
            <w:shd w:val="clear" w:fill="2D1A00"/>
          </w:tcPr>
          <w:p>
            <w:r/>
            <w:r>
              <w:rPr>
                <w:rFonts w:ascii="Palatino" w:hAnsi="Palatino"/>
                <w:b/>
                <w:color w:val="FFFFFF"/>
                <w:sz w:val="16"/>
              </w:rPr>
              <w:t>Étapes (préconditions → actions)</w:t>
            </w:r>
          </w:p>
        </w:tc>
        <w:tc>
          <w:tcPr>
            <w:tcW w:type="dxa" w:w="2975"/>
            <w:shd w:val="clear" w:fill="2D1A00"/>
          </w:tcPr>
          <w:p>
            <w:r/>
            <w:r>
              <w:rPr>
                <w:rFonts w:ascii="Palatino" w:hAnsi="Palatino"/>
                <w:b/>
                <w:color w:val="FFFFFF"/>
                <w:sz w:val="16"/>
              </w:rPr>
              <w:t>Résultat attendu</w:t>
            </w:r>
          </w:p>
        </w:tc>
        <w:tc>
          <w:tcPr>
            <w:tcW w:type="dxa" w:w="714"/>
            <w:shd w:val="clear" w:fill="2D1A00"/>
          </w:tcPr>
          <w:p>
            <w:r/>
            <w:r>
              <w:rPr>
                <w:rFonts w:ascii="Palatino" w:hAnsi="Palatino"/>
                <w:b/>
                <w:color w:val="FFFFFF"/>
                <w:sz w:val="16"/>
              </w:rPr>
              <w:t>Statut</w:t>
            </w:r>
          </w:p>
        </w:tc>
      </w:tr>
      <w:tr>
        <w:tc>
          <w:tcPr>
            <w:tcW w:type="dxa" w:w="892"/>
          </w:tcPr>
          <w:p>
            <w:r/>
            <w:r>
              <w:rPr>
                <w:sz w:val="16"/>
              </w:rPr>
              <w:t>AUTH-01</w:t>
            </w:r>
          </w:p>
        </w:tc>
        <w:tc>
          <w:tcPr>
            <w:tcW w:type="dxa" w:w="1487"/>
          </w:tcPr>
          <w:p>
            <w:r/>
            <w:r>
              <w:rPr>
                <w:sz w:val="16"/>
              </w:rPr>
              <w:t>Inscription valide</w:t>
            </w:r>
          </w:p>
        </w:tc>
        <w:tc>
          <w:tcPr>
            <w:tcW w:type="dxa" w:w="3570"/>
          </w:tcPr>
          <w:p>
            <w:r/>
            <w:r>
              <w:rPr>
                <w:sz w:val="16"/>
              </w:rPr>
              <w:t>Visiteur → /register : saisir un identifiant libre + mot de passe ≥ 8 car. → valider</w:t>
            </w:r>
          </w:p>
        </w:tc>
        <w:tc>
          <w:tcPr>
            <w:tcW w:type="dxa" w:w="2975"/>
          </w:tcPr>
          <w:p>
            <w:r/>
            <w:r>
              <w:rPr>
                <w:sz w:val="16"/>
              </w:rPr>
              <w:t>Compte créé (201), redirection vers /login</w:t>
            </w:r>
          </w:p>
        </w:tc>
        <w:tc>
          <w:tcPr>
            <w:tcW w:type="dxa" w:w="714"/>
          </w:tcPr>
          <w:p>
            <w:r/>
            <w:r>
              <w:rPr>
                <w:sz w:val="16"/>
              </w:rPr>
              <w:t>PASS</w:t>
            </w:r>
          </w:p>
        </w:tc>
      </w:tr>
      <w:tr>
        <w:tc>
          <w:tcPr>
            <w:tcW w:type="dxa" w:w="892"/>
            <w:shd w:val="clear" w:fill="F7F0E0"/>
          </w:tcPr>
          <w:p>
            <w:r/>
            <w:r>
              <w:rPr>
                <w:sz w:val="16"/>
              </w:rPr>
              <w:t>AUTH-02</w:t>
            </w:r>
          </w:p>
        </w:tc>
        <w:tc>
          <w:tcPr>
            <w:tcW w:type="dxa" w:w="1487"/>
            <w:shd w:val="clear" w:fill="F7F0E0"/>
          </w:tcPr>
          <w:p>
            <w:r/>
            <w:r>
              <w:rPr>
                <w:sz w:val="16"/>
              </w:rPr>
              <w:t>Mot de passe trop court</w:t>
            </w:r>
          </w:p>
        </w:tc>
        <w:tc>
          <w:tcPr>
            <w:tcW w:type="dxa" w:w="3570"/>
            <w:shd w:val="clear" w:fill="F7F0E0"/>
          </w:tcPr>
          <w:p>
            <w:r/>
            <w:r>
              <w:rPr>
                <w:sz w:val="16"/>
              </w:rPr>
              <w:t>Visiteur → /register : mot de passe « abc »</w:t>
            </w:r>
          </w:p>
        </w:tc>
        <w:tc>
          <w:tcPr>
            <w:tcW w:type="dxa" w:w="2975"/>
            <w:shd w:val="clear" w:fill="F7F0E0"/>
          </w:tcPr>
          <w:p>
            <w:r/>
            <w:r>
              <w:rPr>
                <w:sz w:val="16"/>
              </w:rPr>
              <w:t>Refus 400 + message « Password must be at least 8 characters long » affiché</w:t>
            </w:r>
          </w:p>
        </w:tc>
        <w:tc>
          <w:tcPr>
            <w:tcW w:type="dxa" w:w="714"/>
            <w:shd w:val="clear" w:fill="F7F0E0"/>
          </w:tcPr>
          <w:p>
            <w:r/>
            <w:r>
              <w:rPr>
                <w:sz w:val="16"/>
              </w:rPr>
              <w:t>PASS</w:t>
            </w:r>
          </w:p>
        </w:tc>
      </w:tr>
      <w:tr>
        <w:tc>
          <w:tcPr>
            <w:tcW w:type="dxa" w:w="892"/>
          </w:tcPr>
          <w:p>
            <w:r/>
            <w:r>
              <w:rPr>
                <w:sz w:val="16"/>
              </w:rPr>
              <w:t>AUTH-03</w:t>
            </w:r>
          </w:p>
        </w:tc>
        <w:tc>
          <w:tcPr>
            <w:tcW w:type="dxa" w:w="1487"/>
          </w:tcPr>
          <w:p>
            <w:r/>
            <w:r>
              <w:rPr>
                <w:sz w:val="16"/>
              </w:rPr>
              <w:t>Identifiant déjà pris</w:t>
            </w:r>
          </w:p>
        </w:tc>
        <w:tc>
          <w:tcPr>
            <w:tcW w:type="dxa" w:w="3570"/>
          </w:tcPr>
          <w:p>
            <w:r/>
            <w:r>
              <w:rPr>
                <w:sz w:val="16"/>
              </w:rPr>
              <w:t>Visiteur → /register avec un identifiant existant</w:t>
            </w:r>
          </w:p>
        </w:tc>
        <w:tc>
          <w:tcPr>
            <w:tcW w:type="dxa" w:w="2975"/>
          </w:tcPr>
          <w:p>
            <w:r/>
            <w:r>
              <w:rPr>
                <w:sz w:val="16"/>
              </w:rPr>
              <w:t>Refus 400 + message « User already exists »</w:t>
            </w:r>
          </w:p>
        </w:tc>
        <w:tc>
          <w:tcPr>
            <w:tcW w:type="dxa" w:w="714"/>
          </w:tcPr>
          <w:p>
            <w:r/>
            <w:r>
              <w:rPr>
                <w:sz w:val="16"/>
              </w:rPr>
              <w:t>PASS</w:t>
            </w:r>
          </w:p>
        </w:tc>
      </w:tr>
      <w:tr>
        <w:tc>
          <w:tcPr>
            <w:tcW w:type="dxa" w:w="892"/>
            <w:shd w:val="clear" w:fill="F7F0E0"/>
          </w:tcPr>
          <w:p>
            <w:r/>
            <w:r>
              <w:rPr>
                <w:sz w:val="16"/>
              </w:rPr>
              <w:t>AUTH-04</w:t>
            </w:r>
          </w:p>
        </w:tc>
        <w:tc>
          <w:tcPr>
            <w:tcW w:type="dxa" w:w="1487"/>
            <w:shd w:val="clear" w:fill="F7F0E0"/>
          </w:tcPr>
          <w:p>
            <w:r/>
            <w:r>
              <w:rPr>
                <w:sz w:val="16"/>
              </w:rPr>
              <w:t>Connexion valide</w:t>
            </w:r>
          </w:p>
        </w:tc>
        <w:tc>
          <w:tcPr>
            <w:tcW w:type="dxa" w:w="3570"/>
            <w:shd w:val="clear" w:fill="F7F0E0"/>
          </w:tcPr>
          <w:p>
            <w:r/>
            <w:r>
              <w:rPr>
                <w:sz w:val="16"/>
              </w:rPr>
              <w:t>Compte existant → /login : identifiants corrects</w:t>
            </w:r>
          </w:p>
        </w:tc>
        <w:tc>
          <w:tcPr>
            <w:tcW w:type="dxa" w:w="2975"/>
            <w:shd w:val="clear" w:fill="F7F0E0"/>
          </w:tcPr>
          <w:p>
            <w:r/>
            <w:r>
              <w:rPr>
                <w:sz w:val="16"/>
              </w:rPr>
              <w:t>JWT + refresh token stockés, redirection /dashboard, navigation complète affichée</w:t>
            </w:r>
          </w:p>
        </w:tc>
        <w:tc>
          <w:tcPr>
            <w:tcW w:type="dxa" w:w="714"/>
            <w:shd w:val="clear" w:fill="F7F0E0"/>
          </w:tcPr>
          <w:p>
            <w:r/>
            <w:r>
              <w:rPr>
                <w:sz w:val="16"/>
              </w:rPr>
              <w:t>PASS</w:t>
            </w:r>
          </w:p>
        </w:tc>
      </w:tr>
      <w:tr>
        <w:tc>
          <w:tcPr>
            <w:tcW w:type="dxa" w:w="892"/>
          </w:tcPr>
          <w:p>
            <w:r/>
            <w:r>
              <w:rPr>
                <w:sz w:val="16"/>
              </w:rPr>
              <w:t>AUTH-05</w:t>
            </w:r>
          </w:p>
        </w:tc>
        <w:tc>
          <w:tcPr>
            <w:tcW w:type="dxa" w:w="1487"/>
          </w:tcPr>
          <w:p>
            <w:r/>
            <w:r>
              <w:rPr>
                <w:sz w:val="16"/>
              </w:rPr>
              <w:t>Mauvais mot de passe</w:t>
            </w:r>
          </w:p>
        </w:tc>
        <w:tc>
          <w:tcPr>
            <w:tcW w:type="dxa" w:w="3570"/>
          </w:tcPr>
          <w:p>
            <w:r/>
            <w:r>
              <w:rPr>
                <w:sz w:val="16"/>
              </w:rPr>
              <w:t>→ /login : mot de passe erroné</w:t>
            </w:r>
          </w:p>
        </w:tc>
        <w:tc>
          <w:tcPr>
            <w:tcW w:type="dxa" w:w="2975"/>
          </w:tcPr>
          <w:p>
            <w:r/>
            <w:r>
              <w:rPr>
                <w:sz w:val="16"/>
              </w:rPr>
              <w:t>Message d'erreur affiché, champs conservés, pas de rechargement</w:t>
            </w:r>
          </w:p>
        </w:tc>
        <w:tc>
          <w:tcPr>
            <w:tcW w:type="dxa" w:w="714"/>
          </w:tcPr>
          <w:p>
            <w:r/>
            <w:r>
              <w:rPr>
                <w:sz w:val="16"/>
              </w:rPr>
              <w:t>PASS*</w:t>
            </w:r>
          </w:p>
        </w:tc>
      </w:tr>
      <w:tr>
        <w:tc>
          <w:tcPr>
            <w:tcW w:type="dxa" w:w="892"/>
            <w:shd w:val="clear" w:fill="F7F0E0"/>
          </w:tcPr>
          <w:p>
            <w:r/>
            <w:r>
              <w:rPr>
                <w:sz w:val="16"/>
              </w:rPr>
              <w:t>AUTH-06</w:t>
            </w:r>
          </w:p>
        </w:tc>
        <w:tc>
          <w:tcPr>
            <w:tcW w:type="dxa" w:w="1487"/>
            <w:shd w:val="clear" w:fill="F7F0E0"/>
          </w:tcPr>
          <w:p>
            <w:r/>
            <w:r>
              <w:rPr>
                <w:sz w:val="16"/>
              </w:rPr>
              <w:t>Accès protégé sans session</w:t>
            </w:r>
          </w:p>
        </w:tc>
        <w:tc>
          <w:tcPr>
            <w:tcW w:type="dxa" w:w="3570"/>
            <w:shd w:val="clear" w:fill="F7F0E0"/>
          </w:tcPr>
          <w:p>
            <w:r/>
            <w:r>
              <w:rPr>
                <w:sz w:val="16"/>
              </w:rPr>
              <w:t>Déconnecté → saisir /dashboard dans l'URL</w:t>
            </w:r>
          </w:p>
        </w:tc>
        <w:tc>
          <w:tcPr>
            <w:tcW w:type="dxa" w:w="2975"/>
            <w:shd w:val="clear" w:fill="F7F0E0"/>
          </w:tcPr>
          <w:p>
            <w:r/>
            <w:r>
              <w:rPr>
                <w:sz w:val="16"/>
              </w:rPr>
              <w:t>Redirection vers l'accueil public</w:t>
            </w:r>
          </w:p>
        </w:tc>
        <w:tc>
          <w:tcPr>
            <w:tcW w:type="dxa" w:w="714"/>
            <w:shd w:val="clear" w:fill="F7F0E0"/>
          </w:tcPr>
          <w:p>
            <w:r/>
            <w:r>
              <w:rPr>
                <w:sz w:val="16"/>
              </w:rPr>
              <w:t>PASS</w:t>
            </w:r>
          </w:p>
        </w:tc>
      </w:tr>
      <w:tr>
        <w:tc>
          <w:tcPr>
            <w:tcW w:type="dxa" w:w="892"/>
          </w:tcPr>
          <w:p>
            <w:r/>
            <w:r>
              <w:rPr>
                <w:sz w:val="16"/>
              </w:rPr>
              <w:t>AUTH-07</w:t>
            </w:r>
          </w:p>
        </w:tc>
        <w:tc>
          <w:tcPr>
            <w:tcW w:type="dxa" w:w="1487"/>
          </w:tcPr>
          <w:p>
            <w:r/>
            <w:r>
              <w:rPr>
                <w:sz w:val="16"/>
              </w:rPr>
              <w:t>Déconnexion</w:t>
            </w:r>
          </w:p>
        </w:tc>
        <w:tc>
          <w:tcPr>
            <w:tcW w:type="dxa" w:w="3570"/>
          </w:tcPr>
          <w:p>
            <w:r/>
            <w:r>
              <w:rPr>
                <w:sz w:val="16"/>
              </w:rPr>
              <w:t>Connecté → bouton Déconnexion</w:t>
            </w:r>
          </w:p>
        </w:tc>
        <w:tc>
          <w:tcPr>
            <w:tcW w:type="dxa" w:w="2975"/>
          </w:tcPr>
          <w:p>
            <w:r/>
            <w:r>
              <w:rPr>
                <w:sz w:val="16"/>
              </w:rPr>
              <w:t>Jetons purgés du navigateur, retour à /login</w:t>
            </w:r>
          </w:p>
        </w:tc>
        <w:tc>
          <w:tcPr>
            <w:tcW w:type="dxa" w:w="714"/>
          </w:tcPr>
          <w:p>
            <w:r/>
            <w:r>
              <w:rPr>
                <w:sz w:val="16"/>
              </w:rPr>
              <w:t>PASS</w:t>
            </w:r>
          </w:p>
        </w:tc>
      </w:tr>
    </w:tbl>
    <w:p>
      <w:pPr>
        <w:spacing w:after="40"/>
      </w:pPr>
    </w:p>
    <w:p>
      <w:r>
        <w:rPr>
          <w:b w:val="0"/>
          <w:i/>
          <w:sz w:val="17"/>
        </w:rPr>
        <w:t>* AUTH-05 a d'abord échoué (FAIL) : l'intercepteur HTTP rechargeait la page sur tout code 401, y compris celui du login, sans afficher d'erreur. Anomalie consignée (BUG-011), corrigée, scénario rejoué : PASS. C'est exactement le rôle de la recette.</w:t>
      </w:r>
    </w:p>
    <w:p>
      <w:pPr>
        <w:pStyle w:val="Heading2"/>
      </w:pPr>
      <w:r>
        <w:t>10.2 Recherche et consultation</w:t>
      </w:r>
    </w:p>
    <w:tbl>
      <w:tblPr>
        <w:tblStyle w:val="TableGrid"/>
        <w:tblW w:type="auto" w:w="0"/>
        <w:jc w:val="center"/>
        <w:tblLayout w:type="fixed"/>
        <w:tblLook w:firstColumn="1" w:firstRow="1" w:lastColumn="0" w:lastRow="0" w:noHBand="0" w:noVBand="1" w:val="04A0"/>
        <w:tblCellMar>
          <w:top w:w="30" w:type="dxa"/>
          <w:left w:w="80" w:type="dxa"/>
          <w:bottom w:w="30" w:type="dxa"/>
          <w:right w:w="80" w:type="dxa"/>
        </w:tblCellMar>
      </w:tblPr>
      <w:tblGrid>
        <w:gridCol w:w="1928"/>
        <w:gridCol w:w="1928"/>
        <w:gridCol w:w="1928"/>
        <w:gridCol w:w="1928"/>
        <w:gridCol w:w="1928"/>
      </w:tblGrid>
      <w:tr>
        <w:tc>
          <w:tcPr>
            <w:tcW w:type="dxa" w:w="892"/>
            <w:shd w:val="clear" w:fill="2D1A00"/>
          </w:tcPr>
          <w:p>
            <w:r/>
            <w:r>
              <w:rPr>
                <w:rFonts w:ascii="Palatino" w:hAnsi="Palatino"/>
                <w:b/>
                <w:color w:val="FFFFFF"/>
                <w:sz w:val="16"/>
              </w:rPr>
              <w:t>ID</w:t>
            </w:r>
          </w:p>
        </w:tc>
        <w:tc>
          <w:tcPr>
            <w:tcW w:type="dxa" w:w="1487"/>
            <w:shd w:val="clear" w:fill="2D1A00"/>
          </w:tcPr>
          <w:p>
            <w:r/>
            <w:r>
              <w:rPr>
                <w:rFonts w:ascii="Palatino" w:hAnsi="Palatino"/>
                <w:b/>
                <w:color w:val="FFFFFF"/>
                <w:sz w:val="16"/>
              </w:rPr>
              <w:t>Scénario</w:t>
            </w:r>
          </w:p>
        </w:tc>
        <w:tc>
          <w:tcPr>
            <w:tcW w:type="dxa" w:w="3570"/>
            <w:shd w:val="clear" w:fill="2D1A00"/>
          </w:tcPr>
          <w:p>
            <w:r/>
            <w:r>
              <w:rPr>
                <w:rFonts w:ascii="Palatino" w:hAnsi="Palatino"/>
                <w:b/>
                <w:color w:val="FFFFFF"/>
                <w:sz w:val="16"/>
              </w:rPr>
              <w:t>Étapes</w:t>
            </w:r>
          </w:p>
        </w:tc>
        <w:tc>
          <w:tcPr>
            <w:tcW w:type="dxa" w:w="2975"/>
            <w:shd w:val="clear" w:fill="2D1A00"/>
          </w:tcPr>
          <w:p>
            <w:r/>
            <w:r>
              <w:rPr>
                <w:rFonts w:ascii="Palatino" w:hAnsi="Palatino"/>
                <w:b/>
                <w:color w:val="FFFFFF"/>
                <w:sz w:val="16"/>
              </w:rPr>
              <w:t>Résultat attendu</w:t>
            </w:r>
          </w:p>
        </w:tc>
        <w:tc>
          <w:tcPr>
            <w:tcW w:type="dxa" w:w="714"/>
            <w:shd w:val="clear" w:fill="2D1A00"/>
          </w:tcPr>
          <w:p>
            <w:r/>
            <w:r>
              <w:rPr>
                <w:rFonts w:ascii="Palatino" w:hAnsi="Palatino"/>
                <w:b/>
                <w:color w:val="FFFFFF"/>
                <w:sz w:val="16"/>
              </w:rPr>
              <w:t>Statut</w:t>
            </w:r>
          </w:p>
        </w:tc>
      </w:tr>
      <w:tr>
        <w:tc>
          <w:tcPr>
            <w:tcW w:type="dxa" w:w="892"/>
          </w:tcPr>
          <w:p>
            <w:r/>
            <w:r>
              <w:rPr>
                <w:sz w:val="16"/>
              </w:rPr>
              <w:t>RECH-01</w:t>
            </w:r>
          </w:p>
        </w:tc>
        <w:tc>
          <w:tcPr>
            <w:tcW w:type="dxa" w:w="1487"/>
          </w:tcPr>
          <w:p>
            <w:r/>
            <w:r>
              <w:rPr>
                <w:sz w:val="16"/>
              </w:rPr>
              <w:t>Recherche de joueurs</w:t>
            </w:r>
          </w:p>
        </w:tc>
        <w:tc>
          <w:tcPr>
            <w:tcW w:type="dxa" w:w="3570"/>
          </w:tcPr>
          <w:p>
            <w:r/>
            <w:r>
              <w:rPr>
                <w:sz w:val="16"/>
              </w:rPr>
              <w:t>Dashboard → type « Joueurs » → saisir « lord » → rechercher</w:t>
            </w:r>
          </w:p>
        </w:tc>
        <w:tc>
          <w:tcPr>
            <w:tcW w:type="dxa" w:w="2975"/>
          </w:tcPr>
          <w:p>
            <w:r/>
            <w:r>
              <w:rPr>
                <w:sz w:val="16"/>
              </w:rPr>
              <w:t>Liste de joueurs réels renvoyée par l'API Albion (10 résultats)</w:t>
            </w:r>
          </w:p>
        </w:tc>
        <w:tc>
          <w:tcPr>
            <w:tcW w:type="dxa" w:w="714"/>
          </w:tcPr>
          <w:p>
            <w:r/>
            <w:r>
              <w:rPr>
                <w:sz w:val="16"/>
              </w:rPr>
              <w:t>PASS</w:t>
            </w:r>
          </w:p>
        </w:tc>
      </w:tr>
      <w:tr>
        <w:tc>
          <w:tcPr>
            <w:tcW w:type="dxa" w:w="892"/>
            <w:shd w:val="clear" w:fill="F7F0E0"/>
          </w:tcPr>
          <w:p>
            <w:r/>
            <w:r>
              <w:rPr>
                <w:sz w:val="16"/>
              </w:rPr>
              <w:t>RECH-02</w:t>
            </w:r>
          </w:p>
        </w:tc>
        <w:tc>
          <w:tcPr>
            <w:tcW w:type="dxa" w:w="1487"/>
            <w:shd w:val="clear" w:fill="F7F0E0"/>
          </w:tcPr>
          <w:p>
            <w:r/>
            <w:r>
              <w:rPr>
                <w:sz w:val="16"/>
              </w:rPr>
              <w:t>Fiche joueur</w:t>
            </w:r>
          </w:p>
        </w:tc>
        <w:tc>
          <w:tcPr>
            <w:tcW w:type="dxa" w:w="3570"/>
            <w:shd w:val="clear" w:fill="F7F0E0"/>
          </w:tcPr>
          <w:p>
            <w:r/>
            <w:r>
              <w:rPr>
                <w:sz w:val="16"/>
              </w:rPr>
              <w:t>Cliquer un résultat</w:t>
            </w:r>
          </w:p>
        </w:tc>
        <w:tc>
          <w:tcPr>
            <w:tcW w:type="dxa" w:w="2975"/>
            <w:shd w:val="clear" w:fill="F7F0E0"/>
          </w:tcPr>
          <w:p>
            <w:r/>
            <w:r>
              <w:rPr>
                <w:sz w:val="16"/>
              </w:rPr>
              <w:t>Statistiques PvP, Fame, PvE, Gathering affichées</w:t>
            </w:r>
          </w:p>
        </w:tc>
        <w:tc>
          <w:tcPr>
            <w:tcW w:type="dxa" w:w="714"/>
            <w:shd w:val="clear" w:fill="F7F0E0"/>
          </w:tcPr>
          <w:p>
            <w:r/>
            <w:r>
              <w:rPr>
                <w:sz w:val="16"/>
              </w:rPr>
              <w:t>PASS</w:t>
            </w:r>
          </w:p>
        </w:tc>
      </w:tr>
      <w:tr>
        <w:tc>
          <w:tcPr>
            <w:tcW w:type="dxa" w:w="892"/>
          </w:tcPr>
          <w:p>
            <w:r/>
            <w:r>
              <w:rPr>
                <w:sz w:val="16"/>
              </w:rPr>
              <w:t>RECH-03</w:t>
            </w:r>
          </w:p>
        </w:tc>
        <w:tc>
          <w:tcPr>
            <w:tcW w:type="dxa" w:w="1487"/>
          </w:tcPr>
          <w:p>
            <w:r/>
            <w:r>
              <w:rPr>
                <w:sz w:val="16"/>
              </w:rPr>
              <w:t>Recherche de guildes</w:t>
            </w:r>
          </w:p>
        </w:tc>
        <w:tc>
          <w:tcPr>
            <w:tcW w:type="dxa" w:w="3570"/>
          </w:tcPr>
          <w:p>
            <w:r/>
            <w:r>
              <w:rPr>
                <w:sz w:val="16"/>
              </w:rPr>
              <w:t>/guilds → saisir « Black »</w:t>
            </w:r>
          </w:p>
        </w:tc>
        <w:tc>
          <w:tcPr>
            <w:tcW w:type="dxa" w:w="2975"/>
          </w:tcPr>
          <w:p>
            <w:r/>
            <w:r>
              <w:rPr>
                <w:sz w:val="16"/>
              </w:rPr>
              <w:t>10 guildes trouvées</w:t>
            </w:r>
          </w:p>
        </w:tc>
        <w:tc>
          <w:tcPr>
            <w:tcW w:type="dxa" w:w="714"/>
          </w:tcPr>
          <w:p>
            <w:r/>
            <w:r>
              <w:rPr>
                <w:sz w:val="16"/>
              </w:rPr>
              <w:t>PASS</w:t>
            </w:r>
          </w:p>
        </w:tc>
      </w:tr>
      <w:tr>
        <w:tc>
          <w:tcPr>
            <w:tcW w:type="dxa" w:w="892"/>
            <w:shd w:val="clear" w:fill="F7F0E0"/>
          </w:tcPr>
          <w:p>
            <w:r/>
            <w:r>
              <w:rPr>
                <w:sz w:val="16"/>
              </w:rPr>
              <w:t>RECH-04</w:t>
            </w:r>
          </w:p>
        </w:tc>
        <w:tc>
          <w:tcPr>
            <w:tcW w:type="dxa" w:w="1487"/>
            <w:shd w:val="clear" w:fill="F7F0E0"/>
          </w:tcPr>
          <w:p>
            <w:r/>
            <w:r>
              <w:rPr>
                <w:sz w:val="16"/>
              </w:rPr>
              <w:t>Fiche guilde</w:t>
            </w:r>
          </w:p>
        </w:tc>
        <w:tc>
          <w:tcPr>
            <w:tcW w:type="dxa" w:w="3570"/>
            <w:shd w:val="clear" w:fill="F7F0E0"/>
          </w:tcPr>
          <w:p>
            <w:r/>
            <w:r>
              <w:rPr>
                <w:sz w:val="16"/>
              </w:rPr>
              <w:t>Cliquer une guilde</w:t>
            </w:r>
          </w:p>
        </w:tc>
        <w:tc>
          <w:tcPr>
            <w:tcW w:type="dxa" w:w="2975"/>
            <w:shd w:val="clear" w:fill="F7F0E0"/>
          </w:tcPr>
          <w:p>
            <w:r/>
            <w:r>
              <w:rPr>
                <w:sz w:val="16"/>
              </w:rPr>
              <w:t>Statistiques + liste des membres (42 membres affichés)</w:t>
            </w:r>
          </w:p>
        </w:tc>
        <w:tc>
          <w:tcPr>
            <w:tcW w:type="dxa" w:w="714"/>
            <w:shd w:val="clear" w:fill="F7F0E0"/>
          </w:tcPr>
          <w:p>
            <w:r/>
            <w:r>
              <w:rPr>
                <w:sz w:val="16"/>
              </w:rPr>
              <w:t>PASS</w:t>
            </w:r>
          </w:p>
        </w:tc>
      </w:tr>
      <w:tr>
        <w:tc>
          <w:tcPr>
            <w:tcW w:type="dxa" w:w="892"/>
          </w:tcPr>
          <w:p>
            <w:r/>
            <w:r>
              <w:rPr>
                <w:sz w:val="16"/>
              </w:rPr>
              <w:t>CARTE-01</w:t>
            </w:r>
          </w:p>
        </w:tc>
        <w:tc>
          <w:tcPr>
            <w:tcW w:type="dxa" w:w="1487"/>
          </w:tcPr>
          <w:p>
            <w:r/>
            <w:r>
              <w:rPr>
                <w:sz w:val="16"/>
              </w:rPr>
              <w:t>Recherche de carte</w:t>
            </w:r>
          </w:p>
        </w:tc>
        <w:tc>
          <w:tcPr>
            <w:tcW w:type="dxa" w:w="3570"/>
          </w:tcPr>
          <w:p>
            <w:r/>
            <w:r>
              <w:rPr>
                <w:sz w:val="16"/>
              </w:rPr>
              <w:t>/map → saisir « Huritos »</w:t>
            </w:r>
          </w:p>
        </w:tc>
        <w:tc>
          <w:tcPr>
            <w:tcW w:type="dxa" w:w="2975"/>
          </w:tcPr>
          <w:p>
            <w:r/>
            <w:r>
              <w:rPr>
                <w:sz w:val="16"/>
              </w:rPr>
              <w:t>Zones correspondantes avec tier ; compteurs de coffres/ressources et légende affichés</w:t>
            </w:r>
          </w:p>
        </w:tc>
        <w:tc>
          <w:tcPr>
            <w:tcW w:type="dxa" w:w="714"/>
          </w:tcPr>
          <w:p>
            <w:r/>
            <w:r>
              <w:rPr>
                <w:sz w:val="16"/>
              </w:rPr>
              <w:t>PASS</w:t>
            </w:r>
          </w:p>
        </w:tc>
      </w:tr>
      <w:tr>
        <w:tc>
          <w:tcPr>
            <w:tcW w:type="dxa" w:w="892"/>
            <w:shd w:val="clear" w:fill="F7F0E0"/>
          </w:tcPr>
          <w:p>
            <w:r/>
            <w:r>
              <w:rPr>
                <w:sz w:val="16"/>
              </w:rPr>
              <w:t>SRV-01</w:t>
            </w:r>
          </w:p>
        </w:tc>
        <w:tc>
          <w:tcPr>
            <w:tcW w:type="dxa" w:w="1487"/>
            <w:shd w:val="clear" w:fill="F7F0E0"/>
          </w:tcPr>
          <w:p>
            <w:r/>
            <w:r>
              <w:rPr>
                <w:sz w:val="16"/>
              </w:rPr>
              <w:t>Multi-serveur (v3)</w:t>
            </w:r>
          </w:p>
        </w:tc>
        <w:tc>
          <w:tcPr>
            <w:tcW w:type="dxa" w:w="3570"/>
            <w:shd w:val="clear" w:fill="F7F0E0"/>
          </w:tcPr>
          <w:p>
            <w:r/>
            <w:r>
              <w:rPr>
                <w:sz w:val="16"/>
              </w:rPr>
              <w:t>Sélecteur d'en-tête → Europe → relancer une recherche joueur</w:t>
            </w:r>
          </w:p>
        </w:tc>
        <w:tc>
          <w:tcPr>
            <w:tcW w:type="dxa" w:w="2975"/>
            <w:shd w:val="clear" w:fill="F7F0E0"/>
          </w:tcPr>
          <w:p>
            <w:r/>
            <w:r>
              <w:rPr>
                <w:sz w:val="16"/>
              </w:rPr>
              <w:t>Les résultats proviennent du serveur choisi ; la fiche joueur se charge sur ce serveur</w:t>
            </w:r>
          </w:p>
        </w:tc>
        <w:tc>
          <w:tcPr>
            <w:tcW w:type="dxa" w:w="714"/>
            <w:shd w:val="clear" w:fill="F7F0E0"/>
          </w:tcPr>
          <w:p>
            <w:r/>
            <w:r>
              <w:rPr>
                <w:sz w:val="16"/>
              </w:rPr>
              <w:t>PASS</w:t>
            </w:r>
          </w:p>
        </w:tc>
      </w:tr>
      <w:tr>
        <w:tc>
          <w:tcPr>
            <w:tcW w:type="dxa" w:w="892"/>
          </w:tcPr>
          <w:p>
            <w:r/>
            <w:r>
              <w:rPr>
                <w:sz w:val="16"/>
              </w:rPr>
              <w:t>BAT-01</w:t>
            </w:r>
          </w:p>
        </w:tc>
        <w:tc>
          <w:tcPr>
            <w:tcW w:type="dxa" w:w="1487"/>
          </w:tcPr>
          <w:p>
            <w:r/>
            <w:r>
              <w:rPr>
                <w:sz w:val="16"/>
              </w:rPr>
              <w:t>Batailles (v3)</w:t>
            </w:r>
          </w:p>
        </w:tc>
        <w:tc>
          <w:tcPr>
            <w:tcW w:type="dxa" w:w="3570"/>
          </w:tcPr>
          <w:p>
            <w:r/>
            <w:r>
              <w:rPr>
                <w:sz w:val="16"/>
              </w:rPr>
              <w:t>/battles → « Contingent » → période Semaine → ouvrir une bataille</w:t>
            </w:r>
          </w:p>
        </w:tc>
        <w:tc>
          <w:tcPr>
            <w:tcW w:type="dxa" w:w="2975"/>
          </w:tcPr>
          <w:p>
            <w:r/>
            <w:r>
              <w:rPr>
                <w:sz w:val="16"/>
              </w:rPr>
              <w:t>Liste des combats puis détail : joueurs, kills, fame, dégâts, soins</w:t>
            </w:r>
          </w:p>
        </w:tc>
        <w:tc>
          <w:tcPr>
            <w:tcW w:type="dxa" w:w="714"/>
          </w:tcPr>
          <w:p>
            <w:r/>
            <w:r>
              <w:rPr>
                <w:sz w:val="16"/>
              </w:rPr>
              <w:t>PASS</w:t>
            </w:r>
          </w:p>
        </w:tc>
      </w:tr>
    </w:tbl>
    <w:p>
      <w:pPr>
        <w:spacing w:after="40"/>
      </w:pPr>
    </w:p>
    <w:p>
      <w:pPr>
        <w:pStyle w:val="Heading2"/>
      </w:pPr>
      <w:r>
        <w:t>10.3 Routes, compositions, craft</w:t>
      </w:r>
    </w:p>
    <w:tbl>
      <w:tblPr>
        <w:tblStyle w:val="TableGrid"/>
        <w:tblW w:type="auto" w:w="0"/>
        <w:jc w:val="center"/>
        <w:tblLayout w:type="fixed"/>
        <w:tblLook w:firstColumn="1" w:firstRow="1" w:lastColumn="0" w:lastRow="0" w:noHBand="0" w:noVBand="1" w:val="04A0"/>
        <w:tblCellMar>
          <w:top w:w="30" w:type="dxa"/>
          <w:left w:w="80" w:type="dxa"/>
          <w:bottom w:w="30" w:type="dxa"/>
          <w:right w:w="80" w:type="dxa"/>
        </w:tblCellMar>
      </w:tblPr>
      <w:tblGrid>
        <w:gridCol w:w="1928"/>
        <w:gridCol w:w="1928"/>
        <w:gridCol w:w="1928"/>
        <w:gridCol w:w="1928"/>
        <w:gridCol w:w="1928"/>
      </w:tblGrid>
      <w:tr>
        <w:tc>
          <w:tcPr>
            <w:tcW w:type="dxa" w:w="1051"/>
            <w:shd w:val="clear" w:fill="2D1A00"/>
          </w:tcPr>
          <w:p>
            <w:r/>
            <w:r>
              <w:rPr>
                <w:rFonts w:ascii="Palatino" w:hAnsi="Palatino"/>
                <w:b/>
                <w:color w:val="FFFFFF"/>
                <w:sz w:val="16"/>
              </w:rPr>
              <w:t>ID</w:t>
            </w:r>
          </w:p>
        </w:tc>
        <w:tc>
          <w:tcPr>
            <w:tcW w:type="dxa" w:w="1460"/>
            <w:shd w:val="clear" w:fill="2D1A00"/>
          </w:tcPr>
          <w:p>
            <w:r/>
            <w:r>
              <w:rPr>
                <w:rFonts w:ascii="Palatino" w:hAnsi="Palatino"/>
                <w:b/>
                <w:color w:val="FFFFFF"/>
                <w:sz w:val="16"/>
              </w:rPr>
              <w:t>Scénario</w:t>
            </w:r>
          </w:p>
        </w:tc>
        <w:tc>
          <w:tcPr>
            <w:tcW w:type="dxa" w:w="3505"/>
            <w:shd w:val="clear" w:fill="2D1A00"/>
          </w:tcPr>
          <w:p>
            <w:r/>
            <w:r>
              <w:rPr>
                <w:rFonts w:ascii="Palatino" w:hAnsi="Palatino"/>
                <w:b/>
                <w:color w:val="FFFFFF"/>
                <w:sz w:val="16"/>
              </w:rPr>
              <w:t>Étapes</w:t>
            </w:r>
          </w:p>
        </w:tc>
        <w:tc>
          <w:tcPr>
            <w:tcW w:type="dxa" w:w="2921"/>
            <w:shd w:val="clear" w:fill="2D1A00"/>
          </w:tcPr>
          <w:p>
            <w:r/>
            <w:r>
              <w:rPr>
                <w:rFonts w:ascii="Palatino" w:hAnsi="Palatino"/>
                <w:b/>
                <w:color w:val="FFFFFF"/>
                <w:sz w:val="16"/>
              </w:rPr>
              <w:t>Résultat attendu</w:t>
            </w:r>
          </w:p>
        </w:tc>
        <w:tc>
          <w:tcPr>
            <w:tcW w:type="dxa" w:w="701"/>
            <w:shd w:val="clear" w:fill="2D1A00"/>
          </w:tcPr>
          <w:p>
            <w:r/>
            <w:r>
              <w:rPr>
                <w:rFonts w:ascii="Palatino" w:hAnsi="Palatino"/>
                <w:b/>
                <w:color w:val="FFFFFF"/>
                <w:sz w:val="16"/>
              </w:rPr>
              <w:t>Statut</w:t>
            </w:r>
          </w:p>
        </w:tc>
      </w:tr>
      <w:tr>
        <w:tc>
          <w:tcPr>
            <w:tcW w:type="dxa" w:w="1051"/>
          </w:tcPr>
          <w:p>
            <w:r/>
            <w:r>
              <w:rPr>
                <w:sz w:val="16"/>
              </w:rPr>
              <w:t>ROUTE-01</w:t>
            </w:r>
          </w:p>
        </w:tc>
        <w:tc>
          <w:tcPr>
            <w:tcW w:type="dxa" w:w="1460"/>
          </w:tcPr>
          <w:p>
            <w:r/>
            <w:r>
              <w:rPr>
                <w:sz w:val="16"/>
              </w:rPr>
              <w:t>Création d'une route</w:t>
            </w:r>
          </w:p>
        </w:tc>
        <w:tc>
          <w:tcPr>
            <w:tcW w:type="dxa" w:w="3505"/>
          </w:tcPr>
          <w:p>
            <w:r/>
            <w:r>
              <w:rPr>
                <w:sz w:val="16"/>
              </w:rPr>
              <w:t>/routes → créer → nommer → ajouter 2 zones (autocomplétion) → enregistrer</w:t>
            </w:r>
          </w:p>
        </w:tc>
        <w:tc>
          <w:tcPr>
            <w:tcW w:type="dxa" w:w="2921"/>
          </w:tcPr>
          <w:p>
            <w:r/>
            <w:r>
              <w:rPr>
                <w:sz w:val="16"/>
              </w:rPr>
              <w:t>Route affichée avec zones ordonnées, minuteurs, expiration 23 h 59</w:t>
            </w:r>
          </w:p>
        </w:tc>
        <w:tc>
          <w:tcPr>
            <w:tcW w:type="dxa" w:w="701"/>
          </w:tcPr>
          <w:p>
            <w:r/>
            <w:r>
              <w:rPr>
                <w:sz w:val="16"/>
              </w:rPr>
              <w:t>PASS</w:t>
            </w:r>
          </w:p>
        </w:tc>
      </w:tr>
      <w:tr>
        <w:tc>
          <w:tcPr>
            <w:tcW w:type="dxa" w:w="1051"/>
            <w:shd w:val="clear" w:fill="F7F0E0"/>
          </w:tcPr>
          <w:p>
            <w:r/>
            <w:r>
              <w:rPr>
                <w:sz w:val="16"/>
              </w:rPr>
              <w:t>ROUTE-02</w:t>
            </w:r>
          </w:p>
        </w:tc>
        <w:tc>
          <w:tcPr>
            <w:tcW w:type="dxa" w:w="1460"/>
            <w:shd w:val="clear" w:fill="F7F0E0"/>
          </w:tcPr>
          <w:p>
            <w:r/>
            <w:r>
              <w:rPr>
                <w:sz w:val="16"/>
              </w:rPr>
              <w:t>Partage public</w:t>
            </w:r>
          </w:p>
        </w:tc>
        <w:tc>
          <w:tcPr>
            <w:tcW w:type="dxa" w:w="3505"/>
            <w:shd w:val="clear" w:fill="F7F0E0"/>
          </w:tcPr>
          <w:p>
            <w:r/>
            <w:r>
              <w:rPr>
                <w:sz w:val="16"/>
              </w:rPr>
              <w:t>Récupérer le lien de partage → l'appeler sans authentification</w:t>
            </w:r>
          </w:p>
        </w:tc>
        <w:tc>
          <w:tcPr>
            <w:tcW w:type="dxa" w:w="2921"/>
            <w:shd w:val="clear" w:fill="F7F0E0"/>
          </w:tcPr>
          <w:p>
            <w:r/>
            <w:r>
              <w:rPr>
                <w:sz w:val="16"/>
              </w:rPr>
              <w:t>La route est consultable sans compte (jeton aléatoire), avec temps restant</w:t>
            </w:r>
          </w:p>
        </w:tc>
        <w:tc>
          <w:tcPr>
            <w:tcW w:type="dxa" w:w="701"/>
            <w:shd w:val="clear" w:fill="F7F0E0"/>
          </w:tcPr>
          <w:p>
            <w:r/>
            <w:r>
              <w:rPr>
                <w:sz w:val="16"/>
              </w:rPr>
              <w:t>PASS</w:t>
            </w:r>
          </w:p>
        </w:tc>
      </w:tr>
      <w:tr>
        <w:tc>
          <w:tcPr>
            <w:tcW w:type="dxa" w:w="1051"/>
          </w:tcPr>
          <w:p>
            <w:r/>
            <w:r>
              <w:rPr>
                <w:sz w:val="16"/>
              </w:rPr>
              <w:t>ROUTE-03</w:t>
            </w:r>
          </w:p>
        </w:tc>
        <w:tc>
          <w:tcPr>
            <w:tcW w:type="dxa" w:w="1460"/>
          </w:tcPr>
          <w:p>
            <w:r/>
            <w:r>
              <w:rPr>
                <w:sz w:val="16"/>
              </w:rPr>
              <w:t>Suppression protégée</w:t>
            </w:r>
          </w:p>
        </w:tc>
        <w:tc>
          <w:tcPr>
            <w:tcW w:type="dxa" w:w="3505"/>
          </w:tcPr>
          <w:p>
            <w:r/>
            <w:r>
              <w:rPr>
                <w:sz w:val="16"/>
              </w:rPr>
              <w:t>Supprimer la route depuis un AUTRE compte, puis depuis le compte propriétaire</w:t>
            </w:r>
          </w:p>
        </w:tc>
        <w:tc>
          <w:tcPr>
            <w:tcW w:type="dxa" w:w="2921"/>
          </w:tcPr>
          <w:p>
            <w:r/>
            <w:r>
              <w:rPr>
                <w:sz w:val="16"/>
              </w:rPr>
              <w:t>Autre compte : 404 (propriété vérifiée) ; propriétaire : suppression confirmée</w:t>
            </w:r>
          </w:p>
        </w:tc>
        <w:tc>
          <w:tcPr>
            <w:tcW w:type="dxa" w:w="701"/>
          </w:tcPr>
          <w:p>
            <w:r/>
            <w:r>
              <w:rPr>
                <w:sz w:val="16"/>
              </w:rPr>
              <w:t>PASS</w:t>
            </w:r>
          </w:p>
        </w:tc>
      </w:tr>
      <w:tr>
        <w:tc>
          <w:tcPr>
            <w:tcW w:type="dxa" w:w="1051"/>
            <w:shd w:val="clear" w:fill="F7F0E0"/>
          </w:tcPr>
          <w:p>
            <w:r/>
            <w:r>
              <w:rPr>
                <w:sz w:val="16"/>
              </w:rPr>
              <w:t>COMPO-01</w:t>
            </w:r>
          </w:p>
        </w:tc>
        <w:tc>
          <w:tcPr>
            <w:tcW w:type="dxa" w:w="1460"/>
            <w:shd w:val="clear" w:fill="F7F0E0"/>
          </w:tcPr>
          <w:p>
            <w:r/>
            <w:r>
              <w:rPr>
                <w:sz w:val="16"/>
              </w:rPr>
              <w:t>Création de composition</w:t>
            </w:r>
          </w:p>
        </w:tc>
        <w:tc>
          <w:tcPr>
            <w:tcW w:type="dxa" w:w="3505"/>
            <w:shd w:val="clear" w:fill="F7F0E0"/>
          </w:tcPr>
          <w:p>
            <w:r/>
            <w:r>
              <w:rPr>
                <w:sz w:val="16"/>
              </w:rPr>
              <w:t>/compositions → Nouvelle → nommer → équiper une arme via le sélecteur d'items</w:t>
            </w:r>
          </w:p>
        </w:tc>
        <w:tc>
          <w:tcPr>
            <w:tcW w:type="dxa" w:w="2921"/>
            <w:shd w:val="clear" w:fill="F7F0E0"/>
          </w:tcPr>
          <w:p>
            <w:r/>
            <w:r>
              <w:rPr>
                <w:sz w:val="16"/>
              </w:rPr>
              <w:t>Éditeur ouvert, item trouvé par son nom français, slot équipé, sauvegarde OK</w:t>
            </w:r>
          </w:p>
        </w:tc>
        <w:tc>
          <w:tcPr>
            <w:tcW w:type="dxa" w:w="701"/>
            <w:shd w:val="clear" w:fill="F7F0E0"/>
          </w:tcPr>
          <w:p>
            <w:r/>
            <w:r>
              <w:rPr>
                <w:sz w:val="16"/>
              </w:rPr>
              <w:t>PASS</w:t>
            </w:r>
          </w:p>
        </w:tc>
      </w:tr>
      <w:tr>
        <w:tc>
          <w:tcPr>
            <w:tcW w:type="dxa" w:w="1051"/>
          </w:tcPr>
          <w:p>
            <w:r/>
            <w:r>
              <w:rPr>
                <w:sz w:val="16"/>
              </w:rPr>
              <w:t>COMPO-02</w:t>
            </w:r>
          </w:p>
        </w:tc>
        <w:tc>
          <w:tcPr>
            <w:tcW w:type="dxa" w:w="1460"/>
          </w:tcPr>
          <w:p>
            <w:r/>
            <w:r>
              <w:rPr>
                <w:sz w:val="16"/>
              </w:rPr>
              <w:t>Partage par URL</w:t>
            </w:r>
          </w:p>
        </w:tc>
        <w:tc>
          <w:tcPr>
            <w:tcW w:type="dxa" w:w="3505"/>
          </w:tcPr>
          <w:p>
            <w:r/>
            <w:r>
              <w:rPr>
                <w:sz w:val="16"/>
              </w:rPr>
              <w:t>Visibilité « URL only » → appeler le lien de partage sans authentification</w:t>
            </w:r>
          </w:p>
        </w:tc>
        <w:tc>
          <w:tcPr>
            <w:tcW w:type="dxa" w:w="2921"/>
          </w:tcPr>
          <w:p>
            <w:r/>
            <w:r>
              <w:rPr>
                <w:sz w:val="16"/>
              </w:rPr>
              <w:t>Composition consultable (nom, joueurs, équipements) sans compte</w:t>
            </w:r>
          </w:p>
        </w:tc>
        <w:tc>
          <w:tcPr>
            <w:tcW w:type="dxa" w:w="701"/>
          </w:tcPr>
          <w:p>
            <w:r/>
            <w:r>
              <w:rPr>
                <w:sz w:val="16"/>
              </w:rPr>
              <w:t>PASS</w:t>
            </w:r>
          </w:p>
        </w:tc>
      </w:tr>
      <w:tr>
        <w:tc>
          <w:tcPr>
            <w:tcW w:type="dxa" w:w="1051"/>
            <w:shd w:val="clear" w:fill="F7F0E0"/>
          </w:tcPr>
          <w:p>
            <w:r/>
            <w:r>
              <w:rPr>
                <w:sz w:val="16"/>
              </w:rPr>
              <w:t>CRAFT-01</w:t>
            </w:r>
          </w:p>
        </w:tc>
        <w:tc>
          <w:tcPr>
            <w:tcW w:type="dxa" w:w="1460"/>
            <w:shd w:val="clear" w:fill="F7F0E0"/>
          </w:tcPr>
          <w:p>
            <w:r/>
            <w:r>
              <w:rPr>
                <w:sz w:val="16"/>
              </w:rPr>
              <w:t>Calcul de rentabilité</w:t>
            </w:r>
          </w:p>
        </w:tc>
        <w:tc>
          <w:tcPr>
            <w:tcW w:type="dxa" w:w="3505"/>
            <w:shd w:val="clear" w:fill="F7F0E0"/>
          </w:tcPr>
          <w:p>
            <w:r/>
            <w:r>
              <w:rPr>
                <w:sz w:val="16"/>
              </w:rPr>
              <w:t>/craft → Charger les prix marché</w:t>
            </w:r>
          </w:p>
        </w:tc>
        <w:tc>
          <w:tcPr>
            <w:tcW w:type="dxa" w:w="2921"/>
            <w:shd w:val="clear" w:fill="F7F0E0"/>
          </w:tcPr>
          <w:p>
            <w:r/>
            <w:r>
              <w:rPr>
                <w:sz w:val="16"/>
              </w:rPr>
              <w:t>Prix réels chargés ; coûts, retours et bénéfices calculés (ex. Cuir fortifié T8 : +119,8 %)</w:t>
            </w:r>
          </w:p>
        </w:tc>
        <w:tc>
          <w:tcPr>
            <w:tcW w:type="dxa" w:w="701"/>
            <w:shd w:val="clear" w:fill="F7F0E0"/>
          </w:tcPr>
          <w:p>
            <w:r/>
            <w:r>
              <w:rPr>
                <w:sz w:val="16"/>
              </w:rPr>
              <w:t>PASS</w:t>
            </w:r>
          </w:p>
        </w:tc>
      </w:tr>
    </w:tbl>
    <w:p>
      <w:pPr>
        <w:spacing w:after="40"/>
      </w:pPr>
    </w:p>
    <w:p>
      <w:pPr>
        <w:pStyle w:val="Heading2"/>
      </w:pPr>
      <w:r>
        <w:t>10.4 Administration et confort</w:t>
      </w:r>
    </w:p>
    <w:tbl>
      <w:tblPr>
        <w:tblStyle w:val="TableGrid"/>
        <w:tblW w:type="auto" w:w="0"/>
        <w:jc w:val="center"/>
        <w:tblLayout w:type="fixed"/>
        <w:tblLook w:firstColumn="1" w:firstRow="1" w:lastColumn="0" w:lastRow="0" w:noHBand="0" w:noVBand="1" w:val="04A0"/>
        <w:tblCellMar>
          <w:top w:w="30" w:type="dxa"/>
          <w:left w:w="80" w:type="dxa"/>
          <w:bottom w:w="30" w:type="dxa"/>
          <w:right w:w="80" w:type="dxa"/>
        </w:tblCellMar>
      </w:tblPr>
      <w:tblGrid>
        <w:gridCol w:w="1928"/>
        <w:gridCol w:w="1928"/>
        <w:gridCol w:w="1928"/>
        <w:gridCol w:w="1928"/>
        <w:gridCol w:w="1928"/>
      </w:tblGrid>
      <w:tr>
        <w:tc>
          <w:tcPr>
            <w:tcW w:type="dxa" w:w="876"/>
            <w:shd w:val="clear" w:fill="2D1A00"/>
          </w:tcPr>
          <w:p>
            <w:r/>
            <w:r>
              <w:rPr>
                <w:rFonts w:ascii="Palatino" w:hAnsi="Palatino"/>
                <w:b/>
                <w:color w:val="FFFFFF"/>
                <w:sz w:val="16"/>
              </w:rPr>
              <w:t>ID</w:t>
            </w:r>
          </w:p>
        </w:tc>
        <w:tc>
          <w:tcPr>
            <w:tcW w:type="dxa" w:w="1636"/>
            <w:shd w:val="clear" w:fill="2D1A00"/>
          </w:tcPr>
          <w:p>
            <w:r/>
            <w:r>
              <w:rPr>
                <w:rFonts w:ascii="Palatino" w:hAnsi="Palatino"/>
                <w:b/>
                <w:color w:val="FFFFFF"/>
                <w:sz w:val="16"/>
              </w:rPr>
              <w:t>Scénario</w:t>
            </w:r>
          </w:p>
        </w:tc>
        <w:tc>
          <w:tcPr>
            <w:tcW w:type="dxa" w:w="3213"/>
            <w:shd w:val="clear" w:fill="2D1A00"/>
          </w:tcPr>
          <w:p>
            <w:r/>
            <w:r>
              <w:rPr>
                <w:rFonts w:ascii="Palatino" w:hAnsi="Palatino"/>
                <w:b/>
                <w:color w:val="FFFFFF"/>
                <w:sz w:val="16"/>
              </w:rPr>
              <w:t>Étapes</w:t>
            </w:r>
          </w:p>
        </w:tc>
        <w:tc>
          <w:tcPr>
            <w:tcW w:type="dxa" w:w="3213"/>
            <w:shd w:val="clear" w:fill="2D1A00"/>
          </w:tcPr>
          <w:p>
            <w:r/>
            <w:r>
              <w:rPr>
                <w:rFonts w:ascii="Palatino" w:hAnsi="Palatino"/>
                <w:b/>
                <w:color w:val="FFFFFF"/>
                <w:sz w:val="16"/>
              </w:rPr>
              <w:t>Résultat attendu</w:t>
            </w:r>
          </w:p>
        </w:tc>
        <w:tc>
          <w:tcPr>
            <w:tcW w:type="dxa" w:w="701"/>
            <w:shd w:val="clear" w:fill="2D1A00"/>
          </w:tcPr>
          <w:p>
            <w:r/>
            <w:r>
              <w:rPr>
                <w:rFonts w:ascii="Palatino" w:hAnsi="Palatino"/>
                <w:b/>
                <w:color w:val="FFFFFF"/>
                <w:sz w:val="16"/>
              </w:rPr>
              <w:t>Statut</w:t>
            </w:r>
          </w:p>
        </w:tc>
      </w:tr>
      <w:tr>
        <w:tc>
          <w:tcPr>
            <w:tcW w:type="dxa" w:w="876"/>
          </w:tcPr>
          <w:p>
            <w:r/>
            <w:r>
              <w:rPr>
                <w:sz w:val="16"/>
              </w:rPr>
              <w:t>ADM-01</w:t>
            </w:r>
          </w:p>
        </w:tc>
        <w:tc>
          <w:tcPr>
            <w:tcW w:type="dxa" w:w="1636"/>
          </w:tcPr>
          <w:p>
            <w:r/>
            <w:r>
              <w:rPr>
                <w:sz w:val="16"/>
              </w:rPr>
              <w:t>Tableau de bord admin</w:t>
            </w:r>
          </w:p>
        </w:tc>
        <w:tc>
          <w:tcPr>
            <w:tcW w:type="dxa" w:w="3213"/>
          </w:tcPr>
          <w:p>
            <w:r/>
            <w:r>
              <w:rPr>
                <w:sz w:val="16"/>
              </w:rPr>
              <w:t>Connexion compte ROLE_ADMIN → /admin</w:t>
            </w:r>
          </w:p>
        </w:tc>
        <w:tc>
          <w:tcPr>
            <w:tcW w:type="dxa" w:w="3213"/>
          </w:tcPr>
          <w:p>
            <w:r/>
            <w:r>
              <w:rPr>
                <w:sz w:val="16"/>
              </w:rPr>
              <w:t>KPI réels (utilisateurs, routes, recherches), liste des comptes, gestion des rôles</w:t>
            </w:r>
          </w:p>
        </w:tc>
        <w:tc>
          <w:tcPr>
            <w:tcW w:type="dxa" w:w="701"/>
          </w:tcPr>
          <w:p>
            <w:r/>
            <w:r>
              <w:rPr>
                <w:sz w:val="16"/>
              </w:rPr>
              <w:t>PASS</w:t>
            </w:r>
          </w:p>
        </w:tc>
      </w:tr>
      <w:tr>
        <w:tc>
          <w:tcPr>
            <w:tcW w:type="dxa" w:w="876"/>
            <w:shd w:val="clear" w:fill="F7F0E0"/>
          </w:tcPr>
          <w:p>
            <w:r/>
            <w:r>
              <w:rPr>
                <w:sz w:val="16"/>
              </w:rPr>
              <w:t>ADM-02</w:t>
            </w:r>
          </w:p>
        </w:tc>
        <w:tc>
          <w:tcPr>
            <w:tcW w:type="dxa" w:w="1636"/>
            <w:shd w:val="clear" w:fill="F7F0E0"/>
          </w:tcPr>
          <w:p>
            <w:r/>
            <w:r>
              <w:rPr>
                <w:sz w:val="16"/>
              </w:rPr>
              <w:t>Accès admin refusé</w:t>
            </w:r>
          </w:p>
        </w:tc>
        <w:tc>
          <w:tcPr>
            <w:tcW w:type="dxa" w:w="3213"/>
            <w:shd w:val="clear" w:fill="F7F0E0"/>
          </w:tcPr>
          <w:p>
            <w:r/>
            <w:r>
              <w:rPr>
                <w:sz w:val="16"/>
              </w:rPr>
              <w:t>Connexion compte standard → /admin</w:t>
            </w:r>
          </w:p>
        </w:tc>
        <w:tc>
          <w:tcPr>
            <w:tcW w:type="dxa" w:w="3213"/>
            <w:shd w:val="clear" w:fill="F7F0E0"/>
          </w:tcPr>
          <w:p>
            <w:r/>
            <w:r>
              <w:rPr>
                <w:sz w:val="16"/>
              </w:rPr>
              <w:t>Accès refusé (403 API), retour à l'authentification</w:t>
            </w:r>
          </w:p>
        </w:tc>
        <w:tc>
          <w:tcPr>
            <w:tcW w:type="dxa" w:w="701"/>
            <w:shd w:val="clear" w:fill="F7F0E0"/>
          </w:tcPr>
          <w:p>
            <w:r/>
            <w:r>
              <w:rPr>
                <w:sz w:val="16"/>
              </w:rPr>
              <w:t>PASS</w:t>
            </w:r>
          </w:p>
        </w:tc>
      </w:tr>
      <w:tr>
        <w:tc>
          <w:tcPr>
            <w:tcW w:type="dxa" w:w="876"/>
          </w:tcPr>
          <w:p>
            <w:r/>
            <w:r>
              <w:rPr>
                <w:sz w:val="16"/>
              </w:rPr>
              <w:t>ADM-03</w:t>
            </w:r>
          </w:p>
        </w:tc>
        <w:tc>
          <w:tcPr>
            <w:tcW w:type="dxa" w:w="1636"/>
          </w:tcPr>
          <w:p>
            <w:r/>
            <w:r>
              <w:rPr>
                <w:sz w:val="16"/>
              </w:rPr>
              <w:t>Gestion des langues</w:t>
            </w:r>
          </w:p>
        </w:tc>
        <w:tc>
          <w:tcPr>
            <w:tcW w:type="dxa" w:w="3213"/>
          </w:tcPr>
          <w:p>
            <w:r/>
            <w:r>
              <w:rPr>
                <w:sz w:val="16"/>
              </w:rPr>
              <w:t>/admin → section langues</w:t>
            </w:r>
          </w:p>
        </w:tc>
        <w:tc>
          <w:tcPr>
            <w:tcW w:type="dxa" w:w="3213"/>
          </w:tcPr>
          <w:p>
            <w:r/>
            <w:r>
              <w:rPr>
                <w:sz w:val="16"/>
              </w:rPr>
              <w:t>20 langues listées, ajout par code ISO + téléchargement du template JSON</w:t>
            </w:r>
          </w:p>
        </w:tc>
        <w:tc>
          <w:tcPr>
            <w:tcW w:type="dxa" w:w="701"/>
          </w:tcPr>
          <w:p>
            <w:r/>
            <w:r>
              <w:rPr>
                <w:sz w:val="16"/>
              </w:rPr>
              <w:t>PASS</w:t>
            </w:r>
          </w:p>
        </w:tc>
      </w:tr>
      <w:tr>
        <w:tc>
          <w:tcPr>
            <w:tcW w:type="dxa" w:w="876"/>
            <w:shd w:val="clear" w:fill="F7F0E0"/>
          </w:tcPr>
          <w:p>
            <w:r/>
            <w:r>
              <w:rPr>
                <w:sz w:val="16"/>
              </w:rPr>
              <w:t>ADM-04</w:t>
            </w:r>
          </w:p>
        </w:tc>
        <w:tc>
          <w:tcPr>
            <w:tcW w:type="dxa" w:w="1636"/>
            <w:shd w:val="clear" w:fill="F7F0E0"/>
          </w:tcPr>
          <w:p>
            <w:r/>
            <w:r>
              <w:rPr>
                <w:sz w:val="16"/>
              </w:rPr>
              <w:t>Synchronisation des items</w:t>
            </w:r>
          </w:p>
        </w:tc>
        <w:tc>
          <w:tcPr>
            <w:tcW w:type="dxa" w:w="3213"/>
            <w:shd w:val="clear" w:fill="F7F0E0"/>
          </w:tcPr>
          <w:p>
            <w:r/>
            <w:r>
              <w:rPr>
                <w:sz w:val="16"/>
              </w:rPr>
              <w:t>Déclencher la synchronisation</w:t>
            </w:r>
          </w:p>
        </w:tc>
        <w:tc>
          <w:tcPr>
            <w:tcW w:type="dxa" w:w="3213"/>
            <w:shd w:val="clear" w:fill="F7F0E0"/>
          </w:tcPr>
          <w:p>
            <w:r/>
            <w:r>
              <w:rPr>
                <w:sz w:val="16"/>
              </w:rPr>
              <w:t>12 066 items en base (9 666 ajoutés, 2 400 mis à jour)</w:t>
            </w:r>
          </w:p>
        </w:tc>
        <w:tc>
          <w:tcPr>
            <w:tcW w:type="dxa" w:w="701"/>
            <w:shd w:val="clear" w:fill="F7F0E0"/>
          </w:tcPr>
          <w:p>
            <w:r/>
            <w:r>
              <w:rPr>
                <w:sz w:val="16"/>
              </w:rPr>
              <w:t>PASS</w:t>
            </w:r>
          </w:p>
        </w:tc>
      </w:tr>
      <w:tr>
        <w:tc>
          <w:tcPr>
            <w:tcW w:type="dxa" w:w="876"/>
          </w:tcPr>
          <w:p>
            <w:r/>
            <w:r>
              <w:rPr>
                <w:sz w:val="16"/>
              </w:rPr>
              <w:t>CONF-01</w:t>
            </w:r>
          </w:p>
        </w:tc>
        <w:tc>
          <w:tcPr>
            <w:tcW w:type="dxa" w:w="1636"/>
          </w:tcPr>
          <w:p>
            <w:r/>
            <w:r>
              <w:rPr>
                <w:sz w:val="16"/>
              </w:rPr>
              <w:t>Mode sombre / clair</w:t>
            </w:r>
          </w:p>
        </w:tc>
        <w:tc>
          <w:tcPr>
            <w:tcW w:type="dxa" w:w="3213"/>
          </w:tcPr>
          <w:p>
            <w:r/>
            <w:r>
              <w:rPr>
                <w:sz w:val="16"/>
              </w:rPr>
              <w:t>Bouton de bascule du thème</w:t>
            </w:r>
          </w:p>
        </w:tc>
        <w:tc>
          <w:tcPr>
            <w:tcW w:type="dxa" w:w="3213"/>
          </w:tcPr>
          <w:p>
            <w:r/>
            <w:r>
              <w:rPr>
                <w:sz w:val="16"/>
              </w:rPr>
              <w:t>Thème appliqué immédiatement et persisté (rechargement compris)</w:t>
            </w:r>
          </w:p>
        </w:tc>
        <w:tc>
          <w:tcPr>
            <w:tcW w:type="dxa" w:w="701"/>
          </w:tcPr>
          <w:p>
            <w:r/>
            <w:r>
              <w:rPr>
                <w:sz w:val="16"/>
              </w:rPr>
              <w:t>PASS</w:t>
            </w:r>
          </w:p>
        </w:tc>
      </w:tr>
      <w:tr>
        <w:tc>
          <w:tcPr>
            <w:tcW w:type="dxa" w:w="876"/>
            <w:shd w:val="clear" w:fill="F7F0E0"/>
          </w:tcPr>
          <w:p>
            <w:r/>
            <w:r>
              <w:rPr>
                <w:sz w:val="16"/>
              </w:rPr>
              <w:t>CONF-02</w:t>
            </w:r>
          </w:p>
        </w:tc>
        <w:tc>
          <w:tcPr>
            <w:tcW w:type="dxa" w:w="1636"/>
            <w:shd w:val="clear" w:fill="F7F0E0"/>
          </w:tcPr>
          <w:p>
            <w:r/>
            <w:r>
              <w:rPr>
                <w:sz w:val="16"/>
              </w:rPr>
              <w:t>Changement de langue</w:t>
            </w:r>
          </w:p>
        </w:tc>
        <w:tc>
          <w:tcPr>
            <w:tcW w:type="dxa" w:w="3213"/>
            <w:shd w:val="clear" w:fill="F7F0E0"/>
          </w:tcPr>
          <w:p>
            <w:r/>
            <w:r>
              <w:rPr>
                <w:sz w:val="16"/>
              </w:rPr>
              <w:t>Menu langue → English</w:t>
            </w:r>
          </w:p>
        </w:tc>
        <w:tc>
          <w:tcPr>
            <w:tcW w:type="dxa" w:w="3213"/>
            <w:shd w:val="clear" w:fill="F7F0E0"/>
          </w:tcPr>
          <w:p>
            <w:r/>
            <w:r>
              <w:rPr>
                <w:sz w:val="16"/>
              </w:rPr>
              <w:t>Interface traduite intégralement, persistance du choix</w:t>
            </w:r>
          </w:p>
        </w:tc>
        <w:tc>
          <w:tcPr>
            <w:tcW w:type="dxa" w:w="701"/>
            <w:shd w:val="clear" w:fill="F7F0E0"/>
          </w:tcPr>
          <w:p>
            <w:r/>
            <w:r>
              <w:rPr>
                <w:sz w:val="16"/>
              </w:rPr>
              <w:t>PASS</w:t>
            </w:r>
          </w:p>
        </w:tc>
      </w:tr>
      <w:tr>
        <w:tc>
          <w:tcPr>
            <w:tcW w:type="dxa" w:w="876"/>
          </w:tcPr>
          <w:p>
            <w:r/>
            <w:r>
              <w:rPr>
                <w:sz w:val="16"/>
              </w:rPr>
              <w:t>CONF-03</w:t>
            </w:r>
          </w:p>
        </w:tc>
        <w:tc>
          <w:tcPr>
            <w:tcW w:type="dxa" w:w="1636"/>
          </w:tcPr>
          <w:p>
            <w:r/>
            <w:r>
              <w:rPr>
                <w:sz w:val="16"/>
              </w:rPr>
              <w:t>Tutoriel public</w:t>
            </w:r>
          </w:p>
        </w:tc>
        <w:tc>
          <w:tcPr>
            <w:tcW w:type="dxa" w:w="3213"/>
          </w:tcPr>
          <w:p>
            <w:r/>
            <w:r>
              <w:rPr>
                <w:sz w:val="16"/>
              </w:rPr>
              <w:t>Déconnecté → page d'accueil → « Démarrer la visite guidée »</w:t>
            </w:r>
          </w:p>
        </w:tc>
        <w:tc>
          <w:tcPr>
            <w:tcW w:type="dxa" w:w="3213"/>
          </w:tcPr>
          <w:p>
            <w:r/>
            <w:r>
              <w:rPr>
                <w:sz w:val="16"/>
              </w:rPr>
              <w:t>Présentation des fonctionnalités + visite guidée interactive accessibles sans compte</w:t>
            </w:r>
          </w:p>
        </w:tc>
        <w:tc>
          <w:tcPr>
            <w:tcW w:type="dxa" w:w="701"/>
          </w:tcPr>
          <w:p>
            <w:r/>
            <w:r>
              <w:rPr>
                <w:sz w:val="16"/>
              </w:rPr>
              <w:t>PASS</w:t>
            </w:r>
          </w:p>
        </w:tc>
      </w:tr>
    </w:tbl>
    <w:p>
      <w:pPr>
        <w:spacing w:after="40"/>
      </w:pPr>
    </w:p>
    <w:p>
      <w:pPr>
        <w:pStyle w:val="Heading2"/>
      </w:pPr>
      <w:r>
        <w:t>10.5 Sécurité (tests structurels via API)</w:t>
      </w:r>
    </w:p>
    <w:tbl>
      <w:tblPr>
        <w:tblStyle w:val="TableGrid"/>
        <w:tblW w:type="auto" w:w="0"/>
        <w:jc w:val="center"/>
        <w:tblLayout w:type="fixed"/>
        <w:tblLook w:firstColumn="1" w:firstRow="1" w:lastColumn="0" w:lastRow="0" w:noHBand="0" w:noVBand="1" w:val="04A0"/>
        <w:tblCellMar>
          <w:top w:w="30" w:type="dxa"/>
          <w:left w:w="80" w:type="dxa"/>
          <w:bottom w:w="30" w:type="dxa"/>
          <w:right w:w="80" w:type="dxa"/>
        </w:tblCellMar>
      </w:tblPr>
      <w:tblGrid>
        <w:gridCol w:w="1928"/>
        <w:gridCol w:w="1928"/>
        <w:gridCol w:w="1928"/>
        <w:gridCol w:w="1928"/>
        <w:gridCol w:w="1928"/>
      </w:tblGrid>
      <w:tr>
        <w:tc>
          <w:tcPr>
            <w:tcW w:type="dxa" w:w="876"/>
            <w:shd w:val="clear" w:fill="2D1A00"/>
          </w:tcPr>
          <w:p>
            <w:r/>
            <w:r>
              <w:rPr>
                <w:rFonts w:ascii="Palatino" w:hAnsi="Palatino"/>
                <w:b/>
                <w:color w:val="FFFFFF"/>
                <w:sz w:val="16"/>
              </w:rPr>
              <w:t>ID</w:t>
            </w:r>
          </w:p>
        </w:tc>
        <w:tc>
          <w:tcPr>
            <w:tcW w:type="dxa" w:w="1636"/>
            <w:shd w:val="clear" w:fill="2D1A00"/>
          </w:tcPr>
          <w:p>
            <w:r/>
            <w:r>
              <w:rPr>
                <w:rFonts w:ascii="Palatino" w:hAnsi="Palatino"/>
                <w:b/>
                <w:color w:val="FFFFFF"/>
                <w:sz w:val="16"/>
              </w:rPr>
              <w:t>Scénario</w:t>
            </w:r>
          </w:p>
        </w:tc>
        <w:tc>
          <w:tcPr>
            <w:tcW w:type="dxa" w:w="3213"/>
            <w:shd w:val="clear" w:fill="2D1A00"/>
          </w:tcPr>
          <w:p>
            <w:r/>
            <w:r>
              <w:rPr>
                <w:rFonts w:ascii="Palatino" w:hAnsi="Palatino"/>
                <w:b/>
                <w:color w:val="FFFFFF"/>
                <w:sz w:val="16"/>
              </w:rPr>
              <w:t>Étapes</w:t>
            </w:r>
          </w:p>
        </w:tc>
        <w:tc>
          <w:tcPr>
            <w:tcW w:type="dxa" w:w="3213"/>
            <w:shd w:val="clear" w:fill="2D1A00"/>
          </w:tcPr>
          <w:p>
            <w:r/>
            <w:r>
              <w:rPr>
                <w:rFonts w:ascii="Palatino" w:hAnsi="Palatino"/>
                <w:b/>
                <w:color w:val="FFFFFF"/>
                <w:sz w:val="16"/>
              </w:rPr>
              <w:t>Résultat attendu</w:t>
            </w:r>
          </w:p>
        </w:tc>
        <w:tc>
          <w:tcPr>
            <w:tcW w:type="dxa" w:w="701"/>
            <w:shd w:val="clear" w:fill="2D1A00"/>
          </w:tcPr>
          <w:p>
            <w:r/>
            <w:r>
              <w:rPr>
                <w:rFonts w:ascii="Palatino" w:hAnsi="Palatino"/>
                <w:b/>
                <w:color w:val="FFFFFF"/>
                <w:sz w:val="16"/>
              </w:rPr>
              <w:t>Statut</w:t>
            </w:r>
          </w:p>
        </w:tc>
      </w:tr>
      <w:tr>
        <w:tc>
          <w:tcPr>
            <w:tcW w:type="dxa" w:w="876"/>
          </w:tcPr>
          <w:p>
            <w:r/>
            <w:r>
              <w:rPr>
                <w:sz w:val="16"/>
              </w:rPr>
              <w:t>SEC-01</w:t>
            </w:r>
          </w:p>
        </w:tc>
        <w:tc>
          <w:tcPr>
            <w:tcW w:type="dxa" w:w="1636"/>
          </w:tcPr>
          <w:p>
            <w:r/>
            <w:r>
              <w:rPr>
                <w:sz w:val="16"/>
              </w:rPr>
              <w:t>API sans jeton</w:t>
            </w:r>
          </w:p>
        </w:tc>
        <w:tc>
          <w:tcPr>
            <w:tcW w:type="dxa" w:w="3213"/>
          </w:tcPr>
          <w:p>
            <w:r/>
            <w:r>
              <w:rPr>
                <w:sz w:val="16"/>
              </w:rPr>
              <w:t>GET /api/routes sans en-tête Authorization</w:t>
            </w:r>
          </w:p>
        </w:tc>
        <w:tc>
          <w:tcPr>
            <w:tcW w:type="dxa" w:w="3213"/>
          </w:tcPr>
          <w:p>
            <w:r/>
            <w:r>
              <w:rPr>
                <w:sz w:val="16"/>
              </w:rPr>
              <w:t>HTTP 401</w:t>
            </w:r>
          </w:p>
        </w:tc>
        <w:tc>
          <w:tcPr>
            <w:tcW w:type="dxa" w:w="701"/>
          </w:tcPr>
          <w:p>
            <w:r/>
            <w:r>
              <w:rPr>
                <w:sz w:val="16"/>
              </w:rPr>
              <w:t>PASS</w:t>
            </w:r>
          </w:p>
        </w:tc>
      </w:tr>
      <w:tr>
        <w:tc>
          <w:tcPr>
            <w:tcW w:type="dxa" w:w="876"/>
            <w:shd w:val="clear" w:fill="F7F0E0"/>
          </w:tcPr>
          <w:p>
            <w:r/>
            <w:r>
              <w:rPr>
                <w:sz w:val="16"/>
              </w:rPr>
              <w:t>SEC-02</w:t>
            </w:r>
          </w:p>
        </w:tc>
        <w:tc>
          <w:tcPr>
            <w:tcW w:type="dxa" w:w="1636"/>
            <w:shd w:val="clear" w:fill="F7F0E0"/>
          </w:tcPr>
          <w:p>
            <w:r/>
            <w:r>
              <w:rPr>
                <w:sz w:val="16"/>
              </w:rPr>
              <w:t>En-têtes de sécurité</w:t>
            </w:r>
          </w:p>
        </w:tc>
        <w:tc>
          <w:tcPr>
            <w:tcW w:type="dxa" w:w="3213"/>
            <w:shd w:val="clear" w:fill="F7F0E0"/>
          </w:tcPr>
          <w:p>
            <w:r/>
            <w:r>
              <w:rPr>
                <w:sz w:val="16"/>
              </w:rPr>
              <w:t>Inspecter les en-têtes de /api/health</w:t>
            </w:r>
          </w:p>
        </w:tc>
        <w:tc>
          <w:tcPr>
            <w:tcW w:type="dxa" w:w="3213"/>
            <w:shd w:val="clear" w:fill="F7F0E0"/>
          </w:tcPr>
          <w:p>
            <w:r/>
            <w:r>
              <w:rPr>
                <w:sz w:val="16"/>
              </w:rPr>
              <w:t>X-Content-Type-Options, X-Frame-Options DENY, Referrer-Policy, CSP présents</w:t>
            </w:r>
          </w:p>
        </w:tc>
        <w:tc>
          <w:tcPr>
            <w:tcW w:type="dxa" w:w="701"/>
            <w:shd w:val="clear" w:fill="F7F0E0"/>
          </w:tcPr>
          <w:p>
            <w:r/>
            <w:r>
              <w:rPr>
                <w:sz w:val="16"/>
              </w:rPr>
              <w:t>PASS</w:t>
            </w:r>
          </w:p>
        </w:tc>
      </w:tr>
      <w:tr>
        <w:tc>
          <w:tcPr>
            <w:tcW w:type="dxa" w:w="876"/>
          </w:tcPr>
          <w:p>
            <w:r/>
            <w:r>
              <w:rPr>
                <w:sz w:val="16"/>
              </w:rPr>
              <w:t>SEC-03</w:t>
            </w:r>
          </w:p>
        </w:tc>
        <w:tc>
          <w:tcPr>
            <w:tcW w:type="dxa" w:w="1636"/>
          </w:tcPr>
          <w:p>
            <w:r/>
            <w:r>
              <w:rPr>
                <w:sz w:val="16"/>
              </w:rPr>
              <w:t>Limite d'inscriptions</w:t>
            </w:r>
          </w:p>
        </w:tc>
        <w:tc>
          <w:tcPr>
            <w:tcW w:type="dxa" w:w="3213"/>
          </w:tcPr>
          <w:p>
            <w:r/>
            <w:r>
              <w:rPr>
                <w:sz w:val="16"/>
              </w:rPr>
              <w:t>6 inscriptions successives depuis la même IP</w:t>
            </w:r>
          </w:p>
        </w:tc>
        <w:tc>
          <w:tcPr>
            <w:tcW w:type="dxa" w:w="3213"/>
          </w:tcPr>
          <w:p>
            <w:r/>
            <w:r>
              <w:rPr>
                <w:sz w:val="16"/>
              </w:rPr>
              <w:t>HTTP 429 + « Too many registration attempts » à partir de la 6e</w:t>
            </w:r>
          </w:p>
        </w:tc>
        <w:tc>
          <w:tcPr>
            <w:tcW w:type="dxa" w:w="701"/>
          </w:tcPr>
          <w:p>
            <w:r/>
            <w:r>
              <w:rPr>
                <w:sz w:val="16"/>
              </w:rPr>
              <w:t>PASS</w:t>
            </w:r>
          </w:p>
        </w:tc>
      </w:tr>
      <w:tr>
        <w:tc>
          <w:tcPr>
            <w:tcW w:type="dxa" w:w="876"/>
            <w:shd w:val="clear" w:fill="F7F0E0"/>
          </w:tcPr>
          <w:p>
            <w:r/>
            <w:r>
              <w:rPr>
                <w:sz w:val="16"/>
              </w:rPr>
              <w:t>SEC-04</w:t>
            </w:r>
          </w:p>
        </w:tc>
        <w:tc>
          <w:tcPr>
            <w:tcW w:type="dxa" w:w="1636"/>
            <w:shd w:val="clear" w:fill="F7F0E0"/>
          </w:tcPr>
          <w:p>
            <w:r/>
            <w:r>
              <w:rPr>
                <w:sz w:val="16"/>
              </w:rPr>
              <w:t>Verrouillage du login</w:t>
            </w:r>
          </w:p>
        </w:tc>
        <w:tc>
          <w:tcPr>
            <w:tcW w:type="dxa" w:w="3213"/>
            <w:shd w:val="clear" w:fill="F7F0E0"/>
          </w:tcPr>
          <w:p>
            <w:r/>
            <w:r>
              <w:rPr>
                <w:sz w:val="16"/>
              </w:rPr>
              <w:t>6 connexions échouées sur le même compte</w:t>
            </w:r>
          </w:p>
        </w:tc>
        <w:tc>
          <w:tcPr>
            <w:tcW w:type="dxa" w:w="3213"/>
            <w:shd w:val="clear" w:fill="F7F0E0"/>
          </w:tcPr>
          <w:p>
            <w:r/>
            <w:r>
              <w:rPr>
                <w:sz w:val="16"/>
              </w:rPr>
              <w:t>« Too many failed login attempts, please try again in 15 minutes. »</w:t>
            </w:r>
          </w:p>
        </w:tc>
        <w:tc>
          <w:tcPr>
            <w:tcW w:type="dxa" w:w="701"/>
            <w:shd w:val="clear" w:fill="F7F0E0"/>
          </w:tcPr>
          <w:p>
            <w:r/>
            <w:r>
              <w:rPr>
                <w:sz w:val="16"/>
              </w:rPr>
              <w:t>PASS</w:t>
            </w:r>
          </w:p>
        </w:tc>
      </w:tr>
      <w:tr>
        <w:tc>
          <w:tcPr>
            <w:tcW w:type="dxa" w:w="876"/>
          </w:tcPr>
          <w:p>
            <w:r/>
            <w:r>
              <w:rPr>
                <w:sz w:val="16"/>
              </w:rPr>
              <w:t>SEC-05</w:t>
            </w:r>
          </w:p>
        </w:tc>
        <w:tc>
          <w:tcPr>
            <w:tcW w:type="dxa" w:w="1636"/>
          </w:tcPr>
          <w:p>
            <w:r/>
            <w:r>
              <w:rPr>
                <w:sz w:val="16"/>
              </w:rPr>
              <w:t>Propriété des données</w:t>
            </w:r>
          </w:p>
        </w:tc>
        <w:tc>
          <w:tcPr>
            <w:tcW w:type="dxa" w:w="3213"/>
          </w:tcPr>
          <w:p>
            <w:r/>
            <w:r>
              <w:rPr>
                <w:sz w:val="16"/>
              </w:rPr>
              <w:t>Suppression d'une route d'autrui (jeton valide d'un autre compte)</w:t>
            </w:r>
          </w:p>
        </w:tc>
        <w:tc>
          <w:tcPr>
            <w:tcW w:type="dxa" w:w="3213"/>
          </w:tcPr>
          <w:p>
            <w:r/>
            <w:r>
              <w:rPr>
                <w:sz w:val="16"/>
              </w:rPr>
              <w:t>HTTP 404 — la ressource n'est ni révélée ni supprimée</w:t>
            </w:r>
          </w:p>
        </w:tc>
        <w:tc>
          <w:tcPr>
            <w:tcW w:type="dxa" w:w="701"/>
          </w:tcPr>
          <w:p>
            <w:r/>
            <w:r>
              <w:rPr>
                <w:sz w:val="16"/>
              </w:rPr>
              <w:t>PASS</w:t>
            </w:r>
          </w:p>
        </w:tc>
      </w:tr>
    </w:tbl>
    <w:p>
      <w:pPr>
        <w:spacing w:after="40"/>
      </w:pPr>
    </w:p>
    <w:p>
      <w:r>
        <w:rPr>
          <w:b w:val="0"/>
          <w:i w:val="0"/>
        </w:rPr>
        <w:t>Bilan : 28 scénarios au référentiel (26 d'origine + SRV-01 et BAT-01 ajoutés en v3), tous conformes. Trois anomalies détectées lors de la recette initiale (BUG-011, BUG-012, BUG-013) et deux lors de la revue v3 du 14/07 (BUG-014, BUG-015) ont été consignées, corrigées et re-testées — voir le plan de correction ci-dessous.</w:t>
      </w:r>
    </w:p>
    <w:p>
      <w:pPr>
        <w:pStyle w:val="Heading1"/>
      </w:pPr>
      <w:r>
        <w:t>11. Plan de correction des bogues</w:t>
      </w:r>
    </w:p>
    <w:p>
      <w:pPr>
        <w:pStyle w:val="Heading2"/>
      </w:pPr>
      <w:r>
        <w:t>11.1 Processus</w:t>
      </w:r>
    </w:p>
    <w:p>
      <w:r>
        <w:rPr>
          <w:b w:val="0"/>
          <w:i w:val="0"/>
        </w:rPr>
        <w:t>Chaque anomalie suit le cycle : détection (recette, tests automatisés, CI ou audit) → consignation (fiche : symptôme, reproduction, gravité, priorité) → qualification → correctif sur develop → validation par la suite de tests complète → re-test du scénario de recette → fusion et entrée au CHANGELOG. Les tests automatisés sont enrichis quand l'anomalie révèle un trou de couverture.</w:t>
      </w:r>
    </w:p>
    <w:p>
      <w:pPr>
        <w:pStyle w:val="Heading2"/>
      </w:pPr>
      <w:r>
        <w:t>11.2 Registre des anomalies</w:t>
      </w:r>
    </w:p>
    <w:tbl>
      <w:tblPr>
        <w:tblStyle w:val="TableGrid"/>
        <w:tblW w:type="auto" w:w="0"/>
        <w:jc w:val="center"/>
        <w:tblLayout w:type="fixed"/>
        <w:tblLook w:firstColumn="1" w:firstRow="1" w:lastColumn="0" w:lastRow="0" w:noHBand="0" w:noVBand="1" w:val="04A0"/>
        <w:tblCellMar>
          <w:top w:w="30" w:type="dxa"/>
          <w:left w:w="80" w:type="dxa"/>
          <w:bottom w:w="30" w:type="dxa"/>
          <w:right w:w="80" w:type="dxa"/>
        </w:tblCellMar>
      </w:tblPr>
      <w:tblGrid>
        <w:gridCol w:w="1606"/>
        <w:gridCol w:w="1606"/>
        <w:gridCol w:w="1606"/>
        <w:gridCol w:w="1606"/>
        <w:gridCol w:w="1606"/>
        <w:gridCol w:w="1606"/>
      </w:tblGrid>
      <w:tr>
        <w:tc>
          <w:tcPr>
            <w:tcW w:type="dxa" w:w="826"/>
            <w:shd w:val="clear" w:fill="2D1A00"/>
          </w:tcPr>
          <w:p>
            <w:r/>
            <w:r>
              <w:rPr>
                <w:rFonts w:ascii="Palatino" w:hAnsi="Palatino"/>
                <w:b/>
                <w:color w:val="FFFFFF"/>
                <w:sz w:val="16"/>
              </w:rPr>
              <w:t>ID</w:t>
            </w:r>
          </w:p>
        </w:tc>
        <w:tc>
          <w:tcPr>
            <w:tcW w:type="dxa" w:w="1212"/>
            <w:shd w:val="clear" w:fill="2D1A00"/>
          </w:tcPr>
          <w:p>
            <w:r/>
            <w:r>
              <w:rPr>
                <w:rFonts w:ascii="Palatino" w:hAnsi="Palatino"/>
                <w:b/>
                <w:color w:val="FFFFFF"/>
                <w:sz w:val="16"/>
              </w:rPr>
              <w:t>Origine</w:t>
            </w:r>
          </w:p>
        </w:tc>
        <w:tc>
          <w:tcPr>
            <w:tcW w:type="dxa" w:w="3304"/>
            <w:shd w:val="clear" w:fill="2D1A00"/>
          </w:tcPr>
          <w:p>
            <w:r/>
            <w:r>
              <w:rPr>
                <w:rFonts w:ascii="Palatino" w:hAnsi="Palatino"/>
                <w:b/>
                <w:color w:val="FFFFFF"/>
                <w:sz w:val="16"/>
              </w:rPr>
              <w:t>Anomalie</w:t>
            </w:r>
          </w:p>
        </w:tc>
        <w:tc>
          <w:tcPr>
            <w:tcW w:type="dxa" w:w="826"/>
            <w:shd w:val="clear" w:fill="2D1A00"/>
          </w:tcPr>
          <w:p>
            <w:r/>
            <w:r>
              <w:rPr>
                <w:rFonts w:ascii="Palatino" w:hAnsi="Palatino"/>
                <w:b/>
                <w:color w:val="FFFFFF"/>
                <w:sz w:val="16"/>
              </w:rPr>
              <w:t>Gravité</w:t>
            </w:r>
          </w:p>
        </w:tc>
        <w:tc>
          <w:tcPr>
            <w:tcW w:type="dxa" w:w="2478"/>
            <w:shd w:val="clear" w:fill="2D1A00"/>
          </w:tcPr>
          <w:p>
            <w:r/>
            <w:r>
              <w:rPr>
                <w:rFonts w:ascii="Palatino" w:hAnsi="Palatino"/>
                <w:b/>
                <w:color w:val="FFFFFF"/>
                <w:sz w:val="16"/>
              </w:rPr>
              <w:t>Correctif</w:t>
            </w:r>
          </w:p>
        </w:tc>
        <w:tc>
          <w:tcPr>
            <w:tcW w:type="dxa" w:w="991"/>
            <w:shd w:val="clear" w:fill="2D1A00"/>
          </w:tcPr>
          <w:p>
            <w:r/>
            <w:r>
              <w:rPr>
                <w:rFonts w:ascii="Palatino" w:hAnsi="Palatino"/>
                <w:b/>
                <w:color w:val="FFFFFF"/>
                <w:sz w:val="16"/>
              </w:rPr>
              <w:t>Statut</w:t>
            </w:r>
          </w:p>
        </w:tc>
      </w:tr>
      <w:tr>
        <w:tc>
          <w:tcPr>
            <w:tcW w:type="dxa" w:w="826"/>
          </w:tcPr>
          <w:p>
            <w:r/>
            <w:r>
              <w:rPr>
                <w:sz w:val="16"/>
              </w:rPr>
              <w:t>BUG-001</w:t>
            </w:r>
          </w:p>
        </w:tc>
        <w:tc>
          <w:tcPr>
            <w:tcW w:type="dxa" w:w="1212"/>
          </w:tcPr>
          <w:p>
            <w:r/>
            <w:r>
              <w:rPr>
                <w:sz w:val="16"/>
              </w:rPr>
              <w:t>Revue de code</w:t>
            </w:r>
          </w:p>
        </w:tc>
        <w:tc>
          <w:tcPr>
            <w:tcW w:type="dxa" w:w="3304"/>
          </w:tcPr>
          <w:p>
            <w:r/>
            <w:r>
              <w:rPr>
                <w:sz w:val="16"/>
              </w:rPr>
              <w:t>Validation de jeton inopérante : une Promise (toujours « vraie ») servait de test de validité — le refresh ne fonctionnait pas</w:t>
            </w:r>
          </w:p>
        </w:tc>
        <w:tc>
          <w:tcPr>
            <w:tcW w:type="dxa" w:w="826"/>
          </w:tcPr>
          <w:p>
            <w:r/>
            <w:r>
              <w:rPr>
                <w:sz w:val="16"/>
              </w:rPr>
              <w:t>Majeure</w:t>
            </w:r>
          </w:p>
        </w:tc>
        <w:tc>
          <w:tcPr>
            <w:tcW w:type="dxa" w:w="2478"/>
          </w:tcPr>
          <w:p>
            <w:r/>
            <w:r>
              <w:rPr>
                <w:sz w:val="16"/>
              </w:rPr>
              <w:t>Réécriture en async/await dans authUtils.js + tests dédiés</w:t>
            </w:r>
          </w:p>
        </w:tc>
        <w:tc>
          <w:tcPr>
            <w:tcW w:type="dxa" w:w="991"/>
          </w:tcPr>
          <w:p>
            <w:r/>
            <w:r>
              <w:rPr>
                <w:sz w:val="16"/>
              </w:rPr>
              <w:t>Résolu (02/06)</w:t>
            </w:r>
          </w:p>
        </w:tc>
      </w:tr>
      <w:tr>
        <w:tc>
          <w:tcPr>
            <w:tcW w:type="dxa" w:w="826"/>
            <w:shd w:val="clear" w:fill="F7F0E0"/>
          </w:tcPr>
          <w:p>
            <w:r/>
            <w:r>
              <w:rPr>
                <w:sz w:val="16"/>
              </w:rPr>
              <w:t>BUG-004</w:t>
            </w:r>
          </w:p>
        </w:tc>
        <w:tc>
          <w:tcPr>
            <w:tcW w:type="dxa" w:w="1212"/>
            <w:shd w:val="clear" w:fill="F7F0E0"/>
          </w:tcPr>
          <w:p>
            <w:r/>
            <w:r>
              <w:rPr>
                <w:sz w:val="16"/>
              </w:rPr>
              <w:t>Supervision</w:t>
            </w:r>
          </w:p>
        </w:tc>
        <w:tc>
          <w:tcPr>
            <w:tcW w:type="dxa" w:w="3304"/>
            <w:shd w:val="clear" w:fill="F7F0E0"/>
          </w:tcPr>
          <w:p>
            <w:r/>
            <w:r>
              <w:rPr>
                <w:sz w:val="16"/>
              </w:rPr>
              <w:t>/api/health exigeait un JWT : inutilisable par une sonde externe</w:t>
            </w:r>
          </w:p>
        </w:tc>
        <w:tc>
          <w:tcPr>
            <w:tcW w:type="dxa" w:w="826"/>
            <w:shd w:val="clear" w:fill="F7F0E0"/>
          </w:tcPr>
          <w:p>
            <w:r/>
            <w:r>
              <w:rPr>
                <w:sz w:val="16"/>
              </w:rPr>
              <w:t>Majeure</w:t>
            </w:r>
          </w:p>
        </w:tc>
        <w:tc>
          <w:tcPr>
            <w:tcW w:type="dxa" w:w="2478"/>
            <w:shd w:val="clear" w:fill="F7F0E0"/>
          </w:tcPr>
          <w:p>
            <w:r/>
            <w:r>
              <w:rPr>
                <w:sz w:val="16"/>
              </w:rPr>
              <w:t>Route passée en PUBLIC_ACCESS</w:t>
            </w:r>
          </w:p>
        </w:tc>
        <w:tc>
          <w:tcPr>
            <w:tcW w:type="dxa" w:w="991"/>
            <w:shd w:val="clear" w:fill="F7F0E0"/>
          </w:tcPr>
          <w:p>
            <w:r/>
            <w:r>
              <w:rPr>
                <w:sz w:val="16"/>
              </w:rPr>
              <w:t>Résolu (02/06)</w:t>
            </w:r>
          </w:p>
        </w:tc>
      </w:tr>
      <w:tr>
        <w:tc>
          <w:tcPr>
            <w:tcW w:type="dxa" w:w="826"/>
          </w:tcPr>
          <w:p>
            <w:r/>
            <w:r>
              <w:rPr>
                <w:sz w:val="16"/>
              </w:rPr>
              <w:t>BUG-005</w:t>
            </w:r>
          </w:p>
        </w:tc>
        <w:tc>
          <w:tcPr>
            <w:tcW w:type="dxa" w:w="1212"/>
          </w:tcPr>
          <w:p>
            <w:r/>
            <w:r>
              <w:rPr>
                <w:sz w:val="16"/>
              </w:rPr>
              <w:t>Audit sécurité</w:t>
            </w:r>
          </w:p>
        </w:tc>
        <w:tc>
          <w:tcPr>
            <w:tcW w:type="dxa" w:w="3304"/>
          </w:tcPr>
          <w:p>
            <w:r/>
            <w:r>
              <w:rPr>
                <w:sz w:val="16"/>
              </w:rPr>
              <w:t>Secret applicatif (APP_SECRET) non sécurisé</w:t>
            </w:r>
          </w:p>
        </w:tc>
        <w:tc>
          <w:tcPr>
            <w:tcW w:type="dxa" w:w="826"/>
          </w:tcPr>
          <w:p>
            <w:r/>
            <w:r>
              <w:rPr>
                <w:sz w:val="16"/>
              </w:rPr>
              <w:t>Majeure</w:t>
            </w:r>
          </w:p>
        </w:tc>
        <w:tc>
          <w:tcPr>
            <w:tcW w:type="dxa" w:w="2478"/>
          </w:tcPr>
          <w:p>
            <w:r/>
            <w:r>
              <w:rPr>
                <w:sz w:val="16"/>
              </w:rPr>
              <w:t>Nouveau secret généré, hors dépôt</w:t>
            </w:r>
          </w:p>
        </w:tc>
        <w:tc>
          <w:tcPr>
            <w:tcW w:type="dxa" w:w="991"/>
          </w:tcPr>
          <w:p>
            <w:r/>
            <w:r>
              <w:rPr>
                <w:sz w:val="16"/>
              </w:rPr>
              <w:t>Résolu (02/06)</w:t>
            </w:r>
          </w:p>
        </w:tc>
      </w:tr>
      <w:tr>
        <w:tc>
          <w:tcPr>
            <w:tcW w:type="dxa" w:w="826"/>
            <w:shd w:val="clear" w:fill="F7F0E0"/>
          </w:tcPr>
          <w:p>
            <w:r/>
            <w:r>
              <w:rPr>
                <w:sz w:val="16"/>
              </w:rPr>
              <w:t>BUG-007</w:t>
            </w:r>
          </w:p>
        </w:tc>
        <w:tc>
          <w:tcPr>
            <w:tcW w:type="dxa" w:w="1212"/>
            <w:shd w:val="clear" w:fill="F7F0E0"/>
          </w:tcPr>
          <w:p>
            <w:r/>
            <w:r>
              <w:rPr>
                <w:sz w:val="16"/>
              </w:rPr>
              <w:t>CI</w:t>
            </w:r>
          </w:p>
        </w:tc>
        <w:tc>
          <w:tcPr>
            <w:tcW w:type="dxa" w:w="3304"/>
            <w:shd w:val="clear" w:fill="F7F0E0"/>
          </w:tcPr>
          <w:p>
            <w:r/>
            <w:r>
              <w:rPr>
                <w:sz w:val="16"/>
              </w:rPr>
              <w:t>Pipeline en échec : MySQL configuré alors que les tests utilisent SQLite</w:t>
            </w:r>
          </w:p>
        </w:tc>
        <w:tc>
          <w:tcPr>
            <w:tcW w:type="dxa" w:w="826"/>
            <w:shd w:val="clear" w:fill="F7F0E0"/>
          </w:tcPr>
          <w:p>
            <w:r/>
            <w:r>
              <w:rPr>
                <w:sz w:val="16"/>
              </w:rPr>
              <w:t>Majeure</w:t>
            </w:r>
          </w:p>
        </w:tc>
        <w:tc>
          <w:tcPr>
            <w:tcW w:type="dxa" w:w="2478"/>
            <w:shd w:val="clear" w:fill="F7F0E0"/>
          </w:tcPr>
          <w:p>
            <w:r/>
            <w:r>
              <w:rPr>
                <w:sz w:val="16"/>
              </w:rPr>
              <w:t>Workflow corrigé (SQLite + clés JWT générées)</w:t>
            </w:r>
          </w:p>
        </w:tc>
        <w:tc>
          <w:tcPr>
            <w:tcW w:type="dxa" w:w="991"/>
            <w:shd w:val="clear" w:fill="F7F0E0"/>
          </w:tcPr>
          <w:p>
            <w:r/>
            <w:r>
              <w:rPr>
                <w:sz w:val="16"/>
              </w:rPr>
              <w:t>Résolu (02/06)</w:t>
            </w:r>
          </w:p>
        </w:tc>
      </w:tr>
      <w:tr>
        <w:tc>
          <w:tcPr>
            <w:tcW w:type="dxa" w:w="826"/>
          </w:tcPr>
          <w:p>
            <w:r/>
            <w:r>
              <w:rPr>
                <w:sz w:val="16"/>
              </w:rPr>
              <w:t>BUG-009</w:t>
            </w:r>
          </w:p>
        </w:tc>
        <w:tc>
          <w:tcPr>
            <w:tcW w:type="dxa" w:w="1212"/>
          </w:tcPr>
          <w:p>
            <w:r/>
            <w:r>
              <w:rPr>
                <w:sz w:val="16"/>
              </w:rPr>
              <w:t>Recette</w:t>
            </w:r>
          </w:p>
        </w:tc>
        <w:tc>
          <w:tcPr>
            <w:tcW w:type="dxa" w:w="3304"/>
          </w:tcPr>
          <w:p>
            <w:r/>
            <w:r>
              <w:rPr>
                <w:sz w:val="16"/>
              </w:rPr>
              <w:t>Carte « nouveaux aujourd'hui » de l'admin toujours vide : le front lisait newUsersToday au lieu de newToday renvoyé par l'API</w:t>
            </w:r>
          </w:p>
        </w:tc>
        <w:tc>
          <w:tcPr>
            <w:tcW w:type="dxa" w:w="826"/>
          </w:tcPr>
          <w:p>
            <w:r/>
            <w:r>
              <w:rPr>
                <w:sz w:val="16"/>
              </w:rPr>
              <w:t>Mineure</w:t>
            </w:r>
          </w:p>
        </w:tc>
        <w:tc>
          <w:tcPr>
            <w:tcW w:type="dxa" w:w="2478"/>
          </w:tcPr>
          <w:p>
            <w:r/>
            <w:r>
              <w:rPr>
                <w:sz w:val="16"/>
              </w:rPr>
              <w:t>Champ aligné sur le contrat d'API</w:t>
            </w:r>
          </w:p>
        </w:tc>
        <w:tc>
          <w:tcPr>
            <w:tcW w:type="dxa" w:w="991"/>
          </w:tcPr>
          <w:p>
            <w:r/>
            <w:r>
              <w:rPr>
                <w:sz w:val="16"/>
              </w:rPr>
              <w:t>Résolu (12/06)</w:t>
            </w:r>
          </w:p>
        </w:tc>
      </w:tr>
      <w:tr>
        <w:tc>
          <w:tcPr>
            <w:tcW w:type="dxa" w:w="826"/>
            <w:shd w:val="clear" w:fill="F7F0E0"/>
          </w:tcPr>
          <w:p>
            <w:r/>
            <w:r>
              <w:rPr>
                <w:sz w:val="16"/>
              </w:rPr>
              <w:t>BUG-010</w:t>
            </w:r>
          </w:p>
        </w:tc>
        <w:tc>
          <w:tcPr>
            <w:tcW w:type="dxa" w:w="1212"/>
            <w:shd w:val="clear" w:fill="F7F0E0"/>
          </w:tcPr>
          <w:p>
            <w:r/>
            <w:r>
              <w:rPr>
                <w:sz w:val="16"/>
              </w:rPr>
              <w:t>Audit sécurité</w:t>
            </w:r>
          </w:p>
        </w:tc>
        <w:tc>
          <w:tcPr>
            <w:tcW w:type="dxa" w:w="3304"/>
            <w:shd w:val="clear" w:fill="F7F0E0"/>
          </w:tcPr>
          <w:p>
            <w:r/>
            <w:r>
              <w:rPr>
                <w:sz w:val="16"/>
              </w:rPr>
              <w:t>CORS ouvert à toutes les origines (wildcard *)</w:t>
            </w:r>
          </w:p>
        </w:tc>
        <w:tc>
          <w:tcPr>
            <w:tcW w:type="dxa" w:w="826"/>
            <w:shd w:val="clear" w:fill="F7F0E0"/>
          </w:tcPr>
          <w:p>
            <w:r/>
            <w:r>
              <w:rPr>
                <w:sz w:val="16"/>
              </w:rPr>
              <w:t>Majeure</w:t>
            </w:r>
          </w:p>
        </w:tc>
        <w:tc>
          <w:tcPr>
            <w:tcW w:type="dxa" w:w="2478"/>
            <w:shd w:val="clear" w:fill="F7F0E0"/>
          </w:tcPr>
          <w:p>
            <w:r/>
            <w:r>
              <w:rPr>
                <w:sz w:val="16"/>
              </w:rPr>
              <w:t>Origines pilotées par variable d'environnement (origin_regex)</w:t>
            </w:r>
          </w:p>
        </w:tc>
        <w:tc>
          <w:tcPr>
            <w:tcW w:type="dxa" w:w="991"/>
            <w:shd w:val="clear" w:fill="F7F0E0"/>
          </w:tcPr>
          <w:p>
            <w:r/>
            <w:r>
              <w:rPr>
                <w:sz w:val="16"/>
              </w:rPr>
              <w:t>Résolu (12/06)</w:t>
            </w:r>
          </w:p>
        </w:tc>
      </w:tr>
      <w:tr>
        <w:tc>
          <w:tcPr>
            <w:tcW w:type="dxa" w:w="826"/>
          </w:tcPr>
          <w:p>
            <w:r/>
            <w:r>
              <w:rPr>
                <w:sz w:val="16"/>
              </w:rPr>
              <w:t>BUG-011</w:t>
            </w:r>
          </w:p>
        </w:tc>
        <w:tc>
          <w:tcPr>
            <w:tcW w:type="dxa" w:w="1212"/>
          </w:tcPr>
          <w:p>
            <w:r/>
            <w:r>
              <w:rPr>
                <w:sz w:val="16"/>
              </w:rPr>
              <w:t>Recette AUTH-05</w:t>
            </w:r>
          </w:p>
        </w:tc>
        <w:tc>
          <w:tcPr>
            <w:tcW w:type="dxa" w:w="3304"/>
          </w:tcPr>
          <w:p>
            <w:r/>
            <w:r>
              <w:rPr>
                <w:sz w:val="16"/>
              </w:rPr>
              <w:t>Échec de connexion invisible : l'intercepteur rechargeait la page sur tout 401, y compris celui du login</w:t>
            </w:r>
          </w:p>
        </w:tc>
        <w:tc>
          <w:tcPr>
            <w:tcW w:type="dxa" w:w="826"/>
          </w:tcPr>
          <w:p>
            <w:r/>
            <w:r>
              <w:rPr>
                <w:sz w:val="16"/>
              </w:rPr>
              <w:t>Majeure</w:t>
            </w:r>
          </w:p>
        </w:tc>
        <w:tc>
          <w:tcPr>
            <w:tcW w:type="dxa" w:w="2478"/>
          </w:tcPr>
          <w:p>
            <w:r/>
            <w:r>
              <w:rPr>
                <w:sz w:val="16"/>
              </w:rPr>
              <w:t>L'intercepteur ignore les appels d'authentification ; le formulaire affiche l'erreur</w:t>
            </w:r>
          </w:p>
        </w:tc>
        <w:tc>
          <w:tcPr>
            <w:tcW w:type="dxa" w:w="991"/>
          </w:tcPr>
          <w:p>
            <w:r/>
            <w:r>
              <w:rPr>
                <w:sz w:val="16"/>
              </w:rPr>
              <w:t>Résolu (12/06)</w:t>
            </w:r>
          </w:p>
        </w:tc>
      </w:tr>
      <w:tr>
        <w:tc>
          <w:tcPr>
            <w:tcW w:type="dxa" w:w="826"/>
            <w:shd w:val="clear" w:fill="F7F0E0"/>
          </w:tcPr>
          <w:p>
            <w:r/>
            <w:r>
              <w:rPr>
                <w:sz w:val="16"/>
              </w:rPr>
              <w:t>BUG-012</w:t>
            </w:r>
          </w:p>
        </w:tc>
        <w:tc>
          <w:tcPr>
            <w:tcW w:type="dxa" w:w="1212"/>
            <w:shd w:val="clear" w:fill="F7F0E0"/>
          </w:tcPr>
          <w:p>
            <w:r/>
            <w:r>
              <w:rPr>
                <w:sz w:val="16"/>
              </w:rPr>
              <w:t>Recette RECH-02</w:t>
            </w:r>
          </w:p>
        </w:tc>
        <w:tc>
          <w:tcPr>
            <w:tcW w:type="dxa" w:w="3304"/>
            <w:shd w:val="clear" w:fill="F7F0E0"/>
          </w:tcPr>
          <w:p>
            <w:r/>
            <w:r>
              <w:rPr>
                <w:sz w:val="16"/>
              </w:rPr>
              <w:t>« Kill Ratio : NaN » affiché pour un joueur sans mort (division 0/0)</w:t>
            </w:r>
          </w:p>
        </w:tc>
        <w:tc>
          <w:tcPr>
            <w:tcW w:type="dxa" w:w="826"/>
            <w:shd w:val="clear" w:fill="F7F0E0"/>
          </w:tcPr>
          <w:p>
            <w:r/>
            <w:r>
              <w:rPr>
                <w:sz w:val="16"/>
              </w:rPr>
              <w:t>Mineure</w:t>
            </w:r>
          </w:p>
        </w:tc>
        <w:tc>
          <w:tcPr>
            <w:tcW w:type="dxa" w:w="2478"/>
            <w:shd w:val="clear" w:fill="F7F0E0"/>
          </w:tcPr>
          <w:p>
            <w:r/>
            <w:r>
              <w:rPr>
                <w:sz w:val="16"/>
              </w:rPr>
              <w:t>Garde sur le dénominateur, affichage « — »</w:t>
            </w:r>
          </w:p>
        </w:tc>
        <w:tc>
          <w:tcPr>
            <w:tcW w:type="dxa" w:w="991"/>
            <w:shd w:val="clear" w:fill="F7F0E0"/>
          </w:tcPr>
          <w:p>
            <w:r/>
            <w:r>
              <w:rPr>
                <w:sz w:val="16"/>
              </w:rPr>
              <w:t>Résolu (12/06)</w:t>
            </w:r>
          </w:p>
        </w:tc>
      </w:tr>
      <w:tr>
        <w:tc>
          <w:tcPr>
            <w:tcW w:type="dxa" w:w="826"/>
          </w:tcPr>
          <w:p>
            <w:r/>
            <w:r>
              <w:rPr>
                <w:sz w:val="16"/>
              </w:rPr>
              <w:t>BUG-013</w:t>
            </w:r>
          </w:p>
        </w:tc>
        <w:tc>
          <w:tcPr>
            <w:tcW w:type="dxa" w:w="1212"/>
          </w:tcPr>
          <w:p>
            <w:r/>
            <w:r>
              <w:rPr>
                <w:sz w:val="16"/>
              </w:rPr>
              <w:t>Recette RECH-03</w:t>
            </w:r>
          </w:p>
        </w:tc>
        <w:tc>
          <w:tcPr>
            <w:tcW w:type="dxa" w:w="3304"/>
          </w:tcPr>
          <w:p>
            <w:r/>
            <w:r>
              <w:rPr>
                <w:sz w:val="16"/>
              </w:rPr>
              <w:t>Avertissements React : clés dupliquées dans les listes de guildes (AllianceId non unique)</w:t>
            </w:r>
          </w:p>
        </w:tc>
        <w:tc>
          <w:tcPr>
            <w:tcW w:type="dxa" w:w="826"/>
          </w:tcPr>
          <w:p>
            <w:r/>
            <w:r>
              <w:rPr>
                <w:sz w:val="16"/>
              </w:rPr>
              <w:t>Mineure</w:t>
            </w:r>
          </w:p>
        </w:tc>
        <w:tc>
          <w:tcPr>
            <w:tcW w:type="dxa" w:w="2478"/>
          </w:tcPr>
          <w:p>
            <w:r/>
            <w:r>
              <w:rPr>
                <w:sz w:val="16"/>
              </w:rPr>
              <w:t>Clé remplacée par l'identifiant unique de guilde</w:t>
            </w:r>
          </w:p>
        </w:tc>
        <w:tc>
          <w:tcPr>
            <w:tcW w:type="dxa" w:w="991"/>
          </w:tcPr>
          <w:p>
            <w:r/>
            <w:r>
              <w:rPr>
                <w:sz w:val="16"/>
              </w:rPr>
              <w:t>Résolu (12/06)</w:t>
            </w:r>
          </w:p>
        </w:tc>
      </w:tr>
      <w:tr>
        <w:tc>
          <w:tcPr>
            <w:tcW w:type="dxa" w:w="826"/>
            <w:shd w:val="clear" w:fill="F7F0E0"/>
          </w:tcPr>
          <w:p>
            <w:r/>
            <w:r>
              <w:rPr>
                <w:sz w:val="16"/>
              </w:rPr>
              <w:t>BUG-014</w:t>
            </w:r>
          </w:p>
        </w:tc>
        <w:tc>
          <w:tcPr>
            <w:tcW w:type="dxa" w:w="1212"/>
            <w:shd w:val="clear" w:fill="F7F0E0"/>
          </w:tcPr>
          <w:p>
            <w:r/>
            <w:r>
              <w:rPr>
                <w:sz w:val="16"/>
              </w:rPr>
              <w:t>Revue v3 (CRAFT-01)</w:t>
            </w:r>
          </w:p>
        </w:tc>
        <w:tc>
          <w:tcPr>
            <w:tcW w:type="dxa" w:w="3304"/>
            <w:shd w:val="clear" w:fill="F7F0E0"/>
          </w:tcPr>
          <w:p>
            <w:r/>
            <w:r>
              <w:rPr>
                <w:sz w:val="16"/>
              </w:rPr>
              <w:t>Titre de section du craft affiché comme « KEY 'craft.settings' returned an object » : une clé i18n pointait un objet au lieu d'une chaîne</w:t>
            </w:r>
          </w:p>
        </w:tc>
        <w:tc>
          <w:tcPr>
            <w:tcW w:type="dxa" w:w="826"/>
            <w:shd w:val="clear" w:fill="F7F0E0"/>
          </w:tcPr>
          <w:p>
            <w:r/>
            <w:r>
              <w:rPr>
                <w:sz w:val="16"/>
              </w:rPr>
              <w:t>Mineure</w:t>
            </w:r>
          </w:p>
        </w:tc>
        <w:tc>
          <w:tcPr>
            <w:tcW w:type="dxa" w:w="2478"/>
            <w:shd w:val="clear" w:fill="F7F0E0"/>
          </w:tcPr>
          <w:p>
            <w:r/>
            <w:r>
              <w:rPr>
                <w:sz w:val="16"/>
              </w:rPr>
              <w:t>Clé dédiée craft.settings.title ajoutée (fr + en), usages corrigés</w:t>
            </w:r>
          </w:p>
        </w:tc>
        <w:tc>
          <w:tcPr>
            <w:tcW w:type="dxa" w:w="991"/>
            <w:shd w:val="clear" w:fill="F7F0E0"/>
          </w:tcPr>
          <w:p>
            <w:r/>
            <w:r>
              <w:rPr>
                <w:sz w:val="16"/>
              </w:rPr>
              <w:t>Résolu (14/07)</w:t>
            </w:r>
          </w:p>
        </w:tc>
      </w:tr>
      <w:tr>
        <w:tc>
          <w:tcPr>
            <w:tcW w:type="dxa" w:w="826"/>
          </w:tcPr>
          <w:p>
            <w:r/>
            <w:r>
              <w:rPr>
                <w:sz w:val="16"/>
              </w:rPr>
              <w:t>BUG-015</w:t>
            </w:r>
          </w:p>
        </w:tc>
        <w:tc>
          <w:tcPr>
            <w:tcW w:type="dxa" w:w="1212"/>
          </w:tcPr>
          <w:p>
            <w:r/>
            <w:r>
              <w:rPr>
                <w:sz w:val="16"/>
              </w:rPr>
              <w:t>Revue v3 (CONF-01)</w:t>
            </w:r>
          </w:p>
        </w:tc>
        <w:tc>
          <w:tcPr>
            <w:tcW w:type="dxa" w:w="3304"/>
          </w:tcPr>
          <w:p>
            <w:r/>
            <w:r>
              <w:rPr>
                <w:sz w:val="16"/>
              </w:rPr>
              <w:t>Mode clair : titres illisibles (couleur du fond) — les variables Sass étaient figées sur la palette sombre</w:t>
            </w:r>
          </w:p>
        </w:tc>
        <w:tc>
          <w:tcPr>
            <w:tcW w:type="dxa" w:w="826"/>
          </w:tcPr>
          <w:p>
            <w:r/>
            <w:r>
              <w:rPr>
                <w:sz w:val="16"/>
              </w:rPr>
              <w:t>Majeure</w:t>
            </w:r>
          </w:p>
        </w:tc>
        <w:tc>
          <w:tcPr>
            <w:tcW w:type="dxa" w:w="2478"/>
          </w:tcPr>
          <w:p>
            <w:r/>
            <w:r>
              <w:rPr>
                <w:sz w:val="16"/>
              </w:rPr>
              <w:t>Variables CSS commutées par body[data-theme] ; ors des titres adaptés au thème</w:t>
            </w:r>
          </w:p>
        </w:tc>
        <w:tc>
          <w:tcPr>
            <w:tcW w:type="dxa" w:w="991"/>
          </w:tcPr>
          <w:p>
            <w:r/>
            <w:r>
              <w:rPr>
                <w:sz w:val="16"/>
              </w:rPr>
              <w:t>Résolu (14/07)</w:t>
            </w:r>
          </w:p>
        </w:tc>
      </w:tr>
      <w:tr>
        <w:tc>
          <w:tcPr>
            <w:tcW w:type="dxa" w:w="826"/>
            <w:shd w:val="clear" w:fill="F7F0E0"/>
          </w:tcPr>
          <w:p>
            <w:r/>
            <w:r>
              <w:rPr>
                <w:sz w:val="16"/>
              </w:rPr>
              <w:t>OBS-01</w:t>
            </w:r>
          </w:p>
        </w:tc>
        <w:tc>
          <w:tcPr>
            <w:tcW w:type="dxa" w:w="1212"/>
            <w:shd w:val="clear" w:fill="F7F0E0"/>
          </w:tcPr>
          <w:p>
            <w:r/>
            <w:r>
              <w:rPr>
                <w:sz w:val="16"/>
              </w:rPr>
              <w:t>Audit axe-core</w:t>
            </w:r>
          </w:p>
        </w:tc>
        <w:tc>
          <w:tcPr>
            <w:tcW w:type="dxa" w:w="3304"/>
            <w:shd w:val="clear" w:fill="F7F0E0"/>
          </w:tcPr>
          <w:p>
            <w:r/>
            <w:r>
              <w:rPr>
                <w:sz w:val="16"/>
              </w:rPr>
              <w:t>Contraste insuffisant des pastilles dorées du tableau de craft (3,2:1 mesuré, 4,5:1 requis)</w:t>
            </w:r>
          </w:p>
        </w:tc>
        <w:tc>
          <w:tcPr>
            <w:tcW w:type="dxa" w:w="826"/>
            <w:shd w:val="clear" w:fill="F7F0E0"/>
          </w:tcPr>
          <w:p>
            <w:r/>
            <w:r>
              <w:rPr>
                <w:sz w:val="16"/>
              </w:rPr>
              <w:t>Mineure</w:t>
            </w:r>
          </w:p>
        </w:tc>
        <w:tc>
          <w:tcPr>
            <w:tcW w:type="dxa" w:w="2478"/>
            <w:shd w:val="clear" w:fill="F7F0E0"/>
          </w:tcPr>
          <w:p>
            <w:r/>
            <w:r>
              <w:rPr>
                <w:sz w:val="16"/>
              </w:rPr>
              <w:t>Planifié : éclaircissement de la palette Chip (texte désactivé déjà corrigé : 1,8 → 4,5:1)</w:t>
            </w:r>
          </w:p>
        </w:tc>
        <w:tc>
          <w:tcPr>
            <w:tcW w:type="dxa" w:w="991"/>
            <w:shd w:val="clear" w:fill="F7F0E0"/>
          </w:tcPr>
          <w:p>
            <w:r/>
            <w:r>
              <w:rPr>
                <w:sz w:val="16"/>
              </w:rPr>
              <w:t>Planifié</w:t>
            </w:r>
          </w:p>
        </w:tc>
      </w:tr>
    </w:tbl>
    <w:p>
      <w:pPr>
        <w:spacing w:after="40"/>
      </w:pPr>
    </w:p>
    <w:p>
      <w:r>
        <w:rPr>
          <w:b w:val="0"/>
          <w:i w:val="0"/>
        </w:rPr>
        <w:t>Le registre complet (BUG-001 à BUG-015) est tenu dans le CHANGELOG du dépôt ; chaque correctif est associé à son commit conventionnel et validé par les 126 tests du pipeline avant fusion.</w:t>
      </w:r>
    </w:p>
    <w:p>
      <w:pPr>
        <w:pStyle w:val="Heading1"/>
      </w:pPr>
      <w:r>
        <w:t>12. Documentation technique</w:t>
      </w:r>
    </w:p>
    <w:p>
      <w:pPr>
        <w:pStyle w:val="Heading2"/>
      </w:pPr>
      <w:r>
        <w:t>12.1 Manuel de déploiement</w:t>
      </w:r>
    </w:p>
    <w:p>
      <w:r>
        <w:rPr>
          <w:b w:val="0"/>
          <w:i w:val="0"/>
        </w:rPr>
        <w:t>Cible : VPS Linux, Nginx + PHP-FPM 8.2, Node 20+, PostgreSQL 16, accès SSH.</w:t>
      </w:r>
    </w:p>
    <w:tbl>
      <w:tblPr>
        <w:tblStyle w:val="TableGrid"/>
        <w:tblW w:type="auto" w:w="0"/>
        <w:jc w:val="center"/>
        <w:tblLayout w:type="fixed"/>
        <w:tblLook w:firstColumn="1" w:firstRow="1" w:lastColumn="0" w:lastRow="0" w:noHBand="0" w:noVBand="1" w:val="04A0"/>
        <w:tblCellMar>
          <w:top w:w="30" w:type="dxa"/>
          <w:left w:w="80" w:type="dxa"/>
          <w:bottom w:w="30" w:type="dxa"/>
          <w:right w:w="80" w:type="dxa"/>
        </w:tblCellMar>
      </w:tblPr>
      <w:tblGrid>
        <w:gridCol w:w="3213"/>
        <w:gridCol w:w="3213"/>
        <w:gridCol w:w="3213"/>
      </w:tblGrid>
      <w:tr>
        <w:tc>
          <w:tcPr>
            <w:tcW w:type="dxa" w:w="602"/>
            <w:shd w:val="clear" w:fill="2D1A00"/>
          </w:tcPr>
          <w:p>
            <w:r/>
            <w:r>
              <w:rPr>
                <w:rFonts w:ascii="Palatino" w:hAnsi="Palatino"/>
                <w:b/>
                <w:color w:val="FFFFFF"/>
                <w:sz w:val="17"/>
              </w:rPr>
              <w:t>#</w:t>
            </w:r>
          </w:p>
        </w:tc>
        <w:tc>
          <w:tcPr>
            <w:tcW w:type="dxa" w:w="2409"/>
            <w:shd w:val="clear" w:fill="2D1A00"/>
          </w:tcPr>
          <w:p>
            <w:r/>
            <w:r>
              <w:rPr>
                <w:rFonts w:ascii="Palatino" w:hAnsi="Palatino"/>
                <w:b/>
                <w:color w:val="FFFFFF"/>
                <w:sz w:val="17"/>
              </w:rPr>
              <w:t>Étape</w:t>
            </w:r>
          </w:p>
        </w:tc>
        <w:tc>
          <w:tcPr>
            <w:tcW w:type="dxa" w:w="6626"/>
            <w:shd w:val="clear" w:fill="2D1A00"/>
          </w:tcPr>
          <w:p>
            <w:r/>
            <w:r>
              <w:rPr>
                <w:rFonts w:ascii="Palatino" w:hAnsi="Palatino"/>
                <w:b/>
                <w:color w:val="FFFFFF"/>
                <w:sz w:val="17"/>
              </w:rPr>
              <w:t>Commandes / configuration</w:t>
            </w:r>
          </w:p>
        </w:tc>
      </w:tr>
      <w:tr>
        <w:tc>
          <w:tcPr>
            <w:tcW w:type="dxa" w:w="602"/>
          </w:tcPr>
          <w:p>
            <w:r/>
            <w:r>
              <w:rPr>
                <w:sz w:val="17"/>
              </w:rPr>
              <w:t>1</w:t>
            </w:r>
          </w:p>
        </w:tc>
        <w:tc>
          <w:tcPr>
            <w:tcW w:type="dxa" w:w="2409"/>
          </w:tcPr>
          <w:p>
            <w:r/>
            <w:r>
              <w:rPr>
                <w:sz w:val="17"/>
              </w:rPr>
              <w:t>Récupérer le code</w:t>
            </w:r>
          </w:p>
        </w:tc>
        <w:tc>
          <w:tcPr>
            <w:tcW w:type="dxa" w:w="6626"/>
          </w:tcPr>
          <w:p>
            <w:r/>
            <w:r>
              <w:rPr>
                <w:sz w:val="17"/>
              </w:rPr>
              <w:t>git clone git@github.com:Perfweb-net/albion-helper.git &amp;&amp; cd albion-helper</w:t>
            </w:r>
          </w:p>
        </w:tc>
      </w:tr>
      <w:tr>
        <w:tc>
          <w:tcPr>
            <w:tcW w:type="dxa" w:w="602"/>
            <w:shd w:val="clear" w:fill="F7F0E0"/>
          </w:tcPr>
          <w:p>
            <w:r/>
            <w:r>
              <w:rPr>
                <w:sz w:val="17"/>
              </w:rPr>
              <w:t>2</w:t>
            </w:r>
          </w:p>
        </w:tc>
        <w:tc>
          <w:tcPr>
            <w:tcW w:type="dxa" w:w="2409"/>
            <w:shd w:val="clear" w:fill="F7F0E0"/>
          </w:tcPr>
          <w:p>
            <w:r/>
            <w:r>
              <w:rPr>
                <w:sz w:val="17"/>
              </w:rPr>
              <w:t>Configurer l'environnement</w:t>
            </w:r>
          </w:p>
        </w:tc>
        <w:tc>
          <w:tcPr>
            <w:tcW w:type="dxa" w:w="6626"/>
            <w:shd w:val="clear" w:fill="F7F0E0"/>
          </w:tcPr>
          <w:p>
            <w:r/>
            <w:r>
              <w:rPr>
                <w:sz w:val="17"/>
              </w:rPr>
              <w:t>Créer back/.env.local : APP_ENV=prod, APP_SECRET (généré), DATABASE_URL (PostgreSQL), CORS_ALLOW_ORIGIN (domaine du front) — aucun secret dans git</w:t>
            </w:r>
          </w:p>
        </w:tc>
      </w:tr>
      <w:tr>
        <w:tc>
          <w:tcPr>
            <w:tcW w:type="dxa" w:w="602"/>
          </w:tcPr>
          <w:p>
            <w:r/>
            <w:r>
              <w:rPr>
                <w:sz w:val="17"/>
              </w:rPr>
              <w:t>3</w:t>
            </w:r>
          </w:p>
        </w:tc>
        <w:tc>
          <w:tcPr>
            <w:tcW w:type="dxa" w:w="2409"/>
          </w:tcPr>
          <w:p>
            <w:r/>
            <w:r>
              <w:rPr>
                <w:sz w:val="17"/>
              </w:rPr>
              <w:t>Dépendances backend</w:t>
            </w:r>
          </w:p>
        </w:tc>
        <w:tc>
          <w:tcPr>
            <w:tcW w:type="dxa" w:w="6626"/>
          </w:tcPr>
          <w:p>
            <w:r/>
            <w:r>
              <w:rPr>
                <w:sz w:val="17"/>
              </w:rPr>
              <w:t>cd back &amp;&amp; composer install --no-dev --optimize-autoloader</w:t>
            </w:r>
          </w:p>
        </w:tc>
      </w:tr>
      <w:tr>
        <w:tc>
          <w:tcPr>
            <w:tcW w:type="dxa" w:w="602"/>
            <w:shd w:val="clear" w:fill="F7F0E0"/>
          </w:tcPr>
          <w:p>
            <w:r/>
            <w:r>
              <w:rPr>
                <w:sz w:val="17"/>
              </w:rPr>
              <w:t>4</w:t>
            </w:r>
          </w:p>
        </w:tc>
        <w:tc>
          <w:tcPr>
            <w:tcW w:type="dxa" w:w="2409"/>
            <w:shd w:val="clear" w:fill="F7F0E0"/>
          </w:tcPr>
          <w:p>
            <w:r/>
            <w:r>
              <w:rPr>
                <w:sz w:val="17"/>
              </w:rPr>
              <w:t>Clés JWT</w:t>
            </w:r>
          </w:p>
        </w:tc>
        <w:tc>
          <w:tcPr>
            <w:tcW w:type="dxa" w:w="6626"/>
            <w:shd w:val="clear" w:fill="F7F0E0"/>
          </w:tcPr>
          <w:p>
            <w:r/>
            <w:r>
              <w:rPr>
                <w:sz w:val="17"/>
              </w:rPr>
              <w:t>php bin/console lexik:jwt:generate-keypair</w:t>
            </w:r>
          </w:p>
        </w:tc>
      </w:tr>
      <w:tr>
        <w:tc>
          <w:tcPr>
            <w:tcW w:type="dxa" w:w="602"/>
          </w:tcPr>
          <w:p>
            <w:r/>
            <w:r>
              <w:rPr>
                <w:sz w:val="17"/>
              </w:rPr>
              <w:t>5</w:t>
            </w:r>
          </w:p>
        </w:tc>
        <w:tc>
          <w:tcPr>
            <w:tcW w:type="dxa" w:w="2409"/>
          </w:tcPr>
          <w:p>
            <w:r/>
            <w:r>
              <w:rPr>
                <w:sz w:val="17"/>
              </w:rPr>
              <w:t>Base de données</w:t>
            </w:r>
          </w:p>
        </w:tc>
        <w:tc>
          <w:tcPr>
            <w:tcW w:type="dxa" w:w="6626"/>
          </w:tcPr>
          <w:p>
            <w:r/>
            <w:r>
              <w:rPr>
                <w:sz w:val="17"/>
              </w:rPr>
              <w:t>php bin/console doctrine:migrations:migrate --no-interaction</w:t>
            </w:r>
          </w:p>
        </w:tc>
      </w:tr>
      <w:tr>
        <w:tc>
          <w:tcPr>
            <w:tcW w:type="dxa" w:w="602"/>
            <w:shd w:val="clear" w:fill="F7F0E0"/>
          </w:tcPr>
          <w:p>
            <w:r/>
            <w:r>
              <w:rPr>
                <w:sz w:val="17"/>
              </w:rPr>
              <w:t>6</w:t>
            </w:r>
          </w:p>
        </w:tc>
        <w:tc>
          <w:tcPr>
            <w:tcW w:type="dxa" w:w="2409"/>
            <w:shd w:val="clear" w:fill="F7F0E0"/>
          </w:tcPr>
          <w:p>
            <w:r/>
            <w:r>
              <w:rPr>
                <w:sz w:val="17"/>
              </w:rPr>
              <w:t>Frontend</w:t>
            </w:r>
          </w:p>
        </w:tc>
        <w:tc>
          <w:tcPr>
            <w:tcW w:type="dxa" w:w="6626"/>
            <w:shd w:val="clear" w:fill="F7F0E0"/>
          </w:tcPr>
          <w:p>
            <w:r/>
            <w:r>
              <w:rPr>
                <w:sz w:val="17"/>
              </w:rPr>
              <w:t>cd ../front &amp;&amp; créer .env.production (REACT_APP_API_URL) &amp;&amp; npm ci --legacy-peer-deps &amp;&amp; npm run build</w:t>
            </w:r>
          </w:p>
        </w:tc>
      </w:tr>
      <w:tr>
        <w:tc>
          <w:tcPr>
            <w:tcW w:type="dxa" w:w="602"/>
          </w:tcPr>
          <w:p>
            <w:r/>
            <w:r>
              <w:rPr>
                <w:sz w:val="17"/>
              </w:rPr>
              <w:t>7</w:t>
            </w:r>
          </w:p>
        </w:tc>
        <w:tc>
          <w:tcPr>
            <w:tcW w:type="dxa" w:w="2409"/>
          </w:tcPr>
          <w:p>
            <w:r/>
            <w:r>
              <w:rPr>
                <w:sz w:val="17"/>
              </w:rPr>
              <w:t>Nginx</w:t>
            </w:r>
          </w:p>
        </w:tc>
        <w:tc>
          <w:tcPr>
            <w:tcW w:type="dxa" w:w="6626"/>
          </w:tcPr>
          <w:p>
            <w:r/>
            <w:r>
              <w:rPr>
                <w:sz w:val="17"/>
              </w:rPr>
              <w:t>Site 1 (front) : racine front/build, try_files vers index.html (SPA). Site 2 (API, ex. albion-back.perfweb.net) : fastcgi_pass vers PHP-FPM, racine back/public. HTTPS via certbot.</w:t>
            </w:r>
          </w:p>
        </w:tc>
      </w:tr>
      <w:tr>
        <w:tc>
          <w:tcPr>
            <w:tcW w:type="dxa" w:w="602"/>
            <w:shd w:val="clear" w:fill="F7F0E0"/>
          </w:tcPr>
          <w:p>
            <w:r/>
            <w:r>
              <w:rPr>
                <w:sz w:val="17"/>
              </w:rPr>
              <w:t>8</w:t>
            </w:r>
          </w:p>
        </w:tc>
        <w:tc>
          <w:tcPr>
            <w:tcW w:type="dxa" w:w="2409"/>
            <w:shd w:val="clear" w:fill="F7F0E0"/>
          </w:tcPr>
          <w:p>
            <w:r/>
            <w:r>
              <w:rPr>
                <w:sz w:val="17"/>
              </w:rPr>
              <w:t>Vérification</w:t>
            </w:r>
          </w:p>
        </w:tc>
        <w:tc>
          <w:tcPr>
            <w:tcW w:type="dxa" w:w="6626"/>
            <w:shd w:val="clear" w:fill="F7F0E0"/>
          </w:tcPr>
          <w:p>
            <w:r/>
            <w:r>
              <w:rPr>
                <w:sz w:val="17"/>
              </w:rPr>
              <w:t>curl https://&lt;api&gt;/api/health → status OK (BDD + API Albion)</w:t>
            </w:r>
          </w:p>
        </w:tc>
      </w:tr>
      <w:tr>
        <w:tc>
          <w:tcPr>
            <w:tcW w:type="dxa" w:w="602"/>
          </w:tcPr>
          <w:p>
            <w:r/>
            <w:r>
              <w:rPr>
                <w:sz w:val="17"/>
              </w:rPr>
              <w:t>9</w:t>
            </w:r>
          </w:p>
        </w:tc>
        <w:tc>
          <w:tcPr>
            <w:tcW w:type="dxa" w:w="2409"/>
          </w:tcPr>
          <w:p>
            <w:r/>
            <w:r>
              <w:rPr>
                <w:sz w:val="17"/>
              </w:rPr>
              <w:t>Déploiements suivants</w:t>
            </w:r>
          </w:p>
        </w:tc>
        <w:tc>
          <w:tcPr>
            <w:tcW w:type="dxa" w:w="6626"/>
          </w:tcPr>
          <w:p>
            <w:r/>
            <w:r>
              <w:rPr>
                <w:sz w:val="17"/>
              </w:rPr>
              <w:t>Automatiques : fusion sur master → pipeline → SSH → deploy/deploy.sh (cf. §5), qui installe aussi la sonde de supervision. Manuel possible : sh deploy/deploy.sh</w:t>
            </w:r>
          </w:p>
        </w:tc>
      </w:tr>
    </w:tbl>
    <w:p>
      <w:pPr>
        <w:spacing w:after="40"/>
      </w:pPr>
    </w:p>
    <w:p>
      <w:pPr>
        <w:pStyle w:val="Heading2"/>
      </w:pPr>
      <w:r>
        <w:t>12.2 Manuel d'utilisation</w:t>
      </w:r>
    </w:p>
    <w:tbl>
      <w:tblPr>
        <w:tblStyle w:val="TableGrid"/>
        <w:tblW w:type="auto" w:w="0"/>
        <w:jc w:val="center"/>
        <w:tblLayout w:type="fixed"/>
        <w:tblLook w:firstColumn="1" w:firstRow="1" w:lastColumn="0" w:lastRow="0" w:noHBand="0" w:noVBand="1" w:val="04A0"/>
        <w:tblCellMar>
          <w:top w:w="30" w:type="dxa"/>
          <w:left w:w="80" w:type="dxa"/>
          <w:bottom w:w="30" w:type="dxa"/>
          <w:right w:w="80" w:type="dxa"/>
        </w:tblCellMar>
      </w:tblPr>
      <w:tblGrid>
        <w:gridCol w:w="4819"/>
        <w:gridCol w:w="4819"/>
      </w:tblGrid>
      <w:tr>
        <w:tc>
          <w:tcPr>
            <w:tcW w:type="dxa" w:w="2409"/>
            <w:shd w:val="clear" w:fill="2D1A00"/>
          </w:tcPr>
          <w:p>
            <w:r/>
            <w:r>
              <w:rPr>
                <w:rFonts w:ascii="Palatino" w:hAnsi="Palatino"/>
                <w:b/>
                <w:color w:val="FFFFFF"/>
                <w:sz w:val="17"/>
              </w:rPr>
              <w:t>Fonction</w:t>
            </w:r>
          </w:p>
        </w:tc>
        <w:tc>
          <w:tcPr>
            <w:tcW w:type="dxa" w:w="7228"/>
            <w:shd w:val="clear" w:fill="2D1A00"/>
          </w:tcPr>
          <w:p>
            <w:r/>
            <w:r>
              <w:rPr>
                <w:rFonts w:ascii="Palatino" w:hAnsi="Palatino"/>
                <w:b/>
                <w:color w:val="FFFFFF"/>
                <w:sz w:val="17"/>
              </w:rPr>
              <w:t>Mode d'emploi</w:t>
            </w:r>
          </w:p>
        </w:tc>
      </w:tr>
      <w:tr>
        <w:tc>
          <w:tcPr>
            <w:tcW w:type="dxa" w:w="2409"/>
          </w:tcPr>
          <w:p>
            <w:r/>
            <w:r>
              <w:rPr>
                <w:sz w:val="17"/>
              </w:rPr>
              <w:t>Créer un compte / se connecter</w:t>
            </w:r>
          </w:p>
        </w:tc>
        <w:tc>
          <w:tcPr>
            <w:tcW w:type="dxa" w:w="7228"/>
          </w:tcPr>
          <w:p>
            <w:r/>
            <w:r>
              <w:rPr>
                <w:sz w:val="17"/>
              </w:rPr>
              <w:t>Accueil → « Créer un compte » : identifiant + mot de passe (8 caractères minimum). La visite guidée est accessible sans compte.</w:t>
            </w:r>
          </w:p>
        </w:tc>
      </w:tr>
      <w:tr>
        <w:tc>
          <w:tcPr>
            <w:tcW w:type="dxa" w:w="2409"/>
            <w:shd w:val="clear" w:fill="F7F0E0"/>
          </w:tcPr>
          <w:p>
            <w:r/>
            <w:r>
              <w:rPr>
                <w:sz w:val="17"/>
              </w:rPr>
              <w:t>Choisir son serveur et sa langue</w:t>
            </w:r>
          </w:p>
        </w:tc>
        <w:tc>
          <w:tcPr>
            <w:tcW w:type="dxa" w:w="7228"/>
            <w:shd w:val="clear" w:fill="F7F0E0"/>
          </w:tcPr>
          <w:p>
            <w:r/>
            <w:r>
              <w:rPr>
                <w:sz w:val="17"/>
              </w:rPr>
              <w:t>Boutons d'en-tête : serveur de jeu (Americas / Europe / Asia) et langue (20 disponibles). Choix mémorisés.</w:t>
            </w:r>
          </w:p>
        </w:tc>
      </w:tr>
      <w:tr>
        <w:tc>
          <w:tcPr>
            <w:tcW w:type="dxa" w:w="2409"/>
          </w:tcPr>
          <w:p>
            <w:r/>
            <w:r>
              <w:rPr>
                <w:sz w:val="17"/>
              </w:rPr>
              <w:t>Rechercher un joueur ou une guilde</w:t>
            </w:r>
          </w:p>
        </w:tc>
        <w:tc>
          <w:tcPr>
            <w:tcW w:type="dxa" w:w="7228"/>
          </w:tcPr>
          <w:p>
            <w:r/>
            <w:r>
              <w:rPr>
                <w:sz w:val="17"/>
              </w:rPr>
              <w:t>Dashboard → choisir le type de recherche → saisir un nom → cliquer un résultat pour la fiche détaillée (dont rapport de session PvP).</w:t>
            </w:r>
          </w:p>
        </w:tc>
      </w:tr>
      <w:tr>
        <w:tc>
          <w:tcPr>
            <w:tcW w:type="dxa" w:w="2409"/>
            <w:shd w:val="clear" w:fill="F7F0E0"/>
          </w:tcPr>
          <w:p>
            <w:r/>
            <w:r>
              <w:rPr>
                <w:sz w:val="17"/>
              </w:rPr>
              <w:t>Analyser les batailles</w:t>
            </w:r>
          </w:p>
        </w:tc>
        <w:tc>
          <w:tcPr>
            <w:tcW w:type="dxa" w:w="7228"/>
            <w:shd w:val="clear" w:fill="F7F0E0"/>
          </w:tcPr>
          <w:p>
            <w:r/>
            <w:r>
              <w:rPr>
                <w:sz w:val="17"/>
              </w:rPr>
              <w:t>Menu « Exploration » → Batailles → saisir une guilde ou une alliance → choisir la période → cliquer une bataille pour le détail (kills, fame, dégâts, soins).</w:t>
            </w:r>
          </w:p>
        </w:tc>
      </w:tr>
      <w:tr>
        <w:tc>
          <w:tcPr>
            <w:tcW w:type="dxa" w:w="2409"/>
          </w:tcPr>
          <w:p>
            <w:r/>
            <w:r>
              <w:rPr>
                <w:sz w:val="17"/>
              </w:rPr>
              <w:t>Explorer une carte</w:t>
            </w:r>
          </w:p>
        </w:tc>
        <w:tc>
          <w:tcPr>
            <w:tcW w:type="dxa" w:w="7228"/>
          </w:tcPr>
          <w:p>
            <w:r/>
            <w:r>
              <w:rPr>
                <w:sz w:val="17"/>
              </w:rPr>
              <w:t>Menu « Exploration » → Carte → saisir au moins 3 caractères → activer/désactiver l'affichage des coffres et ressources.</w:t>
            </w:r>
          </w:p>
        </w:tc>
      </w:tr>
      <w:tr>
        <w:tc>
          <w:tcPr>
            <w:tcW w:type="dxa" w:w="2409"/>
            <w:shd w:val="clear" w:fill="F7F0E0"/>
          </w:tcPr>
          <w:p>
            <w:r/>
            <w:r>
              <w:rPr>
                <w:sz w:val="17"/>
              </w:rPr>
              <w:t>Créer et partager une route</w:t>
            </w:r>
          </w:p>
        </w:tc>
        <w:tc>
          <w:tcPr>
            <w:tcW w:type="dxa" w:w="7228"/>
            <w:shd w:val="clear" w:fill="F7F0E0"/>
          </w:tcPr>
          <w:p>
            <w:r/>
            <w:r>
              <w:rPr>
                <w:sz w:val="17"/>
              </w:rPr>
              <w:t>Menu « Outils » → Routes → « Créer une route » → nommer, ajouter jusqu'à 8 zones (autocomplétion) et leurs minuteurs → « Copier le lien » pour partager ; la route expire automatiquement après 24 h.</w:t>
            </w:r>
          </w:p>
        </w:tc>
      </w:tr>
      <w:tr>
        <w:tc>
          <w:tcPr>
            <w:tcW w:type="dxa" w:w="2409"/>
          </w:tcPr>
          <w:p>
            <w:r/>
            <w:r>
              <w:rPr>
                <w:sz w:val="17"/>
              </w:rPr>
              <w:t>Composer une équipe</w:t>
            </w:r>
          </w:p>
        </w:tc>
        <w:tc>
          <w:tcPr>
            <w:tcW w:type="dxa" w:w="7228"/>
          </w:tcPr>
          <w:p>
            <w:r/>
            <w:r>
              <w:rPr>
                <w:sz w:val="17"/>
              </w:rPr>
              <w:t>Menu « Outils » → Compositions → « Nouvelle » → cliquer chaque emplacement pour choisir l'équipement (recherche par nom localisé) → choisir la visibilité (privé / URL / public) → export JPEG possible.</w:t>
            </w:r>
          </w:p>
        </w:tc>
      </w:tr>
      <w:tr>
        <w:tc>
          <w:tcPr>
            <w:tcW w:type="dxa" w:w="2409"/>
            <w:shd w:val="clear" w:fill="F7F0E0"/>
          </w:tcPr>
          <w:p>
            <w:r/>
            <w:r>
              <w:rPr>
                <w:sz w:val="17"/>
              </w:rPr>
              <w:t>Calculer un craft</w:t>
            </w:r>
          </w:p>
        </w:tc>
        <w:tc>
          <w:tcPr>
            <w:tcW w:type="dxa" w:w="7228"/>
            <w:shd w:val="clear" w:fill="F7F0E0"/>
          </w:tcPr>
          <w:p>
            <w:r/>
            <w:r>
              <w:rPr>
                <w:sz w:val="17"/>
              </w:rPr>
              <w:t>Menu « Outils » → Craft → régler ville, premium, focus et maîtrises → « Charger les prix marché » → trier par bénéfice.</w:t>
            </w:r>
          </w:p>
        </w:tc>
      </w:tr>
      <w:tr>
        <w:tc>
          <w:tcPr>
            <w:tcW w:type="dxa" w:w="2409"/>
          </w:tcPr>
          <w:p>
            <w:r/>
            <w:r>
              <w:rPr>
                <w:sz w:val="17"/>
              </w:rPr>
              <w:t>Administrer (admin)</w:t>
            </w:r>
          </w:p>
        </w:tc>
        <w:tc>
          <w:tcPr>
            <w:tcW w:type="dxa" w:w="7228"/>
          </w:tcPr>
          <w:p>
            <w:r/>
            <w:r>
              <w:rPr>
                <w:sz w:val="17"/>
              </w:rPr>
              <w:t>Menu « Administration » : consulter les KPI, promouvoir/révoquer un rôle, supprimer un compte, synchroniser les items, gérer les 20 langues (ajout par code ISO, template JSON téléchargeable).</w:t>
            </w:r>
          </w:p>
        </w:tc>
      </w:tr>
      <w:tr>
        <w:tc>
          <w:tcPr>
            <w:tcW w:type="dxa" w:w="2409"/>
            <w:shd w:val="clear" w:fill="F7F0E0"/>
          </w:tcPr>
          <w:p>
            <w:r/>
            <w:r>
              <w:rPr>
                <w:sz w:val="17"/>
              </w:rPr>
              <w:t>Préférences</w:t>
            </w:r>
          </w:p>
        </w:tc>
        <w:tc>
          <w:tcPr>
            <w:tcW w:type="dxa" w:w="7228"/>
            <w:shd w:val="clear" w:fill="F7F0E0"/>
          </w:tcPr>
          <w:p>
            <w:r/>
            <w:r>
              <w:rPr>
                <w:sz w:val="17"/>
              </w:rPr>
              <w:t>Bouton soleil/lune : thème clair/sombre. Tous les choix (thème, langue, serveur) sont mémorisés.</w:t>
            </w:r>
          </w:p>
        </w:tc>
      </w:tr>
    </w:tbl>
    <w:p>
      <w:pPr>
        <w:spacing w:after="40"/>
      </w:pPr>
    </w:p>
    <w:p>
      <w:pPr>
        <w:pStyle w:val="Heading2"/>
      </w:pPr>
      <w:r>
        <w:t>12.3 Manuel de mise à jour</w:t>
      </w:r>
    </w:p>
    <w:tbl>
      <w:tblPr>
        <w:tblStyle w:val="TableGrid"/>
        <w:tblW w:type="auto" w:w="0"/>
        <w:jc w:val="center"/>
        <w:tblLayout w:type="fixed"/>
        <w:tblLook w:firstColumn="1" w:firstRow="1" w:lastColumn="0" w:lastRow="0" w:noHBand="0" w:noVBand="1" w:val="04A0"/>
        <w:tblCellMar>
          <w:top w:w="30" w:type="dxa"/>
          <w:left w:w="80" w:type="dxa"/>
          <w:bottom w:w="30" w:type="dxa"/>
          <w:right w:w="80" w:type="dxa"/>
        </w:tblCellMar>
      </w:tblPr>
      <w:tblGrid>
        <w:gridCol w:w="4819"/>
        <w:gridCol w:w="4819"/>
      </w:tblGrid>
      <w:tr>
        <w:tc>
          <w:tcPr>
            <w:tcW w:type="dxa" w:w="2108"/>
            <w:shd w:val="clear" w:fill="2D1A00"/>
          </w:tcPr>
          <w:p>
            <w:r/>
            <w:r>
              <w:rPr>
                <w:rFonts w:ascii="Palatino" w:hAnsi="Palatino"/>
                <w:b/>
                <w:color w:val="FFFFFF"/>
                <w:sz w:val="17"/>
              </w:rPr>
              <w:t>Sujet</w:t>
            </w:r>
          </w:p>
        </w:tc>
        <w:tc>
          <w:tcPr>
            <w:tcW w:type="dxa" w:w="7530"/>
            <w:shd w:val="clear" w:fill="2D1A00"/>
          </w:tcPr>
          <w:p>
            <w:r/>
            <w:r>
              <w:rPr>
                <w:rFonts w:ascii="Palatino" w:hAnsi="Palatino"/>
                <w:b/>
                <w:color w:val="FFFFFF"/>
                <w:sz w:val="17"/>
              </w:rPr>
              <w:t>Procédure</w:t>
            </w:r>
          </w:p>
        </w:tc>
      </w:tr>
      <w:tr>
        <w:tc>
          <w:tcPr>
            <w:tcW w:type="dxa" w:w="2108"/>
          </w:tcPr>
          <w:p>
            <w:r/>
            <w:r>
              <w:rPr>
                <w:sz w:val="17"/>
              </w:rPr>
              <w:t>Application</w:t>
            </w:r>
          </w:p>
        </w:tc>
        <w:tc>
          <w:tcPr>
            <w:tcW w:type="dxa" w:w="7530"/>
          </w:tcPr>
          <w:p>
            <w:r/>
            <w:r>
              <w:rPr>
                <w:sz w:val="17"/>
              </w:rPr>
              <w:t>Fusionner develop → master : le pipeline exécute les 126 tests puis déploie automatiquement (cf. §5). Retour arrière : re-déployer le commit master précédent.</w:t>
            </w:r>
          </w:p>
        </w:tc>
      </w:tr>
      <w:tr>
        <w:tc>
          <w:tcPr>
            <w:tcW w:type="dxa" w:w="2108"/>
            <w:shd w:val="clear" w:fill="F7F0E0"/>
          </w:tcPr>
          <w:p>
            <w:r/>
            <w:r>
              <w:rPr>
                <w:sz w:val="17"/>
              </w:rPr>
              <w:t>Dépendances</w:t>
            </w:r>
          </w:p>
        </w:tc>
        <w:tc>
          <w:tcPr>
            <w:tcW w:type="dxa" w:w="7530"/>
            <w:shd w:val="clear" w:fill="F7F0E0"/>
          </w:tcPr>
          <w:p>
            <w:r/>
            <w:r>
              <w:rPr>
                <w:sz w:val="17"/>
              </w:rPr>
              <w:t>PR Dependabot hebdomadaires (composer, npm, actions) validées par la CI. Contrôle manuel : composer audit / composer outdated, npm audit. Toute advisory critique est traitée immédiatement (exemple réel : migration Symfony 7.2 EOL → 7.4 LTS, 36 advisories corrigées).</w:t>
            </w:r>
          </w:p>
        </w:tc>
      </w:tr>
      <w:tr>
        <w:tc>
          <w:tcPr>
            <w:tcW w:type="dxa" w:w="2108"/>
          </w:tcPr>
          <w:p>
            <w:r/>
            <w:r>
              <w:rPr>
                <w:sz w:val="17"/>
              </w:rPr>
              <w:t>Schéma de base de données</w:t>
            </w:r>
          </w:p>
        </w:tc>
        <w:tc>
          <w:tcPr>
            <w:tcW w:type="dxa" w:w="7530"/>
          </w:tcPr>
          <w:p>
            <w:r/>
            <w:r>
              <w:rPr>
                <w:sz w:val="17"/>
              </w:rPr>
              <w:t>Modifier les entités → make:migration → revue de la migration générée → elle s'applique en production via doctrine:migrations:migrate lors du déploiement. Jamais de SQL manuel en production.</w:t>
            </w:r>
          </w:p>
        </w:tc>
      </w:tr>
      <w:tr>
        <w:tc>
          <w:tcPr>
            <w:tcW w:type="dxa" w:w="2108"/>
            <w:shd w:val="clear" w:fill="F7F0E0"/>
          </w:tcPr>
          <w:p>
            <w:r/>
            <w:r>
              <w:rPr>
                <w:sz w:val="17"/>
              </w:rPr>
              <w:t>Données du jeu</w:t>
            </w:r>
          </w:p>
        </w:tc>
        <w:tc>
          <w:tcPr>
            <w:tcW w:type="dxa" w:w="7530"/>
            <w:shd w:val="clear" w:fill="F7F0E0"/>
          </w:tcPr>
          <w:p>
            <w:r/>
            <w:r>
              <w:rPr>
                <w:sz w:val="17"/>
              </w:rPr>
              <w:t>Synchronisation des items déclenchable depuis l'admin (ou script back/sync_standalone.php) ; prix de marché rafraîchis à la demande avec cache côté API.</w:t>
            </w:r>
          </w:p>
        </w:tc>
      </w:tr>
      <w:tr>
        <w:tc>
          <w:tcPr>
            <w:tcW w:type="dxa" w:w="2108"/>
          </w:tcPr>
          <w:p>
            <w:r/>
            <w:r>
              <w:rPr>
                <w:sz w:val="17"/>
              </w:rPr>
              <w:t>Langues d'interface</w:t>
            </w:r>
          </w:p>
        </w:tc>
        <w:tc>
          <w:tcPr>
            <w:tcW w:type="dxa" w:w="7530"/>
          </w:tcPr>
          <w:p>
            <w:r/>
            <w:r>
              <w:rPr>
                <w:sz w:val="17"/>
              </w:rPr>
              <w:t>Depuis l'admin : ajout d'une langue par code ISO 639-1 ; le template JSON est généré (clés clonées du français) puis complété et déposé — aucune mise en production nécessaire pour corriger une traduction.</w:t>
            </w:r>
          </w:p>
        </w:tc>
      </w:tr>
      <w:tr>
        <w:tc>
          <w:tcPr>
            <w:tcW w:type="dxa" w:w="2108"/>
            <w:shd w:val="clear" w:fill="F7F0E0"/>
          </w:tcPr>
          <w:p>
            <w:r/>
            <w:r>
              <w:rPr>
                <w:sz w:val="17"/>
              </w:rPr>
              <w:t>Environnement de test local</w:t>
            </w:r>
          </w:p>
        </w:tc>
        <w:tc>
          <w:tcPr>
            <w:tcW w:type="dxa" w:w="7530"/>
            <w:shd w:val="clear" w:fill="F7F0E0"/>
          </w:tcPr>
          <w:p>
            <w:r/>
            <w:r>
              <w:rPr>
                <w:sz w:val="17"/>
              </w:rPr>
              <w:t>Après un changement de schéma : rm back/var/test.db &amp;&amp; php bin/console doctrine:schema:create --env=test.</w:t>
            </w:r>
          </w:p>
        </w:tc>
      </w:tr>
    </w:tbl>
    <w:p>
      <w:pPr>
        <w:spacing w:after="40"/>
      </w:pPr>
    </w:p>
    <w:p>
      <w:pPr>
        <w:pStyle w:val="Heading1"/>
      </w:pPr>
      <w:r>
        <w:t>Conclusion</w:t>
      </w:r>
    </w:p>
    <w:p>
      <w:r>
        <w:rPr>
          <w:b w:val="0"/>
          <w:i w:val="0"/>
        </w:rPr>
        <w:t>Ce dossier couvre l'ensemble des livrables attendus pour le Bloc 2 : un prototype complet et fonctionnel (version 3.0.0 : multi-serveur, batailles, statistiques de session, 20 langues) adossé à une architecture en couches maintenable qui a absorbé trois versions majeures sans refonte ; des protocoles d'intégration et de déploiement continus réellement opérationnels (126 tests bloquants, déploiement SSH conditionné, supervision auto-installée) ; un harnais de tests couvrant l'authentification de bout en bout ; des mesures de sécurité alignées sur l'OWASP Top 10 et vérifiées par des tests structurels ; une démarche d'accessibilité outillée (RGAA 4.1, Lighthouse 93-100, axe-core) avec corrections immédiates ; un cahier de recettes de 28 scénarios exécutés à 100 % qui a prouvé son utilité en détectant cinq anomalies réelles, corrigées et re-testées ; et une documentation technique permettant à un tiers de déployer, utiliser et maintenir l'application en autonomie.</w:t>
      </w:r>
    </w:p>
    <w:p>
      <w:r>
        <w:rPr>
          <w:b w:val="0"/>
          <w:i w:val="0"/>
        </w:rPr>
        <w:t>Axes d'amélioration identifiés pour la suite : migration des jetons vers des cookies httpOnly, finalisation des contrastes du tableau de craft (OBS-01), sortie de Create React App vers Vite pour assainir les dépendances de build, et extension de la couverture de tests aux modules v3 (batailles, multi-serveur côté API).</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olor w:val="5A4825"/>
        <w:sz w:val="16"/>
      </w:rPr>
      <w:t xml:space="preserve">Albion Helper — Dossier Bloc 2 (v2) · RNCP39583 · page </w:t>
    </w:r>
    <w:r>
      <w:fldChar w:fldCharType="begin"/>
    </w:r>
    <w:r>
      <w:instrText xml:space="preserve">PAGE</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Georgia" w:hAnsi="Georgia"/>
      <w:color w:val="1A100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Bdr>
        <w:bottom w:val="single" w:sz="12" w:space="2" w:color="C9A84C"/>
      </w:pBdr>
    </w:pPr>
    <w:rPr>
      <w:rFonts w:asciiTheme="majorHAnsi" w:eastAsiaTheme="majorEastAsia" w:hAnsiTheme="majorHAnsi" w:cstheme="majorBidi" w:ascii="Palatino" w:hAnsi="Palatino"/>
      <w:b/>
      <w:bCs/>
      <w:caps/>
      <w:color w:val="2D1A00"/>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Palatino" w:hAnsi="Palatino"/>
      <w:b/>
      <w:bCs/>
      <w:caps w:val="0"/>
      <w:color w:val="8B6914"/>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Palatino" w:hAnsi="Palatino"/>
      <w:b/>
      <w:bCs/>
      <w:caps w:val="0"/>
      <w:color w:val="2D1A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Georgia" w:hAnsi="Georgia"/>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