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cadrage_du_problème"/>
      <w:r>
        <w:rPr>
          <w:rFonts w:eastAsia="source serif 4" w:cs="source serif 4" w:ascii="source serif 4" w:hAnsi="source serif 4"/>
          <w:b/>
          <w:color w:val="000000"/>
          <w:sz w:val="24"/>
        </w:rPr>
        <w:t xml:space="preserve">Cadrage du problème</w:t>
      </w:r>
      <w:bookmarkEnd w:id="0"/>
    </w:p>
    <w:p>
      <w:pPr>
        <w:spacing w:line="360" w:after="210" w:lineRule="auto"/>
      </w:pPr>
      <w:r>
        <w:rPr>
          <w:rFonts w:eastAsia="source serif 4" w:cs="source serif 4" w:ascii="source serif 4" w:hAnsi="source serif 4"/>
          <w:color w:val="000000"/>
        </w:rPr>
        <w:t xml:space="preserve">La distinction expérientielle proposée oppose deux formes de dyspnée à effort comparable : une hyperventilation adaptative alignée sur la demande métabolique réelle (jogging matinal choisi, ample, sans gêne perçue) et une sensation disproportionnée d'air hunger sur effort objectivement moindre (marche pressée à la sortie d'un magasin), attribuée à une dysrégulation du patron respiratoire d'origine émotionnelle et posturale. La littérature offre des cadres partiels pour chacune des cinq hypothèses, avec des niveaux de preuve très variables selon l'axe considéré.</w:t>
      </w:r>
    </w:p>
    <w:p>
      <w:pPr>
        <w:spacing w:line="360" w:before="315" w:after="105" w:lineRule="auto"/>
        <w:ind w:left="-30"/>
        <w:jc w:val="left"/>
      </w:pPr>
      <w:bookmarkStart w:id="1" w:name="hypothèse_1_la_respiration_dysfon_13dedf"/>
      <w:r>
        <w:rPr>
          <w:rFonts w:eastAsia="source serif 4" w:cs="source serif 4" w:ascii="source serif 4" w:hAnsi="source serif 4"/>
          <w:b/>
          <w:color w:val="000000"/>
          <w:sz w:val="24"/>
        </w:rPr>
        <w:t xml:space="preserve">Hypothèse 1 — La respiration dysfonctionnelle comme entité clinique reconnue</w:t>
      </w:r>
      <w:bookmarkEnd w:id="1"/>
    </w:p>
    <w:p>
      <w:pPr>
        <w:spacing w:line="360" w:after="210" w:lineRule="auto"/>
      </w:pPr>
      <w:r>
        <w:rPr>
          <w:rFonts w:eastAsia="source serif 4" w:cs="source serif 4" w:ascii="source serif 4" w:hAnsi="source serif 4"/>
          <w:b/>
          <w:color w:val="000000"/>
        </w:rPr>
        <w:t xml:space="preserve">Niveau de preuve : fort pour l'existence du phénomène, modéré pour sa structuration nosologique.</w:t>
      </w:r>
    </w:p>
    <w:p>
      <w:pPr>
        <w:spacing w:line="360" w:after="210" w:lineRule="auto"/>
      </w:pPr>
      <w:r>
        <w:rPr>
          <w:rFonts w:eastAsia="source serif 4" w:cs="source serif 4" w:ascii="source serif 4" w:hAnsi="source serif 4"/>
          <w:color w:val="000000"/>
        </w:rPr>
        <w:t xml:space="preserve">La respiration dysfonctionnelle (dysfunctional breathing, DB) est bien documentée comme un ensemble de patrons respiratoires anormaux survenant en l'absence de maladie organique ou de façon disproportionnée par rapport à celle-ci[^1]. La classification proposée par Boulding et collègues distingue le syndrome d'hyperventilation, le soupir périodique, la respiration thoracique dominante, l'expiration abdominale forcée et l'asynchronie thoraco-abdominale, chacune associée à des pathologies différentes (asthme, BPCO, insuffisance cardiaque, trouble panique)[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 Barker et Everard proposent une définition plus large : une altération des patrons biomécaniques normaux de la respiration entraînant des symptômes respiratoires et non respiratoires, intermittents ou chroniques[^1].</w:t>
      </w:r>
    </w:p>
    <w:p>
      <w:pPr>
        <w:spacing w:line="360" w:after="210" w:lineRule="auto"/>
      </w:pPr>
      <w:r>
        <w:rPr>
          <w:rFonts w:eastAsia="source serif 4" w:cs="source serif 4" w:ascii="source serif 4" w:hAnsi="source serif 4"/>
          <w:color w:val="000000"/>
        </w:rPr>
        <w:t xml:space="preserve">Le questionnaire de Nijmegen (NQ), outil de dépistage le plus utilisé, atteint dans sa validation originale une sensibilité de 91% et une spécificité de 95% pour le syndrome d'hyperventilation (van Doorn, Colla, Folgering)[^4]. Cependant, des études de réplication en soins primaires montrent des performances nettement plus faibles (sensibilité 86%, spécificité 79%, avec 21% de faux positifs incluant 38% des patients BPCO et 29% des asthmatiques)[^5]. Une révision structurelle par analyse de Rasch a même conclu que le NQ original ne satisfaisait pas les critères de validité structurelle, motivant une version révisée à 15 items[^6]. Une analyse critique publiée dans l'European Respiratory Journal souligne un point capital : la corrélation entre score NQ et capnie (CO2) s'est révélée hautement variable selon les études, ce qui a conduit au déclin progressif du diagnostic strict de « syndrome d'hyperventilation » au profit d'un usage du NQ comme mesure plus générale de « plaintes respiratoires fonctionnelles », sans indiquer un syndrome physiopathologique unique[^7].</w:t>
      </w:r>
    </w:p>
    <w:p>
      <w:pPr>
        <w:spacing w:line="360" w:after="210" w:lineRule="auto"/>
      </w:pPr>
      <w:r>
        <w:rPr>
          <w:rFonts w:eastAsia="source serif 4" w:cs="source serif 4" w:ascii="source serif 4" w:hAnsi="source serif 4"/>
          <w:b/>
          <w:color w:val="000000"/>
        </w:rPr>
        <w:t xml:space="preserve">Concept nommé</w:t>
      </w:r>
      <w:r>
        <w:rPr>
          <w:rFonts w:eastAsia="source serif 4" w:cs="source serif 4" w:ascii="source serif 4" w:hAnsi="source serif 4"/>
          <w:color w:val="000000"/>
        </w:rPr>
        <w:t xml:space="preserve"> : dysfunctional breathing / respiration dysfonctionnelle ; syndrome d'hyperventilation (SHV) comme sous-catégorie. En français, la Revue du Praticien détaille des critères diagnostiques différentiels utiles : la dyspnée du SHV se caractérise par une gêne inspiratoire avec sensation d'inspiration incomplète, souvent accompagnée de soupirs, pouvant survenir au repos comme à l'effort mais jamais pendant le sommeil, avec un lien faible entre son intensité et celle de l'effort réel — ce qui correspond précisément au découplage effort/perception que vous décrivez[^8].</w:t>
      </w:r>
    </w:p>
    <w:p>
      <w:pPr>
        <w:spacing w:line="360" w:after="210" w:lineRule="auto"/>
      </w:pPr>
      <w:r>
        <w:rPr>
          <w:rFonts w:eastAsia="source serif 4" w:cs="source serif 4" w:ascii="source serif 4" w:hAnsi="source serif 4"/>
          <w:b/>
          <w:color w:val="000000"/>
        </w:rPr>
        <w:t xml:space="preserve">Nuance importante</w:t>
      </w:r>
      <w:r>
        <w:rPr>
          <w:rFonts w:eastAsia="source serif 4" w:cs="source serif 4" w:ascii="source serif 4" w:hAnsi="source serif 4"/>
          <w:color w:val="000000"/>
        </w:rPr>
        <w:t xml:space="preserve"> : il n'existe aucun critère diagnostique universellement accepté pour le SHV ; le diagnostic reste un diagnostic d'élimination reposant sur un faisceau d'arguments (score NQ, test de provocation, hypocapnie, temps de récupération de la PetCO2)[</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w:t>
      </w:r>
    </w:p>
    <w:p>
      <w:pPr>
        <w:spacing w:line="360" w:before="315" w:after="105" w:lineRule="auto"/>
        <w:ind w:left="-30"/>
        <w:jc w:val="left"/>
      </w:pPr>
      <w:bookmarkStart w:id="2" w:name="hypothèse_2_effet_du_rythme_impos_44ae07"/>
      <w:r>
        <w:rPr>
          <w:rFonts w:eastAsia="source serif 4" w:cs="source serif 4" w:ascii="source serif 4" w:hAnsi="source serif 4"/>
          <w:b/>
          <w:color w:val="000000"/>
          <w:sz w:val="24"/>
        </w:rPr>
        <w:t xml:space="preserve">Hypothèse 2 — Effet du rythme imposé vs auto-choisi sur l'économie cardiorespiratoire</w:t>
      </w:r>
      <w:bookmarkEnd w:id="2"/>
    </w:p>
    <w:p>
      <w:pPr>
        <w:spacing w:line="360" w:after="210" w:lineRule="auto"/>
      </w:pPr>
      <w:r>
        <w:rPr>
          <w:rFonts w:eastAsia="source serif 4" w:cs="source serif 4" w:ascii="source serif 4" w:hAnsi="source serif 4"/>
          <w:b/>
          <w:color w:val="000000"/>
        </w:rPr>
        <w:t xml:space="preserve">Niveau de preuve : fort, avec convergence de plusieurs études contrôlées.</w:t>
      </w:r>
    </w:p>
    <w:p>
      <w:pPr>
        <w:spacing w:line="360" w:after="210" w:lineRule="auto"/>
      </w:pPr>
      <w:r>
        <w:rPr>
          <w:rFonts w:eastAsia="source serif 4" w:cs="source serif 4" w:ascii="source serif 4" w:hAnsi="source serif 4"/>
          <w:color w:val="000000"/>
        </w:rPr>
        <w:t xml:space="preserve">C'est l'axe le mieux étayé empiriquement de votre cadre. La thèse de Lander (2009, Journal of Sports Sciences, doi confirmé par ≥155 citations) démontre que l'exercice en rythme imposé (enforced-pace) produit un défi métabolique significativement supérieur à l'exercice en rythme auto-choisi (self-paced) à intensité pourtant appariée[</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 Une étude de l'Université du Mississippi réplique ce résultat : à rythme imposé, la VO2 moyenne est significativement plus élevée (17.51 vs 15.30 ml/kg/min), la lactatémie augmente de 37% contre une diminution de 19% en rythme auto-choisi, et le RPE moyen est plus élevé (8.00 vs 6.68)[^13]. Une étude plus récente sur la marche confirme : le rythme imposé entraîne une pression artérielle systolique plus élevée (139.2 vs 128.9 mmHg), une VO2 plus élevée (18.1 vs 15.1 ml/kg/min), une fréquence cardiaque plus élevée (134.4 vs 111.7 bpm) et un RPE nettement supérieur (8.9 vs 6.5), alors que la dépense énergétique totale ne diffère pas significativement entre les deux conditions[^14].</w:t>
      </w:r>
    </w:p>
    <w:p>
      <w:pPr>
        <w:spacing w:line="360" w:after="210" w:lineRule="auto"/>
      </w:pPr>
      <w:r>
        <w:rPr>
          <w:rFonts w:eastAsia="source serif 4" w:cs="source serif 4" w:ascii="source serif 4" w:hAnsi="source serif 4"/>
          <w:color w:val="000000"/>
        </w:rPr>
        <w:t xml:space="preserve">Ce dernier point est capital pour votre cas : le travail mécanique externe accompli peut être identique, mais le coût physiologique perçu et mesuré (HR, VE, RPE) diverge fortement selon que le rythme est choisi ou contraint. Le modèle de régulation anticipatoire de la performance (Tucker, Noakes) explique ce phénomène par une intégration cérébrale en feedforward : en rythme auto-choisi, le cerveau ajuste continuellement l'intensité motrice en fonction d'un « gabarit » subconscient de RPE attendu, ce qui optimise l'économie ; en rythme imposé, cette boucle de régulation anticipative est contrainte, ce qui augmente la charge physiologique perçue et réelle[^15].</w:t>
      </w:r>
    </w:p>
    <w:p>
      <w:pPr>
        <w:spacing w:line="360" w:after="210" w:lineRule="auto"/>
      </w:pPr>
      <w:r>
        <w:rPr>
          <w:rFonts w:eastAsia="source serif 4" w:cs="source serif 4" w:ascii="source serif 4" w:hAnsi="source serif 4"/>
          <w:b/>
          <w:color w:val="000000"/>
        </w:rPr>
        <w:t xml:space="preserve">Concept nommé</w:t>
      </w:r>
      <w:r>
        <w:rPr>
          <w:rFonts w:eastAsia="source serif 4" w:cs="source serif 4" w:ascii="source serif 4" w:hAnsi="source serif 4"/>
          <w:color w:val="000000"/>
        </w:rPr>
        <w:t xml:space="preserve"> : self-paced vs enforced-pace exercise ; modèle de régulation anticipatoire (« anticipatory regulation of performance », Tucker/Noakes/Marcora lineage)[^15].</w:t>
      </w:r>
    </w:p>
    <w:p>
      <w:pPr>
        <w:spacing w:line="360" w:after="210" w:lineRule="auto"/>
      </w:pPr>
      <w:r>
        <w:rPr>
          <w:rFonts w:eastAsia="source serif 4" w:cs="source serif 4" w:ascii="source serif 4" w:hAnsi="source serif 4"/>
          <w:b/>
          <w:color w:val="000000"/>
        </w:rPr>
        <w:t xml:space="preserve">Nuance</w:t>
      </w:r>
      <w:r>
        <w:rPr>
          <w:rFonts w:eastAsia="source serif 4" w:cs="source serif 4" w:ascii="source serif 4" w:hAnsi="source serif 4"/>
          <w:color w:val="000000"/>
        </w:rPr>
        <w:t xml:space="preserve"> : ces études portent surtout sur l'exercice structuré (tapis, piste) plutôt que sur des micro-épisodes de vie quotidienne comme une marche pressée après des courses ; l'extrapolation à votre cas est plausible mais non directement testée dans ce contexte précis.</w:t>
      </w:r>
    </w:p>
    <w:p>
      <w:pPr>
        <w:spacing w:line="360" w:before="315" w:after="105" w:lineRule="auto"/>
        <w:ind w:left="-30"/>
        <w:jc w:val="left"/>
      </w:pPr>
      <w:bookmarkStart w:id="3" w:name="hypothèse_3_urgence_émotionnelle_fcd51d"/>
      <w:r>
        <w:rPr>
          <w:rFonts w:eastAsia="source serif 4" w:cs="source serif 4" w:ascii="source serif 4" w:hAnsi="source serif 4"/>
          <w:b/>
          <w:color w:val="000000"/>
          <w:sz w:val="24"/>
        </w:rPr>
        <w:t xml:space="preserve">Hypothèse 3 — Urgence émotionnelle, hurry sickness et décharge sympathique disproportionnée</w:t>
      </w:r>
      <w:bookmarkEnd w:id="3"/>
    </w:p>
    <w:p>
      <w:pPr>
        <w:spacing w:line="360" w:after="210" w:lineRule="auto"/>
      </w:pPr>
      <w:r>
        <w:rPr>
          <w:rFonts w:eastAsia="source serif 4" w:cs="source serif 4" w:ascii="source serif 4" w:hAnsi="source serif 4"/>
          <w:b/>
          <w:color w:val="000000"/>
        </w:rPr>
        <w:t xml:space="preserve">Niveau de preuve : moderé à contrasté ; construit historiquement influent mais empiriquement fragile sur le mécanisme sympathique direct.</w:t>
      </w:r>
    </w:p>
    <w:p>
      <w:pPr>
        <w:spacing w:line="360" w:after="210" w:lineRule="auto"/>
      </w:pPr>
      <w:r>
        <w:rPr>
          <w:rFonts w:eastAsia="source serif 4" w:cs="source serif 4" w:ascii="source serif 4" w:hAnsi="source serif 4"/>
          <w:color w:val="000000"/>
        </w:rPr>
        <w:t xml:space="preserve">Le terme « hurry sickness » vient directement de Friedman et Rosenman, qui définissent le comportement de Type A comme « une lutte chronique et incessante pour accomplir plus en moins de temps », générant un sens d'urgence temporelle[^16]. L'étude de cohorte de référence (Western Collaborative Group Study) a associé ce pattern à un doublement du risque de maladie coronarienne sur huit ans[^17]. Des études plus spécifiques sur la composante « urgence temporelle/impatience » (TUI) montrent une association dose-réponse robuste avec le risque d'infarctus non fatal (odds ratio de 3.99 à 4.45 selon l'ajustement, IC95% 1.32-12.0), indépendante des facteurs de risque cardiovasculaires classiques[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after="210" w:lineRule="auto"/>
      </w:pPr>
      <w:r>
        <w:rPr>
          <w:rFonts w:eastAsia="source serif 4" w:cs="source serif 4" w:ascii="source serif 4" w:hAnsi="source serif 4"/>
          <w:color w:val="000000"/>
        </w:rPr>
        <w:t xml:space="preserve">Cependant, un point de nuance majeur s'impose : une étude publiée dans Hypertension (American Heart Association) n'a trouvé aucune différence significative de réactivité sympathique nerveuse directe (enregistrements intraneuronaux MSNA) entre sujets à haut et bas score Type A, ni au repos ni sous stress mental ou physique[^20]. Cela suggère que le lien épidémiologique entre urgence temporelle et morbidité cardiovasculaire n'est probablement pas médié par une hyperréactivité sympathique générale mesurable directement, mais plutôt par d'autres voies (comportementales, inflammatoires, ou liées spécifiquement à l'hostilité plutôt qu'à l'urgence temporelle en tant que telle). Une revue de synthèse souligne également que lorsque le Type A est mesuré par indicateurs objectifs plutôt qu'auto-rapportés, il n'émerge pas comme facteur de risque général de maladie, hormis pour les accidents et l'athérosclérose cérébrovasculaire[^21].</w:t>
      </w:r>
    </w:p>
    <w:p>
      <w:pPr>
        <w:spacing w:line="360" w:after="210" w:lineRule="auto"/>
      </w:pPr>
      <w:r>
        <w:rPr>
          <w:rFonts w:eastAsia="source serif 4" w:cs="source serif 4" w:ascii="source serif 4" w:hAnsi="source serif 4"/>
          <w:b/>
          <w:color w:val="000000"/>
        </w:rPr>
        <w:t xml:space="preserve">Concept nommé</w:t>
      </w:r>
      <w:r>
        <w:rPr>
          <w:rFonts w:eastAsia="source serif 4" w:cs="source serif 4" w:ascii="source serif 4" w:hAnsi="source serif 4"/>
          <w:color w:val="000000"/>
        </w:rPr>
        <w:t xml:space="preserve"> : Type A behavior pattern, time urgency/impatience (TUI), « hurry sickness » — ce dernier terme reste un terme folk/journalistique sans opérationnalisation physiologique consensuelle propre ; la littérature scientifique privilégie « time urgency/impatience » comme sous-échelle mesurable du Type A[</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17].</w:t>
      </w:r>
    </w:p>
    <w:p>
      <w:pPr>
        <w:spacing w:line="360" w:before="315" w:after="105" w:lineRule="auto"/>
        <w:ind w:left="-30"/>
        <w:jc w:val="left"/>
      </w:pPr>
      <w:bookmarkStart w:id="4" w:name="hypothèse_4_la_chaîne_posturale_c_9b66db"/>
      <w:r>
        <w:rPr>
          <w:rFonts w:eastAsia="source serif 4" w:cs="source serif 4" w:ascii="source serif 4" w:hAnsi="source serif 4"/>
          <w:b/>
          <w:color w:val="000000"/>
          <w:sz w:val="24"/>
        </w:rPr>
        <w:t xml:space="preserve">Hypothèse 4 — La chaîne posturale comme condition permissive de la respiration diaphragmatique</w:t>
      </w:r>
      <w:bookmarkEnd w:id="4"/>
    </w:p>
    <w:p>
      <w:pPr>
        <w:spacing w:line="360" w:after="210" w:lineRule="auto"/>
      </w:pPr>
      <w:r>
        <w:rPr>
          <w:rFonts w:eastAsia="source serif 4" w:cs="source serif 4" w:ascii="source serif 4" w:hAnsi="source serif 4"/>
          <w:b/>
          <w:color w:val="000000"/>
        </w:rPr>
        <w:t xml:space="preserve">Niveau de preuve : fort sur le mécanisme, mais le lien direct avec l'expérience de dyspnée fonctionnelle reste indirect.</w:t>
      </w:r>
    </w:p>
    <w:p>
      <w:pPr>
        <w:spacing w:line="360" w:after="210" w:lineRule="auto"/>
      </w:pPr>
      <w:r>
        <w:rPr>
          <w:rFonts w:eastAsia="source serif 4" w:cs="source serif 4" w:ascii="source serif 4" w:hAnsi="source serif 4"/>
          <w:color w:val="000000"/>
        </w:rPr>
        <w:t xml:space="preserve">Les travaux de Hodges et Gandevia constituent la base la plus solide de la littérature sur ce point. Ils montrent que le diaphragme et le transverse de l'abdomen exercent une double fonction, respiratoire et posturale, avec une co-activation tonique modulée à la fois par le rythme respiratoire et par les mouvements des membres[^23]. Point crucial pour votre hypothèse : lorsque la demande respiratoire centrale augmente (hypercapnie expérimentale), l'activité posturale tonique du diaphragme et du transverse abdominal diminue ou disparaît — ce qui démontre une compétition directe entre la fonction posturale et la fonction ventilatoire du diaphragme, désignée par les auteurs eux-mêmes comme le fait que « une demande respiratoire accrue atténue les commandes posturales »[^24]. Autrement dit, la relation est bidirectionnelle : la posture affecte la respiration, et la respiration affecte la posture, ce qui va au-delà de votre hypothèse initiale (qui posait uniquement la posture comme condition permissive de la respiration).</w:t>
      </w:r>
    </w:p>
    <w:p>
      <w:pPr>
        <w:spacing w:line="360" w:after="210" w:lineRule="auto"/>
      </w:pPr>
      <w:r>
        <w:rPr>
          <w:rFonts w:eastAsia="source serif 4" w:cs="source serif 4" w:ascii="source serif 4" w:hAnsi="source serif 4"/>
          <w:color w:val="000000"/>
        </w:rPr>
        <w:t xml:space="preserve">Une étude plus récente confirme que le patron respiratoire et la posture interagissent significativement sur l'activation musculaire abdominale et la pression intra-abdominale, avec des effets distincts selon la phase respiratoire[^25]. La littérature clinique en kinésithérapie relie explicitement une posture défaillante (hyperlordose, abdominaux distendus) à une réduction de la coordination diaphragme-transverse, facteur potentiellement aggravant de la respiration dysfonctionnelle[^26].</w:t>
      </w:r>
    </w:p>
    <w:p>
      <w:pPr>
        <w:spacing w:line="360" w:after="210" w:lineRule="auto"/>
      </w:pPr>
      <w:r>
        <w:rPr>
          <w:rFonts w:eastAsia="source serif 4" w:cs="source serif 4" w:ascii="source serif 4" w:hAnsi="source serif 4"/>
          <w:b/>
          <w:color w:val="000000"/>
        </w:rPr>
        <w:t xml:space="preserve">Concept nommé</w:t>
      </w:r>
      <w:r>
        <w:rPr>
          <w:rFonts w:eastAsia="source serif 4" w:cs="source serif 4" w:ascii="source serif 4" w:hAnsi="source serif 4"/>
          <w:color w:val="000000"/>
        </w:rPr>
        <w:t xml:space="preserve"> : postural-respiratory coupling / compétition posturo-respiratoire (Hodges lineage). Aucun terme clinique unique ne synthétise ce mécanisme dans le contexte spécifique de la dyspnée fonctionnelle quotidienne ; le lien reste établi au niveau de la biomécanique du tronc, non encore relié empiriquement à la perception d'air hunger en situation d'urgence de vie quotidienne.</w:t>
      </w:r>
    </w:p>
    <w:p>
      <w:pPr>
        <w:spacing w:line="360" w:before="315" w:after="105" w:lineRule="auto"/>
        <w:ind w:left="-30"/>
        <w:jc w:val="left"/>
      </w:pPr>
      <w:bookmarkStart w:id="5" w:name="hypothèse_5_la_respiration_comme_eb9198"/>
      <w:r>
        <w:rPr>
          <w:rFonts w:eastAsia="source serif 4" w:cs="source serif 4" w:ascii="source serif 4" w:hAnsi="source serif 4"/>
          <w:b/>
          <w:color w:val="000000"/>
          <w:sz w:val="24"/>
        </w:rPr>
        <w:t xml:space="preserve">Hypothèse 5 — La respiration comme voie somatique primaire du rythme psychique imposé</w:t>
      </w:r>
      <w:bookmarkEnd w:id="5"/>
    </w:p>
    <w:p>
      <w:pPr>
        <w:spacing w:line="360" w:after="210" w:lineRule="auto"/>
      </w:pPr>
      <w:r>
        <w:rPr>
          <w:rFonts w:eastAsia="source serif 4" w:cs="source serif 4" w:ascii="source serif 4" w:hAnsi="source serif 4"/>
          <w:b/>
          <w:color w:val="000000"/>
        </w:rPr>
        <w:t xml:space="preserve">Niveau de preuve : spéculatif comme thèse unifiée, mais chaque brique constitutive est individuellement bien documentée.</w:t>
      </w:r>
    </w:p>
    <w:p>
      <w:pPr>
        <w:spacing w:line="360" w:after="210" w:lineRule="auto"/>
      </w:pPr>
      <w:r>
        <w:rPr>
          <w:rFonts w:eastAsia="source serif 4" w:cs="source serif 4" w:ascii="source serif 4" w:hAnsi="source serif 4"/>
          <w:color w:val="000000"/>
        </w:rPr>
        <w:t xml:space="preserve">Cette hypothèse est la plus intégrative et la moins directement testée en tant que telle ; elle synthétise les hypothèses 2, 3 et 4 en un mécanisme causal unique. Les modèles de codage prédictif de l'interoception (Barrett, Craig, Paulus) offrent un cadre théorique cohérent : la perception de la dyspnée résulte d'une comparaison entre la décharge corollaire (efférence attendue du système moteur respiratoire) et l'afférence sensorielle réelle, générant une « erreur de prédiction » qui, si elle est mal calibrée (a priori trop rigides, ou hyperprécis), produit un décalage entre la sensation de manque d'air et la demande métabolique objective[</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 Une revue récente insiste sur le rôle du cortex insulaire antérieur comme substrat anatomique clé de cette interocpetion prédictive de la dyspnée[^27].</w:t>
      </w:r>
    </w:p>
    <w:p>
      <w:pPr>
        <w:spacing w:line="360" w:after="210" w:lineRule="auto"/>
      </w:pPr>
      <w:r>
        <w:rPr>
          <w:rFonts w:eastAsia="source serif 4" w:cs="source serif 4" w:ascii="source serif 4" w:hAnsi="source serif 4"/>
          <w:color w:val="000000"/>
        </w:rPr>
        <w:t xml:space="preserve">Ce cadre prédictif fournit une explication mécanistique plausible à votre observation : sous urgence auto-imposée, le cerveau génère une prédiction de demande accrue (basée sur l'état émotionnel plutôt que sur la charge métabolique réelle), ce qui amplifie artificiellement la perception de dyspnée indépendamment de l'effort réel. Mais ce lien demeure une extrapolation théorique cohérente plutôt qu'une démonstration empirique directe du cas précis que vous décrivez (marche pressée après courses).</w:t>
      </w:r>
    </w:p>
    <w:p>
      <w:pPr>
        <w:spacing w:line="360" w:after="210" w:lineRule="auto"/>
      </w:pPr>
      <w:r>
        <w:rPr>
          <w:rFonts w:eastAsia="source serif 4" w:cs="source serif 4" w:ascii="source serif 4" w:hAnsi="source serif 4"/>
          <w:b/>
          <w:color w:val="000000"/>
        </w:rPr>
        <w:t xml:space="preserve">Concept nommé</w:t>
      </w:r>
      <w:r>
        <w:rPr>
          <w:rFonts w:eastAsia="source serif 4" w:cs="source serif 4" w:ascii="source serif 4" w:hAnsi="source serif 4"/>
          <w:color w:val="000000"/>
        </w:rPr>
        <w:t xml:space="preserve"> : aucun terme clinique consacré n'existe pour cette synthèse ; elle reste à l'intersection de la physiologie de l'effort, de la psychophysiologie interoceptive et de la biomécanique posturale, sans nom académique unifié.</w:t>
      </w:r>
    </w:p>
    <w:p>
      <w:pPr>
        <w:spacing w:line="360" w:before="315" w:after="105" w:lineRule="auto"/>
        <w:ind w:left="-30"/>
        <w:jc w:val="left"/>
      </w:pPr>
      <w:bookmarkStart w:id="6" w:name="effort_syndrome_da_costa_et_rééva_c23021"/>
      <w:r>
        <w:rPr>
          <w:rFonts w:eastAsia="source serif 4" w:cs="source serif 4" w:ascii="source serif 4" w:hAnsi="source serif 4"/>
          <w:b/>
          <w:color w:val="000000"/>
          <w:sz w:val="24"/>
        </w:rPr>
        <w:t xml:space="preserve">Effort syndrome, Da Costa et réévaluation contemporaine</w:t>
      </w:r>
      <w:bookmarkEnd w:id="6"/>
    </w:p>
    <w:p>
      <w:pPr>
        <w:spacing w:line="360" w:after="210" w:lineRule="auto"/>
      </w:pPr>
      <w:r>
        <w:rPr>
          <w:rFonts w:eastAsia="source serif 4" w:cs="source serif 4" w:ascii="source serif 4" w:hAnsi="source serif 4"/>
          <w:color w:val="000000"/>
        </w:rPr>
        <w:t xml:space="preserve">L'histoire du « syndrome d'effort » remonte à l'investigation classique de Da Costa sur le « cœur du soldat » (soldier's heart), avec des étiquettes successives (effort syndrome, anxiety neurosis, neurocirculatory asthenia, vasoregulatory asthenia, irritable heart) désignant un ensemble symptomatique remarquablement stable à travers le temps mais traité différemment selon l'étiquette retenue, ce qui a été critiqué comme incohérent par la littérature de synthèse[^29]. Les symptômes classiques incluent la dyspnée ou l'essoufflement à l'effort, les paresthésies, les tremblements, la tachycardie et la tétanie[^29]. La tradition clinique française reprend cette histoire sous l'appellation « syndrome d'hyperventilation », défini par le Manuel Merck comme un trouble fonctionnel de la respiration souvent lié à l'anxiété, caractérisé par une ventilation alvéolaire supérieure aux besoins métaboliques[^30].</w:t>
      </w:r>
    </w:p>
    <w:p>
      <w:pPr>
        <w:spacing w:line="360" w:before="315" w:after="105" w:lineRule="auto"/>
        <w:ind w:left="-30"/>
        <w:jc w:val="left"/>
      </w:pPr>
      <w:bookmarkStart w:id="7" w:name="synthèse_distinction_bien_fondée_db6d06"/>
      <w:r>
        <w:rPr>
          <w:rFonts w:eastAsia="source serif 4" w:cs="source serif 4" w:ascii="source serif 4" w:hAnsi="source serif 4"/>
          <w:b/>
          <w:color w:val="000000"/>
          <w:sz w:val="24"/>
        </w:rPr>
        <w:t xml:space="preserve">Synthèse : distinction bien fondée, partiellement décrite, non encore formalisée telle quelle</w:t>
      </w:r>
      <w:bookmarkEnd w:id="7"/>
    </w:p>
    <w:p>
      <w:pPr>
        <w:spacing w:line="360" w:after="210" w:lineRule="auto"/>
      </w:pPr>
      <w:r>
        <w:rPr>
          <w:rFonts w:eastAsia="source serif 4" w:cs="source serif 4" w:ascii="source serif 4" w:hAnsi="source serif 4"/>
          <w:color w:val="000000"/>
        </w:rPr>
        <w:t xml:space="preserve">La distinction expérientielle que vous proposez est </w:t>
      </w:r>
      <w:r>
        <w:rPr>
          <w:rFonts w:eastAsia="source serif 4" w:cs="source serif 4" w:ascii="source serif 4" w:hAnsi="source serif 4"/>
          <w:b/>
          <w:color w:val="000000"/>
        </w:rPr>
        <w:t xml:space="preserve">partiellement soutenue</w:t>
      </w:r>
      <w:r>
        <w:rPr>
          <w:rFonts w:eastAsia="source serif 4" w:cs="source serif 4" w:ascii="source serif 4" w:hAnsi="source serif 4"/>
          <w:color w:val="000000"/>
        </w:rPr>
        <w:t xml:space="preserve"> par la littérature, avec un degré de robustesse très inégal selon les composantes. Le versant « respiration dysfonctionnelle / dyspnée disproportionnée » est une entité clinique reconnue (bien que sans marqueur biologique univoque)[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8]. Le versant « coût physiologique différentiel du rythme imposé vs choisi » est solidement démontré par la littérature de pacing sportif[</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14][^15]. Le versant « urgence temporelle sans décharge sympathique proportionnelle démontrée » complexifie plutôt qu'il ne confirme votre hypothèse 3 : l'association épidémiologique urgence-maladie est réelle, mais son mécanisme sympathique direct n'est pas confirmé par la mesure physiologique la plus fine disponible (enregistrement neuronal direct)[^20]. Le versant postural (Hodges) est solide mais concerne la biomécanique du tronc en général, non spécifiquement l'épisode de marche pressée. Enfin, la synthèse unificatrice (hypothèse 5) reste une extrapolation théorique cohérente mais </w:t>
      </w:r>
      <w:r>
        <w:rPr>
          <w:rFonts w:eastAsia="source serif 4" w:cs="source serif 4" w:ascii="source serif 4" w:hAnsi="source serif 4"/>
          <w:b/>
          <w:color w:val="000000"/>
        </w:rPr>
        <w:t xml:space="preserve">non testée comme telle</w:t>
      </w:r>
      <w:r>
        <w:rPr>
          <w:rFonts w:eastAsia="source serif 4" w:cs="source serif 4" w:ascii="source serif 4" w:hAnsi="source serif 4"/>
          <w:color w:val="000000"/>
        </w:rPr>
        <w:t xml:space="preserve"> dans la littérature : aucun article ne relie explicitement pacing auto-choisi, urgence psychique et perception dyspnéique disproportionnée dans un même paradigme expérimental. C'est le point précis où votre observation dépasse la littérature existante et constitue une hypothèse originale et testable.</w:t>
      </w:r>
    </w:p>
    <w:p>
      <w:pPr>
        <w:spacing w:line="360" w:before="315" w:after="105" w:lineRule="auto"/>
        <w:ind w:left="-30"/>
        <w:jc w:val="left"/>
      </w:pPr>
      <w:bookmarkStart w:id="8" w:name="guidance_terminologique_pour_un_a_d06a2d"/>
      <w:r>
        <w:rPr>
          <w:rFonts w:eastAsia="source serif 4" w:cs="source serif 4" w:ascii="source serif 4" w:hAnsi="source serif 4"/>
          <w:b/>
          <w:color w:val="000000"/>
          <w:sz w:val="24"/>
        </w:rPr>
        <w:t xml:space="preserve">Guidance terminologique pour un article public</w:t>
      </w:r>
      <w:bookmarkEnd w:id="8"/>
    </w:p>
    <w:p>
      <w:pPr>
        <w:spacing w:line="360" w:after="210" w:lineRule="auto"/>
      </w:pPr>
      <w:r>
        <w:rPr>
          <w:rFonts w:eastAsia="source serif 4" w:cs="source serif 4" w:ascii="source serif 4" w:hAnsi="source serif 4"/>
          <w:color w:val="000000"/>
        </w:rPr>
        <w:t xml:space="preserve">Pour un texte grand public, il est recommandé d'éviter de médicaliser un phénomène ordinaire tout en restant rigoureux. Le terme « respiration dysfonctionnelle » ou « patron respiratoire dysrégulé » convient bien pour désigner la composante biomécanique (thoracique, superficielle, asynchrone) sans invoquer un diagnostic[^1]. « Dyspnée fonctionnelle » est le terme clinique français le plus proche pour désigner une sensation d'essoufflement disproportionnée par rapport à la demande métabolique objective, en l'absence de pathologie organique — cela correspond précisément à votre expérience de la marche pressée[</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10]. Éviter en revanche « syndrome d'hyperventilation » sauf si l'on veut explicitement évoquer l'entité clinique validée par questionnaire (NQ) et test de provocation, ce qui serait disproportionné pour un épisode ponctuel et bénin[^9]. Le terme « hurry sickness » peut être utilisé comme image évocatrice et historiquement fondée (Friedman &amp; Rosenman) mais doit être présenté comme un terme narratif plutôt que comme un construit mesurable au même titre que le TUI (time urgency/impatience), qui est la variante opérationnalisée dans la littérature[</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22]. Enfin, « compétition posturo-respiratoire » ou « couplage postural-respiratoire » permet de nommer précisément le mécanisme de Hodges sans jargon excessif[^24].</w:t>
      </w:r>
    </w:p>
    <w:p>
      <w:pPr>
        <w:spacing w:line="360" w:before="315" w:after="105" w:lineRule="auto"/>
        <w:ind w:left="-30"/>
        <w:jc w:val="left"/>
      </w:pPr>
      <w:bookmarkStart w:id="9" w:name="pistes_de_recherche_empirique"/>
      <w:r>
        <w:rPr>
          <w:rFonts w:eastAsia="source serif 4" w:cs="source serif 4" w:ascii="source serif 4" w:hAnsi="source serif 4"/>
          <w:b/>
          <w:color w:val="000000"/>
          <w:sz w:val="24"/>
        </w:rPr>
        <w:t xml:space="preserve">Pistes de recherche empirique</w:t>
      </w:r>
      <w:bookmarkEnd w:id="9"/>
    </w:p>
    <w:p>
      <w:pPr>
        <w:spacing w:line="360" w:after="210" w:lineRule="auto"/>
      </w:pPr>
      <w:r>
        <w:rPr>
          <w:rFonts w:eastAsia="source serif 4" w:cs="source serif 4" w:ascii="source serif 4" w:hAnsi="source serif 4"/>
          <w:color w:val="000000"/>
        </w:rPr>
        <w:t xml:space="preserve">Un protocole expérimental testant directement votre hypothèse centrale n'existe pas dans la littérature consultée. Il serait pertinent de mesurer simultanément la fréquence respiratoire, le VE/VO2, la variabilité de la fréquence cardiaque et le RPE lors de marches à charge métabolique identique mais avec manipulation expérimentale du degré d'urgence perçue (auto-imposée vs neutre), en captant aussi la posture (angle du tronc, activation EMG diaphragme/transverse) pour vérifier si la compétition posturo-respiratoire de Hodges se manifeste dans ce contexte spécifique. Une mesure de capnie transcutanée en conditions écologiques (plutôt qu'en laboratoire) permettrait de vérifier si l'épisode d'urgence quotidienne s'accompagne effectivement d'une hypocapnie relative, ce qui distinguerait empiriquement votre « essoufflement fonctionnel » d'une simple perception exagérée sans changement gazométrique réel.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references"/>
      <w:r>
        <w:rPr>
          <w:rFonts w:eastAsia="source serif 4" w:cs="source serif 4" w:ascii="source serif 4" w:hAnsi="source serif 4"/>
          <w:b/>
          <w:color w:val="000000"/>
          <w:sz w:val="24"/>
        </w:rPr>
        <w:t xml:space="preserve">References</w:t>
      </w:r>
      <w:bookmarkEnd w:id="10"/>
    </w:p>
    <w:p>
      <w:pPr>
        <w:numPr>
          <w:ilvl w:val="0"/>
          <w:numId w:val="1"/>
        </w:numPr>
        <w:spacing w:line="360" w:after="210" w:lineRule="auto"/>
      </w:pPr>
      <w:hyperlink r:id="rId5">
        <w:r>
          <w:rPr>
            <w:rFonts w:eastAsia="source sans 3" w:cs="source sans 3" w:ascii="source sans 3" w:hAnsi="source sans 3"/>
            <w:color w:val="#000"/>
            <w:sz w:val="21"/>
            <w:u w:val="single"/>
          </w:rPr>
          <w:t xml:space="preserve">Dysfunctional breathing: what do we know? - PMC</w:t>
        </w:r>
      </w:hyperlink>
      <w:r>
        <w:rPr>
          <w:rFonts w:eastAsia="source serif 4" w:cs="source serif 4" w:ascii="source serif 4" w:hAnsi="source serif 4"/>
          <w:color w:val="000000"/>
          <w:sz w:val="21"/>
        </w:rPr>
        <w:t xml:space="preserve"> - Dysfunctional breathing (DB) is a respiratory condition characterized by irregular breathing pattern...</w:t>
      </w:r>
    </w:p>
    <w:p>
      <w:pPr>
        <w:numPr>
          <w:ilvl w:val="0"/>
          <w:numId w:val="1"/>
        </w:numPr>
        <w:spacing w:line="360" w:after="210" w:lineRule="auto"/>
      </w:pPr>
      <w:hyperlink r:id="rId6">
        <w:r>
          <w:rPr>
            <w:rFonts w:eastAsia="source sans 3" w:cs="source sans 3" w:ascii="source sans 3" w:hAnsi="source sans 3"/>
            <w:color w:val="#000"/>
            <w:sz w:val="21"/>
            <w:u w:val="single"/>
          </w:rPr>
          <w:t xml:space="preserve">Dysfunctional breathing: a review of the literature and proposal for classification</w:t>
        </w:r>
      </w:hyperlink>
      <w:r>
        <w:rPr>
          <w:rFonts w:eastAsia="source serif 4" w:cs="source serif 4" w:ascii="source serif 4" w:hAnsi="source serif 4"/>
          <w:color w:val="000000"/>
          <w:sz w:val="21"/>
        </w:rPr>
        <w:t xml:space="preserve"> - A review of common abnormalities, current diagnostic methods and therapeutic implications in dysfunc...</w:t>
      </w:r>
    </w:p>
    <w:p>
      <w:pPr>
        <w:numPr>
          <w:ilvl w:val="0"/>
          <w:numId w:val="1"/>
        </w:numPr>
        <w:spacing w:line="360" w:after="210" w:lineRule="auto"/>
      </w:pPr>
      <w:hyperlink r:id="rId7">
        <w:r>
          <w:rPr>
            <w:rFonts w:eastAsia="source sans 3" w:cs="source sans 3" w:ascii="source sans 3" w:hAnsi="source sans 3"/>
            <w:color w:val="#000"/>
            <w:sz w:val="21"/>
            <w:u w:val="single"/>
          </w:rPr>
          <w:t xml:space="preserve">Table 1. Recent classifications of dysfunctional breathing suggested by different authors.</w:t>
        </w:r>
      </w:hyperlink>
      <w:r>
        <w:rPr>
          <w:rFonts w:eastAsia="source serif 4" w:cs="source serif 4" w:ascii="source serif 4" w:hAnsi="source serif 4"/>
          <w:color w:val="000000"/>
          <w:sz w:val="21"/>
        </w:rPr>
        <w:t xml:space="preserve"> - Dysfunctional breathing (DB) is a respiratory condition characterized by irregular breathing pattern...</w:t>
      </w:r>
    </w:p>
    <w:p>
      <w:pPr>
        <w:numPr>
          <w:ilvl w:val="0"/>
          <w:numId w:val="1"/>
        </w:numPr>
        <w:spacing w:line="360" w:after="210" w:lineRule="auto"/>
      </w:pPr>
      <w:hyperlink r:id="rId8">
        <w:r>
          <w:rPr>
            <w:rFonts w:eastAsia="source sans 3" w:cs="source sans 3" w:ascii="source sans 3" w:hAnsi="source sans 3"/>
            <w:color w:val="#000"/>
            <w:sz w:val="21"/>
            <w:u w:val="single"/>
          </w:rPr>
          <w:t xml:space="preserve">Efficacy of Nijmegen Questionnaire in recognition of the ... - PubMed</w:t>
        </w:r>
      </w:hyperlink>
      <w:r>
        <w:rPr>
          <w:rFonts w:eastAsia="source serif 4" w:cs="source serif 4" w:ascii="source serif 4" w:hAnsi="source serif 4"/>
          <w:color w:val="000000"/>
          <w:sz w:val="21"/>
        </w:rPr>
        <w:t xml:space="preserve"> - The pattern of complaints of patients with the hyperventilation syndrome (HVS) was studied on the ba...</w:t>
      </w:r>
    </w:p>
    <w:p>
      <w:pPr>
        <w:numPr>
          <w:ilvl w:val="0"/>
          <w:numId w:val="1"/>
        </w:numPr>
        <w:spacing w:line="360" w:after="210" w:lineRule="auto"/>
      </w:pPr>
      <w:hyperlink r:id="rId9">
        <w:r>
          <w:rPr>
            <w:rFonts w:eastAsia="source sans 3" w:cs="source sans 3" w:ascii="source sans 3" w:hAnsi="source sans 3"/>
            <w:color w:val="#000"/>
            <w:sz w:val="21"/>
            <w:u w:val="single"/>
          </w:rPr>
          <w:t xml:space="preserve">Validity of the Nijmegen questionnaire for screening hyperventilation syndrome in primary care</w:t>
        </w:r>
      </w:hyperlink>
      <w:r>
        <w:rPr>
          <w:rFonts w:eastAsia="source serif 4" w:cs="source serif 4" w:ascii="source serif 4" w:hAnsi="source serif 4"/>
          <w:color w:val="000000"/>
          <w:sz w:val="21"/>
        </w:rPr>
        <w:t xml:space="preserve"> - Background: The Nijmegen questionnaire (NQ), commonly used to screen hyperventilation syndrome (HVS)...</w:t>
      </w:r>
    </w:p>
    <w:p>
      <w:pPr>
        <w:numPr>
          <w:ilvl w:val="0"/>
          <w:numId w:val="1"/>
        </w:numPr>
        <w:spacing w:line="360" w:after="210" w:lineRule="auto"/>
      </w:pPr>
      <w:hyperlink r:id="rId10">
        <w:r>
          <w:rPr>
            <w:rFonts w:eastAsia="source sans 3" w:cs="source sans 3" w:ascii="source sans 3" w:hAnsi="source sans 3"/>
            <w:color w:val="#000"/>
            <w:sz w:val="21"/>
            <w:u w:val="single"/>
          </w:rPr>
          <w:t xml:space="preserve">[PDF] The Nijmegen Questionnaire: a valid measure for hyperventilation ...</w:t>
        </w:r>
      </w:hyperlink>
    </w:p>
    <w:p>
      <w:pPr>
        <w:numPr>
          <w:ilvl w:val="0"/>
          <w:numId w:val="1"/>
        </w:numPr>
        <w:spacing w:line="360" w:after="210" w:lineRule="auto"/>
      </w:pPr>
      <w:hyperlink r:id="rId11">
        <w:r>
          <w:rPr>
            <w:rFonts w:eastAsia="source sans 3" w:cs="source sans 3" w:ascii="source sans 3" w:hAnsi="source sans 3"/>
            <w:color w:val="#000"/>
            <w:sz w:val="21"/>
            <w:u w:val="single"/>
          </w:rPr>
          <w:t xml:space="preserve">The Nijmegen Questionnaire and dysfunctional breathing - PMC - NIH</w:t>
        </w:r>
      </w:hyperlink>
      <w:r>
        <w:rPr>
          <w:rFonts w:eastAsia="source serif 4" w:cs="source serif 4" w:ascii="source serif 4" w:hAnsi="source serif 4"/>
          <w:color w:val="000000"/>
          <w:sz w:val="21"/>
        </w:rPr>
        <w:t xml:space="preserve"> - The Nijmegen Questionnaire was introduced over 30 years ago as a screening tool to detect patients w...</w:t>
      </w:r>
    </w:p>
    <w:p>
      <w:pPr>
        <w:numPr>
          <w:ilvl w:val="0"/>
          <w:numId w:val="1"/>
        </w:numPr>
        <w:spacing w:line="360" w:after="210" w:lineRule="auto"/>
      </w:pPr>
      <w:hyperlink r:id="rId12">
        <w:r>
          <w:rPr>
            <w:rFonts w:eastAsia="source sans 3" w:cs="source sans 3" w:ascii="source sans 3" w:hAnsi="source sans 3"/>
            <w:color w:val="#000"/>
            <w:sz w:val="21"/>
            <w:u w:val="single"/>
          </w:rPr>
          <w:t xml:space="preserve">Syndrome d'hyperventilation - La Revue du Praticien</w:t>
        </w:r>
      </w:hyperlink>
      <w:r>
        <w:rPr>
          <w:rFonts w:eastAsia="source serif 4" w:cs="source serif 4" w:ascii="source serif 4" w:hAnsi="source serif 4"/>
          <w:color w:val="000000"/>
          <w:sz w:val="21"/>
        </w:rPr>
        <w:t xml:space="preserve"> - Le syndrome d’hyperventilation est une pathologie fréquente de l’adulte jeune, associant une dyspnée...</w:t>
      </w:r>
    </w:p>
    <w:p>
      <w:pPr>
        <w:numPr>
          <w:ilvl w:val="0"/>
          <w:numId w:val="1"/>
        </w:numPr>
        <w:spacing w:line="360" w:after="210" w:lineRule="auto"/>
      </w:pPr>
      <w:hyperlink r:id="rId13">
        <w:r>
          <w:rPr>
            <w:rFonts w:eastAsia="source sans 3" w:cs="source sans 3" w:ascii="source sans 3" w:hAnsi="source sans 3"/>
            <w:color w:val="#000"/>
            <w:sz w:val="21"/>
            <w:u w:val="single"/>
          </w:rPr>
          <w:t xml:space="preserve">PARAMÉDICAL / HEALTHCARE PROFESSIONALS</w:t>
        </w:r>
      </w:hyperlink>
    </w:p>
    <w:p>
      <w:pPr>
        <w:numPr>
          <w:ilvl w:val="0"/>
          <w:numId w:val="1"/>
        </w:numPr>
        <w:spacing w:line="360" w:after="210" w:lineRule="auto"/>
      </w:pPr>
      <w:hyperlink r:id="rId14">
        <w:r>
          <w:rPr>
            <w:rFonts w:eastAsia="source sans 3" w:cs="source sans 3" w:ascii="source sans 3" w:hAnsi="source sans 3"/>
            <w:color w:val="#000"/>
            <w:sz w:val="21"/>
            <w:u w:val="single"/>
          </w:rPr>
          <w:t xml:space="preserve">PNEUMOLOGIE</w:t>
        </w:r>
      </w:hyperlink>
    </w:p>
    <w:p>
      <w:pPr>
        <w:numPr>
          <w:ilvl w:val="0"/>
          <w:numId w:val="1"/>
        </w:numPr>
        <w:spacing w:line="360" w:after="210" w:lineRule="auto"/>
      </w:pPr>
      <w:hyperlink r:id="rId15">
        <w:r>
          <w:rPr>
            <w:rFonts w:eastAsia="source sans 3" w:cs="source sans 3" w:ascii="source sans 3" w:hAnsi="source sans 3"/>
            <w:color w:val="#000"/>
            <w:sz w:val="21"/>
            <w:u w:val="single"/>
          </w:rPr>
          <w:t xml:space="preserve">Thesis</w:t>
        </w:r>
      </w:hyperlink>
    </w:p>
    <w:p>
      <w:pPr>
        <w:numPr>
          <w:ilvl w:val="0"/>
          <w:numId w:val="1"/>
        </w:numPr>
        <w:spacing w:line="360" w:after="210" w:lineRule="auto"/>
      </w:pPr>
      <w:hyperlink r:id="rId16">
        <w:r>
          <w:rPr>
            <w:rFonts w:eastAsia="source sans 3" w:cs="source sans 3" w:ascii="source sans 3" w:hAnsi="source sans 3"/>
            <w:color w:val="#000"/>
            <w:sz w:val="21"/>
            <w:u w:val="single"/>
          </w:rPr>
          <w:t xml:space="preserve">Self-paced exercise is less physically challenging than ...</w:t>
        </w:r>
      </w:hyperlink>
      <w:r>
        <w:rPr>
          <w:rFonts w:eastAsia="source serif 4" w:cs="source serif 4" w:ascii="source serif 4" w:hAnsi="source serif 4"/>
          <w:color w:val="000000"/>
          <w:sz w:val="21"/>
        </w:rPr>
        <w:t xml:space="preserve"> - par PJ Lander · 2009 · Cité par 155 — Conclusions: Enforced constant paced exercise presents a signi...</w:t>
      </w:r>
    </w:p>
    <w:p>
      <w:pPr>
        <w:numPr>
          <w:ilvl w:val="0"/>
          <w:numId w:val="1"/>
        </w:numPr>
        <w:spacing w:line="360" w:after="210" w:lineRule="auto"/>
      </w:pPr>
      <w:hyperlink r:id="rId17">
        <w:r>
          <w:rPr>
            <w:rFonts w:eastAsia="source sans 3" w:cs="source sans 3" w:ascii="source sans 3" w:hAnsi="source sans 3"/>
            <w:color w:val="#000"/>
            <w:sz w:val="21"/>
            <w:u w:val="single"/>
          </w:rPr>
          <w:t xml:space="preserve">University of Mississippi</w:t>
        </w:r>
      </w:hyperlink>
    </w:p>
    <w:p>
      <w:pPr>
        <w:numPr>
          <w:ilvl w:val="0"/>
          <w:numId w:val="1"/>
        </w:numPr>
        <w:spacing w:line="360" w:after="210" w:lineRule="auto"/>
      </w:pPr>
      <w:hyperlink r:id="rId18">
        <w:r>
          <w:rPr>
            <w:rFonts w:eastAsia="source sans 3" w:cs="source sans 3" w:ascii="source sans 3" w:hAnsi="source sans 3"/>
            <w:color w:val="#000"/>
            <w:sz w:val="21"/>
            <w:u w:val="single"/>
          </w:rPr>
          <w:t xml:space="preserve">Physiological and perceptual responses during walking at set and ...</w:t>
        </w:r>
      </w:hyperlink>
      <w:r>
        <w:rPr>
          <w:rFonts w:eastAsia="source serif 4" w:cs="source serif 4" w:ascii="source serif 4" w:hAnsi="source serif 4"/>
          <w:color w:val="000000"/>
          <w:sz w:val="21"/>
        </w:rPr>
        <w:t xml:space="preserve"> - This study aimed to investigate the influence of body weight, exercise modality, and pace on physiol...</w:t>
      </w:r>
    </w:p>
    <w:p>
      <w:pPr>
        <w:numPr>
          <w:ilvl w:val="0"/>
          <w:numId w:val="1"/>
        </w:numPr>
        <w:spacing w:line="360" w:after="210" w:lineRule="auto"/>
      </w:pPr>
      <w:hyperlink r:id="rId19">
        <w:r>
          <w:rPr>
            <w:rFonts w:eastAsia="source sans 3" w:cs="source sans 3" w:ascii="source sans 3" w:hAnsi="source sans 3"/>
            <w:color w:val="#000"/>
            <w:sz w:val="21"/>
            <w:u w:val="single"/>
          </w:rPr>
          <w:t xml:space="preserve">The anticipatory regulation of performance: the physiological basis for pacing strategies and the development of a perception-based model for exercise performance</w:t>
        </w:r>
      </w:hyperlink>
      <w:r>
        <w:rPr>
          <w:rFonts w:eastAsia="source serif 4" w:cs="source serif 4" w:ascii="source serif 4" w:hAnsi="source serif 4"/>
          <w:color w:val="000000"/>
          <w:sz w:val="21"/>
        </w:rPr>
        <w:t xml:space="preserve"> - During self-paced exercise, the exercise work rate is regulated by the brain based on the integratio...</w:t>
      </w:r>
    </w:p>
    <w:p>
      <w:pPr>
        <w:numPr>
          <w:ilvl w:val="0"/>
          <w:numId w:val="1"/>
        </w:numPr>
        <w:spacing w:line="360" w:after="210" w:lineRule="auto"/>
      </w:pPr>
      <w:hyperlink r:id="rId20">
        <w:r>
          <w:rPr>
            <w:rFonts w:eastAsia="source sans 3" w:cs="source sans 3" w:ascii="source sans 3" w:hAnsi="source sans 3"/>
            <w:color w:val="#000"/>
            <w:sz w:val="21"/>
            <w:u w:val="single"/>
          </w:rPr>
          <w:t xml:space="preserve">BULLETIN</w:t>
        </w:r>
      </w:hyperlink>
    </w:p>
    <w:p>
      <w:pPr>
        <w:numPr>
          <w:ilvl w:val="0"/>
          <w:numId w:val="1"/>
        </w:numPr>
        <w:spacing w:line="360" w:after="210" w:lineRule="auto"/>
      </w:pPr>
      <w:hyperlink r:id="rId21">
        <w:r>
          <w:rPr>
            <w:rFonts w:eastAsia="source sans 3" w:cs="source sans 3" w:ascii="source sans 3" w:hAnsi="source sans 3"/>
            <w:color w:val="#000"/>
            <w:sz w:val="21"/>
            <w:u w:val="single"/>
          </w:rPr>
          <w:t xml:space="preserve">Type A Personality: How It Contributes to Stress Proneness</w:t>
        </w:r>
      </w:hyperlink>
      <w:r>
        <w:rPr>
          <w:rFonts w:eastAsia="source serif 4" w:cs="source serif 4" w:ascii="source serif 4" w:hAnsi="source serif 4"/>
          <w:color w:val="000000"/>
          <w:sz w:val="21"/>
        </w:rPr>
        <w:t xml:space="preserve"> - Understand Type A personality: traits, stress links &amp; practical tips to manage time urgency, hostili...</w:t>
      </w:r>
    </w:p>
    <w:p>
      <w:pPr>
        <w:numPr>
          <w:ilvl w:val="0"/>
          <w:numId w:val="1"/>
        </w:numPr>
        <w:spacing w:line="360" w:after="210" w:lineRule="auto"/>
      </w:pPr>
      <w:hyperlink r:id="rId22">
        <w:r>
          <w:rPr>
            <w:rFonts w:eastAsia="source sans 3" w:cs="source sans 3" w:ascii="source sans 3" w:hAnsi="source sans 3"/>
            <w:color w:val="#000"/>
            <w:sz w:val="21"/>
            <w:u w:val="single"/>
          </w:rPr>
          <w:t xml:space="preserve">Time urgency and risk of non-fatal myocardial infarction ...</w:t>
        </w:r>
      </w:hyperlink>
      <w:r>
        <w:rPr>
          <w:rFonts w:eastAsia="source serif 4" w:cs="source serif 4" w:ascii="source serif 4" w:hAnsi="source serif 4"/>
          <w:color w:val="000000"/>
          <w:sz w:val="21"/>
        </w:rPr>
        <w:t xml:space="preserve"> - Abstract. Background Inconsistencies in the literature linking Type A behaviour pattern (TAB) to cor...</w:t>
      </w:r>
    </w:p>
    <w:p>
      <w:pPr>
        <w:numPr>
          <w:ilvl w:val="0"/>
          <w:numId w:val="1"/>
        </w:numPr>
        <w:spacing w:line="360" w:after="210" w:lineRule="auto"/>
      </w:pPr>
      <w:hyperlink r:id="rId23">
        <w:r>
          <w:rPr>
            <w:rFonts w:eastAsia="source sans 3" w:cs="source sans 3" w:ascii="source sans 3" w:hAnsi="source sans 3"/>
            <w:color w:val="#000"/>
            <w:sz w:val="21"/>
            <w:u w:val="single"/>
          </w:rPr>
          <w:t xml:space="preserve">Time urgency and risk of non-fatal myocardial infarction</w:t>
        </w:r>
      </w:hyperlink>
      <w:r>
        <w:rPr>
          <w:rFonts w:eastAsia="source serif 4" w:cs="source serif 4" w:ascii="source serif 4" w:hAnsi="source serif 4"/>
          <w:color w:val="000000"/>
          <w:sz w:val="21"/>
        </w:rPr>
        <w:t xml:space="preserve"> - Abstract. Background Inconsistencies in the literature linking Type A behaviour pattern (TAB) to cor...</w:t>
      </w:r>
    </w:p>
    <w:p>
      <w:pPr>
        <w:numPr>
          <w:ilvl w:val="0"/>
          <w:numId w:val="1"/>
        </w:numPr>
        <w:spacing w:line="360" w:after="210" w:lineRule="auto"/>
      </w:pPr>
      <w:hyperlink r:id="rId24">
        <w:r>
          <w:rPr>
            <w:rFonts w:eastAsia="source sans 3" w:cs="source sans 3" w:ascii="source sans 3" w:hAnsi="source sans 3"/>
            <w:color w:val="#000"/>
            <w:sz w:val="21"/>
            <w:u w:val="single"/>
          </w:rPr>
          <w:t xml:space="preserve">Personality Type and Neural Circulatory Control | Hypertension</w:t>
        </w:r>
      </w:hyperlink>
      <w:r>
        <w:rPr>
          <w:rFonts w:eastAsia="source serif 4" w:cs="source serif 4" w:ascii="source serif 4" w:hAnsi="source serif 4"/>
          <w:color w:val="000000"/>
          <w:sz w:val="21"/>
        </w:rPr>
        <w:t xml:space="preserve"> - Abstract—Psychosocial factors, including type A personality, anger, hostility, and anxiety, have bee...</w:t>
      </w:r>
    </w:p>
    <w:p>
      <w:pPr>
        <w:numPr>
          <w:ilvl w:val="0"/>
          <w:numId w:val="1"/>
        </w:numPr>
        <w:spacing w:line="360" w:after="210" w:lineRule="auto"/>
      </w:pPr>
      <w:hyperlink r:id="rId25">
        <w:r>
          <w:rPr>
            <w:rFonts w:eastAsia="source sans 3" w:cs="source sans 3" w:ascii="source sans 3" w:hAnsi="source sans 3"/>
            <w:color w:val="#000"/>
            <w:sz w:val="21"/>
            <w:u w:val="single"/>
          </w:rPr>
          <w:t xml:space="preserve">Type A behavior as a general risk factor for physical disorder</w:t>
        </w:r>
      </w:hyperlink>
      <w:r>
        <w:rPr>
          <w:rFonts w:eastAsia="source serif 4" w:cs="source serif 4" w:ascii="source serif 4" w:hAnsi="source serif 4"/>
          <w:color w:val="000000"/>
          <w:sz w:val="21"/>
        </w:rPr>
        <w:t xml:space="preserve"> - A behavior pattern characterized by excessive competitiveness, impatience, hostility, and time urgen...</w:t>
      </w:r>
    </w:p>
    <w:p>
      <w:pPr>
        <w:numPr>
          <w:ilvl w:val="0"/>
          <w:numId w:val="1"/>
        </w:numPr>
        <w:spacing w:line="360" w:after="210" w:lineRule="auto"/>
      </w:pPr>
      <w:hyperlink r:id="rId26">
        <w:r>
          <w:rPr>
            <w:rFonts w:eastAsia="source sans 3" w:cs="source sans 3" w:ascii="source sans 3" w:hAnsi="source sans 3"/>
            <w:color w:val="#000"/>
            <w:sz w:val="21"/>
            <w:u w:val="single"/>
          </w:rPr>
          <w:t xml:space="preserve">Impatience can rush you into a heart attack</w:t>
        </w:r>
      </w:hyperlink>
      <w:r>
        <w:rPr>
          <w:rFonts w:eastAsia="source serif 4" w:cs="source serif 4" w:ascii="source serif 4" w:hAnsi="source serif 4"/>
          <w:color w:val="000000"/>
          <w:sz w:val="21"/>
        </w:rPr>
        <w:t xml:space="preserve"> - Patience is a virtue that LiJing L. Yan has learned during the last, oh, say, five years. 'I was pre...</w:t>
      </w:r>
    </w:p>
    <w:p>
      <w:pPr>
        <w:numPr>
          <w:ilvl w:val="0"/>
          <w:numId w:val="1"/>
        </w:numPr>
        <w:spacing w:line="360" w:after="210" w:lineRule="auto"/>
      </w:pPr>
      <w:hyperlink r:id="rId27">
        <w:r>
          <w:rPr>
            <w:rFonts w:eastAsia="source sans 3" w:cs="source sans 3" w:ascii="source sans 3" w:hAnsi="source sans 3"/>
            <w:color w:val="#000"/>
            <w:sz w:val="21"/>
            <w:u w:val="single"/>
          </w:rPr>
          <w:t xml:space="preserve">Changes in intra-abdominal pressure during postural and ...</w:t>
        </w:r>
      </w:hyperlink>
      <w:r>
        <w:rPr>
          <w:rFonts w:eastAsia="source serif 4" w:cs="source serif 4" w:ascii="source serif 4" w:hAnsi="source serif 4"/>
          <w:color w:val="000000"/>
          <w:sz w:val="21"/>
        </w:rPr>
        <w:t xml:space="preserve"> - par PW Hodges · 2000 · Cité par 799 — These results show that coactivation of the diaphragm and abdo...</w:t>
      </w:r>
    </w:p>
    <w:p>
      <w:pPr>
        <w:numPr>
          <w:ilvl w:val="0"/>
          <w:numId w:val="1"/>
        </w:numPr>
        <w:spacing w:line="360" w:after="210" w:lineRule="auto"/>
      </w:pPr>
      <w:hyperlink r:id="rId28">
        <w:r>
          <w:rPr>
            <w:rFonts w:eastAsia="source sans 3" w:cs="source sans 3" w:ascii="source sans 3" w:hAnsi="source sans 3"/>
            <w:color w:val="#000"/>
            <w:sz w:val="21"/>
            <w:u w:val="single"/>
          </w:rPr>
          <w:t xml:space="preserve">Postural activity of the diaphragm is reduced in humans ...</w:t>
        </w:r>
      </w:hyperlink>
      <w:r>
        <w:rPr>
          <w:rFonts w:eastAsia="source serif 4" w:cs="source serif 4" w:ascii="source serif 4" w:hAnsi="source serif 4"/>
          <w:color w:val="000000"/>
          <w:sz w:val="21"/>
        </w:rPr>
        <w:t xml:space="preserve"> - par PW Hodges · 2001 · Cité par 457 — Abstract. 1. Respiratory activity of the diaphragm and other r...</w:t>
      </w:r>
    </w:p>
    <w:p>
      <w:pPr>
        <w:numPr>
          <w:ilvl w:val="0"/>
          <w:numId w:val="1"/>
        </w:numPr>
        <w:spacing w:line="360" w:after="210" w:lineRule="auto"/>
      </w:pPr>
      <w:hyperlink r:id="rId29">
        <w:r>
          <w:rPr>
            <w:rFonts w:eastAsia="source sans 3" w:cs="source sans 3" w:ascii="source sans 3" w:hAnsi="source sans 3"/>
            <w:color w:val="#000"/>
            <w:sz w:val="21"/>
            <w:u w:val="single"/>
          </w:rPr>
          <w:t xml:space="preserve">Interaction of breathing pattern and posture on abdominal ...</w:t>
        </w:r>
      </w:hyperlink>
      <w:r>
        <w:rPr>
          <w:rFonts w:eastAsia="source serif 4" w:cs="source serif 4" w:ascii="source serif 4" w:hAnsi="source serif 4"/>
          <w:color w:val="000000"/>
          <w:sz w:val="21"/>
        </w:rPr>
        <w:t xml:space="preserve"> - We aimed to assess the effects of interaction between several breathing patterns and postures on abd...</w:t>
      </w:r>
    </w:p>
    <w:p>
      <w:pPr>
        <w:numPr>
          <w:ilvl w:val="0"/>
          <w:numId w:val="1"/>
        </w:numPr>
        <w:spacing w:line="360" w:after="210" w:lineRule="auto"/>
      </w:pPr>
      <w:hyperlink r:id="rId30">
        <w:r>
          <w:rPr>
            <w:rFonts w:eastAsia="source sans 3" w:cs="source sans 3" w:ascii="source sans 3" w:hAnsi="source sans 3"/>
            <w:color w:val="#000"/>
            <w:sz w:val="21"/>
            <w:u w:val="single"/>
          </w:rPr>
          <w:t xml:space="preserve">THE VALUE OF BLOWING UP A BALLOON - PMC - NIH</w:t>
        </w:r>
      </w:hyperlink>
      <w:r>
        <w:rPr>
          <w:rFonts w:eastAsia="source serif 4" w:cs="source serif 4" w:ascii="source serif 4" w:hAnsi="source serif 4"/>
          <w:color w:val="000000"/>
          <w:sz w:val="21"/>
        </w:rPr>
        <w:t xml:space="preserve"> - Suboptimal breathing patterns and impairments of posture and trunk stability are often associated wi...</w:t>
      </w:r>
    </w:p>
    <w:p>
      <w:pPr>
        <w:numPr>
          <w:ilvl w:val="0"/>
          <w:numId w:val="1"/>
        </w:numPr>
        <w:spacing w:line="360" w:after="210" w:lineRule="auto"/>
      </w:pPr>
      <w:hyperlink r:id="rId31">
        <w:r>
          <w:rPr>
            <w:rFonts w:eastAsia="source sans 3" w:cs="source sans 3" w:ascii="source sans 3" w:hAnsi="source sans 3"/>
            <w:color w:val="#000"/>
            <w:sz w:val="21"/>
            <w:u w:val="single"/>
          </w:rPr>
          <w:t xml:space="preserve">Respiratory Physiology &amp; Neurobiology</w:t>
        </w:r>
      </w:hyperlink>
    </w:p>
    <w:p>
      <w:pPr>
        <w:numPr>
          <w:ilvl w:val="0"/>
          <w:numId w:val="1"/>
        </w:numPr>
        <w:spacing w:line="360" w:after="210" w:lineRule="auto"/>
      </w:pPr>
      <w:hyperlink r:id="rId32">
        <w:r>
          <w:rPr>
            <w:rFonts w:eastAsia="source sans 3" w:cs="source sans 3" w:ascii="source sans 3" w:hAnsi="source sans 3"/>
            <w:color w:val="#000"/>
            <w:sz w:val="21"/>
            <w:u w:val="single"/>
          </w:rPr>
          <w:t xml:space="preserve">An Active Inference Approach to Interoceptive Psychopathology</w:t>
        </w:r>
      </w:hyperlink>
      <w:r>
        <w:rPr>
          <w:rFonts w:eastAsia="source serif 4" w:cs="source serif 4" w:ascii="source serif 4" w:hAnsi="source serif 4"/>
          <w:color w:val="000000"/>
          <w:sz w:val="21"/>
        </w:rPr>
        <w:t xml:space="preserve"> - Interoception refers to the process by which the nervous system senses and integrates signals origin...</w:t>
      </w:r>
    </w:p>
    <w:p>
      <w:pPr>
        <w:numPr>
          <w:ilvl w:val="0"/>
          <w:numId w:val="1"/>
        </w:numPr>
        <w:spacing w:line="360" w:after="210" w:lineRule="auto"/>
      </w:pPr>
      <w:hyperlink r:id="rId33">
        <w:r>
          <w:rPr>
            <w:rFonts w:eastAsia="source sans 3" w:cs="source sans 3" w:ascii="source sans 3" w:hAnsi="source sans 3"/>
            <w:color w:val="#000"/>
            <w:sz w:val="21"/>
            <w:u w:val="single"/>
          </w:rPr>
          <w:t xml:space="preserve">Hyperventilation syndrome: a review</w:t>
        </w:r>
      </w:hyperlink>
      <w:r>
        <w:rPr>
          <w:rFonts w:eastAsia="source serif 4" w:cs="source serif 4" w:ascii="source serif 4" w:hAnsi="source serif 4"/>
          <w:color w:val="000000"/>
          <w:sz w:val="21"/>
        </w:rPr>
        <w:t xml:space="preserve"> - This article has dealt with the psychophysiological phenomenon known as "hyperventilation syndrome."...</w:t>
      </w:r>
    </w:p>
    <w:p>
      <w:pPr>
        <w:numPr>
          <w:ilvl w:val="0"/>
          <w:numId w:val="1"/>
        </w:numPr>
        <w:spacing w:line="360" w:after="210" w:lineRule="auto"/>
      </w:pPr>
      <w:hyperlink r:id="rId34">
        <w:r>
          <w:rPr>
            <w:rFonts w:eastAsia="source sans 3" w:cs="source sans 3" w:ascii="source sans 3" w:hAnsi="source sans 3"/>
            <w:color w:val="#000"/>
            <w:sz w:val="21"/>
            <w:u w:val="single"/>
          </w:rPr>
          <w:t xml:space="preserve">Syndrome d'hyperventilation - Pneumologie - Merck Manuals</w:t>
        </w:r>
      </w:hyperlink>
      <w:r>
        <w:rPr>
          <w:rFonts w:eastAsia="source serif 4" w:cs="source serif 4" w:ascii="source serif 4" w:hAnsi="source serif 4"/>
          <w:color w:val="000000"/>
          <w:sz w:val="21"/>
        </w:rPr>
        <w:t xml:space="preserve"> - Syndrome d'hyperventilation – L’étiologie, la physiopathologie, les symptômes, les signes, les diagn...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6534396/" TargetMode="External"/><Relationship Id="rId6" Type="http://schemas.openxmlformats.org/officeDocument/2006/relationships/hyperlink" Target="https://publications.ersnet.org/content/errev/25/141/287" TargetMode="External"/><Relationship Id="rId7" Type="http://schemas.openxmlformats.org/officeDocument/2006/relationships/hyperlink" Target="https://pmc.ncbi.nlm.nih.gov/articles/PMC6534396/table/t1/" TargetMode="External"/><Relationship Id="rId8" Type="http://schemas.openxmlformats.org/officeDocument/2006/relationships/hyperlink" Target="https://pubmed.ncbi.nlm.nih.gov/4009520/" TargetMode="External"/><Relationship Id="rId9" Type="http://schemas.openxmlformats.org/officeDocument/2006/relationships/hyperlink" Target="https://publications.ersnet.org/content/erj/56/suppl64/2697" TargetMode="External"/><Relationship Id="rId10" Type="http://schemas.openxmlformats.org/officeDocument/2006/relationships/hyperlink" Target="https://cris.brighton.ac.uk/ws/files/7258903/SM_NZJP_paper_Pre_proof.pdf" TargetMode="External"/><Relationship Id="rId11" Type="http://schemas.openxmlformats.org/officeDocument/2006/relationships/hyperlink" Target="https://pmc.ncbi.nlm.nih.gov/articles/PMC5005127/" TargetMode="External"/><Relationship Id="rId12" Type="http://schemas.openxmlformats.org/officeDocument/2006/relationships/hyperlink" Target="https://www.larevuedupraticien.fr/article/syndrome-dhyperventilation" TargetMode="External"/><Relationship Id="rId13" Type="http://schemas.openxmlformats.org/officeDocument/2006/relationships/hyperlink" Target="https://revue-mir.srlf.org/index.php/mir/article/download/820/782" TargetMode="External"/><Relationship Id="rId14" Type="http://schemas.openxmlformats.org/officeDocument/2006/relationships/hyperlink" Target="https://serval.unil.ch/resource/serval:BIB_67EA88A1DF91.P001/REF" TargetMode="External"/><Relationship Id="rId15" Type="http://schemas.openxmlformats.org/officeDocument/2006/relationships/hyperlink" Target="https://eprints.leedsbeckett.ac.uk/id/eprint/1612/1/Patrick%20Lander%20PhD%20Thesis%20Final.pdf" TargetMode="External"/><Relationship Id="rId16" Type="http://schemas.openxmlformats.org/officeDocument/2006/relationships/hyperlink" Target="https://researchonline.jcu.edu.au/10670/" TargetMode="External"/><Relationship Id="rId17" Type="http://schemas.openxmlformats.org/officeDocument/2006/relationships/hyperlink" Target="https://egrove.olemiss.edu/cgi/viewcontent.cgi?article=1607&amp;context=etd" TargetMode="External"/><Relationship Id="rId18" Type="http://schemas.openxmlformats.org/officeDocument/2006/relationships/hyperlink" Target="https://pmc.ncbi.nlm.nih.gov/articles/PMC11008182/" TargetMode="External"/><Relationship Id="rId19" Type="http://schemas.openxmlformats.org/officeDocument/2006/relationships/hyperlink" Target="https://bjsm.bmj.com/content/43/6/392" TargetMode="External"/><Relationship Id="rId20" Type="http://schemas.openxmlformats.org/officeDocument/2006/relationships/hyperlink" Target="https://www.ncbi.nlm.nih.gov/pmc/articles/PMC1807381/pdf/bullnyacadmed00143-0005.pdf" TargetMode="External"/><Relationship Id="rId21" Type="http://schemas.openxmlformats.org/officeDocument/2006/relationships/hyperlink" Target="https://pubadmin.institute/managing-stress/type-a-personality-stress-proneness" TargetMode="External"/><Relationship Id="rId22" Type="http://schemas.openxmlformats.org/officeDocument/2006/relationships/hyperlink" Target="https://academic.oup.com/ije/article-abstract/30/2/363/713797?redirectedFrom=fulltext&amp;login=true" TargetMode="External"/><Relationship Id="rId23" Type="http://schemas.openxmlformats.org/officeDocument/2006/relationships/hyperlink" Target="https://academic.oup.com/ije/article/30/2/363/713797" TargetMode="External"/><Relationship Id="rId24" Type="http://schemas.openxmlformats.org/officeDocument/2006/relationships/hyperlink" Target="https://www.ahajournals.org/doi/10.1161/01.HYP.36.5.830" TargetMode="External"/><Relationship Id="rId25" Type="http://schemas.openxmlformats.org/officeDocument/2006/relationships/hyperlink" Target="https://pubmed.ncbi.nlm.nih.gov/3050117/" TargetMode="External"/><Relationship Id="rId26" Type="http://schemas.openxmlformats.org/officeDocument/2006/relationships/hyperlink" Target="https://www.chicagotribune.com/2002/12/01/impatience-can-rush-you-into-a-heart-attack/" TargetMode="External"/><Relationship Id="rId27" Type="http://schemas.openxmlformats.org/officeDocument/2006/relationships/hyperlink" Target="https://pubmed.ncbi.nlm.nih.gov/10956340/" TargetMode="External"/><Relationship Id="rId28" Type="http://schemas.openxmlformats.org/officeDocument/2006/relationships/hyperlink" Target="https://www.powerbreathe.com/wp-content/uploads/2016/07/HODGES_Postural-activity-of-the-diaphragm-is-reduced-in-humans-when-respiratory-demand-increases.pdf" TargetMode="External"/><Relationship Id="rId29" Type="http://schemas.openxmlformats.org/officeDocument/2006/relationships/hyperlink" Target="https://pmc.ncbi.nlm.nih.gov/articles/PMC10344968/" TargetMode="External"/><Relationship Id="rId30" Type="http://schemas.openxmlformats.org/officeDocument/2006/relationships/hyperlink" Target="https://pmc.ncbi.nlm.nih.gov/articles/PMC2971640/" TargetMode="External"/><Relationship Id="rId31" Type="http://schemas.openxmlformats.org/officeDocument/2006/relationships/hyperlink" Target="https://www.tnu.ethz.ch/fileadmin/user_upload/documents/Publications/2025/2025_Hudson_Day_Harrison.pdf" TargetMode="External"/><Relationship Id="rId32" Type="http://schemas.openxmlformats.org/officeDocument/2006/relationships/hyperlink" Target="https://pubmed.ncbi.nlm.nih.gov/31067416/" TargetMode="External"/><Relationship Id="rId33" Type="http://schemas.openxmlformats.org/officeDocument/2006/relationships/hyperlink" Target="https://pubmed.ncbi.nlm.nih.gov/6356858/" TargetMode="External"/><Relationship Id="rId34" Type="http://schemas.openxmlformats.org/officeDocument/2006/relationships/hyperlink" Target="https://www.merckmanuals.com/fr-ca/professional/troubles-pulmonaires/sympt%C3%B4mes-des-troubles-pulmonaires/syndrome-d-hyperventila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2026-09-04T01:07:40.242Z</dcterms:created>
  <dcterms:modified xsi:type="dcterms:W3CDTF">2026-09-04T01:07:40.242Z</dcterms:modified>
</cp:coreProperties>
</file>