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Perguntas Frequentes (FAQ) – Gestão de Crise e Atendimento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P1: Quais lotes foram contaminados na crise atual?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0" w:name="p-rc_a7eeb2b0882d41c3-58"/>
      <w:bookmarkEnd w:id="0"/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Foram identificados problemas em dois medicamentos. Para a </w:t>
      </w:r>
      <w:r>
        <w:rPr>
          <w:rFonts w:ascii="Google Sans Text;sans-serif" w:hAnsi="Google Sans Text;sans-serif"/>
          <w:b/>
        </w:rPr>
        <w:t>Amoxicilina 500mg+125mg</w:t>
      </w:r>
      <w:r>
        <w:rPr>
          <w:rFonts w:ascii="Google Sans Text;sans-serif" w:hAnsi="Google Sans Text;sans-serif"/>
        </w:rPr>
        <w:t xml:space="preserve">, os lotes contaminados são </w:t>
      </w:r>
      <w:r>
        <w:rPr>
          <w:rFonts w:ascii="Google Sans Text;sans-serif" w:hAnsi="Google Sans Text;sans-serif"/>
          <w:b/>
        </w:rPr>
        <w:t>AMX-2601, AMX-2602 e AMX-2603</w:t>
      </w:r>
      <w:r>
        <w:rPr>
          <w:rFonts w:ascii="Google Sans Text;sans-serif" w:hAnsi="Google Sans Text;sans-serif"/>
        </w:rPr>
        <w:t xml:space="preserve">. Para o </w:t>
      </w:r>
      <w:r>
        <w:rPr>
          <w:rFonts w:ascii="Google Sans Text;sans-serif" w:hAnsi="Google Sans Text;sans-serif"/>
          <w:b/>
        </w:rPr>
        <w:t>Soro Fisiológico 500ml</w:t>
      </w:r>
      <w:r>
        <w:rPr>
          <w:rFonts w:ascii="Google Sans Text;sans-serif" w:hAnsi="Google Sans Text;sans-serif"/>
        </w:rPr>
        <w:t xml:space="preserve">, os lotes afetados são </w:t>
      </w:r>
      <w:r>
        <w:rPr>
          <w:rFonts w:ascii="Google Sans Text;sans-serif" w:hAnsi="Google Sans Text;sans-serif"/>
          <w:b/>
        </w:rPr>
        <w:t>SF-9940 e SF-9941</w:t>
      </w:r>
      <w:r>
        <w:rPr>
          <w:rFonts w:ascii="Google Sans Text;sans-serif" w:hAnsi="Google Sans Text;sans-serif"/>
        </w:rPr>
        <w:t xml:space="preserve">. Nenhum outro lote fora destes citados corre risco ou deve ser retido. 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P2: Qual é o procedimento exato de recall que deve ser adotado?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O procedimento de recall envolve três etapas obrigatórias: Primeiro, o bloqueio do lote no sistema de vendas/dispensação. Segundo, o isolamento físico do produto em uma área de descarte ou quarentena para evitar o uso acidental. Terceiro, o agendamento da coleta de logística reversa com a nossa distribuidora parceira. Não descarte o medicamento no lixo comum ou rede de esgoto.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" w:name="p-rc_a7eeb2b0882d41c3-59"/>
      <w:bookmarkEnd w:id="1"/>
      <w:r>
        <w:rPr>
          <w:rFonts w:ascii="Google Sans Text;sans-serif" w:hAnsi="Google Sans Text;sans-serif"/>
          <w:b/>
        </w:rPr>
        <w:t>P3: O medicamento contaminado apresenta risco imediato à saúde do paciente?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No caso da </w:t>
      </w:r>
      <w:r>
        <w:rPr>
          <w:rFonts w:ascii="Google Sans Text;sans-serif" w:hAnsi="Google Sans Text;sans-serif"/>
          <w:b/>
        </w:rPr>
        <w:t>Amoxicilina (Lotes AMX-2601 a AMX-2603)</w:t>
      </w:r>
      <w:r>
        <w:rPr>
          <w:rFonts w:ascii="Google Sans Text;sans-serif" w:hAnsi="Google Sans Text;sans-serif"/>
        </w:rPr>
        <w:t xml:space="preserve">, o risco é </w:t>
      </w:r>
      <w:r>
        <w:rPr>
          <w:rFonts w:ascii="Google Sans Text;sans-serif" w:hAnsi="Google Sans Text;sans-serif"/>
          <w:b/>
        </w:rPr>
        <w:t>imediato e grave (Classe I)</w:t>
      </w:r>
      <w:r>
        <w:rPr>
          <w:rFonts w:ascii="Google Sans Text;sans-serif" w:hAnsi="Google Sans Text;sans-serif"/>
        </w:rPr>
        <w:t xml:space="preserve"> devido à contaminação química por diclorometano, podendo causar reações adversas sistêmicas graves e toxicidade hepática. O uso deve ser interrompido na hora. Já para o </w:t>
      </w:r>
      <w:r>
        <w:rPr>
          <w:rFonts w:ascii="Google Sans Text;sans-serif" w:hAnsi="Google Sans Text;sans-serif"/>
          <w:b/>
        </w:rPr>
        <w:t>Soro Fisiológico (Lotes SF-9940 e SF-9941)</w:t>
      </w:r>
      <w:r>
        <w:rPr>
          <w:rFonts w:ascii="Google Sans Text;sans-serif" w:hAnsi="Google Sans Text;sans-serif"/>
        </w:rPr>
        <w:t xml:space="preserve">, o risco é considerado moderado (Classe II), com potencial de causar reações pirogênicas ou inflamação local devido às micropartículas. 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P4: Como os hospitais e equipes médicas devem proceder internamente?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2" w:name="p-rc_a7eeb2b0882d41c3-60"/>
      <w:bookmarkEnd w:id="2"/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Os hospitais devem suspender imediatamente a administração desses lotes em qualquer paciente. A farmácia hospitalar deve recolher os estoques que estão nos carrinhos de emergência e enfermarias, centralizar em uma área de quarentena e notificar a equipe de farmacovigilância do hospital. Caso algum paciente tenha recebido o medicamento dos lotes afetados, a equipe médica deve monitorar ativamente as funções vitais e relatar qualquer intercorrência. 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P5: Existe medicamento substituto disponível no mercado para suprir a falta?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Sim. Para a Amoxicilina, os lotes </w:t>
      </w:r>
      <w:r>
        <w:rPr>
          <w:rFonts w:ascii="Google Sans Text;sans-serif" w:hAnsi="Google Sans Text;sans-serif"/>
          <w:b/>
        </w:rPr>
        <w:t>AMX-2590 e AMX-2595</w:t>
      </w:r>
      <w:r>
        <w:rPr>
          <w:rFonts w:ascii="Google Sans Text;sans-serif" w:hAnsi="Google Sans Text;sans-serif"/>
        </w:rPr>
        <w:t xml:space="preserve"> do nosso próprio catálogo não foram afetados e estão liberados para uso. Alternativamente, os médicos podem prescrever outras marcas de Amoxicilina + Clavulanato disponíveis no mercado ou migrar para substitutos terapêuticos da classe das cefalosporinas, conforme critério médico. Para o Soro Fisiológico, qualquer lote de outras séries ou de fabricantes concorrentes cumpre a mesma função terapêutica.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P6: Qual protocolo regulatório deve ser seguido pelas instituições envolvidas?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Deve ser seguido rigorosamente o protocolo estabelecido na </w:t>
      </w:r>
      <w:r>
        <w:rPr>
          <w:rFonts w:ascii="Google Sans Text;sans-serif" w:hAnsi="Google Sans Text;sans-serif"/>
          <w:b/>
        </w:rPr>
        <w:t>RDC nº 655/2022 da ANVISA</w:t>
      </w:r>
      <w:r>
        <w:rPr>
          <w:rFonts w:ascii="Google Sans Text;sans-serif" w:hAnsi="Google Sans Text;sans-serif"/>
        </w:rPr>
        <w:t>, que dita as regras para o recolhimento de medicamentos. Toda instituição que possuir os lotes deve preencher o formulário de recebimento de alerta de recall e manter os registros de inventário atualizados para fins de fiscalização sanitária.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P7: Como a equipe de atendimento deve orientar e comunicar os pacientes afetados?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3" w:name="p-rc_a7eeb2b0882d41c3-61"/>
      <w:bookmarkEnd w:id="3"/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A comunicação deve ser transparente, empática e ágil. Oriente os pacientes que estão usando os lotes AMX-2601, AMX-2602 ou AMX-2603 a </w:t>
      </w:r>
      <w:r>
        <w:rPr>
          <w:rFonts w:ascii="Google Sans Text;sans-serif" w:hAnsi="Google Sans Text;sans-serif"/>
          <w:b/>
        </w:rPr>
        <w:t>interromperem o tratamento imediatamente</w:t>
      </w:r>
      <w:r>
        <w:rPr>
          <w:rFonts w:ascii="Google Sans Text;sans-serif" w:hAnsi="Google Sans Text;sans-serif"/>
        </w:rPr>
        <w:t xml:space="preserve"> e procurarem o médico responsável para a troca da receita. Avise que a substituição do produto ou o reembolso do valor pago será feito sem custos na farmácia onde o item foi adquirido, bastando apresentar a embalagem (mesmo que vazia ou violada). 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4" w:name="p-rc_a7eeb2b0882d41c3-62"/>
      <w:bookmarkEnd w:id="4"/>
      <w:r>
        <w:rPr>
          <w:rFonts w:ascii="Google Sans Text;sans-serif" w:hAnsi="Google Sans Text;sans-serif"/>
          <w:b/>
        </w:rPr>
        <w:t>P8: Quais orientações específicas devem ser fornecidas às farmácias e drogarias comerciais?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Resposta:</w:t>
      </w:r>
      <w:r>
        <w:rPr>
          <w:rFonts w:ascii="Google Sans Text;sans-serif" w:hAnsi="Google Sans Text;sans-serif"/>
        </w:rPr>
        <w:t xml:space="preserve"> As farmácias devem retirar o produto das prateleiras de imediato. Fica proibida a venda ou entrega dos lotes afetados a qualquer cliente. A farmácia deve afixar um cartaz visível no balcão informando sobre o recall dos lotes de Amoxicilina para alertar a comunidade local e deve aceitar as devoluções dos clientes, registrando o nome e CPF do paciente para posterior reembolso pelo laboratório.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579</Words>
  <Characters>3304</Characters>
  <CharactersWithSpaces>3874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2026-05-22T19:29:32Z</dcterms:created>
  <dc:creator/>
  <dc:description/>
  <dc:language>en-CA</dc:language>
  <cp:lastModifiedBy/>
  <dcterms:modified xsi:type="dcterms:W3CDTF">2026-05-22T19:30:04Z</dcterms:modified>
  <cp:revision>1</cp:revision>
  <dc:subject/>
  <dc:title/>
</cp:coreProperties>
</file>