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40"/>
          <w:szCs w:val="40"/>
        </w:rPr>
        <w:t xml:space="preserve">NONCLINICAL STUDY REPORT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Repeat-Dose Toxicology Study · Anatomic Pathology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BioCelerate Template V1.1 · HELIX-Adapted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Study Title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[STUDY_TITLE]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Study Number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[STUDY_NUMBER]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Test Facility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[TEST_FACILITY_NAME]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Sponsor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[SPONSOR_NAME]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GLP Status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[GLP_STATUS]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Study Director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[STUDY_DIRECTOR_NAME]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Report Date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[REPORT_DATE]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Report Status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DRAFT — Pending Pathologist Review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80"/>
        <w:jc w:val="center"/>
      </w:pPr>
      <w:r>
        <w:rPr>
          <w:rFonts w:ascii="Times New Roman" w:cs="Times New Roman" w:eastAsia="Times New Roman" w:hAnsi="Times New Roman"/>
          <w:i/>
          <w:iCs/>
          <w:color w:val="C00000"/>
          <w:sz w:val="20"/>
          <w:szCs w:val="20"/>
        </w:rPr>
        <w:t xml:space="preserve">This draft was generated by HELIX. All values flagged [NEEDS REVIEW] require pathologist sign-off before finalisation.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Approval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signature below acknowledges the Study Director’s responsibility to the study as defined by the relevant GLP regulations and indicates approval of this study report.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26"/>
        <w:gridCol w:w="2000"/>
        <w:gridCol w:w="23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Role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 / Credentials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Signature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Study Director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[STUDY_DIRECTOR_NAME]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[APPROVAL_DATE]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Pathology Peer Review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[PEER_REVIEW_PATHOLOGIST]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[APPROVAL_DATE]</w:t>
            </w:r>
          </w:p>
        </w:tc>
      </w:tr>
    </w:tbl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Summary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HELIX generates this section. It integrates NOAEL conclusion with key findings across all endpoints. Pathologist must review the [NEEDS REVIEW] flags before finalisation.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hd w:fill="FFF2CC" w:color="auto" w:val="clear"/>
        <w:spacing w:after="80"/>
      </w:pP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[SUMMARY_NARRATIVE]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  — HELIX: integrated narrative from all result sections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1.  Objective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Restated from protocol Section 2 with tense changed to past tense.</w:t>
      </w:r>
    </w:p>
    <w:p>
      <w:pPr>
        <w:shd w:fill="FFF2CC" w:color="auto" w:val="clear"/>
        <w:spacing w:after="80"/>
      </w:pP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[OBJECTIVE_TEXT]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  — extracted from protocol · field: objectives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2.  Experimental Design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Species/Strain: </w:t>
      </w: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[SPECIES_STRAIN]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|  Route: </w:t>
      </w: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[ROUTE]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|  Duration: </w:t>
      </w: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[STUDY_DURATION]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|  Vehicle: </w:t>
      </w: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[VEHICLE]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[TABLE: Experimental Design — Group · Dose · N · Sex]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4"/>
                <w:szCs w:val="24"/>
              </w:rPr>
              <w:t xml:space="preserve">  — generated by HELIX pipeline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Housing and study conditions as described in the protocol. All animals were randomly assigned to dose groups by stratified body weight on Day 1.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3.  Materials and Methods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Sections 3.1–3.8 are populated from the study protocol. Changes from the protocol are noted under Deviations (Section 4).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 Test Article</w:t>
      </w:r>
    </w:p>
    <w:p>
      <w:pPr>
        <w:shd w:fill="FFF2CC" w:color="auto" w:val="clear"/>
        <w:spacing w:after="80"/>
      </w:pP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[TEST_ARTICLE_DETAILS]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  — extracted from protocol Section 4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 Vehicle</w:t>
      </w:r>
    </w:p>
    <w:p>
      <w:pPr>
        <w:shd w:fill="FFF2CC" w:color="auto" w:val="clear"/>
        <w:spacing w:after="80"/>
      </w:pP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[VEHICLE_DETAILS]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  — extracted from protocol Section 5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  Test System</w:t>
      </w:r>
    </w:p>
    <w:p>
      <w:pPr>
        <w:shd w:fill="FFF2CC" w:color="auto" w:val="clear"/>
        <w:spacing w:after="80"/>
      </w:pP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[TEST_SYSTEM_DETAILS]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  — extracted from protocol Section 8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  Dose Formulation Verification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Dosing formulations were prepared as described in the protocol. Samples were collected on Days 1, 14, and 28 for concentration verification by HPLC.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3.5  Terminal Procedures</w:t>
      </w:r>
    </w:p>
    <w:p>
      <w:pPr>
        <w:shd w:fill="FFF2CC" w:color="auto" w:val="clear"/>
        <w:spacing w:after="80"/>
      </w:pP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[TERMINAL_PROCEDURES_DETAILS]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  — extracted from protocol Section 11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3.6  Histology and Histopathology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Tissues were fixed in 10% neutral buffered formalin, processed, and embedded in paraffin. Sections were cut at 4 to 6 μm and stained with haematoxylin and eosin (H&amp;E). Microscopic findings were graded on a scale of 1 (Minimal) to 5 (Severe). A pathology peer review was conducted on all slides from Groups 1 and 4 and target tissues from Groups 2 and 3.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3.7  Statistical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Continuous data (body weights, organ weights) were analysed by one-way ANOVA with Dunnett’s post-hoc test. Where Bartlett’s test indicated heterogeneity of variance (p &lt; 0.05), Kruskal-Wallis with Dunn’s test was applied. Incidence data were compared by Fisher’s exact test. Statistical significance was defined as p &lt; 0.05.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4.  Deviations</w:t>
      </w:r>
    </w:p>
    <w:p>
      <w:pPr>
        <w:shd w:fill="FFF2CC" w:color="auto" w:val="clear"/>
        <w:spacing w:after="80"/>
      </w:pP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[DEVIATIONS_TABLE_OR_NONE]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  — pipeline flag: insert table if deviations recorded; otherwise state ‘No deviations were noted’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5.  Results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Results are presented for each protocol endpoint below. For each section, HELIX-generated narrative text is followed by supporting data tables. Values flagged [NEEDS REVIEW] indicate sections requiring pathologist scientific judgment.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  Test Article Formulation and Analyses Verification</w:t>
      </w:r>
    </w:p>
    <w:p>
      <w:pPr>
        <w:shd w:fill="FFF2CC" w:color="auto" w:val="clear"/>
        <w:spacing w:after="80"/>
      </w:pP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[FORMULATION_VERIFICATION_NARRATIVE]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  — pipeline: reads dosing_formulation.csv · states pass/fail for Days 1, 14, 28 · all PASS expected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  In-Life Observations and Measurements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5.2.1  Mortality</w:t>
      </w:r>
    </w:p>
    <w:p>
      <w:pPr>
        <w:shd w:fill="FFF2CC" w:color="auto" w:val="clear"/>
        <w:spacing w:after="80"/>
      </w:pP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[MORTALITY_NARRATIVE]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  — pipeline: reads animal_roster.csv · disposition column · expected: all animals survived to scheduled necropsy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5.2.2  Clinical Observations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Group-by-group narrative. Incidence = n animals affected / N total per group. Onset and resolution are noted where applicable.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Group 1 – Vehicle Control (0 mg/kg/day): </w:t>
      </w: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[CLIN_OBS_G1]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Group 2 – Low Dose (25 mg/kg/day): </w:t>
      </w: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[CLIN_OBS_G2]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Group 3 – Mid Dose (100 mg/kg/day): </w:t>
      </w: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[CLIN_OBS_G3]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Group 4 – High Dose (400 mg/kg/day): </w:t>
      </w: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[CLIN_OBS_G4]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 incidence summary of treatment-related clinical observations is presented in the table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[TABLE: Clinical Observations Incidence — Finding · G1 · G2 · G3 · G4 by sex]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4"/>
                <w:szCs w:val="24"/>
              </w:rPr>
              <w:t xml:space="preserve">  — generated by HELIX pipeline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5.2.3  Body Weight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Narrative covers group mean body weights, % body weight gain relative to Day 1, and % difference vs. control at Day 28. Statistical significance flagged at p &lt; 0.05.</w:t>
      </w:r>
    </w:p>
    <w:p>
      <w:pPr>
        <w:shd w:fill="FFF2CC" w:color="auto" w:val="clear"/>
        <w:spacing w:after="80"/>
      </w:pP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[BODY_WEIGHT_NARRATIVE]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  — pipeline: aggregates body_weights.csv → group means → computes % gain and % vs control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Group mean body weight data (males) are presented in Table 5.2.3-M; females in Table 5.2.3-F.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[TABLE: Body Weights — Males: Group Mean (g) by Study Day · D1 D7 D14 D21 D28]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4"/>
                <w:szCs w:val="24"/>
              </w:rPr>
              <w:t xml:space="preserve">  — generated by HELIX pipeline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[TABLE: Body Weights — Females: Group Mean (g) by Study Day · D1 D7 D14 D21 D28]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4"/>
                <w:szCs w:val="24"/>
              </w:rPr>
              <w:t xml:space="preserve">  — generated by HELIX pipeline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  Anatomic Pathology</w:t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5.3.1  Organ Weights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Group means, organ-to-body weight ratios, % vs. control, and statistical significance. Primary focus on liver, kidney, thymus based on histopathology findings.</w:t>
      </w:r>
    </w:p>
    <w:p>
      <w:pPr>
        <w:shd w:fill="FFF2CC" w:color="auto" w:val="clear"/>
        <w:spacing w:after="80"/>
      </w:pP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[ORGAN_WEIGHT_NARRATIVE]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  — pipeline: aggregates organ_weights.csv → group means → ratios → % vs G1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Absolute organ weight data (males) are presented in Table 5.3.1-M; females in Table 5.3.1-F.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[TABLE: Organ Weights — Males: Group Mean (g) · Liver Kidney Heart Brain Spleen Thymus]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4"/>
                <w:szCs w:val="24"/>
              </w:rPr>
              <w:t xml:space="preserve">  — generated by HELIX pipeline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[TABLE: Organ Weights — Females: Group Mean (g) · Liver Kidney Heart Brain Spleen Thymus]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4"/>
                <w:szCs w:val="24"/>
              </w:rPr>
              <w:t xml:space="preserve">  — generated by HELIX pipeline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5.3.2  Macroscopic Observations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Gross pathology findings noted at necropsy. Correlate to organ weight changes and microscopic findings where applicable.</w:t>
      </w:r>
    </w:p>
    <w:p>
      <w:pPr>
        <w:shd w:fill="FFF2CC" w:color="auto" w:val="clear"/>
        <w:spacing w:after="80"/>
      </w:pP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[GROSS_PATHOLOGY_NARRATIVE]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  — pipeline: reads gross_pathology.csv · groups with findings vs. no findings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5.3.3  Microscopic Findings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Narrative describes findings by tissue, organized by dose group. Incidence = n/N animals with finding per group/sex. Severity grading uses 1 (Minimal) to 5 (Severe) scale. Sections marked [NEEDS REVIEW] require pathologist scientific judgment on NOAEL and adverse vs. non-adverse designation.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Liver: </w:t>
      </w: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[HISTO_LIVER_NARRATIVE]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Kidneys: </w:t>
      </w: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[HISTO_KIDNEY_NARRATIVE]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Thymus: </w:t>
      </w: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[HISTO_THYMUS_NARRATIVE]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Other Organs (Heart, Brain, Spleen, Adrenal Glands, Gonads, Lungs, Bone Marrow): </w:t>
      </w: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[HISTO_OTHER_NARRATIVE]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 incidence summary of microscopic findings is presented in Table 5.3.3.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[TABLE: Histopathology Incidence — Tissue · Finding · Grade · G1 G2 G3 G4 by sex]</w:t>
            </w:r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4"/>
                <w:szCs w:val="24"/>
              </w:rPr>
              <w:t xml:space="preserve">  — generated by HELIX pipeline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5.3.4  Conclusion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NOAEL determination requires pathologist review. HELIX provides supporting data but does not make the final adverse/non-adverse designation.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7B3F00"/>
          <w:sz w:val="24"/>
          <w:szCs w:val="24"/>
        </w:rPr>
        <w:t xml:space="preserve">[NOAEL_CONCLUSION]</w:t>
      </w:r>
      <w:r>
        <w:rPr>
          <w:rFonts w:ascii="Times New Roman" w:cs="Times New Roman" w:eastAsia="Times New Roman" w:hAnsi="Times New Roman"/>
          <w:i/>
          <w:iCs/>
          <w:color w:val="C00000"/>
          <w:sz w:val="24"/>
          <w:szCs w:val="24"/>
        </w:rPr>
        <w:t xml:space="preserve">  [NEEDS REVIEW — pathologist must confirm NOAEL designation and LOAEL justification]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6.  Abbreviations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Abbreviation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ANOVA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analysis of variance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GLP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Good Laboratory Practice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H&amp;E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haematoxylin and eosin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LOAEL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lowest-observed-adverse-effect level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NOAEL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no-observed-adverse-effect level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QAU</w:t>
            </w:r>
          </w:p>
        </w:tc>
        <w:tc>
          <w:tcPr>
            <w:tcW w:type="dxa" w:w="7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Quality Assurance Unit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7.  Quality Assurance Statement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Phase Inspected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Audit Date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Reporting Date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[QA_PHASE]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[QA_AUDIT_DATE]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B3F00"/>
                <w:sz w:val="24"/>
                <w:szCs w:val="24"/>
              </w:rPr>
              <w:t xml:space="preserve">[QA_REPORT_DATE]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[STUDY_NUMBER] · Page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Times New Roman" w:cs="Times New Roman" w:eastAsia="Times New Roman" w:hAnsi="Times New Roman"/>
        <w:color w:val="C00000"/>
        <w:sz w:val="18"/>
        <w:szCs w:val="18"/>
      </w:rPr>
      <w:t xml:space="preserve">HELIX · DRAFT REPORT — NOT FOR REGULATORY SUBMISSION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2026-09-21T22:52:08.074Z</dcterms:created>
  <dcterms:modified xsi:type="dcterms:W3CDTF">2026-09-21T22:52:08.074Z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