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NONCLINICAL STUDY REPORT</w:t>
      </w:r>
    </w:p>
    <w:p>
      <w:pPr>
        <w:spacing w:after="8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4"/>
          <w:szCs w:val="24"/>
        </w:rPr>
        <w:t xml:space="preserve">Study Title: </w:t>
      </w:r>
      <w:r>
        <w:rPr>
          <w:rFonts w:ascii="Times New Roman" w:cs="Times New Roman" w:eastAsia="Times New Roman" w:hAnsi="Times New Roman"/>
          <w:sz w:val="24"/>
          <w:szCs w:val="24"/>
        </w:rPr>
        <w:t xml:space="preserve">A 13-Week Repeat-Dose Oral Gavage Toxicity Study with Compound LF-892 in Sprague-Dawley Rats, with a 4-Week Recovery Period</w:t>
      </w:r>
    </w:p>
    <w:p>
      <w:pPr>
        <w:spacing w:after="60"/>
      </w:pPr>
      <w:r>
        <w:rPr>
          <w:rFonts w:ascii="Times New Roman" w:cs="Times New Roman" w:eastAsia="Times New Roman" w:hAnsi="Times New Roman"/>
          <w:b/>
          <w:bCs/>
          <w:sz w:val="24"/>
          <w:szCs w:val="24"/>
        </w:rPr>
        <w:t xml:space="preserve">Study Number: </w:t>
      </w:r>
      <w:r>
        <w:rPr>
          <w:rFonts w:ascii="Times New Roman" w:cs="Times New Roman" w:eastAsia="Times New Roman" w:hAnsi="Times New Roman"/>
          <w:sz w:val="24"/>
          <w:szCs w:val="24"/>
        </w:rPr>
        <w:t xml:space="preserve">TOX-2023-0856</w:t>
      </w:r>
    </w:p>
    <w:p>
      <w:pPr>
        <w:spacing w:after="60"/>
      </w:pPr>
      <w:r>
        <w:rPr>
          <w:rFonts w:ascii="Times New Roman" w:cs="Times New Roman" w:eastAsia="Times New Roman" w:hAnsi="Times New Roman"/>
          <w:b/>
          <w:bCs/>
          <w:sz w:val="24"/>
          <w:szCs w:val="24"/>
        </w:rPr>
        <w:t xml:space="preserve">Test Facility: </w:t>
      </w:r>
      <w:r>
        <w:rPr>
          <w:rFonts w:ascii="Times New Roman" w:cs="Times New Roman" w:eastAsia="Times New Roman" w:hAnsi="Times New Roman"/>
          <w:sz w:val="24"/>
          <w:szCs w:val="24"/>
        </w:rPr>
        <w:t xml:space="preserve">Nonclinical Safety Research, San Diego, CA</w:t>
      </w:r>
    </w:p>
    <w:p>
      <w:pPr>
        <w:spacing w:after="60"/>
      </w:pPr>
      <w:r>
        <w:rPr>
          <w:rFonts w:ascii="Times New Roman" w:cs="Times New Roman" w:eastAsia="Times New Roman" w:hAnsi="Times New Roman"/>
          <w:b/>
          <w:bCs/>
          <w:sz w:val="24"/>
          <w:szCs w:val="24"/>
        </w:rPr>
        <w:t xml:space="preserve">Sponsor: </w:t>
      </w:r>
      <w:r>
        <w:rPr>
          <w:rFonts w:ascii="Times New Roman" w:cs="Times New Roman" w:eastAsia="Times New Roman" w:hAnsi="Times New Roman"/>
          <w:sz w:val="24"/>
          <w:szCs w:val="24"/>
        </w:rPr>
        <w:t xml:space="preserve">Internal — Nonclinical Safety Research</w:t>
      </w:r>
    </w:p>
    <w:p>
      <w:pPr>
        <w:spacing w:after="60"/>
      </w:pPr>
      <w:r>
        <w:rPr>
          <w:rFonts w:ascii="Times New Roman" w:cs="Times New Roman" w:eastAsia="Times New Roman" w:hAnsi="Times New Roman"/>
          <w:b/>
          <w:bCs/>
          <w:sz w:val="24"/>
          <w:szCs w:val="24"/>
        </w:rPr>
        <w:t xml:space="preserve">Test Article: </w:t>
      </w:r>
      <w:r>
        <w:rPr>
          <w:rFonts w:ascii="Times New Roman" w:cs="Times New Roman" w:eastAsia="Times New Roman" w:hAnsi="Times New Roman"/>
          <w:sz w:val="24"/>
          <w:szCs w:val="24"/>
        </w:rPr>
        <w:t xml:space="preserve">Compound LF-892</w:t>
      </w:r>
    </w:p>
    <w:p>
      <w:pPr>
        <w:spacing w:after="60"/>
      </w:pPr>
      <w:r>
        <w:rPr>
          <w:rFonts w:ascii="Times New Roman" w:cs="Times New Roman" w:eastAsia="Times New Roman" w:hAnsi="Times New Roman"/>
          <w:b/>
          <w:bCs/>
          <w:sz w:val="24"/>
          <w:szCs w:val="24"/>
        </w:rPr>
        <w:t xml:space="preserve">Species/Strain: </w:t>
      </w:r>
      <w:r>
        <w:rPr>
          <w:rFonts w:ascii="Times New Roman" w:cs="Times New Roman" w:eastAsia="Times New Roman" w:hAnsi="Times New Roman"/>
          <w:sz w:val="24"/>
          <w:szCs w:val="24"/>
        </w:rPr>
        <w:t xml:space="preserve">Rat / Sprague-Dawley (Crl:CD(SD))</w:t>
      </w:r>
    </w:p>
    <w:p>
      <w:pPr>
        <w:spacing w:after="60"/>
      </w:pPr>
      <w:r>
        <w:rPr>
          <w:rFonts w:ascii="Times New Roman" w:cs="Times New Roman" w:eastAsia="Times New Roman" w:hAnsi="Times New Roman"/>
          <w:b/>
          <w:bCs/>
          <w:sz w:val="24"/>
          <w:szCs w:val="24"/>
        </w:rPr>
        <w:t xml:space="preserve">GLP Status: </w:t>
      </w:r>
      <w:r>
        <w:rPr>
          <w:rFonts w:ascii="Times New Roman" w:cs="Times New Roman" w:eastAsia="Times New Roman" w:hAnsi="Times New Roman"/>
          <w:sz w:val="24"/>
          <w:szCs w:val="24"/>
        </w:rPr>
        <w:t xml:space="preserve">GLP</w:t>
      </w:r>
    </w:p>
    <w:p>
      <w:pPr>
        <w:spacing w:after="60"/>
      </w:pPr>
      <w:r>
        <w:rPr>
          <w:rFonts w:ascii="Times New Roman" w:cs="Times New Roman" w:eastAsia="Times New Roman" w:hAnsi="Times New Roman"/>
          <w:b/>
          <w:bCs/>
          <w:sz w:val="24"/>
          <w:szCs w:val="24"/>
        </w:rPr>
        <w:t xml:space="preserve">Study Director: </w:t>
      </w:r>
      <w:r>
        <w:rPr>
          <w:rFonts w:ascii="Times New Roman" w:cs="Times New Roman" w:eastAsia="Times New Roman" w:hAnsi="Times New Roman"/>
          <w:sz w:val="24"/>
          <w:szCs w:val="24"/>
        </w:rPr>
        <w:t xml:space="preserve">M. Chen, DVM, PhD</w:t>
      </w:r>
    </w:p>
    <w:p>
      <w:pPr>
        <w:spacing w:after="60"/>
      </w:pPr>
      <w:r>
        <w:rPr>
          <w:rFonts w:ascii="Times New Roman" w:cs="Times New Roman" w:eastAsia="Times New Roman" w:hAnsi="Times New Roman"/>
          <w:b/>
          <w:bCs/>
          <w:sz w:val="24"/>
          <w:szCs w:val="24"/>
        </w:rPr>
        <w:t xml:space="preserve">Report Date: </w:t>
      </w:r>
      <w:r>
        <w:rPr>
          <w:rFonts w:ascii="Times New Roman" w:cs="Times New Roman" w:eastAsia="Times New Roman" w:hAnsi="Times New Roman"/>
          <w:sz w:val="24"/>
          <w:szCs w:val="24"/>
        </w:rPr>
        <w:t xml:space="preserve">12 March 2024</w:t>
      </w:r>
    </w:p>
    <w:p>
      <w:pPr>
        <w:spacing w:after="60"/>
      </w:pPr>
      <w:r>
        <w:rPr>
          <w:rFonts w:ascii="Times New Roman" w:cs="Times New Roman" w:eastAsia="Times New Roman" w:hAnsi="Times New Roman"/>
          <w:b/>
          <w:bCs/>
          <w:sz w:val="24"/>
          <w:szCs w:val="24"/>
        </w:rPr>
        <w:t xml:space="preserve">Report Status: </w:t>
      </w:r>
      <w:r>
        <w:rPr>
          <w:rFonts w:ascii="Times New Roman" w:cs="Times New Roman" w:eastAsia="Times New Roman" w:hAnsi="Times New Roman"/>
          <w:sz w:val="24"/>
          <w:szCs w:val="24"/>
        </w:rPr>
        <w:t xml:space="preserve">APPROVED</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Summary</w:t>
      </w:r>
    </w:p>
    <w:p>
      <w:pPr>
        <w:spacing w:after="120"/>
      </w:pPr>
      <w:r>
        <w:rPr>
          <w:rFonts w:ascii="Times New Roman" w:cs="Times New Roman" w:eastAsia="Times New Roman" w:hAnsi="Times New Roman"/>
          <w:sz w:val="24"/>
          <w:szCs w:val="24"/>
        </w:rPr>
        <w:t xml:space="preserve">Compound LF-892 was administered once daily by oral gavage to Sprague-Dawley rats (10/sex/group main cohort; 5/sex/group for control and high-dose recovery cohorts) at doses of 0, 10, 50, or 150 mg/kg/day for 13 consecutive weeks. Recovery animals were maintained for an additional 4 weeks without treatment (Day 120 sacrifice).</w:t>
      </w:r>
    </w:p>
    <w:p>
      <w:pPr>
        <w:spacing w:after="120"/>
      </w:pPr>
      <w:r>
        <w:rPr>
          <w:rFonts w:ascii="Times New Roman" w:cs="Times New Roman" w:eastAsia="Times New Roman" w:hAnsi="Times New Roman"/>
          <w:sz w:val="24"/>
          <w:szCs w:val="24"/>
        </w:rPr>
        <w:t xml:space="preserve">One unscheduled death occurred during the study: male M101 was found moribund on Day 35 and euthanised. Post-mortem examination revealed oesophageal perforation consistent with a gavage error. This death is considered incidental to treatment and not compound-related.</w:t>
      </w:r>
    </w:p>
    <w:p>
      <w:pPr>
        <w:spacing w:after="120"/>
      </w:pPr>
      <w:r>
        <w:rPr>
          <w:rFonts w:ascii="Times New Roman" w:cs="Times New Roman" w:eastAsia="Times New Roman" w:hAnsi="Times New Roman"/>
          <w:sz w:val="24"/>
          <w:szCs w:val="24"/>
        </w:rPr>
        <w:t xml:space="preserve">No treatment-related effects on body weight, food consumption, clinical signs, or organ weights were observed at 10 mg/kg/day. At 50 mg/kg/day (mid dose), minimal pulmonary macrophage accumulation was observed in 2 of 10 males; this finding was considered non-adverse and incidental. At 150 mg/kg/day (high dose), treatment-related adverse findings included moderate to marked pulmonary inflammation with macrophage accumulation, hepatic vacuolisation (centrilobular), and thymic lymphoid depletion. Body weight was reduced at 150 mg/kg/day (−15.0% males, −9.8% females at Week 13). All findings in Group 4 recovery animals showed partial to complete reversal at Day 120.</w:t>
      </w:r>
    </w:p>
    <w:p>
      <w:pPr>
        <w:spacing w:after="120"/>
      </w:pPr>
      <w:r>
        <w:rPr>
          <w:rFonts w:ascii="Times New Roman" w:cs="Times New Roman" w:eastAsia="Times New Roman" w:hAnsi="Times New Roman"/>
          <w:sz w:val="24"/>
          <w:szCs w:val="24"/>
        </w:rPr>
        <w:t xml:space="preserve">The no-observed-adverse-effect level (NOAEL) is 10 mg/kg/day. The lowest-observed-adverse-effect level (LOAEL) is 50 mg/kg/day.</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1. Objective</w:t>
      </w:r>
    </w:p>
    <w:p>
      <w:pPr>
        <w:spacing w:after="120"/>
      </w:pPr>
      <w:r>
        <w:rPr>
          <w:rFonts w:ascii="Times New Roman" w:cs="Times New Roman" w:eastAsia="Times New Roman" w:hAnsi="Times New Roman"/>
          <w:sz w:val="24"/>
          <w:szCs w:val="24"/>
        </w:rPr>
        <w:t xml:space="preserve">The objectives of this study were to: (1) evaluate the potential toxicity of Compound LF-892 following repeated oral gavage administration to Sprague-Dawley rats for 13 consecutive weeks; (2) characterise the nature, severity, dose-response relationship, and reversibility of any treatment-related effects; (3) identify target organs of toxicity; and (4) establish a NOAEL to support further development. The study was conducted in compliance with Good Laboratory Practice (GLP) regulations.</w:t>
      </w:r>
    </w:p>
    <w:p>
      <w:pPr>
        <w:spacing w:after="120"/>
      </w:pPr>
      <w:r>
        <w:rPr>
          <w:rFonts w:ascii="Times New Roman" w:cs="Times New Roman" w:eastAsia="Times New Roman" w:hAnsi="Times New Roman"/>
          <w:sz w:val="24"/>
          <w:szCs w:val="24"/>
        </w:rPr>
        <w:t xml:space="preserve">Compound LF-892 is a novel phospholipase inhibitor under development for the treatment of pulmonary fibrosis. Based on the mechanism of action and biodistribution data, lung and liver were identified as potential target organs. The doses of 10, 50, and 150 mg/kg/day were selected based on a 14-day dose range-finding study in which minimal clinical findings were observed at 150 mg/kg/day.</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2. Experimental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Parameter</w:t>
            </w:r>
          </w:p>
        </w:tc>
        <w:tc>
          <w:tcPr>
            <w:tcW w:type="dxa" w:w="5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Detail</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Species</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Sprague-Dawley rat (Crl:CD(SD))</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Source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Charles River Laboratories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Age at study start</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7 to 8 weeks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Route of administration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Oral gavage</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Dosing frequency</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Once daily, 7 days per week</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Study duration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13 weeks (91 days)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Recovery period</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 weeks (Day 92 to Day 120)</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0.5% methylcellulose in purified water</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Dose volume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 mL/kg body weight</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Animal Allocation: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200"/>
        <w:gridCol w:w="1300"/>
        <w:gridCol w:w="1300"/>
        <w:gridCol w:w="700"/>
      </w:tblGrid>
      <w:tr>
        <w:trPr>
          <w:tblHeader/>
        </w:trPr>
        <w:tc>
          <w:tcPr>
            <w:tcW w:type="dxa" w:w="1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(mg/kg/day)</w:t>
            </w:r>
          </w:p>
        </w:tc>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Males (Main)</w:t>
            </w:r>
          </w:p>
        </w:tc>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Females (Main)</w:t>
            </w:r>
          </w:p>
        </w:tc>
        <w:tc>
          <w:tcPr>
            <w:tcW w:type="dxa" w:w="13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Males (Recovery)</w:t>
            </w:r>
          </w:p>
        </w:tc>
        <w:tc>
          <w:tcPr>
            <w:tcW w:type="dxa" w:w="13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Females (Recovery)</w:t>
            </w:r>
          </w:p>
        </w:tc>
        <w:tc>
          <w:tcPr>
            <w:tcW w:type="dxa" w:w="7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Total</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 — Vehicle Control</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30</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 — Low Dose</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 — Mid Dose</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 — High Dose</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30</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Total</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100</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Animals were housed 2 per cage under standard conditions (22 ± 2°C, 12-hour light/dark cycle) with free access to certified rodent diet and water. Animals were assigned to groups by stratified randomisation based on body weight on Day 1.</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3. Materials and Methods</w:t>
      </w:r>
    </w:p>
    <w:p>
      <w:pPr>
        <w:pStyle w:val="Heading2"/>
        <w:spacing w:after="80" w:before="200"/>
      </w:pPr>
      <w:r>
        <w:t xml:space="preserve">3.1 Test Article</w:t>
      </w:r>
    </w:p>
    <w:p>
      <w:pPr>
        <w:spacing w:after="120"/>
      </w:pPr>
      <w:r>
        <w:rPr>
          <w:rFonts w:ascii="Times New Roman" w:cs="Times New Roman" w:eastAsia="Times New Roman" w:hAnsi="Times New Roman"/>
          <w:sz w:val="24"/>
          <w:szCs w:val="24"/>
        </w:rPr>
        <w:t xml:space="preserve">Compound LF-892 was supplied by the Sponsor Analytical Chemistry Group. Batch LF892-2023-C01 had a purity of 97.8% (HPLC). The test article was stored at controlled room temperature (15 to 25°C), protected from light.</w:t>
      </w:r>
    </w:p>
    <w:p>
      <w:pPr>
        <w:pStyle w:val="Heading2"/>
        <w:spacing w:after="80" w:before="200"/>
      </w:pPr>
      <w:r>
        <w:t xml:space="preserve">3.2 Vehicle</w:t>
      </w:r>
    </w:p>
    <w:p>
      <w:pPr>
        <w:spacing w:after="120"/>
      </w:pPr>
      <w:r>
        <w:rPr>
          <w:rFonts w:ascii="Times New Roman" w:cs="Times New Roman" w:eastAsia="Times New Roman" w:hAnsi="Times New Roman"/>
          <w:sz w:val="24"/>
          <w:szCs w:val="24"/>
        </w:rPr>
        <w:t xml:space="preserve">Vehicle was 0.5% methylcellulose (w/v) in purified water. Dosing formulations were prepared as suspensions at weekly intervals and stored refrigerated (2 to 8°C) until use.</w:t>
      </w:r>
    </w:p>
    <w:p>
      <w:pPr>
        <w:pStyle w:val="Heading2"/>
        <w:spacing w:after="80" w:before="200"/>
      </w:pPr>
      <w:r>
        <w:t xml:space="preserve">3.3 Test System</w:t>
      </w:r>
    </w:p>
    <w:p>
      <w:pPr>
        <w:spacing w:after="120"/>
      </w:pPr>
      <w:r>
        <w:rPr>
          <w:rFonts w:ascii="Times New Roman" w:cs="Times New Roman" w:eastAsia="Times New Roman" w:hAnsi="Times New Roman"/>
          <w:sz w:val="24"/>
          <w:szCs w:val="24"/>
        </w:rPr>
        <w:t xml:space="preserve">Naive, virus antibody-free Sprague-Dawley rats (Crl:CD(SD)) were obtained from Charles River Laboratories. Animals arrived at 7 weeks of age and were acclimated for a minimum of 5 days prior to Day 1. Animals were assigned to groups by stratified randomisation based on Day 1 body weight.</w:t>
      </w:r>
    </w:p>
    <w:p>
      <w:pPr>
        <w:pStyle w:val="Heading2"/>
        <w:spacing w:after="80" w:before="200"/>
      </w:pPr>
      <w:r>
        <w:t xml:space="preserve">3.4 Dose Formulation Verification</w:t>
      </w:r>
    </w:p>
    <w:p>
      <w:pPr>
        <w:spacing w:after="120"/>
      </w:pPr>
      <w:r>
        <w:rPr>
          <w:rFonts w:ascii="Times New Roman" w:cs="Times New Roman" w:eastAsia="Times New Roman" w:hAnsi="Times New Roman"/>
          <w:sz w:val="24"/>
          <w:szCs w:val="24"/>
        </w:rPr>
        <w:t xml:space="preserve">Dosing formulation samples were collected on Days 1, 45, and 91 for concentration verification by HPLC. Acceptance criteria: measured concentration within ±10% of nominal. Homogeneity was assessed on Day 1.</w:t>
      </w:r>
    </w:p>
    <w:p>
      <w:pPr>
        <w:pStyle w:val="Heading2"/>
        <w:spacing w:after="80" w:before="200"/>
      </w:pPr>
      <w:r>
        <w:t xml:space="preserve">3.5 Terminal Procedures</w:t>
      </w:r>
    </w:p>
    <w:p>
      <w:pPr>
        <w:spacing w:after="120"/>
      </w:pPr>
      <w:r>
        <w:rPr>
          <w:rFonts w:ascii="Times New Roman" w:cs="Times New Roman" w:eastAsia="Times New Roman" w:hAnsi="Times New Roman"/>
          <w:sz w:val="24"/>
          <w:szCs w:val="24"/>
        </w:rPr>
        <w:t xml:space="preserve">Main cohort animals were euthanised on Day 92. Recovery animals were euthanised on Day 120. All animals were euthanised by carbon dioxide inhalation followed by exsanguination. A complete macroscopic examination was performed on all animals. The following organs were weighed: liver, kidneys (paired), heart, brain, spleen, thymus, and lungs.</w:t>
      </w:r>
    </w:p>
    <w:p>
      <w:pPr>
        <w:pStyle w:val="Heading2"/>
        <w:spacing w:after="80" w:before="200"/>
      </w:pPr>
      <w:r>
        <w:t xml:space="preserve">3.6 Histology and Histopathology</w:t>
      </w:r>
    </w:p>
    <w:p>
      <w:pPr>
        <w:spacing w:after="120"/>
      </w:pPr>
      <w:r>
        <w:rPr>
          <w:rFonts w:ascii="Times New Roman" w:cs="Times New Roman" w:eastAsia="Times New Roman" w:hAnsi="Times New Roman"/>
          <w:sz w:val="24"/>
          <w:szCs w:val="24"/>
        </w:rPr>
        <w:t xml:space="preserve">Tissues from all Group 1 and Group 4 main cohort animals, and from all recovery animals, were fixed in 10% neutral buffered formalin, processed, and embedded in paraffin. Target tissues (lungs, liver) from Groups 2 and 3 were also processed. Sections were cut at 4 to 6 μm and stained with haematoxylin and eosin (H&amp;E). Microscopic findings were graded on a scale of 1 (Minimal) to 5 (Severe). A pathology peer review was conducted by an independent board-certified veterinary pathologist.</w:t>
      </w:r>
    </w:p>
    <w:p>
      <w:pPr>
        <w:pStyle w:val="Heading2"/>
        <w:spacing w:after="80" w:before="200"/>
      </w:pPr>
      <w:r>
        <w:t xml:space="preserve">3.7 Statistical Analysis</w:t>
      </w:r>
    </w:p>
    <w:p>
      <w:pPr>
        <w:spacing w:after="120"/>
      </w:pPr>
      <w:r>
        <w:rPr>
          <w:rFonts w:ascii="Times New Roman" w:cs="Times New Roman" w:eastAsia="Times New Roman" w:hAnsi="Times New Roman"/>
          <w:sz w:val="24"/>
          <w:szCs w:val="24"/>
        </w:rPr>
        <w:t xml:space="preserve">Continuous variables were analysed by one-way ANOVA with Dunnett’s post-hoc test. Incidence data were compared by Fisher’s exact test. Statistical significance: p &lt; 0.05.</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4. Deviations</w:t>
      </w:r>
    </w:p>
    <w:p>
      <w:pPr>
        <w:spacing w:after="120"/>
      </w:pPr>
      <w:r>
        <w:rPr>
          <w:rFonts w:ascii="Times New Roman" w:cs="Times New Roman" w:eastAsia="Times New Roman" w:hAnsi="Times New Roman"/>
          <w:sz w:val="24"/>
          <w:szCs w:val="24"/>
        </w:rPr>
        <w:t xml:space="preserve">One protocol deviation was noted and is documented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4500"/>
        <w:gridCol w:w="3200"/>
      </w:tblGrid>
      <w:tr>
        <w:trPr>
          <w:tblHeader/>
        </w:trPr>
        <w:tc>
          <w:tcPr>
            <w:tcW w:type="dxa" w:w="7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Deviation ID</w:t>
            </w:r>
          </w:p>
        </w:tc>
        <w:tc>
          <w:tcPr>
            <w:tcW w:type="dxa" w:w="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Date</w:t>
            </w:r>
          </w:p>
        </w:tc>
        <w:tc>
          <w:tcPr>
            <w:tcW w:type="dxa" w:w="4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Description</w:t>
            </w:r>
          </w:p>
        </w:tc>
        <w:tc>
          <w:tcPr>
            <w:tcW w:type="dxa" w:w="3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Assessment</w:t>
            </w:r>
          </w:p>
        </w:tc>
      </w:tr>
      <w:tr>
        <w:tc>
          <w:tcPr>
            <w:tcW w:type="dxa" w:w="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DEV-2023-0856-001</w:t>
            </w:r>
          </w:p>
        </w:tc>
        <w:tc>
          <w:tcPr>
            <w:tcW w:type="dxa" w:w="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35</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Male M101: found moribund and euthanised. Post-mortem findings included oesophageal perforation with haemothorax, consistent with a gavage technique error. No microscopic findings in the lungs, liver, or any other organ attributable to compound administration were observed.</w:t>
            </w:r>
          </w:p>
        </w:tc>
        <w:tc>
          <w:tcPr>
            <w:tcW w:type="dxa" w:w="3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Non-treatment-related. Gavage error. No impact on study integrity or interpretation.</w:t>
            </w:r>
          </w:p>
        </w:tc>
      </w:tr>
    </w:tbl>
    <w:p>
      <w:pPr>
        <w:spacing w:after="80"/>
      </w:pPr>
      <w:r>
        <w:rPr>
          <w:rFonts w:ascii="Times New Roman" w:cs="Times New Roman" w:eastAsia="Times New Roman" w:hAnsi="Times New Roman"/>
          <w:sz w:val="24"/>
          <w:szCs w:val="24"/>
        </w:rPr>
        <w:t xml:space="preserve"/>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5. Results</w:t>
      </w:r>
    </w:p>
    <w:p>
      <w:pPr>
        <w:pStyle w:val="Heading2"/>
        <w:spacing w:after="80" w:before="200"/>
      </w:pPr>
      <w:r>
        <w:t xml:space="preserve">5.1 Test Article Formulation and Analyses Verification</w:t>
      </w:r>
    </w:p>
    <w:p>
      <w:pPr>
        <w:spacing w:after="120"/>
      </w:pPr>
      <w:r>
        <w:rPr>
          <w:rFonts w:ascii="Times New Roman" w:cs="Times New Roman" w:eastAsia="Times New Roman" w:hAnsi="Times New Roman"/>
          <w:sz w:val="24"/>
          <w:szCs w:val="24"/>
        </w:rPr>
        <w:t xml:space="preserve">Dosing formulation samples were collected and analysed on Days 1, 45, and 91. All measured concentrations were within ±10% of nominal. No test article was detected in vehicle control formulations. All dosing formulations met the predefined acceptance criteria.</w:t>
      </w:r>
    </w:p>
    <w:p>
      <w:pPr>
        <w:pStyle w:val="Heading2"/>
        <w:spacing w:after="80" w:before="200"/>
      </w:pPr>
      <w:r>
        <w:t xml:space="preserve">5.2 In-Life Observations and Measurements</w:t>
      </w:r>
    </w:p>
    <w:p>
      <w:pPr>
        <w:pStyle w:val="Heading3"/>
        <w:spacing w:after="60" w:before="160"/>
      </w:pPr>
      <w:r>
        <w:t xml:space="preserve">5.2.1 Mortality</w:t>
      </w:r>
    </w:p>
    <w:p>
      <w:pPr>
        <w:spacing w:after="120"/>
      </w:pPr>
      <w:r>
        <w:rPr>
          <w:rFonts w:ascii="Times New Roman" w:cs="Times New Roman" w:eastAsia="Times New Roman" w:hAnsi="Times New Roman"/>
          <w:sz w:val="24"/>
          <w:szCs w:val="24"/>
        </w:rPr>
        <w:t xml:space="preserve">One unscheduled death occurred during the study. Male M101 (Group 1, Vehicle Control) was found moribund on Day 35 and humanely euthanised in extremis. Post-mortem examination revealed an oesophageal perforation with associated haemothorax, consistent with a gavage error. No microscopic findings attributable to compound administration were identified. This death is considered incidental to treatment.</w:t>
      </w:r>
    </w:p>
    <w:p>
      <w:pPr>
        <w:spacing w:after="120"/>
      </w:pPr>
      <w:r>
        <w:rPr>
          <w:rFonts w:ascii="Times New Roman" w:cs="Times New Roman" w:eastAsia="Times New Roman" w:hAnsi="Times New Roman"/>
          <w:sz w:val="24"/>
          <w:szCs w:val="24"/>
        </w:rPr>
        <w:t xml:space="preserve">All remaining animals (39 males, 40 females main cohort; 10 males, 10 females recovery) survived to scheduled necropsy.</w:t>
      </w:r>
    </w:p>
    <w:p>
      <w:pPr>
        <w:pStyle w:val="Heading3"/>
        <w:spacing w:after="60" w:before="160"/>
      </w:pPr>
      <w:r>
        <w:t xml:space="preserve">5.2.2 Clinical Observations</w:t>
      </w:r>
    </w:p>
    <w:p>
      <w:pPr>
        <w:spacing w:after="120"/>
      </w:pPr>
      <w:r>
        <w:rPr>
          <w:rFonts w:ascii="Times New Roman" w:cs="Times New Roman" w:eastAsia="Times New Roman" w:hAnsi="Times New Roman"/>
          <w:sz w:val="24"/>
          <w:szCs w:val="24"/>
        </w:rPr>
        <w:t xml:space="preserve">No treatment-related clinical signs were observed in Group 1 or Group 2 animals at any timepoint.</w:t>
      </w:r>
    </w:p>
    <w:p>
      <w:pPr>
        <w:spacing w:after="120"/>
      </w:pPr>
      <w:r>
        <w:rPr>
          <w:rFonts w:ascii="Times New Roman" w:cs="Times New Roman" w:eastAsia="Times New Roman" w:hAnsi="Times New Roman"/>
          <w:sz w:val="24"/>
          <w:szCs w:val="24"/>
        </w:rPr>
        <w:t xml:space="preserve">Group 3 (50 mg/kg/day): No treatment-related clinical signs were observed. All animals appeared healthy and clinically normal throughout the dosing period.</w:t>
      </w:r>
    </w:p>
    <w:p>
      <w:pPr>
        <w:spacing w:after="120"/>
      </w:pPr>
      <w:r>
        <w:rPr>
          <w:rFonts w:ascii="Times New Roman" w:cs="Times New Roman" w:eastAsia="Times New Roman" w:hAnsi="Times New Roman"/>
          <w:sz w:val="24"/>
          <w:szCs w:val="24"/>
        </w:rPr>
        <w:t xml:space="preserve">Group 4 (150 mg/kg/day): Beginning at Week 6, increased respiratory rate and mild laboured breathing were noted in approximately 6 of 10 males and 4 of 10 females during detailed examinations. These signs were considered related to the pulmonary findings observed microscopically. Piloerection and reduced activity were noted in 3 of 10 males and 2 of 10 females from Week 8 onward. All clinical signs resolved during the recovery period by Day 106 (Week 2 of recovery).</w:t>
      </w:r>
    </w:p>
    <w:p>
      <w:pPr>
        <w:pStyle w:val="Heading3"/>
        <w:spacing w:after="60" w:before="160"/>
      </w:pPr>
      <w:r>
        <w:t xml:space="preserve">5.2.3 Body Weight</w:t>
      </w:r>
    </w:p>
    <w:p>
      <w:pPr>
        <w:spacing w:after="120"/>
      </w:pPr>
      <w:r>
        <w:rPr>
          <w:rFonts w:ascii="Times New Roman" w:cs="Times New Roman" w:eastAsia="Times New Roman" w:hAnsi="Times New Roman"/>
          <w:sz w:val="24"/>
          <w:szCs w:val="24"/>
        </w:rPr>
        <w:t xml:space="preserve">Body weights were recorded on Day 1 (pre-dose) and at Weeks 4, 8, and 13.</w:t>
      </w:r>
    </w:p>
    <w:p>
      <w:pPr>
        <w:spacing w:after="120"/>
      </w:pPr>
      <w:r>
        <w:rPr>
          <w:rFonts w:ascii="Times New Roman" w:cs="Times New Roman" w:eastAsia="Times New Roman" w:hAnsi="Times New Roman"/>
          <w:b/>
          <w:bCs/>
          <w:sz w:val="24"/>
          <w:szCs w:val="24"/>
        </w:rPr>
        <w:t xml:space="preserve">Male Mean Body Weights (g):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tblGrid>
      <w:tr>
        <w:trPr>
          <w:tblHeader/>
        </w:trPr>
        <w:tc>
          <w:tcPr>
            <w:tcW w:type="dxa" w:w="2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Week 4</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Week 8</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Week 13</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G1 — Control (0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236</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295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342</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384</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G2 — Low (10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294</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341</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383</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G3 — Mid (50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236</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294</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339</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379</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G4 — High (150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236</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288</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319</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326*</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Female Mean Body Weights (g):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tblGrid>
      <w:tr>
        <w:trPr>
          <w:tblHeader/>
        </w:trPr>
        <w:tc>
          <w:tcPr>
            <w:tcW w:type="dxa" w:w="2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Week 4</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Week 8</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Week 13</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G1 — Control (0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222</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246</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263</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G2 — Low (10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222</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246</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262</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G3 — Mid (50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222</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261</w:t>
            </w:r>
          </w:p>
        </w:tc>
      </w:tr>
      <w:tr>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G4 — High (150 mg/kg)</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219</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238</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237*</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*p &lt; 0.01 vs. control (Dunnett’s test). At Week 13, Group 4 males were −15.0% and Group 4 females were −9.8% relative to controls. No statistically significant differences in body weight were observed in Groups 2 or 3 at any timepoint.</w:t>
      </w:r>
    </w:p>
    <w:p>
      <w:pPr>
        <w:pStyle w:val="Heading2"/>
        <w:spacing w:after="80" w:before="200"/>
      </w:pPr>
      <w:r>
        <w:t xml:space="preserve">5.3 Anatomic Pathology</w:t>
      </w:r>
    </w:p>
    <w:p>
      <w:pPr>
        <w:pStyle w:val="Heading3"/>
        <w:spacing w:after="60" w:before="160"/>
      </w:pPr>
      <w:r>
        <w:t xml:space="preserve">5.3.1 Organ Weights</w:t>
      </w:r>
    </w:p>
    <w:p>
      <w:pPr>
        <w:spacing w:after="120"/>
      </w:pPr>
      <w:r>
        <w:rPr>
          <w:rFonts w:ascii="Times New Roman" w:cs="Times New Roman" w:eastAsia="Times New Roman" w:hAnsi="Times New Roman"/>
          <w:b/>
          <w:bCs/>
          <w:sz w:val="24"/>
          <w:szCs w:val="24"/>
        </w:rPr>
        <w:t xml:space="preserve">Male Absolute Organ Weights (g) — Group Means (Main Cohort):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Organ</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G1 Control</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G2 Low</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G3 Mid</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G4 High</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12.40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12.45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12.82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14.62*</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Kidneys (paired)</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2.32</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1.11</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1.90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1.90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0.79</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0.28*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Lungs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1.64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1.65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2.04*</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Female Absolute Organ Weights (g) — Group Means (Main Cohort):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Organ</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G1 Control</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G2 Low</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G3 Mid</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G4 High</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8.78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8.80</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9.04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10.81*</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Kidneys (paired)</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1.58</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0.87</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1.84</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0.62</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0.27*</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Lungs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1.41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1.42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1.81*</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*p &lt; 0.01 vs. control (Dunnett’s test). Lung weight increases at G4: +24.9% males, +28.1% females. Liver weight increases at G4: +22.6% males, +23.2% females. Thymus weight decreases at G4: −35.0% males, −37.2% females. Kidney weights were unaffected at all dose levels.</w:t>
      </w:r>
    </w:p>
    <w:p>
      <w:pPr>
        <w:pStyle w:val="Heading3"/>
        <w:spacing w:after="60" w:before="160"/>
      </w:pPr>
      <w:r>
        <w:t xml:space="preserve">5.3.2 Macroscopic Observations</w:t>
      </w:r>
    </w:p>
    <w:p>
      <w:pPr>
        <w:spacing w:after="120"/>
      </w:pPr>
      <w:r>
        <w:rPr>
          <w:rFonts w:ascii="Times New Roman" w:cs="Times New Roman" w:eastAsia="Times New Roman" w:hAnsi="Times New Roman"/>
          <w:sz w:val="24"/>
          <w:szCs w:val="24"/>
        </w:rPr>
        <w:t xml:space="preserve">Group 1 and Group 2: No treatment-related macroscopic findings.</w:t>
      </w:r>
    </w:p>
    <w:p>
      <w:pPr>
        <w:spacing w:after="120"/>
      </w:pPr>
      <w:r>
        <w:rPr>
          <w:rFonts w:ascii="Times New Roman" w:cs="Times New Roman" w:eastAsia="Times New Roman" w:hAnsi="Times New Roman"/>
          <w:sz w:val="24"/>
          <w:szCs w:val="24"/>
        </w:rPr>
        <w:t xml:space="preserve">Group 3 (50 mg/kg/day): No treatment-related macroscopic findings. All tissues examined appeared grossly normal.</w:t>
      </w:r>
    </w:p>
    <w:p>
      <w:pPr>
        <w:spacing w:after="120"/>
      </w:pPr>
      <w:r>
        <w:rPr>
          <w:rFonts w:ascii="Times New Roman" w:cs="Times New Roman" w:eastAsia="Times New Roman" w:hAnsi="Times New Roman"/>
          <w:sz w:val="24"/>
          <w:szCs w:val="24"/>
        </w:rPr>
        <w:t xml:space="preserve">Group 4 (150 mg/kg/day): Macroscopic findings were confined to the lungs and thymus. The lungs of 8 of 10 males and 7 of 10 females appeared dark red-brown with multifocal consolidation affecting predominantly the cranial and accessory lobes. Thymus appeared small in 6 of 10 males and 5 of 10 females. No treatment-related macroscopic findings were observed in any other organ or tissue.</w:t>
      </w:r>
    </w:p>
    <w:p>
      <w:pPr>
        <w:spacing w:after="120"/>
      </w:pPr>
      <w:r>
        <w:rPr>
          <w:rFonts w:ascii="Times New Roman" w:cs="Times New Roman" w:eastAsia="Times New Roman" w:hAnsi="Times New Roman"/>
          <w:sz w:val="24"/>
          <w:szCs w:val="24"/>
        </w:rPr>
        <w:t xml:space="preserve">Recovery animals (Group 1R and Group 4R): At Day 120 necropsy, no residual macroscopic findings were observed in Group 4 recovery animals. Lung and thymus appeared grossly normal in all recovery animals.</w:t>
      </w:r>
    </w:p>
    <w:p>
      <w:pPr>
        <w:pStyle w:val="Heading3"/>
        <w:spacing w:after="60" w:before="160"/>
      </w:pPr>
      <w:r>
        <w:t xml:space="preserve">5.3.3 Microscopic Findings</w:t>
      </w:r>
    </w:p>
    <w:p>
      <w:pPr>
        <w:pStyle w:val="Heading3"/>
        <w:spacing w:after="60" w:before="160"/>
      </w:pPr>
      <w:r>
        <w:t xml:space="preserve">Lungs</w:t>
      </w:r>
    </w:p>
    <w:p>
      <w:pPr>
        <w:spacing w:after="120"/>
      </w:pPr>
      <w:r>
        <w:rPr>
          <w:rFonts w:ascii="Times New Roman" w:cs="Times New Roman" w:eastAsia="Times New Roman" w:hAnsi="Times New Roman"/>
          <w:sz w:val="24"/>
          <w:szCs w:val="24"/>
        </w:rPr>
        <w:t xml:space="preserve">Group 1: Pulmonary parenchyma was within normal limits. No inflammatory cells, macrophage accumulation, or fibrotic changes were observed.</w:t>
      </w:r>
    </w:p>
    <w:p>
      <w:pPr>
        <w:spacing w:after="120"/>
      </w:pPr>
      <w:r>
        <w:rPr>
          <w:rFonts w:ascii="Times New Roman" w:cs="Times New Roman" w:eastAsia="Times New Roman" w:hAnsi="Times New Roman"/>
          <w:sz w:val="24"/>
          <w:szCs w:val="24"/>
        </w:rPr>
        <w:t xml:space="preserve">Group 2 (10 mg/kg/day): No treatment-related microscopic findings in the lungs.</w:t>
      </w:r>
    </w:p>
    <w:p>
      <w:pPr>
        <w:spacing w:after="120"/>
      </w:pPr>
      <w:r>
        <w:rPr>
          <w:rFonts w:ascii="Times New Roman" w:cs="Times New Roman" w:eastAsia="Times New Roman" w:hAnsi="Times New Roman"/>
          <w:sz w:val="24"/>
          <w:szCs w:val="24"/>
        </w:rPr>
        <w:t xml:space="preserve">Group 3 (50 mg/kg/day): Minimal alveolar macrophage accumulation (Grade 1) was observed in 2 of 10 males (M303, M307). No inflammatory infiltrate, fibrosis, or epithelial changes were observed. This finding was observed at low incidence without female involvement and in the absence of any clinical, macroscopic, or organ weight correlate; it is considered non-adverse and possibly incidental.</w:t>
      </w:r>
    </w:p>
    <w:p>
      <w:pPr>
        <w:spacing w:after="120"/>
      </w:pPr>
      <w:r>
        <w:rPr>
          <w:rFonts w:ascii="Times New Roman" w:cs="Times New Roman" w:eastAsia="Times New Roman" w:hAnsi="Times New Roman"/>
          <w:sz w:val="24"/>
          <w:szCs w:val="24"/>
        </w:rPr>
        <w:t xml:space="preserve">Group 4 (150 mg/kg/day): Moderate to marked alveolar macrophage accumulation with associated inflammatory infiltrate (Grade 3 in 6 of 10 males and 5 of 10 females; Grade 2 in the remaining animals) was observed throughout the pulmonary parenchyma, with predominance in alveolar spaces and peribronchiolar regions. Foamy macrophage cytoplasm was prominent. Mild type II pneumocyte hypertrophy and hyperplasia (Grade 1 to 2) was present in affected areas. This constellation of findings is consistent with a compound-related pulmonary phospholipidosis and inflammatory response and is considered adverse at 150 mg/kg/day.</w:t>
      </w:r>
    </w:p>
    <w:p>
      <w:pPr>
        <w:spacing w:after="120"/>
      </w:pPr>
      <w:r>
        <w:rPr>
          <w:rFonts w:ascii="Times New Roman" w:cs="Times New Roman" w:eastAsia="Times New Roman" w:hAnsi="Times New Roman"/>
          <w:sz w:val="24"/>
          <w:szCs w:val="24"/>
        </w:rPr>
        <w:t xml:space="preserve">Group 4R (Recovery): At Day 120, alveolar macrophage accumulation was present at Grade 1 in 2 of 5 males and 1 of 5 females. The macrophage infiltrate was substantially reduced relative to Day 92. Inflammatory infiltrate and type II pneumocyte changes were absent. These findings indicate partial reversibility of pulmonary changes during the 4-week recovery period.</w:t>
      </w:r>
    </w:p>
    <w:p>
      <w:pPr>
        <w:pStyle w:val="Heading3"/>
        <w:spacing w:after="60" w:before="160"/>
      </w:pPr>
      <w:r>
        <w:t xml:space="preserve">Liver</w:t>
      </w:r>
    </w:p>
    <w:p>
      <w:pPr>
        <w:spacing w:after="120"/>
      </w:pPr>
      <w:r>
        <w:rPr>
          <w:rFonts w:ascii="Times New Roman" w:cs="Times New Roman" w:eastAsia="Times New Roman" w:hAnsi="Times New Roman"/>
          <w:sz w:val="24"/>
          <w:szCs w:val="24"/>
        </w:rPr>
        <w:t xml:space="preserve">Groups 1, 2, and 3: No treatment-related microscopic findings.</w:t>
      </w:r>
    </w:p>
    <w:p>
      <w:pPr>
        <w:spacing w:after="120"/>
      </w:pPr>
      <w:r>
        <w:rPr>
          <w:rFonts w:ascii="Times New Roman" w:cs="Times New Roman" w:eastAsia="Times New Roman" w:hAnsi="Times New Roman"/>
          <w:sz w:val="24"/>
          <w:szCs w:val="24"/>
        </w:rPr>
        <w:t xml:space="preserve">Group 4 (150 mg/kg/day): Minimal to mild centrilobular hepatocyte vacuolisation (Grade 1 to 2) was observed in 9 of 10 males and 8 of 10 females, consistent with lipid accumulation. No hepatocellular necrosis, inflammatory infiltrate, biliary changes, or fibrosis was observed. The finding is considered treatment-related and adverse at 150 mg/kg/day in the context of associated organ weight increases and body weight reduction.</w:t>
      </w:r>
    </w:p>
    <w:p>
      <w:pPr>
        <w:spacing w:after="120"/>
      </w:pPr>
      <w:r>
        <w:rPr>
          <w:rFonts w:ascii="Times New Roman" w:cs="Times New Roman" w:eastAsia="Times New Roman" w:hAnsi="Times New Roman"/>
          <w:sz w:val="24"/>
          <w:szCs w:val="24"/>
        </w:rPr>
        <w:t xml:space="preserve">Group 4R (Recovery): No centrilobular vacuolisation was observed in any recovery animal. Full reversal of hepatic changes was confirmed.</w:t>
      </w:r>
    </w:p>
    <w:p>
      <w:pPr>
        <w:pStyle w:val="Heading3"/>
        <w:spacing w:after="60" w:before="160"/>
      </w:pPr>
      <w:r>
        <w:t xml:space="preserve">Thymus</w:t>
      </w:r>
    </w:p>
    <w:p>
      <w:pPr>
        <w:spacing w:after="120"/>
      </w:pPr>
      <w:r>
        <w:rPr>
          <w:rFonts w:ascii="Times New Roman" w:cs="Times New Roman" w:eastAsia="Times New Roman" w:hAnsi="Times New Roman"/>
          <w:sz w:val="24"/>
          <w:szCs w:val="24"/>
        </w:rPr>
        <w:t xml:space="preserve">Groups 1, 2, and 3: No treatment-related thymic microscopic findings.</w:t>
      </w:r>
    </w:p>
    <w:p>
      <w:pPr>
        <w:spacing w:after="120"/>
      </w:pPr>
      <w:r>
        <w:rPr>
          <w:rFonts w:ascii="Times New Roman" w:cs="Times New Roman" w:eastAsia="Times New Roman" w:hAnsi="Times New Roman"/>
          <w:sz w:val="24"/>
          <w:szCs w:val="24"/>
        </w:rPr>
        <w:t xml:space="preserve">Group 4 (150 mg/kg/day): Moderate lymphoid depletion (Grade 2 to 3) was observed in the thymic cortex of 8 of 10 males and 7 of 10 females. Cortical cellularity was markedly reduced; medullary architecture was maintained. This finding is consistent with secondary immune suppression associated with toxicity at 150 mg/kg/day.</w:t>
      </w:r>
    </w:p>
    <w:p>
      <w:pPr>
        <w:spacing w:after="120"/>
      </w:pPr>
      <w:r>
        <w:rPr>
          <w:rFonts w:ascii="Times New Roman" w:cs="Times New Roman" w:eastAsia="Times New Roman" w:hAnsi="Times New Roman"/>
          <w:sz w:val="24"/>
          <w:szCs w:val="24"/>
        </w:rPr>
        <w:t xml:space="preserve">Group 4R (Recovery): No lymphoid depletion was observed in any recovery animal. Thymic cortical cellularity appeared within normal limits. Full reversal was confirmed.</w:t>
      </w:r>
    </w:p>
    <w:p>
      <w:pPr>
        <w:pStyle w:val="Heading3"/>
        <w:spacing w:after="60" w:before="160"/>
      </w:pPr>
      <w:r>
        <w:t xml:space="preserve">5.3.4 Conclusion</w:t>
      </w:r>
    </w:p>
    <w:p>
      <w:pPr>
        <w:spacing w:after="120"/>
      </w:pPr>
      <w:r>
        <w:rPr>
          <w:rFonts w:ascii="Times New Roman" w:cs="Times New Roman" w:eastAsia="Times New Roman" w:hAnsi="Times New Roman"/>
          <w:sz w:val="24"/>
          <w:szCs w:val="24"/>
        </w:rPr>
        <w:t xml:space="preserve">Compound LF-892 caused treatment-related adverse effects at 150 mg/kg/day (high dose), characterised by pulmonary macrophage accumulation with inflammation, hepatic centrilobular vacuolisation, and thymic lymphoid depletion. Body weight was reduced at this dose level. All findings showed partial to complete reversal following a 4-week recovery period, indicating the changes were not permanent.</w:t>
      </w:r>
    </w:p>
    <w:p>
      <w:pPr>
        <w:spacing w:after="120"/>
      </w:pPr>
      <w:r>
        <w:rPr>
          <w:rFonts w:ascii="Times New Roman" w:cs="Times New Roman" w:eastAsia="Times New Roman" w:hAnsi="Times New Roman"/>
          <w:sz w:val="24"/>
          <w:szCs w:val="24"/>
        </w:rPr>
        <w:t xml:space="preserve">At 50 mg/kg/day (mid dose), minimal pulmonary macrophage accumulation observed in 2 of 10 males is considered a low-incidence, non-adverse, and possibly incidental finding. This dose is designated the LOAEL based on the potential for this finding to represent a very early adaptive response to compound-related pulmonary deposition.</w:t>
      </w:r>
    </w:p>
    <w:p>
      <w:pPr>
        <w:spacing w:after="120"/>
      </w:pPr>
      <w:r>
        <w:rPr>
          <w:rFonts w:ascii="Times New Roman" w:cs="Times New Roman" w:eastAsia="Times New Roman" w:hAnsi="Times New Roman"/>
          <w:sz w:val="24"/>
          <w:szCs w:val="24"/>
        </w:rPr>
        <w:t xml:space="preserve">At 10 mg/kg/day (low dose), no treatment-related findings were identified. This dose is designated the NOAEL.</w:t>
      </w:r>
    </w:p>
    <w:p>
      <w:pPr>
        <w:spacing w:after="120"/>
      </w:pPr>
      <w:r>
        <w:rPr>
          <w:rFonts w:ascii="Times New Roman" w:cs="Times New Roman" w:eastAsia="Times New Roman" w:hAnsi="Times New Roman"/>
          <w:sz w:val="24"/>
          <w:szCs w:val="24"/>
        </w:rPr>
        <w:t xml:space="preserve">The NOAEL for Compound LF-892 is </w:t>
      </w:r>
      <w:r>
        <w:rPr>
          <w:rFonts w:ascii="Times New Roman" w:cs="Times New Roman" w:eastAsia="Times New Roman" w:hAnsi="Times New Roman"/>
          <w:b/>
          <w:bCs/>
          <w:sz w:val="24"/>
          <w:szCs w:val="24"/>
        </w:rPr>
        <w:t xml:space="preserve">10 mg/kg/day</w:t>
      </w:r>
      <w:r>
        <w:rPr>
          <w:rFonts w:ascii="Times New Roman" w:cs="Times New Roman" w:eastAsia="Times New Roman" w:hAnsi="Times New Roman"/>
          <w:sz w:val="24"/>
          <w:szCs w:val="24"/>
        </w:rPr>
        <w:t xml:space="preserve">. The LOAEL is </w:t>
      </w:r>
      <w:r>
        <w:rPr>
          <w:rFonts w:ascii="Times New Roman" w:cs="Times New Roman" w:eastAsia="Times New Roman" w:hAnsi="Times New Roman"/>
          <w:b/>
          <w:bCs/>
          <w:sz w:val="24"/>
          <w:szCs w:val="24"/>
        </w:rPr>
        <w:t xml:space="preserve">50 mg/kg/day</w:t>
      </w:r>
      <w:r>
        <w:rPr>
          <w:rFonts w:ascii="Times New Roman" w:cs="Times New Roman" w:eastAsia="Times New Roman" w:hAnsi="Times New Roman"/>
          <w:sz w:val="24"/>
          <w:szCs w:val="24"/>
        </w:rPr>
        <w:t xml:space="preserve">.</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6.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Abbreviation</w:t>
            </w:r>
          </w:p>
        </w:tc>
        <w:tc>
          <w:tcPr>
            <w:tcW w:type="dxa" w:w="7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Definition</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ANOVA</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analysis of variance</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GLP</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Good Laboratory Practice</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H&amp;E</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haematoxylin and eosin</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LOAEL</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lowest-observed-adverse-effect level</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NOAEL</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no-observed-adverse-effect level</w:t>
            </w:r>
          </w:p>
        </w:tc>
      </w:tr>
      <w:tr>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QAU</w:t>
            </w:r>
          </w:p>
        </w:tc>
        <w:tc>
          <w:tcPr>
            <w:tcW w:type="dxa" w:w="7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Quality Assurance Unit</w:t>
            </w:r>
          </w:p>
        </w:tc>
      </w:tr>
    </w:tbl>
    <w:p>
      <w:pPr>
        <w:spacing w:after="80"/>
      </w:pPr>
      <w:r>
        <w:rPr>
          <w:rFonts w:ascii="Times New Roman" w:cs="Times New Roman" w:eastAsia="Times New Roman" w:hAnsi="Times New Roman"/>
          <w:sz w:val="24"/>
          <w:szCs w:val="24"/>
        </w:rPr>
        <w:t xml:space="preserve"/>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pPr>
      <w:r>
        <w:t xml:space="preserve">7. Quality Assurance Statement</w:t>
      </w:r>
    </w:p>
    <w:p>
      <w:pPr>
        <w:spacing w:after="120"/>
      </w:pPr>
      <w:r>
        <w:rPr>
          <w:rFonts w:ascii="Times New Roman" w:cs="Times New Roman" w:eastAsia="Times New Roman" w:hAnsi="Times New Roman"/>
          <w:sz w:val="24"/>
          <w:szCs w:val="24"/>
        </w:rPr>
        <w:t xml:space="preserve">This study was conducted in compliance with GLP regulations (21 CFR Part 58). Periodic inspections were conducted by the Quality Assurance Unit.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rPr>
          <w:tblHeader/>
        </w:trPr>
        <w:tc>
          <w:tcPr>
            <w:tcW w:type="dxa" w:w="3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Phase Inspected</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Audit Date</w:t>
            </w:r>
          </w:p>
        </w:tc>
        <w:tc>
          <w:tcPr>
            <w:tcW w:type="dxa" w:w="3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Reporting Date</w:t>
            </w:r>
          </w:p>
        </w:tc>
      </w:tr>
      <w:tr>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In-life phase (Weeks 1–4)</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14 March 2023</w:t>
            </w:r>
          </w:p>
        </w:tc>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 March 2023</w:t>
            </w:r>
          </w:p>
        </w:tc>
      </w:tr>
      <w:tr>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In-life phase (Weeks 9–13)</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 June 2023</w:t>
            </w:r>
          </w:p>
        </w:tc>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29 June 2023</w:t>
            </w:r>
          </w:p>
        </w:tc>
      </w:tr>
      <w:tr>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Recovery phase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 August 2023</w:t>
            </w:r>
          </w:p>
        </w:tc>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25 August 2023</w:t>
            </w:r>
          </w:p>
        </w:tc>
      </w:tr>
      <w:tr>
        <w:tc>
          <w:tcPr>
            <w:tcW w:type="dxa" w:w="3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Pathology review</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 February 2024</w:t>
            </w:r>
          </w:p>
        </w:tc>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17 February 2024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color w:val="666666"/>
        <w:sz w:val="18"/>
        <w:szCs w:val="18"/>
      </w:rPr>
      <w:t xml:space="preserve">TOX-2023-0856  │  NONCLINICAL STUDY REPORT  │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80" w:before="200"/>
    </w:pPr>
    <w:rPr>
      <w:rFonts w:ascii="Times New Roman" w:cs="Times New Roman" w:eastAsia="Times New Roman" w:hAnsi="Times New Roman"/>
      <w:b/>
      <w:bCs/>
      <w:color w:val="2E4F8A"/>
      <w:sz w:val="26"/>
      <w:szCs w:val="26"/>
    </w:rPr>
  </w:style>
  <w:style w:type="paragraph" w:styleId="Heading3">
    <w:name w:val="Heading 3"/>
    <w:basedOn w:val="Normal"/>
    <w:next w:val="Normal"/>
    <w:pPr>
      <w:spacing w:after="60" w:before="160"/>
    </w:pPr>
    <w:rPr>
      <w:rFonts w:ascii="Times New Roman" w:cs="Times New Roman" w:eastAsia="Times New Roman" w:hAnsi="Times New Roman"/>
      <w:b/>
      <w:bCs/>
      <w:color w:val="2E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2026-09-22T21:57:08.129Z</dcterms:created>
  <dcterms:modified xsi:type="dcterms:W3CDTF">2026-09-22T21:57:08.129Z</dcterms:modified>
</cp:coreProperties>
</file>

<file path=docProps/custom.xml><?xml version="1.0" encoding="utf-8"?>
<Properties xmlns="http://schemas.openxmlformats.org/officeDocument/2006/custom-properties" xmlns:vt="http://schemas.openxmlformats.org/officeDocument/2006/docPropsVTypes"/>
</file>