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NONCLINICAL STUDY REPORT</w:t>
      </w:r>
    </w:p>
    <w:p>
      <w:pPr>
        <w:spacing w:after="8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b/>
          <w:bCs/>
          <w:sz w:val="24"/>
          <w:szCs w:val="24"/>
        </w:rPr>
        <w:t xml:space="preserve">Study Title: </w:t>
      </w:r>
      <w:r>
        <w:rPr>
          <w:rFonts w:ascii="Times New Roman" w:cs="Times New Roman" w:eastAsia="Times New Roman" w:hAnsi="Times New Roman"/>
          <w:sz w:val="24"/>
          <w:szCs w:val="24"/>
        </w:rPr>
        <w:t xml:space="preserve">A 28-Day Repeat-Dose Oral Gavage Toxicity Study with Compound BM-341 in Sprague-Dawley Rats</w:t>
      </w:r>
    </w:p>
    <w:p>
      <w:pPr>
        <w:spacing w:after="60"/>
      </w:pPr>
      <w:r>
        <w:rPr>
          <w:rFonts w:ascii="Times New Roman" w:cs="Times New Roman" w:eastAsia="Times New Roman" w:hAnsi="Times New Roman"/>
          <w:b/>
          <w:bCs/>
          <w:sz w:val="24"/>
          <w:szCs w:val="24"/>
        </w:rPr>
        <w:t xml:space="preserve">Study Number: </w:t>
      </w:r>
      <w:r>
        <w:rPr>
          <w:rFonts w:ascii="Times New Roman" w:cs="Times New Roman" w:eastAsia="Times New Roman" w:hAnsi="Times New Roman"/>
          <w:sz w:val="24"/>
          <w:szCs w:val="24"/>
        </w:rPr>
        <w:t xml:space="preserve">TOX-2024-0931</w:t>
      </w:r>
    </w:p>
    <w:p>
      <w:pPr>
        <w:spacing w:after="60"/>
      </w:pPr>
      <w:r>
        <w:rPr>
          <w:rFonts w:ascii="Times New Roman" w:cs="Times New Roman" w:eastAsia="Times New Roman" w:hAnsi="Times New Roman"/>
          <w:b/>
          <w:bCs/>
          <w:sz w:val="24"/>
          <w:szCs w:val="24"/>
        </w:rPr>
        <w:t xml:space="preserve">Test Facility: </w:t>
      </w:r>
      <w:r>
        <w:rPr>
          <w:rFonts w:ascii="Times New Roman" w:cs="Times New Roman" w:eastAsia="Times New Roman" w:hAnsi="Times New Roman"/>
          <w:sz w:val="24"/>
          <w:szCs w:val="24"/>
        </w:rPr>
        <w:t xml:space="preserve">Nonclinical Safety Research, New Brunswick, NJ</w:t>
      </w:r>
    </w:p>
    <w:p>
      <w:pPr>
        <w:spacing w:after="60"/>
      </w:pPr>
      <w:r>
        <w:rPr>
          <w:rFonts w:ascii="Times New Roman" w:cs="Times New Roman" w:eastAsia="Times New Roman" w:hAnsi="Times New Roman"/>
          <w:b/>
          <w:bCs/>
          <w:sz w:val="24"/>
          <w:szCs w:val="24"/>
        </w:rPr>
        <w:t xml:space="preserve">Sponsor: </w:t>
      </w:r>
      <w:r>
        <w:rPr>
          <w:rFonts w:ascii="Times New Roman" w:cs="Times New Roman" w:eastAsia="Times New Roman" w:hAnsi="Times New Roman"/>
          <w:sz w:val="24"/>
          <w:szCs w:val="24"/>
        </w:rPr>
        <w:t xml:space="preserve">Internal — Nonclinical Safety Research</w:t>
      </w:r>
    </w:p>
    <w:p>
      <w:pPr>
        <w:spacing w:after="60"/>
      </w:pPr>
      <w:r>
        <w:rPr>
          <w:rFonts w:ascii="Times New Roman" w:cs="Times New Roman" w:eastAsia="Times New Roman" w:hAnsi="Times New Roman"/>
          <w:b/>
          <w:bCs/>
          <w:sz w:val="24"/>
          <w:szCs w:val="24"/>
        </w:rPr>
        <w:t xml:space="preserve">Test Article: </w:t>
      </w:r>
      <w:r>
        <w:rPr>
          <w:rFonts w:ascii="Times New Roman" w:cs="Times New Roman" w:eastAsia="Times New Roman" w:hAnsi="Times New Roman"/>
          <w:sz w:val="24"/>
          <w:szCs w:val="24"/>
        </w:rPr>
        <w:t xml:space="preserve">Compound BM-341</w:t>
      </w:r>
    </w:p>
    <w:p>
      <w:pPr>
        <w:spacing w:after="60"/>
      </w:pPr>
      <w:r>
        <w:rPr>
          <w:rFonts w:ascii="Times New Roman" w:cs="Times New Roman" w:eastAsia="Times New Roman" w:hAnsi="Times New Roman"/>
          <w:b/>
          <w:bCs/>
          <w:sz w:val="24"/>
          <w:szCs w:val="24"/>
        </w:rPr>
        <w:t xml:space="preserve">Species/Strain: </w:t>
      </w:r>
      <w:r>
        <w:rPr>
          <w:rFonts w:ascii="Times New Roman" w:cs="Times New Roman" w:eastAsia="Times New Roman" w:hAnsi="Times New Roman"/>
          <w:sz w:val="24"/>
          <w:szCs w:val="24"/>
        </w:rPr>
        <w:t xml:space="preserve">Rat / Sprague-Dawley (Crl:CD(SD))</w:t>
      </w:r>
    </w:p>
    <w:p>
      <w:pPr>
        <w:spacing w:after="60"/>
      </w:pPr>
      <w:r>
        <w:rPr>
          <w:rFonts w:ascii="Times New Roman" w:cs="Times New Roman" w:eastAsia="Times New Roman" w:hAnsi="Times New Roman"/>
          <w:b/>
          <w:bCs/>
          <w:sz w:val="24"/>
          <w:szCs w:val="24"/>
        </w:rPr>
        <w:t xml:space="preserve">GLP Status: </w:t>
      </w:r>
      <w:r>
        <w:rPr>
          <w:rFonts w:ascii="Times New Roman" w:cs="Times New Roman" w:eastAsia="Times New Roman" w:hAnsi="Times New Roman"/>
          <w:sz w:val="24"/>
          <w:szCs w:val="24"/>
        </w:rPr>
        <w:t xml:space="preserve">GLP</w:t>
      </w:r>
    </w:p>
    <w:p>
      <w:pPr>
        <w:spacing w:after="60"/>
      </w:pPr>
      <w:r>
        <w:rPr>
          <w:rFonts w:ascii="Times New Roman" w:cs="Times New Roman" w:eastAsia="Times New Roman" w:hAnsi="Times New Roman"/>
          <w:b/>
          <w:bCs/>
          <w:sz w:val="24"/>
          <w:szCs w:val="24"/>
        </w:rPr>
        <w:t xml:space="preserve">Study Director: </w:t>
      </w:r>
      <w:r>
        <w:rPr>
          <w:rFonts w:ascii="Times New Roman" w:cs="Times New Roman" w:eastAsia="Times New Roman" w:hAnsi="Times New Roman"/>
          <w:sz w:val="24"/>
          <w:szCs w:val="24"/>
        </w:rPr>
        <w:t xml:space="preserve">R. Patel, PhD</w:t>
      </w:r>
    </w:p>
    <w:p>
      <w:pPr>
        <w:spacing w:after="60"/>
      </w:pPr>
      <w:r>
        <w:rPr>
          <w:rFonts w:ascii="Times New Roman" w:cs="Times New Roman" w:eastAsia="Times New Roman" w:hAnsi="Times New Roman"/>
          <w:b/>
          <w:bCs/>
          <w:sz w:val="24"/>
          <w:szCs w:val="24"/>
        </w:rPr>
        <w:t xml:space="preserve">Report Date: </w:t>
      </w:r>
      <w:r>
        <w:rPr>
          <w:rFonts w:ascii="Times New Roman" w:cs="Times New Roman" w:eastAsia="Times New Roman" w:hAnsi="Times New Roman"/>
          <w:sz w:val="24"/>
          <w:szCs w:val="24"/>
        </w:rPr>
        <w:t xml:space="preserve">04 October 2024</w:t>
      </w:r>
    </w:p>
    <w:p>
      <w:pPr>
        <w:spacing w:after="60"/>
      </w:pPr>
      <w:r>
        <w:rPr>
          <w:rFonts w:ascii="Times New Roman" w:cs="Times New Roman" w:eastAsia="Times New Roman" w:hAnsi="Times New Roman"/>
          <w:b/>
          <w:bCs/>
          <w:sz w:val="24"/>
          <w:szCs w:val="24"/>
        </w:rPr>
        <w:t xml:space="preserve">Report Status: </w:t>
      </w:r>
      <w:r>
        <w:rPr>
          <w:rFonts w:ascii="Times New Roman" w:cs="Times New Roman" w:eastAsia="Times New Roman" w:hAnsi="Times New Roman"/>
          <w:sz w:val="24"/>
          <w:szCs w:val="24"/>
        </w:rPr>
        <w:t xml:space="preserve">APPROVED</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Summary</w:t>
      </w:r>
    </w:p>
    <w:p>
      <w:pPr>
        <w:spacing w:after="120"/>
      </w:pPr>
      <w:r>
        <w:rPr>
          <w:rFonts w:ascii="Times New Roman" w:cs="Times New Roman" w:eastAsia="Times New Roman" w:hAnsi="Times New Roman"/>
          <w:sz w:val="24"/>
          <w:szCs w:val="24"/>
        </w:rPr>
        <w:t xml:space="preserve">Compound BM-341 was administered once daily by oral gavage to Sprague-Dawley rats (5/sex/group) at doses of 0, 15, 75, or 300 mg/kg/day for 28 consecutive days. All 40 animals survived to scheduled necropsy. No treatment-related clinical signs were observed at any dose level.</w:t>
      </w:r>
    </w:p>
    <w:p>
      <w:pPr>
        <w:spacing w:after="120"/>
      </w:pPr>
      <w:r>
        <w:rPr>
          <w:rFonts w:ascii="Times New Roman" w:cs="Times New Roman" w:eastAsia="Times New Roman" w:hAnsi="Times New Roman"/>
          <w:sz w:val="24"/>
          <w:szCs w:val="24"/>
        </w:rPr>
        <w:t xml:space="preserve">No treatment-related effects on body weight, food consumption, or organ weights were observed at 15 or 75 mg/kg/day. At 300 mg/kg/day, a very slight and non-statistically-significant increase in kidney weight was noted in males (+5.8% vs. controls) and females (+5.2% vs. controls), in the absence of any adverse clinical, macroscopic, or functional correlates.</w:t>
      </w:r>
    </w:p>
    <w:p>
      <w:pPr>
        <w:spacing w:after="120"/>
      </w:pPr>
      <w:r>
        <w:rPr>
          <w:rFonts w:ascii="Times New Roman" w:cs="Times New Roman" w:eastAsia="Times New Roman" w:hAnsi="Times New Roman"/>
          <w:sz w:val="24"/>
          <w:szCs w:val="24"/>
        </w:rPr>
        <w:t xml:space="preserve">Microscopically, minimal renal tubular basophilia (Grade 1) was observed in 3 of 5 Group 3 males (75 mg/kg/day) and in all Group 4 animals (300 mg/kg/day). At 300 mg/kg/day, minimal focal erythroid hyperplasia (Grade 1) was observed in the bone marrow of 3 of 5 males and 2 of 5 females. Both findings are considered adaptive physiological responses at the cellular level, with no associated adverse functional, clinical, or gross pathological correlates. No compound-related adverse findings were identified at any dose level.</w:t>
      </w:r>
    </w:p>
    <w:p>
      <w:pPr>
        <w:spacing w:after="120"/>
      </w:pPr>
      <w:r>
        <w:rPr>
          <w:rFonts w:ascii="Times New Roman" w:cs="Times New Roman" w:eastAsia="Times New Roman" w:hAnsi="Times New Roman"/>
          <w:sz w:val="24"/>
          <w:szCs w:val="24"/>
        </w:rPr>
        <w:t xml:space="preserve">The no-observed-adverse-effect level (NOAEL) for Compound BM-341 under the conditions of this study is </w:t>
      </w:r>
      <w:r>
        <w:rPr>
          <w:rFonts w:ascii="Times New Roman" w:cs="Times New Roman" w:eastAsia="Times New Roman" w:hAnsi="Times New Roman"/>
          <w:b/>
          <w:bCs/>
          <w:sz w:val="24"/>
          <w:szCs w:val="24"/>
        </w:rPr>
        <w:t xml:space="preserve">300 mg/kg/day</w:t>
      </w:r>
      <w:r>
        <w:rPr>
          <w:rFonts w:ascii="Times New Roman" w:cs="Times New Roman" w:eastAsia="Times New Roman" w:hAnsi="Times New Roman"/>
          <w:sz w:val="24"/>
          <w:szCs w:val="24"/>
        </w:rPr>
        <w:t xml:space="preserve">, the highest dose tested. No lowest-observed-adverse-effect level (LOAEL) was established.</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1. Objective</w:t>
      </w:r>
    </w:p>
    <w:p>
      <w:pPr>
        <w:spacing w:after="120"/>
      </w:pPr>
      <w:r>
        <w:rPr>
          <w:rFonts w:ascii="Times New Roman" w:cs="Times New Roman" w:eastAsia="Times New Roman" w:hAnsi="Times New Roman"/>
          <w:sz w:val="24"/>
          <w:szCs w:val="24"/>
        </w:rPr>
        <w:t xml:space="preserve">The objectives of this study were to: (1) evaluate the potential toxicity of Compound BM-341 following repeated oral gavage administration to Sprague-Dawley rats for 28 consecutive days; (2) characterise the nature, severity, and dose-response relationship of any treatment-related effects; (3) identify any target organs of toxicity; and (4) establish a no-observed-adverse-effect level (NOAEL) to support further development. The study was conducted in compliance with Good Laboratory Practice (GLP) regulations.</w:t>
      </w:r>
    </w:p>
    <w:p>
      <w:pPr>
        <w:spacing w:after="120"/>
      </w:pPr>
      <w:r>
        <w:rPr>
          <w:rFonts w:ascii="Times New Roman" w:cs="Times New Roman" w:eastAsia="Times New Roman" w:hAnsi="Times New Roman"/>
          <w:sz w:val="24"/>
          <w:szCs w:val="24"/>
        </w:rPr>
        <w:t xml:space="preserve">Compound BM-341 is a novel small-molecule inhibitor of a renal proximal tubular transporter under development for the treatment of metabolic syndrome. Based on the mechanism of action and the renal tubular target, the kidney was designated as the organ of primary interest. Bone marrow was identified as a secondary organ of interest based on in vitro haematopoietic assay data. The doses of 15, 75, and 300 mg/kg/day were selected based on the no-effect level and supratherapeutic multiples established in a 7-day dose range-finding study, in which no adverse findings were observed up to 300 mg/kg/day.</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2. Experimental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Parameter</w:t>
            </w:r>
          </w:p>
        </w:tc>
        <w:tc>
          <w:tcPr>
            <w:tcW w:type="dxa" w:w="5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Detail</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Species</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Sprague-Dawley rat (Crl:CD(SD))</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Source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Charles River Laboratories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Age at study start</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7 to 8 weeks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Route of administration</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Oral gavage</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Dosing frequency</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Once daily, 7 days per week</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Study duration</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28 days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Vehicle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Sterile saline (0.9% NaCl)</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Dose volume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 mL/kg body weight</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Animal Allocation: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200"/>
        <w:gridCol w:w="1200"/>
      </w:tblGrid>
      <w:tr>
        <w:trPr>
          <w:tblHeader/>
        </w:trPr>
        <w:tc>
          <w:tcPr>
            <w:tcW w:type="dxa" w:w="2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18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Dose (mg/kg/day)</w:t>
            </w:r>
          </w:p>
        </w:tc>
        <w:tc>
          <w:tcPr>
            <w:tcW w:type="dxa" w:w="1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Males</w:t>
            </w:r>
          </w:p>
        </w:tc>
        <w:tc>
          <w:tcPr>
            <w:tcW w:type="dxa" w:w="1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Females</w:t>
            </w:r>
          </w:p>
        </w:tc>
        <w:tc>
          <w:tcPr>
            <w:tcW w:type="dxa" w:w="1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Total</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 — Vehicle Control</w:t>
            </w:r>
          </w:p>
        </w:tc>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 — Low Dose</w:t>
            </w:r>
          </w:p>
        </w:tc>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 — Mid Dose</w:t>
            </w:r>
          </w:p>
        </w:tc>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75</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 — High Dose</w:t>
            </w:r>
          </w:p>
        </w:tc>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300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Total</w:t>
            </w:r>
          </w:p>
        </w:tc>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40</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Animals were housed 2 per cage under standard conditions (22 ± 2°C, 12-hour light/dark cycle) with free access to certified rodent diet and water. Animals were assigned to groups by stratified randomisation based on body weight on Day 1.</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3. Materials and Methods</w:t>
      </w:r>
    </w:p>
    <w:p>
      <w:pPr>
        <w:pStyle w:val="Heading2"/>
        <w:spacing w:after="80" w:before="200"/>
      </w:pPr>
      <w:r>
        <w:t xml:space="preserve">3.1 Test Article</w:t>
      </w:r>
    </w:p>
    <w:p>
      <w:pPr>
        <w:spacing w:after="120"/>
      </w:pPr>
      <w:r>
        <w:rPr>
          <w:rFonts w:ascii="Times New Roman" w:cs="Times New Roman" w:eastAsia="Times New Roman" w:hAnsi="Times New Roman"/>
          <w:sz w:val="24"/>
          <w:szCs w:val="24"/>
        </w:rPr>
        <w:t xml:space="preserve">Compound BM-341 was supplied by the Sponsor Analytical Chemistry Group. The batch used (BM341-2024-D02) had a purity of 98.3% (HPLC). The test article was stored refrigerated (2 to 8°C), protected from light.</w:t>
      </w:r>
    </w:p>
    <w:p>
      <w:pPr>
        <w:pStyle w:val="Heading2"/>
        <w:spacing w:after="80" w:before="200"/>
      </w:pPr>
      <w:r>
        <w:t xml:space="preserve">3.2 Vehicle</w:t>
      </w:r>
    </w:p>
    <w:p>
      <w:pPr>
        <w:spacing w:after="120"/>
      </w:pPr>
      <w:r>
        <w:rPr>
          <w:rFonts w:ascii="Times New Roman" w:cs="Times New Roman" w:eastAsia="Times New Roman" w:hAnsi="Times New Roman"/>
          <w:sz w:val="24"/>
          <w:szCs w:val="24"/>
        </w:rPr>
        <w:t xml:space="preserve">Vehicle was sterile saline (0.9% NaCl, w/v). Dosing formulations were prepared as solutions and stored refrigerated (2 to 8°C).</w:t>
      </w:r>
    </w:p>
    <w:p>
      <w:pPr>
        <w:pStyle w:val="Heading2"/>
        <w:spacing w:after="80" w:before="200"/>
      </w:pPr>
      <w:r>
        <w:t xml:space="preserve">3.3 Test System</w:t>
      </w:r>
    </w:p>
    <w:p>
      <w:pPr>
        <w:spacing w:after="120"/>
      </w:pPr>
      <w:r>
        <w:rPr>
          <w:rFonts w:ascii="Times New Roman" w:cs="Times New Roman" w:eastAsia="Times New Roman" w:hAnsi="Times New Roman"/>
          <w:sz w:val="24"/>
          <w:szCs w:val="24"/>
        </w:rPr>
        <w:t xml:space="preserve">Naive, virus antibody-free Sprague-Dawley rats (Crl:CD(SD)) were obtained from Charles River Laboratories. Animals arrived at 7 weeks of age and were acclimated for a minimum of 5 days prior to Day 1.</w:t>
      </w:r>
    </w:p>
    <w:p>
      <w:pPr>
        <w:pStyle w:val="Heading2"/>
        <w:spacing w:after="80" w:before="200"/>
      </w:pPr>
      <w:r>
        <w:t xml:space="preserve">3.4 Dose Formulation Verification</w:t>
      </w:r>
    </w:p>
    <w:p>
      <w:pPr>
        <w:spacing w:after="120"/>
      </w:pPr>
      <w:r>
        <w:rPr>
          <w:rFonts w:ascii="Times New Roman" w:cs="Times New Roman" w:eastAsia="Times New Roman" w:hAnsi="Times New Roman"/>
          <w:sz w:val="24"/>
          <w:szCs w:val="24"/>
        </w:rPr>
        <w:t xml:space="preserve">Dosing formulation samples were collected for concentration verification on Days 1 and 28. Samples were analysed by HPLC. Acceptance criteria: measured concentration within ±10% of nominal.</w:t>
      </w:r>
    </w:p>
    <w:p>
      <w:pPr>
        <w:pStyle w:val="Heading2"/>
        <w:spacing w:after="80" w:before="200"/>
      </w:pPr>
      <w:r>
        <w:t xml:space="preserve">3.5 Terminal Procedures</w:t>
      </w:r>
    </w:p>
    <w:p>
      <w:pPr>
        <w:spacing w:after="120"/>
      </w:pPr>
      <w:r>
        <w:rPr>
          <w:rFonts w:ascii="Times New Roman" w:cs="Times New Roman" w:eastAsia="Times New Roman" w:hAnsi="Times New Roman"/>
          <w:sz w:val="24"/>
          <w:szCs w:val="24"/>
        </w:rPr>
        <w:t xml:space="preserve">All surviving animals were euthanised on Day 29 by carbon dioxide inhalation followed by exsanguination. A complete macroscopic examination was performed on all animals. Terminal body weights were recorded immediately prior to euthanasia. The following organs were weighed: liver, kidneys (paired), heart, brain, spleen, and thymus.</w:t>
      </w:r>
    </w:p>
    <w:p>
      <w:pPr>
        <w:pStyle w:val="Heading2"/>
        <w:spacing w:after="80" w:before="200"/>
      </w:pPr>
      <w:r>
        <w:t xml:space="preserve">3.6 Histology and Histopathology</w:t>
      </w:r>
    </w:p>
    <w:p>
      <w:pPr>
        <w:spacing w:after="120"/>
      </w:pPr>
      <w:r>
        <w:rPr>
          <w:rFonts w:ascii="Times New Roman" w:cs="Times New Roman" w:eastAsia="Times New Roman" w:hAnsi="Times New Roman"/>
          <w:sz w:val="24"/>
          <w:szCs w:val="24"/>
        </w:rPr>
        <w:t xml:space="preserve">Tissues from all animals in Groups 1 and 4 were fixed in 10% neutral buffered formalin, processed, and embedded in paraffin. Target tissues (kidneys and bone marrow) from Groups 2 and 3 were similarly processed. Sections were cut at 4 to 6 μm and stained with haematoxylin and eosin (H&amp;E). Microscopic findings were graded on a scale of 1 (Minimal) to 5 (Severe). A pathology peer review was conducted by an independent board-certified veterinary pathologist.</w:t>
      </w:r>
    </w:p>
    <w:p>
      <w:pPr>
        <w:pStyle w:val="Heading2"/>
        <w:spacing w:after="80" w:before="200"/>
      </w:pPr>
      <w:r>
        <w:t xml:space="preserve">3.7 Statistical Analysis</w:t>
      </w:r>
    </w:p>
    <w:p>
      <w:pPr>
        <w:spacing w:after="120"/>
      </w:pPr>
      <w:r>
        <w:rPr>
          <w:rFonts w:ascii="Times New Roman" w:cs="Times New Roman" w:eastAsia="Times New Roman" w:hAnsi="Times New Roman"/>
          <w:sz w:val="24"/>
          <w:szCs w:val="24"/>
        </w:rPr>
        <w:t xml:space="preserve">Continuous variables (body weights, organ weights) were analysed by one-way ANOVA with Dunnett’s post-hoc test. Where Bartlett’s test indicated heterogeneity of variance (p &lt; 0.05), the Kruskal-Wallis test with Dunn’s post-hoc was applied. Incidence data were compared by Fisher’s exact test. Statistical significance was set at p &lt; 0.05.</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4. Deviations</w:t>
      </w:r>
    </w:p>
    <w:p>
      <w:pPr>
        <w:spacing w:after="120"/>
      </w:pPr>
      <w:r>
        <w:rPr>
          <w:rFonts w:ascii="Times New Roman" w:cs="Times New Roman" w:eastAsia="Times New Roman" w:hAnsi="Times New Roman"/>
          <w:sz w:val="24"/>
          <w:szCs w:val="24"/>
        </w:rPr>
        <w:t xml:space="preserve">No protocol deviations were noted during the conduct of this study.</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5. Results</w:t>
      </w:r>
    </w:p>
    <w:p>
      <w:pPr>
        <w:pStyle w:val="Heading2"/>
        <w:spacing w:after="80" w:before="200"/>
      </w:pPr>
      <w:r>
        <w:t xml:space="preserve">5.1 Test Article Formulation and Analyses Verification</w:t>
      </w:r>
    </w:p>
    <w:p>
      <w:pPr>
        <w:spacing w:after="120"/>
      </w:pPr>
      <w:r>
        <w:rPr>
          <w:rFonts w:ascii="Times New Roman" w:cs="Times New Roman" w:eastAsia="Times New Roman" w:hAnsi="Times New Roman"/>
          <w:sz w:val="24"/>
          <w:szCs w:val="24"/>
        </w:rPr>
        <w:t xml:space="preserve">Dosing formulation samples were collected and analysed on Days 1 and 28. All measured concentrations were within ±10% of the nominal target concentration. No test article was detected in vehicle control formulations. All dosing formulations met the predefined acceptance criteria.</w:t>
      </w:r>
    </w:p>
    <w:p>
      <w:pPr>
        <w:pStyle w:val="Heading2"/>
        <w:spacing w:after="80" w:before="200"/>
      </w:pPr>
      <w:r>
        <w:t xml:space="preserve">5.2 In-Life Observations and Measurements</w:t>
      </w:r>
    </w:p>
    <w:p>
      <w:pPr>
        <w:pStyle w:val="Heading3"/>
        <w:spacing w:after="60" w:before="160"/>
      </w:pPr>
      <w:r>
        <w:t xml:space="preserve">5.2.1 Mortality</w:t>
      </w:r>
    </w:p>
    <w:p>
      <w:pPr>
        <w:spacing w:after="120"/>
      </w:pPr>
      <w:r>
        <w:rPr>
          <w:rFonts w:ascii="Times New Roman" w:cs="Times New Roman" w:eastAsia="Times New Roman" w:hAnsi="Times New Roman"/>
          <w:sz w:val="24"/>
          <w:szCs w:val="24"/>
        </w:rPr>
        <w:t xml:space="preserve">No unscheduled deaths or moribund euthanasias occurred during the study. All 40 animals (20 males, 20 females) survived to scheduled necropsy on Day 29.</w:t>
      </w:r>
    </w:p>
    <w:p>
      <w:pPr>
        <w:pStyle w:val="Heading3"/>
        <w:spacing w:after="60" w:before="160"/>
      </w:pPr>
      <w:r>
        <w:t xml:space="preserve">5.2.2 Clinical Observations</w:t>
      </w:r>
    </w:p>
    <w:p>
      <w:pPr>
        <w:spacing w:after="120"/>
      </w:pPr>
      <w:r>
        <w:rPr>
          <w:rFonts w:ascii="Times New Roman" w:cs="Times New Roman" w:eastAsia="Times New Roman" w:hAnsi="Times New Roman"/>
          <w:sz w:val="24"/>
          <w:szCs w:val="24"/>
        </w:rPr>
        <w:t xml:space="preserve">No treatment-related clinical signs were observed in any Group 1, 2, 3, or 4 male or female animal at any cage-side or detailed clinical examination timepoint. All animals appeared healthy and clinically normal throughout the 28-day dosing period.</w:t>
      </w:r>
    </w:p>
    <w:p>
      <w:pPr>
        <w:pStyle w:val="Heading3"/>
        <w:spacing w:after="60" w:before="160"/>
      </w:pPr>
      <w:r>
        <w:t xml:space="preserve">5.2.3 Body Weight</w:t>
      </w:r>
    </w:p>
    <w:p>
      <w:pPr>
        <w:spacing w:after="120"/>
      </w:pPr>
      <w:r>
        <w:rPr>
          <w:rFonts w:ascii="Times New Roman" w:cs="Times New Roman" w:eastAsia="Times New Roman" w:hAnsi="Times New Roman"/>
          <w:sz w:val="24"/>
          <w:szCs w:val="24"/>
        </w:rPr>
        <w:t xml:space="preserve">Body weights were recorded on Day 1 (pre-dose) and weekly thereafter through Day 28.</w:t>
      </w:r>
    </w:p>
    <w:p>
      <w:pPr>
        <w:spacing w:after="120"/>
      </w:pPr>
      <w:r>
        <w:rPr>
          <w:rFonts w:ascii="Times New Roman" w:cs="Times New Roman" w:eastAsia="Times New Roman" w:hAnsi="Times New Roman"/>
          <w:b/>
          <w:bCs/>
          <w:sz w:val="24"/>
          <w:szCs w:val="24"/>
        </w:rPr>
        <w:t xml:space="preserve">Male Mean Body Weights (g):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tblGrid>
      <w:tr>
        <w:trPr>
          <w:tblHeader/>
        </w:trPr>
        <w:tc>
          <w:tcPr>
            <w:tcW w:type="dxa" w:w="2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1</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7</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14</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21</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28</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G1 — Control (0 mg/kg)</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231</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261</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289</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314</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337</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G2 — Low (15 mg/kg)</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230</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260</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288</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313</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336</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G3 — Mid (75 mg/kg)</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232</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262</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290</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315</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338</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G4 — High (300 mg/kg)</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231</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261</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289</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314</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337</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Female Mean Body Weights (g):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tblGrid>
      <w:tr>
        <w:trPr>
          <w:tblHeader/>
        </w:trPr>
        <w:tc>
          <w:tcPr>
            <w:tcW w:type="dxa" w:w="2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1</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7</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14</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21</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28</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G1 — Control (0 mg/kg)</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184</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204</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220</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233</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244</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G2 — Low (15 mg/kg)</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183</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203</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219</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232</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243</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G3 — Mid (75 mg/kg)</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185</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205</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221</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234</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245</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G4 — High (300 mg/kg)</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184</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204</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220</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233</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244</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Body weight gain was comparable across all dose groups throughout the 28-day dosing period. No statistically significant or biologically meaningful differences in body weight were observed in any treatment group relative to controls at any timepoint.</w:t>
      </w:r>
    </w:p>
    <w:p>
      <w:pPr>
        <w:pStyle w:val="Heading2"/>
        <w:spacing w:after="80" w:before="200"/>
      </w:pPr>
      <w:r>
        <w:t xml:space="preserve">5.3 Anatomic Pathology</w:t>
      </w:r>
    </w:p>
    <w:p>
      <w:pPr>
        <w:pStyle w:val="Heading3"/>
        <w:spacing w:after="60" w:before="160"/>
      </w:pPr>
      <w:r>
        <w:t xml:space="preserve">5.3.1 Organ Weights</w:t>
      </w:r>
    </w:p>
    <w:p>
      <w:pPr>
        <w:spacing w:after="120"/>
      </w:pPr>
      <w:r>
        <w:rPr>
          <w:rFonts w:ascii="Times New Roman" w:cs="Times New Roman" w:eastAsia="Times New Roman" w:hAnsi="Times New Roman"/>
          <w:b/>
          <w:bCs/>
          <w:sz w:val="24"/>
          <w:szCs w:val="24"/>
        </w:rPr>
        <w:t xml:space="preserve">Male Absolute Organ Weights (g) — Group Means: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tblGrid>
      <w:tr>
        <w:trPr>
          <w:tblHeader/>
        </w:trPr>
        <w:tc>
          <w:tcPr>
            <w:tcW w:type="dxa" w:w="2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Organ</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G1 Control</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G2 Low</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G3 Mid</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G4 High</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Liver</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11.31</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11.38</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11.44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11.62</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Kidneys (paired)</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2.21</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2.27</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2.33</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Heart</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1.10</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Brain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1.88</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1.88</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Spleen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0.73</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0.73</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0.74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0.74</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Thymus</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0.39</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Female Absolute Organ Weights (g) — Group Means: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tblGrid>
      <w:tr>
        <w:trPr>
          <w:tblHeader/>
        </w:trPr>
        <w:tc>
          <w:tcPr>
            <w:tcW w:type="dxa" w:w="2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Organ</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G1 Control</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G2 Low</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G3 Mid</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G4 High</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Liver</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8.62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8.65</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8.68</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8.74</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Kidneys (paired)</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1.57</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1.62</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Heart</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0.87</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0.87</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0.87</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0.88</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Brain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1.86</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1.86</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1.85</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1.85</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Spleen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0.63</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Thymus</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0.41</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0.41</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0.41</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0.40</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Kidney weights showed a slight increase in Group 4 males (+5.8%) and females (+5.2%). These differences did not reach statistical significance (p &gt; 0.05, Dunnett’s test) and were not associated with adverse macroscopic or clinical correlates. All other organ weights were comparable across all dose groups.</w:t>
      </w:r>
    </w:p>
    <w:p>
      <w:pPr>
        <w:pStyle w:val="Heading3"/>
        <w:spacing w:after="60" w:before="160"/>
      </w:pPr>
      <w:r>
        <w:t xml:space="preserve">5.3.2 Macroscopic Observations</w:t>
      </w:r>
    </w:p>
    <w:p>
      <w:pPr>
        <w:spacing w:after="120"/>
      </w:pPr>
      <w:r>
        <w:rPr>
          <w:rFonts w:ascii="Times New Roman" w:cs="Times New Roman" w:eastAsia="Times New Roman" w:hAnsi="Times New Roman"/>
          <w:sz w:val="24"/>
          <w:szCs w:val="24"/>
        </w:rPr>
        <w:t xml:space="preserve">A complete macroscopic examination was performed on all animals at scheduled necropsy on Day 29.</w:t>
      </w:r>
    </w:p>
    <w:p>
      <w:pPr>
        <w:spacing w:after="120"/>
      </w:pPr>
      <w:r>
        <w:rPr>
          <w:rFonts w:ascii="Times New Roman" w:cs="Times New Roman" w:eastAsia="Times New Roman" w:hAnsi="Times New Roman"/>
          <w:sz w:val="24"/>
          <w:szCs w:val="24"/>
        </w:rPr>
        <w:t xml:space="preserve">Groups 1, 2, 3, and 4 (0, 15, 75, and 300 mg/kg/day): No treatment-related macroscopic findings were observed in any tissue, including the kidneys, liver, spleen, thymus, adrenal glands, lungs, heart, brain, or gonads, in any male or female animal at any dose level. All tissues examined appeared grossly normal.</w:t>
      </w:r>
    </w:p>
    <w:p>
      <w:pPr>
        <w:pStyle w:val="Heading3"/>
        <w:spacing w:after="60" w:before="160"/>
      </w:pPr>
      <w:r>
        <w:t xml:space="preserve">5.3.3 Microscopic Findings</w:t>
      </w:r>
    </w:p>
    <w:p>
      <w:pPr>
        <w:spacing w:after="120"/>
      </w:pPr>
      <w:r>
        <w:rPr>
          <w:rFonts w:ascii="Times New Roman" w:cs="Times New Roman" w:eastAsia="Times New Roman" w:hAnsi="Times New Roman"/>
          <w:sz w:val="24"/>
          <w:szCs w:val="24"/>
        </w:rPr>
        <w:t xml:space="preserve">Microscopic examination was performed on all tissues from Group 1 and Group 4 animals, and on target tissues (kidneys and bone marrow) from Groups 2 and 3.</w:t>
      </w:r>
    </w:p>
    <w:p>
      <w:pPr>
        <w:spacing w:after="120"/>
      </w:pPr>
      <w:r>
        <w:rPr>
          <w:rFonts w:ascii="Times New Roman" w:cs="Times New Roman" w:eastAsia="Times New Roman" w:hAnsi="Times New Roman"/>
          <w:b/>
          <w:bCs/>
          <w:sz w:val="24"/>
          <w:szCs w:val="24"/>
        </w:rPr>
        <w:t xml:space="preserve">Kidneys:</w:t>
      </w:r>
    </w:p>
    <w:p>
      <w:pPr>
        <w:spacing w:after="120"/>
      </w:pPr>
      <w:r>
        <w:rPr>
          <w:rFonts w:ascii="Times New Roman" w:cs="Times New Roman" w:eastAsia="Times New Roman" w:hAnsi="Times New Roman"/>
          <w:sz w:val="24"/>
          <w:szCs w:val="24"/>
        </w:rPr>
        <w:t xml:space="preserve">Group 1: No treatment-related microscopic findings. Renal parenchyma was within normal limits in all animals examined.</w:t>
      </w:r>
    </w:p>
    <w:p>
      <w:pPr>
        <w:spacing w:after="120"/>
      </w:pPr>
      <w:r>
        <w:rPr>
          <w:rFonts w:ascii="Times New Roman" w:cs="Times New Roman" w:eastAsia="Times New Roman" w:hAnsi="Times New Roman"/>
          <w:sz w:val="24"/>
          <w:szCs w:val="24"/>
        </w:rPr>
        <w:t xml:space="preserve">Group 2 (15 mg/kg/day): No treatment-related renal microscopic findings. All kidney sections appeared within normal limits.</w:t>
      </w:r>
    </w:p>
    <w:p>
      <w:pPr>
        <w:spacing w:after="120"/>
      </w:pPr>
      <w:r>
        <w:rPr>
          <w:rFonts w:ascii="Times New Roman" w:cs="Times New Roman" w:eastAsia="Times New Roman" w:hAnsi="Times New Roman"/>
          <w:sz w:val="24"/>
          <w:szCs w:val="24"/>
        </w:rPr>
        <w:t xml:space="preserve">Group 3 (75 mg/kg/day): Minimal renal tubular basophilia (Grade 1) was observed in 3 of 5 males (M301, M303, M304). The finding was characterised by increased cytoplasmic basophilia of proximal tubular epithelial cells in the cortex, consistent with increased ribosomal content and protein synthetic activity associated with enzyme induction. No tubular degeneration, necrosis, cast formation, or inflammatory infiltrate was observed. This change is considered an adaptive cellular response to the pharmacological activity of BM-341 at the proximal tubular transporter, and is not considered adverse.</w:t>
      </w:r>
    </w:p>
    <w:p>
      <w:pPr>
        <w:spacing w:after="120"/>
      </w:pPr>
      <w:r>
        <w:rPr>
          <w:rFonts w:ascii="Times New Roman" w:cs="Times New Roman" w:eastAsia="Times New Roman" w:hAnsi="Times New Roman"/>
          <w:sz w:val="24"/>
          <w:szCs w:val="24"/>
        </w:rPr>
        <w:t xml:space="preserve">Group 4 (300 mg/kg/day): Minimal to mild renal tubular basophilia (Grade 1 to 2) was observed in all 5 males and all 5 females. The morphological characteristics were consistent with those described in Group 3, with slightly greater severity in Group 4. No tubular degeneration, necrosis, tubular dilation, cast formation, or interstitial inflammation was observed in any Group 4 animal. In the absence of evidence of tubular injury, impaired renal function, or any other adverse correlate, renal tubular basophilia at 300 mg/kg/day is considered an adaptive, non-adverse finding.</w:t>
      </w:r>
    </w:p>
    <w:p>
      <w:pPr>
        <w:spacing w:after="120"/>
      </w:pPr>
      <w:r>
        <w:rPr>
          <w:rFonts w:ascii="Times New Roman" w:cs="Times New Roman" w:eastAsia="Times New Roman" w:hAnsi="Times New Roman"/>
          <w:b/>
          <w:bCs/>
          <w:sz w:val="24"/>
          <w:szCs w:val="24"/>
        </w:rPr>
        <w:t xml:space="preserve">Bone Marrow:</w:t>
      </w:r>
    </w:p>
    <w:p>
      <w:pPr>
        <w:spacing w:after="120"/>
      </w:pPr>
      <w:r>
        <w:rPr>
          <w:rFonts w:ascii="Times New Roman" w:cs="Times New Roman" w:eastAsia="Times New Roman" w:hAnsi="Times New Roman"/>
          <w:sz w:val="24"/>
          <w:szCs w:val="24"/>
        </w:rPr>
        <w:t xml:space="preserve">Groups 1, 2, and 3: No treatment-related bone marrow findings in any animal.</w:t>
      </w:r>
    </w:p>
    <w:p>
      <w:pPr>
        <w:spacing w:after="120"/>
      </w:pPr>
      <w:r>
        <w:rPr>
          <w:rFonts w:ascii="Times New Roman" w:cs="Times New Roman" w:eastAsia="Times New Roman" w:hAnsi="Times New Roman"/>
          <w:sz w:val="24"/>
          <w:szCs w:val="24"/>
        </w:rPr>
        <w:t xml:space="preserve">Group 4 (300 mg/kg/day): Minimal focal erythroid hyperplasia (Grade 1) was observed in 3 of 5 males and 2 of 5 females. The finding was characterised by a mild local increase in erythroid precursor cells within the femoral marrow space. Overall marrow cellularity was maintained. The finding is considered a compensatory haematopoietic response and, in the absence of anaemia, haemolysis, haematological abnormalities, or reduction in overall marrow cellularity, is classified as an adaptive, non-adverse response.</w:t>
      </w:r>
    </w:p>
    <w:p>
      <w:pPr>
        <w:spacing w:after="120"/>
      </w:pPr>
      <w:r>
        <w:rPr>
          <w:rFonts w:ascii="Times New Roman" w:cs="Times New Roman" w:eastAsia="Times New Roman" w:hAnsi="Times New Roman"/>
          <w:b/>
          <w:bCs/>
          <w:sz w:val="24"/>
          <w:szCs w:val="24"/>
        </w:rPr>
        <w:t xml:space="preserve">Liver:</w:t>
      </w:r>
    </w:p>
    <w:p>
      <w:pPr>
        <w:spacing w:after="120"/>
      </w:pPr>
      <w:r>
        <w:rPr>
          <w:rFonts w:ascii="Times New Roman" w:cs="Times New Roman" w:eastAsia="Times New Roman" w:hAnsi="Times New Roman"/>
          <w:sz w:val="24"/>
          <w:szCs w:val="24"/>
        </w:rPr>
        <w:t xml:space="preserve">No treatment-related microscopic findings were identified in the liver in any dose group. Hepatic parenchyma appeared within normal limits in all Group 1 and Group 4 animals examined.</w:t>
      </w:r>
    </w:p>
    <w:p>
      <w:pPr>
        <w:spacing w:after="120"/>
      </w:pPr>
      <w:r>
        <w:rPr>
          <w:rFonts w:ascii="Times New Roman" w:cs="Times New Roman" w:eastAsia="Times New Roman" w:hAnsi="Times New Roman"/>
          <w:b/>
          <w:bCs/>
          <w:sz w:val="24"/>
          <w:szCs w:val="24"/>
        </w:rPr>
        <w:t xml:space="preserve">Other Organs (Heart, Brain, Spleen, Thymus, Adrenal Glands, Gonads, Lungs):</w:t>
      </w:r>
    </w:p>
    <w:p>
      <w:pPr>
        <w:spacing w:after="120"/>
      </w:pPr>
      <w:r>
        <w:rPr>
          <w:rFonts w:ascii="Times New Roman" w:cs="Times New Roman" w:eastAsia="Times New Roman" w:hAnsi="Times New Roman"/>
          <w:sz w:val="24"/>
          <w:szCs w:val="24"/>
        </w:rPr>
        <w:t xml:space="preserve">No treatment-related microscopic findings were identified in any other organ or tissue examined.</w:t>
      </w:r>
    </w:p>
    <w:p>
      <w:pPr>
        <w:pStyle w:val="Heading3"/>
        <w:spacing w:after="60" w:before="160"/>
      </w:pPr>
      <w:r>
        <w:t xml:space="preserve">5.3.4 Conclusion</w:t>
      </w:r>
    </w:p>
    <w:p>
      <w:pPr>
        <w:spacing w:after="120"/>
      </w:pPr>
      <w:r>
        <w:rPr>
          <w:rFonts w:ascii="Times New Roman" w:cs="Times New Roman" w:eastAsia="Times New Roman" w:hAnsi="Times New Roman"/>
          <w:sz w:val="24"/>
          <w:szCs w:val="24"/>
        </w:rPr>
        <w:t xml:space="preserve">No adverse treatment-related findings were identified at any dose level tested in this study. The no-observed-adverse-effect level (NOAEL) for Compound BM-341 under the conditions of this study is </w:t>
      </w:r>
      <w:r>
        <w:rPr>
          <w:rFonts w:ascii="Times New Roman" w:cs="Times New Roman" w:eastAsia="Times New Roman" w:hAnsi="Times New Roman"/>
          <w:b/>
          <w:bCs/>
          <w:sz w:val="24"/>
          <w:szCs w:val="24"/>
        </w:rPr>
        <w:t xml:space="preserve">300 mg/kg/day</w:t>
      </w:r>
      <w:r>
        <w:rPr>
          <w:rFonts w:ascii="Times New Roman" w:cs="Times New Roman" w:eastAsia="Times New Roman" w:hAnsi="Times New Roman"/>
          <w:sz w:val="24"/>
          <w:szCs w:val="24"/>
        </w:rPr>
        <w:t xml:space="preserve">, the highest dose tested. No lowest-observed-adverse-effect level (LOAEL) was established.</w:t>
      </w:r>
    </w:p>
    <w:p>
      <w:pPr>
        <w:spacing w:after="120"/>
      </w:pPr>
      <w:r>
        <w:rPr>
          <w:rFonts w:ascii="Times New Roman" w:cs="Times New Roman" w:eastAsia="Times New Roman" w:hAnsi="Times New Roman"/>
          <w:sz w:val="24"/>
          <w:szCs w:val="24"/>
        </w:rPr>
        <w:t xml:space="preserve">The minimal to mild renal tubular basophilia observed at 75 and 300 mg/kg/day is considered an adaptive cellular response to the pharmacological activity of BM-341 at the proximal tubular transporter target. This finding is not considered adverse based on: (1) absence of tubular degeneration or necrosis; (2) absence of cast formation or inflammatory infiltrate; (3) no adverse macroscopic renal correlate; (4) no statistically significant organ weight change; and (5) consistency with a well-characterised adaptive response to transporter inhibition in this species.</w:t>
      </w:r>
    </w:p>
    <w:p>
      <w:pPr>
        <w:spacing w:after="120"/>
      </w:pPr>
      <w:r>
        <w:rPr>
          <w:rFonts w:ascii="Times New Roman" w:cs="Times New Roman" w:eastAsia="Times New Roman" w:hAnsi="Times New Roman"/>
          <w:sz w:val="24"/>
          <w:szCs w:val="24"/>
        </w:rPr>
        <w:t xml:space="preserve">The minimal focal erythroid hyperplasia observed in the bone marrow of Group 4 animals is considered a compensatory haematopoietic response and is not adverse in the context of maintained overall marrow cellularity and the absence of haematological abnormalities.</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6.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Abbreviation</w:t>
            </w:r>
          </w:p>
        </w:tc>
        <w:tc>
          <w:tcPr>
            <w:tcW w:type="dxa" w:w="7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Definition</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ANOVA</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analysis of variance</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GLP</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Good Laboratory Practice</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H&amp;E</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haematoxylin and eosin</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LOAEL</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lowest-observed-adverse-effect level</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NOAEL</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no-observed-adverse-effect level</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QAU</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Quality Assurance Unit</w:t>
            </w:r>
          </w:p>
        </w:tc>
      </w:tr>
    </w:tbl>
    <w:p>
      <w:pPr>
        <w:spacing w:after="80"/>
      </w:pPr>
      <w:r>
        <w:rPr>
          <w:rFonts w:ascii="Times New Roman" w:cs="Times New Roman" w:eastAsia="Times New Roman" w:hAnsi="Times New Roman"/>
          <w:sz w:val="24"/>
          <w:szCs w:val="24"/>
        </w:rPr>
        <w:t xml:space="preserve"/>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7. Quality Assurance Statement</w:t>
      </w:r>
    </w:p>
    <w:p>
      <w:pPr>
        <w:spacing w:after="120"/>
      </w:pPr>
      <w:r>
        <w:rPr>
          <w:rFonts w:ascii="Times New Roman" w:cs="Times New Roman" w:eastAsia="Times New Roman" w:hAnsi="Times New Roman"/>
          <w:sz w:val="24"/>
          <w:szCs w:val="24"/>
        </w:rPr>
        <w:t xml:space="preserve">This study was conducted in compliance with GLP regulations (21 CFR Part 58). Periodic inspections were conducted by the Quality Assurance Unit.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00"/>
      </w:tblGrid>
      <w:tr>
        <w:trPr>
          <w:tblHeader/>
        </w:trPr>
        <w:tc>
          <w:tcPr>
            <w:tcW w:type="dxa" w:w="3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Phase Inspected</w:t>
            </w:r>
          </w:p>
        </w:tc>
        <w:tc>
          <w:tcPr>
            <w:tcW w:type="dxa" w:w="2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Audit Date</w:t>
            </w:r>
          </w:p>
        </w:tc>
        <w:tc>
          <w:tcPr>
            <w:tcW w:type="dxa" w:w="3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Reporting Date</w:t>
            </w:r>
          </w:p>
        </w:tc>
      </w:tr>
      <w:tr>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In-life phase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 September 2024</w:t>
            </w:r>
          </w:p>
        </w:tc>
        <w:tc>
          <w:tcPr>
            <w:tcW w:type="dxa" w:w="3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13 September 2024</w:t>
            </w:r>
          </w:p>
        </w:tc>
      </w:tr>
      <w:tr>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Pathology review</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 September 2024</w:t>
            </w:r>
          </w:p>
        </w:tc>
        <w:tc>
          <w:tcPr>
            <w:tcW w:type="dxa" w:w="3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01 October 2024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Times New Roman" w:cs="Times New Roman" w:eastAsia="Times New Roman" w:hAnsi="Times New Roman"/>
        <w:color w:val="666666"/>
        <w:sz w:val="18"/>
        <w:szCs w:val="18"/>
      </w:rPr>
      <w:t xml:space="preserve">TOX-2024-0931  │  NONCLINICAL STUDY REPORT  │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80" w:before="200"/>
    </w:pPr>
    <w:rPr>
      <w:rFonts w:ascii="Times New Roman" w:cs="Times New Roman" w:eastAsia="Times New Roman" w:hAnsi="Times New Roman"/>
      <w:b/>
      <w:bCs/>
      <w:color w:val="2E4F8A"/>
      <w:sz w:val="26"/>
      <w:szCs w:val="26"/>
    </w:rPr>
  </w:style>
  <w:style w:type="paragraph" w:styleId="Heading3">
    <w:name w:val="Heading 3"/>
    <w:basedOn w:val="Normal"/>
    <w:next w:val="Normal"/>
    <w:pPr>
      <w:spacing w:after="60" w:before="160"/>
    </w:pPr>
    <w:rPr>
      <w:rFonts w:ascii="Times New Roman" w:cs="Times New Roman" w:eastAsia="Times New Roman" w:hAnsi="Times New Roman"/>
      <w:b/>
      <w:bCs/>
      <w:color w:val="2E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2026-09-22T21:57:08.874Z</dcterms:created>
  <dcterms:modified xsi:type="dcterms:W3CDTF">2026-09-22T21:57:08.874Z</dcterms:modified>
</cp:coreProperties>
</file>

<file path=docProps/custom.xml><?xml version="1.0" encoding="utf-8"?>
<Properties xmlns="http://schemas.openxmlformats.org/officeDocument/2006/custom-properties" xmlns:vt="http://schemas.openxmlformats.org/officeDocument/2006/docPropsVTypes"/>
</file>