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4"/>
          <w:szCs w:val="24"/>
        </w:rPr>
        <w:t xml:space="preserve">NONCLINICAL STUDY REPORT</w:t>
      </w:r>
    </w:p>
    <w:p>
      <w:pPr>
        <w:spacing w:after="6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b/>
          <w:bCs/>
          <w:sz w:val="24"/>
          <w:szCs w:val="24"/>
        </w:rPr>
        <w:t xml:space="preserve">Study Title: </w:t>
      </w:r>
      <w:r>
        <w:rPr>
          <w:rFonts w:ascii="Times New Roman" w:cs="Times New Roman" w:eastAsia="Times New Roman" w:hAnsi="Times New Roman"/>
          <w:sz w:val="24"/>
          <w:szCs w:val="24"/>
        </w:rPr>
        <w:t xml:space="preserve">A 28-Day Repeat-Dose Oral Gavage Toxicity Study with Compound XR-247 in Sprague-Dawley Rats</w:t>
      </w:r>
    </w:p>
    <w:p>
      <w:pPr>
        <w:spacing w:after="60"/>
      </w:pPr>
      <w:r>
        <w:rPr>
          <w:rFonts w:ascii="Times New Roman" w:cs="Times New Roman" w:eastAsia="Times New Roman" w:hAnsi="Times New Roman"/>
          <w:b/>
          <w:bCs/>
          <w:sz w:val="24"/>
          <w:szCs w:val="24"/>
        </w:rPr>
        <w:t xml:space="preserve">Study Number: </w:t>
      </w:r>
      <w:r>
        <w:rPr>
          <w:rFonts w:ascii="Times New Roman" w:cs="Times New Roman" w:eastAsia="Times New Roman" w:hAnsi="Times New Roman"/>
          <w:sz w:val="24"/>
          <w:szCs w:val="24"/>
        </w:rPr>
        <w:t xml:space="preserve">TOX-2024-0412</w:t>
      </w:r>
    </w:p>
    <w:p>
      <w:pPr>
        <w:spacing w:after="60"/>
      </w:pPr>
      <w:r>
        <w:rPr>
          <w:rFonts w:ascii="Times New Roman" w:cs="Times New Roman" w:eastAsia="Times New Roman" w:hAnsi="Times New Roman"/>
          <w:b/>
          <w:bCs/>
          <w:sz w:val="24"/>
          <w:szCs w:val="24"/>
        </w:rPr>
        <w:t xml:space="preserve">Test Facility: </w:t>
      </w:r>
      <w:r>
        <w:rPr>
          <w:rFonts w:ascii="Times New Roman" w:cs="Times New Roman" w:eastAsia="Times New Roman" w:hAnsi="Times New Roman"/>
          <w:sz w:val="24"/>
          <w:szCs w:val="24"/>
        </w:rPr>
        <w:t xml:space="preserve">Nonclinical Safety Research, New Brunswick, NJ</w:t>
      </w:r>
    </w:p>
    <w:p>
      <w:pPr>
        <w:spacing w:after="60"/>
      </w:pPr>
      <w:r>
        <w:rPr>
          <w:rFonts w:ascii="Times New Roman" w:cs="Times New Roman" w:eastAsia="Times New Roman" w:hAnsi="Times New Roman"/>
          <w:b/>
          <w:bCs/>
          <w:sz w:val="24"/>
          <w:szCs w:val="24"/>
        </w:rPr>
        <w:t xml:space="preserve">Sponsor: </w:t>
      </w:r>
      <w:r>
        <w:rPr>
          <w:rFonts w:ascii="Times New Roman" w:cs="Times New Roman" w:eastAsia="Times New Roman" w:hAnsi="Times New Roman"/>
          <w:sz w:val="24"/>
          <w:szCs w:val="24"/>
        </w:rPr>
        <w:t xml:space="preserve">Internal — Nonclinical Safety Research</w:t>
      </w:r>
    </w:p>
    <w:p>
      <w:pPr>
        <w:spacing w:after="60"/>
      </w:pPr>
      <w:r>
        <w:rPr>
          <w:rFonts w:ascii="Times New Roman" w:cs="Times New Roman" w:eastAsia="Times New Roman" w:hAnsi="Times New Roman"/>
          <w:b/>
          <w:bCs/>
          <w:sz w:val="24"/>
          <w:szCs w:val="24"/>
        </w:rPr>
        <w:t xml:space="preserve">Test Article: </w:t>
      </w:r>
      <w:r>
        <w:rPr>
          <w:rFonts w:ascii="Times New Roman" w:cs="Times New Roman" w:eastAsia="Times New Roman" w:hAnsi="Times New Roman"/>
          <w:sz w:val="24"/>
          <w:szCs w:val="24"/>
        </w:rPr>
        <w:t xml:space="preserve">Compound XR-247</w:t>
      </w:r>
    </w:p>
    <w:p>
      <w:pPr>
        <w:spacing w:after="60"/>
      </w:pPr>
      <w:r>
        <w:rPr>
          <w:rFonts w:ascii="Times New Roman" w:cs="Times New Roman" w:eastAsia="Times New Roman" w:hAnsi="Times New Roman"/>
          <w:b/>
          <w:bCs/>
          <w:sz w:val="24"/>
          <w:szCs w:val="24"/>
        </w:rPr>
        <w:t xml:space="preserve">Species/Strain: </w:t>
      </w:r>
      <w:r>
        <w:rPr>
          <w:rFonts w:ascii="Times New Roman" w:cs="Times New Roman" w:eastAsia="Times New Roman" w:hAnsi="Times New Roman"/>
          <w:sz w:val="24"/>
          <w:szCs w:val="24"/>
        </w:rPr>
        <w:t xml:space="preserve">Rat / Sprague-Dawley (Crl:CD(SD))</w:t>
      </w:r>
    </w:p>
    <w:p>
      <w:pPr>
        <w:spacing w:after="60"/>
      </w:pPr>
      <w:r>
        <w:rPr>
          <w:rFonts w:ascii="Times New Roman" w:cs="Times New Roman" w:eastAsia="Times New Roman" w:hAnsi="Times New Roman"/>
          <w:b/>
          <w:bCs/>
          <w:sz w:val="24"/>
          <w:szCs w:val="24"/>
        </w:rPr>
        <w:t xml:space="preserve">GLP Status: </w:t>
      </w:r>
      <w:r>
        <w:rPr>
          <w:rFonts w:ascii="Times New Roman" w:cs="Times New Roman" w:eastAsia="Times New Roman" w:hAnsi="Times New Roman"/>
          <w:sz w:val="24"/>
          <w:szCs w:val="24"/>
        </w:rPr>
        <w:t xml:space="preserve">GLP</w:t>
      </w:r>
    </w:p>
    <w:p>
      <w:pPr>
        <w:spacing w:after="60"/>
      </w:pPr>
      <w:r>
        <w:rPr>
          <w:rFonts w:ascii="Times New Roman" w:cs="Times New Roman" w:eastAsia="Times New Roman" w:hAnsi="Times New Roman"/>
          <w:b/>
          <w:bCs/>
          <w:sz w:val="24"/>
          <w:szCs w:val="24"/>
        </w:rPr>
        <w:t xml:space="preserve">Study Director: </w:t>
      </w:r>
      <w:r>
        <w:rPr>
          <w:rFonts w:ascii="Times New Roman" w:cs="Times New Roman" w:eastAsia="Times New Roman" w:hAnsi="Times New Roman"/>
          <w:sz w:val="24"/>
          <w:szCs w:val="24"/>
        </w:rPr>
        <w:t xml:space="preserve">A. Reynolds, PhD</w:t>
      </w:r>
    </w:p>
    <w:p>
      <w:pPr>
        <w:spacing w:after="60"/>
      </w:pPr>
      <w:r>
        <w:rPr>
          <w:rFonts w:ascii="Times New Roman" w:cs="Times New Roman" w:eastAsia="Times New Roman" w:hAnsi="Times New Roman"/>
          <w:b/>
          <w:bCs/>
          <w:sz w:val="24"/>
          <w:szCs w:val="24"/>
        </w:rPr>
        <w:t xml:space="preserve">Report Date: </w:t>
      </w:r>
      <w:r>
        <w:rPr>
          <w:rFonts w:ascii="Times New Roman" w:cs="Times New Roman" w:eastAsia="Times New Roman" w:hAnsi="Times New Roman"/>
          <w:sz w:val="24"/>
          <w:szCs w:val="24"/>
        </w:rPr>
        <w:t xml:space="preserve">14 March 2024</w:t>
      </w:r>
    </w:p>
    <w:p>
      <w:pPr>
        <w:spacing w:after="60"/>
      </w:pPr>
      <w:r>
        <w:rPr>
          <w:rFonts w:ascii="Times New Roman" w:cs="Times New Roman" w:eastAsia="Times New Roman" w:hAnsi="Times New Roman"/>
          <w:b/>
          <w:bCs/>
          <w:sz w:val="24"/>
          <w:szCs w:val="24"/>
        </w:rPr>
        <w:t xml:space="preserve">Report Status: </w:t>
      </w:r>
      <w:r>
        <w:rPr>
          <w:rFonts w:ascii="Times New Roman" w:cs="Times New Roman" w:eastAsia="Times New Roman" w:hAnsi="Times New Roman"/>
          <w:sz w:val="24"/>
          <w:szCs w:val="24"/>
        </w:rPr>
        <w:t xml:space="preserve">APPROVED</w:t>
      </w:r>
    </w:p>
    <w:p>
      <w:pPr>
        <w:pBdr>
          <w:bottom w:val="single" w:color="999999" w:sz="6" w:space="1"/>
        </w:pBdr>
        <w:spacing w:after="100" w:before="10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Summary</w:t>
      </w:r>
    </w:p>
    <w:p>
      <w:pPr>
        <w:spacing w:after="120"/>
      </w:pPr>
      <w:r>
        <w:rPr>
          <w:rFonts w:ascii="Times New Roman" w:cs="Times New Roman" w:eastAsia="Times New Roman" w:hAnsi="Times New Roman"/>
          <w:sz w:val="24"/>
          <w:szCs w:val="24"/>
        </w:rPr>
        <w:t xml:space="preserve">Compound XR-247 was administered once daily by oral gavage to Sprague-Dawley rats (5/sex/group) at doses of 0, 10, 50, or 200 mg/kg/day for 28 consecutive days. All animals survived to scheduled necropsy. No treatment-related clinical signs were observed at 0 or 10 mg/kg/day.</w:t>
      </w:r>
    </w:p>
    <w:p>
      <w:pPr>
        <w:spacing w:after="120"/>
      </w:pPr>
      <w:r>
        <w:rPr>
          <w:rFonts w:ascii="Times New Roman" w:cs="Times New Roman" w:eastAsia="Times New Roman" w:hAnsi="Times New Roman"/>
          <w:sz w:val="24"/>
          <w:szCs w:val="24"/>
        </w:rPr>
        <w:t xml:space="preserve">At 50 mg/kg/day, transient soft stool was noted in 3 of 10 animals during Days 8–14. Minimal hepatocellular hypertrophy (Grade 1) was present in the liver of 3 of 5 males and 2 of 5 females; this change was considered adaptive and non-adverse. Body weight gain was mildly reduced (males: −6.0%; females: −3.6% vs. controls at Day 28). Liver weights were slightly increased. No macroscopic liver abnormalities were observed.</w:t>
      </w:r>
    </w:p>
    <w:p>
      <w:pPr>
        <w:spacing w:after="120"/>
      </w:pPr>
      <w:r>
        <w:rPr>
          <w:rFonts w:ascii="Times New Roman" w:cs="Times New Roman" w:eastAsia="Times New Roman" w:hAnsi="Times New Roman"/>
          <w:sz w:val="24"/>
          <w:szCs w:val="24"/>
        </w:rPr>
        <w:t xml:space="preserve">At 200 mg/kg/day, multiple treatment-related clinical signs were present throughout the study including reduced activity, hunched posture, soft stool, and partially closed eyes. Body weight gain was markedly reduced in males (−13.9%) and females (−9.9%) by Day 28. Liver weights were substantially increased in males (33.5% above control) and females (36.3% above control). Grossly, livers appeared enlarged and pale tan in all Group 4 animals. Microscopically, moderate hepatocellular hypertrophy (Grade 2–3) and mild centrilobular necrosis (Grade 1–2) were present in the liver of all Group 4 animals. Minimal renal tubular basophilia (Grade 1) was observed in 3 of 5 males and 2 of 5 females. Thymic lymphoid depletion (Grade 1) was observed in 2 of 5 Group 4 males. All findings at 200 mg/kg/day are considered adverse and attributable to compound administration.</w:t>
      </w:r>
    </w:p>
    <w:p>
      <w:pPr>
        <w:spacing w:after="120"/>
      </w:pPr>
      <w:r>
        <w:rPr>
          <w:rFonts w:ascii="Times New Roman" w:cs="Times New Roman" w:eastAsia="Times New Roman" w:hAnsi="Times New Roman"/>
          <w:sz w:val="24"/>
          <w:szCs w:val="24"/>
        </w:rPr>
        <w:t xml:space="preserve">The no-observed-adverse-effect level (NOAEL) for Compound XR-247 under the conditions of this study is </w:t>
      </w:r>
      <w:r>
        <w:rPr>
          <w:rFonts w:ascii="Times New Roman" w:cs="Times New Roman" w:eastAsia="Times New Roman" w:hAnsi="Times New Roman"/>
          <w:b/>
          <w:bCs/>
          <w:sz w:val="24"/>
          <w:szCs w:val="24"/>
        </w:rPr>
        <w:t xml:space="preserve">10 mg/kg/day</w:t>
      </w:r>
      <w:r>
        <w:rPr>
          <w:rFonts w:ascii="Times New Roman" w:cs="Times New Roman" w:eastAsia="Times New Roman" w:hAnsi="Times New Roman"/>
          <w:sz w:val="24"/>
          <w:szCs w:val="24"/>
        </w:rPr>
        <w:t xml:space="preserve">. The lowest-observed-adverse-effect level (LOAEL) is 200 mg/kg/day.</w:t>
      </w:r>
    </w:p>
    <w:p>
      <w:pPr>
        <w:pBdr>
          <w:bottom w:val="single" w:color="999999" w:sz="6" w:space="1"/>
        </w:pBdr>
        <w:spacing w:after="100" w:before="10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1. Objective</w:t>
      </w:r>
    </w:p>
    <w:p>
      <w:pPr>
        <w:spacing w:after="120"/>
      </w:pPr>
      <w:r>
        <w:rPr>
          <w:rFonts w:ascii="Times New Roman" w:cs="Times New Roman" w:eastAsia="Times New Roman" w:hAnsi="Times New Roman"/>
          <w:sz w:val="24"/>
          <w:szCs w:val="24"/>
        </w:rPr>
        <w:t xml:space="preserve">The objectives of this study were to: (1) evaluate the potential toxicity of Compound XR-247 following repeated oral gavage administration to Sprague-Dawley rats for 28 consecutive days; (2) characterise the nature, severity, and dose-response relationship of any treatment-related effects; (3) identify target organs of toxicity; and (4) establish a no-observed-adverse-effect level (NOAEL) to support further development. The study was conducted in compliance with Good Laboratory Practice (GLP) regulations.</w:t>
      </w:r>
    </w:p>
    <w:p>
      <w:pPr>
        <w:spacing w:after="120"/>
      </w:pPr>
      <w:r>
        <w:rPr>
          <w:rFonts w:ascii="Times New Roman" w:cs="Times New Roman" w:eastAsia="Times New Roman" w:hAnsi="Times New Roman"/>
          <w:sz w:val="24"/>
          <w:szCs w:val="24"/>
        </w:rPr>
        <w:t xml:space="preserve">Compound XR-247 is a small-molecule candidate under development for treatment of chronic inflammatory disease. Based on pharmacological activity in prior in vitro screens, the liver was identified as a potential target organ. The doses selected for this study (10, 50, and 200 mg/kg/day) were based on the maximum tolerated dose established in a 7-day range-finding study.</w:t>
      </w:r>
    </w:p>
    <w:p>
      <w:pPr>
        <w:pBdr>
          <w:bottom w:val="single" w:color="999999" w:sz="6" w:space="1"/>
        </w:pBdr>
        <w:spacing w:after="100" w:before="10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2. Experimental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Parameter</w:t>
            </w:r>
          </w:p>
        </w:tc>
        <w:tc>
          <w:tcPr>
            <w:tcW w:type="dxa" w:w="5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Detail</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Species</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Sprague-Dawley rat (Crl:CD(SD))</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Source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Charles River Laboratories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Age at study start</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7 to 8 weeks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Route of administration</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Oral gavage</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Dosing frequency</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Once daily, 7 days per week</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Study duration</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 days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Vehicle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0.5% methylcellulose in purified water</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Dose volume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 mL/kg body weight</w:t>
            </w:r>
          </w:p>
        </w:tc>
      </w:tr>
    </w:tbl>
    <w:p>
      <w:pPr>
        <w:spacing w:after="6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Animal Allocation: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400"/>
        <w:gridCol w:w="1600"/>
      </w:tblGrid>
      <w:tr>
        <w:trPr>
          <w:tblHeader/>
        </w:trPr>
        <w:tc>
          <w:tcPr>
            <w:tcW w:type="dxa" w:w="2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2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Dose (mg/kg/day)</w:t>
            </w:r>
          </w:p>
        </w:tc>
        <w:tc>
          <w:tcPr>
            <w:tcW w:type="dxa" w:w="1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Males</w:t>
            </w:r>
          </w:p>
        </w:tc>
        <w:tc>
          <w:tcPr>
            <w:tcW w:type="dxa" w:w="1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Females</w:t>
            </w:r>
          </w:p>
        </w:tc>
        <w:tc>
          <w:tcPr>
            <w:tcW w:type="dxa" w:w="1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Total</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 — Vehicle Control</w:t>
            </w:r>
          </w:p>
        </w:tc>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 — Low Dose</w:t>
            </w:r>
          </w:p>
        </w:tc>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 — Mid Dose</w:t>
            </w:r>
          </w:p>
        </w:tc>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50</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 — High Dose</w:t>
            </w:r>
          </w:p>
        </w:tc>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200</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2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Total</w:t>
            </w:r>
          </w:p>
        </w:tc>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40</w:t>
            </w:r>
          </w:p>
        </w:tc>
      </w:tr>
    </w:tbl>
    <w:p>
      <w:pPr>
        <w:spacing w:after="6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Animals were housed 2 per cage under standard conditions (22 ± 2°C, 12-hour light/dark cycle) with free access to certified rodent diet and water. Animals were assigned to groups by stratified randomisation based on body weight on Day 1.</w:t>
      </w:r>
    </w:p>
    <w:p>
      <w:pPr>
        <w:pBdr>
          <w:bottom w:val="single" w:color="999999" w:sz="6" w:space="1"/>
        </w:pBdr>
        <w:spacing w:after="100" w:before="10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3. Materials and Methods</w:t>
      </w:r>
    </w:p>
    <w:p>
      <w:pPr>
        <w:pStyle w:val="Heading2"/>
        <w:spacing w:after="80" w:before="200"/>
        <w:rPr>
          <w:rFonts w:ascii="Times New Roman" w:cs="Times New Roman" w:eastAsia="Times New Roman" w:hAnsi="Times New Roman"/>
          <w:b/>
          <w:bCs/>
          <w:sz w:val="26"/>
          <w:szCs w:val="26"/>
        </w:rPr>
      </w:pPr>
      <w:r>
        <w:t xml:space="preserve">3.1 Test Article</w:t>
      </w:r>
    </w:p>
    <w:p>
      <w:pPr>
        <w:spacing w:after="120"/>
      </w:pPr>
      <w:r>
        <w:rPr>
          <w:rFonts w:ascii="Times New Roman" w:cs="Times New Roman" w:eastAsia="Times New Roman" w:hAnsi="Times New Roman"/>
          <w:sz w:val="24"/>
          <w:szCs w:val="24"/>
        </w:rPr>
        <w:t xml:space="preserve">Compound XR-247 was supplied by the Sponsor Analytical Chemistry Group. The batch used (XR247-2023-B01) had a purity of 98.7% (HPLC). The test article was stored at controlled room temperature, protected from light.</w:t>
      </w:r>
    </w:p>
    <w:p>
      <w:pPr>
        <w:pStyle w:val="Heading2"/>
        <w:spacing w:after="80" w:before="200"/>
        <w:rPr>
          <w:rFonts w:ascii="Times New Roman" w:cs="Times New Roman" w:eastAsia="Times New Roman" w:hAnsi="Times New Roman"/>
          <w:b/>
          <w:bCs/>
          <w:sz w:val="26"/>
          <w:szCs w:val="26"/>
        </w:rPr>
      </w:pPr>
      <w:r>
        <w:t xml:space="preserve">3.2 Vehicle</w:t>
      </w:r>
    </w:p>
    <w:p>
      <w:pPr>
        <w:spacing w:after="120"/>
      </w:pPr>
      <w:r>
        <w:rPr>
          <w:rFonts w:ascii="Times New Roman" w:cs="Times New Roman" w:eastAsia="Times New Roman" w:hAnsi="Times New Roman"/>
          <w:sz w:val="24"/>
          <w:szCs w:val="24"/>
        </w:rPr>
        <w:t xml:space="preserve">Vehicle was 0.5% methylcellulose (w/v) in purified water. Dosing formulations were prepared as a suspension weekly and stored refrigerated (2 to 8°C).</w:t>
      </w:r>
    </w:p>
    <w:p>
      <w:pPr>
        <w:pStyle w:val="Heading2"/>
        <w:spacing w:after="80" w:before="200"/>
        <w:rPr>
          <w:rFonts w:ascii="Times New Roman" w:cs="Times New Roman" w:eastAsia="Times New Roman" w:hAnsi="Times New Roman"/>
          <w:b/>
          <w:bCs/>
          <w:sz w:val="26"/>
          <w:szCs w:val="26"/>
        </w:rPr>
      </w:pPr>
      <w:r>
        <w:t xml:space="preserve">3.3 Test System</w:t>
      </w:r>
    </w:p>
    <w:p>
      <w:pPr>
        <w:spacing w:after="120"/>
      </w:pPr>
      <w:r>
        <w:rPr>
          <w:rFonts w:ascii="Times New Roman" w:cs="Times New Roman" w:eastAsia="Times New Roman" w:hAnsi="Times New Roman"/>
          <w:sz w:val="24"/>
          <w:szCs w:val="24"/>
        </w:rPr>
        <w:t xml:space="preserve">Naive, virus antibody-free Sprague-Dawley rats (Crl:CD(SD)) were obtained from Charles River Laboratories. Animals arrived at 7 weeks of age and were acclimated for a minimum of 5 days prior to Day 1. Animals were assigned to groups by stratified randomisation based on Day 1 body weight.</w:t>
      </w:r>
    </w:p>
    <w:p>
      <w:pPr>
        <w:pStyle w:val="Heading2"/>
        <w:spacing w:after="80" w:before="200"/>
        <w:rPr>
          <w:rFonts w:ascii="Times New Roman" w:cs="Times New Roman" w:eastAsia="Times New Roman" w:hAnsi="Times New Roman"/>
          <w:b/>
          <w:bCs/>
          <w:sz w:val="26"/>
          <w:szCs w:val="26"/>
        </w:rPr>
      </w:pPr>
      <w:r>
        <w:t xml:space="preserve">3.4 Dose Formulation Verification</w:t>
      </w:r>
    </w:p>
    <w:p>
      <w:pPr>
        <w:spacing w:after="120"/>
      </w:pPr>
      <w:r>
        <w:rPr>
          <w:rFonts w:ascii="Times New Roman" w:cs="Times New Roman" w:eastAsia="Times New Roman" w:hAnsi="Times New Roman"/>
          <w:sz w:val="24"/>
          <w:szCs w:val="24"/>
        </w:rPr>
        <w:t xml:space="preserve">Dosing formulation samples were collected for concentration verification on Day 1 and during Week 4. Samples were analysed by HPLC. Acceptance criteria: measured concentration within ±10% of nominal.</w:t>
      </w:r>
    </w:p>
    <w:p>
      <w:pPr>
        <w:pStyle w:val="Heading2"/>
        <w:spacing w:after="80" w:before="200"/>
        <w:rPr>
          <w:rFonts w:ascii="Times New Roman" w:cs="Times New Roman" w:eastAsia="Times New Roman" w:hAnsi="Times New Roman"/>
          <w:b/>
          <w:bCs/>
          <w:sz w:val="26"/>
          <w:szCs w:val="26"/>
        </w:rPr>
      </w:pPr>
      <w:r>
        <w:t xml:space="preserve">3.5 Terminal Procedures</w:t>
      </w:r>
    </w:p>
    <w:p>
      <w:pPr>
        <w:spacing w:after="120"/>
      </w:pPr>
      <w:r>
        <w:rPr>
          <w:rFonts w:ascii="Times New Roman" w:cs="Times New Roman" w:eastAsia="Times New Roman" w:hAnsi="Times New Roman"/>
          <w:sz w:val="24"/>
          <w:szCs w:val="24"/>
        </w:rPr>
        <w:t xml:space="preserve">All surviving animals were euthanised on Day 29 by carbon dioxide inhalation followed by exsanguination. A complete macroscopic examination was performed on all animals. Terminal body weights were recorded immediately prior to euthanasia. The following organs were weighed: liver, kidneys (paired), heart, brain, spleen, and thymus.</w:t>
      </w:r>
    </w:p>
    <w:p>
      <w:pPr>
        <w:pStyle w:val="Heading2"/>
        <w:spacing w:after="80" w:before="200"/>
        <w:rPr>
          <w:rFonts w:ascii="Times New Roman" w:cs="Times New Roman" w:eastAsia="Times New Roman" w:hAnsi="Times New Roman"/>
          <w:b/>
          <w:bCs/>
          <w:sz w:val="26"/>
          <w:szCs w:val="26"/>
        </w:rPr>
      </w:pPr>
      <w:r>
        <w:t xml:space="preserve">3.6 Histology and Histopathology</w:t>
      </w:r>
    </w:p>
    <w:p>
      <w:pPr>
        <w:spacing w:after="120"/>
      </w:pPr>
      <w:r>
        <w:rPr>
          <w:rFonts w:ascii="Times New Roman" w:cs="Times New Roman" w:eastAsia="Times New Roman" w:hAnsi="Times New Roman"/>
          <w:sz w:val="24"/>
          <w:szCs w:val="24"/>
        </w:rPr>
        <w:t xml:space="preserve">Tissues from all animals in Groups 1 and 4 and target tissues (liver, kidney) from Groups 2 and 3 were fixed in 10% neutral buffered formalin, processed, and embedded in paraffin. Sections were cut at 4 to 6 μm and stained with haematoxylin and eosin (H&amp;E). Microscopic findings were graded on a scale of 1 (Minimal) to 5 (Severe). A pathology peer review was conducted by an independent board-certified veterinary pathologist.</w:t>
      </w:r>
    </w:p>
    <w:p>
      <w:pPr>
        <w:pStyle w:val="Heading2"/>
        <w:spacing w:after="80" w:before="200"/>
        <w:rPr>
          <w:rFonts w:ascii="Times New Roman" w:cs="Times New Roman" w:eastAsia="Times New Roman" w:hAnsi="Times New Roman"/>
          <w:b/>
          <w:bCs/>
          <w:sz w:val="26"/>
          <w:szCs w:val="26"/>
        </w:rPr>
      </w:pPr>
      <w:r>
        <w:t xml:space="preserve">3.7 Statistical Analysis</w:t>
      </w:r>
    </w:p>
    <w:p>
      <w:pPr>
        <w:spacing w:after="120"/>
      </w:pPr>
      <w:r>
        <w:rPr>
          <w:rFonts w:ascii="Times New Roman" w:cs="Times New Roman" w:eastAsia="Times New Roman" w:hAnsi="Times New Roman"/>
          <w:sz w:val="24"/>
          <w:szCs w:val="24"/>
        </w:rPr>
        <w:t xml:space="preserve">Continuous variables (body weights, organ weights) were analysed by one-way ANOVA with Dunnett’s post-hoc test. Where Bartlett’s test indicated heterogeneity of variance (p &lt; 0.05), the Kruskal-Wallis test with Dunn’s post-hoc was applied. Incidence data were compared by Fisher’s exact test. Statistical significance was set at p &lt; 0.05.</w:t>
      </w:r>
    </w:p>
    <w:p>
      <w:pPr>
        <w:pBdr>
          <w:bottom w:val="single" w:color="999999" w:sz="6" w:space="1"/>
        </w:pBdr>
        <w:spacing w:after="100" w:before="10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4. Deviations</w:t>
      </w:r>
    </w:p>
    <w:p>
      <w:pPr>
        <w:spacing w:after="120"/>
      </w:pPr>
      <w:r>
        <w:rPr>
          <w:rFonts w:ascii="Times New Roman" w:cs="Times New Roman" w:eastAsia="Times New Roman" w:hAnsi="Times New Roman"/>
          <w:sz w:val="24"/>
          <w:szCs w:val="24"/>
        </w:rPr>
        <w:t xml:space="preserve">No protocol deviations were noted during the conduct of this study.</w:t>
      </w:r>
    </w:p>
    <w:p>
      <w:pPr>
        <w:pBdr>
          <w:bottom w:val="single" w:color="999999" w:sz="6" w:space="1"/>
        </w:pBdr>
        <w:spacing w:after="100" w:before="10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5. Results</w:t>
      </w:r>
    </w:p>
    <w:p>
      <w:pPr>
        <w:pStyle w:val="Heading2"/>
        <w:spacing w:after="80" w:before="200"/>
        <w:rPr>
          <w:rFonts w:ascii="Times New Roman" w:cs="Times New Roman" w:eastAsia="Times New Roman" w:hAnsi="Times New Roman"/>
          <w:b/>
          <w:bCs/>
          <w:sz w:val="26"/>
          <w:szCs w:val="26"/>
        </w:rPr>
      </w:pPr>
      <w:r>
        <w:t xml:space="preserve">5.1 Test Article Formulation and Analyses Verification</w:t>
      </w:r>
    </w:p>
    <w:p>
      <w:pPr>
        <w:spacing w:after="120"/>
      </w:pPr>
      <w:r>
        <w:rPr>
          <w:rFonts w:ascii="Times New Roman" w:cs="Times New Roman" w:eastAsia="Times New Roman" w:hAnsi="Times New Roman"/>
          <w:sz w:val="24"/>
          <w:szCs w:val="24"/>
        </w:rPr>
        <w:t xml:space="preserve">Dosing formulation samples were collected and analysed on Day 1 and during Week 4. All measured concentrations were within ±10% of the nominal target concentration. No test article was detected in vehicle control formulations. All dosing formulations met the predefined acceptance criteria.</w:t>
      </w:r>
    </w:p>
    <w:p>
      <w:pPr>
        <w:pStyle w:val="Heading2"/>
        <w:spacing w:after="80" w:before="200"/>
        <w:rPr>
          <w:rFonts w:ascii="Times New Roman" w:cs="Times New Roman" w:eastAsia="Times New Roman" w:hAnsi="Times New Roman"/>
          <w:b/>
          <w:bCs/>
          <w:sz w:val="26"/>
          <w:szCs w:val="26"/>
        </w:rPr>
      </w:pPr>
      <w:r>
        <w:t xml:space="preserve">5.2 In-Life Observations and Measurements</w:t>
      </w:r>
    </w:p>
    <w:p>
      <w:pPr>
        <w:pStyle w:val="Heading3"/>
        <w:spacing w:after="80" w:before="160"/>
        <w:rPr>
          <w:rFonts w:ascii="Times New Roman" w:cs="Times New Roman" w:eastAsia="Times New Roman" w:hAnsi="Times New Roman"/>
          <w:b/>
          <w:bCs/>
          <w:sz w:val="24"/>
          <w:szCs w:val="24"/>
        </w:rPr>
      </w:pPr>
      <w:r>
        <w:t xml:space="preserve">5.2.1 Mortality</w:t>
      </w:r>
    </w:p>
    <w:p>
      <w:pPr>
        <w:spacing w:after="120"/>
      </w:pPr>
      <w:r>
        <w:rPr>
          <w:rFonts w:ascii="Times New Roman" w:cs="Times New Roman" w:eastAsia="Times New Roman" w:hAnsi="Times New Roman"/>
          <w:sz w:val="24"/>
          <w:szCs w:val="24"/>
        </w:rPr>
        <w:t xml:space="preserve">No unscheduled deaths or moribund euthanasias occurred during the study. All 40 animals (20 males, 20 females) survived to scheduled necropsy on Day 29.</w:t>
      </w:r>
    </w:p>
    <w:p>
      <w:pPr>
        <w:pStyle w:val="Heading3"/>
        <w:spacing w:after="80" w:before="160"/>
        <w:rPr>
          <w:rFonts w:ascii="Times New Roman" w:cs="Times New Roman" w:eastAsia="Times New Roman" w:hAnsi="Times New Roman"/>
          <w:b/>
          <w:bCs/>
          <w:sz w:val="24"/>
          <w:szCs w:val="24"/>
        </w:rPr>
      </w:pPr>
      <w:r>
        <w:t xml:space="preserve">5.2.2 Clinical Observations</w:t>
      </w:r>
    </w:p>
    <w:p>
      <w:pPr>
        <w:spacing w:after="120"/>
      </w:pPr>
      <w:r>
        <w:rPr>
          <w:rFonts w:ascii="Times New Roman" w:cs="Times New Roman" w:eastAsia="Times New Roman" w:hAnsi="Times New Roman"/>
          <w:sz w:val="24"/>
          <w:szCs w:val="24"/>
        </w:rPr>
        <w:t xml:space="preserve">Cage-side observations were recorded twice daily throughout the study. Detailed clinical examinations were performed weekly.</w:t>
      </w:r>
    </w:p>
    <w:p>
      <w:pPr>
        <w:spacing w:after="120"/>
      </w:pPr>
      <w:r>
        <w:rPr>
          <w:rFonts w:ascii="Times New Roman" w:cs="Times New Roman" w:eastAsia="Times New Roman" w:hAnsi="Times New Roman"/>
          <w:b/>
          <w:bCs/>
          <w:sz w:val="24"/>
          <w:szCs w:val="24"/>
        </w:rPr>
        <w:t xml:space="preserve">Group 1 (0 mg/kg/day — Vehicle Control):</w:t>
      </w:r>
      <w:r>
        <w:rPr>
          <w:rFonts w:ascii="Times New Roman" w:cs="Times New Roman" w:eastAsia="Times New Roman" w:hAnsi="Times New Roman"/>
          <w:sz w:val="24"/>
          <w:szCs w:val="24"/>
        </w:rPr>
        <w:t xml:space="preserve"> No treatment-related clinical signs were observed in any male or female animal during the study.</w:t>
      </w:r>
    </w:p>
    <w:p>
      <w:pPr>
        <w:spacing w:after="120"/>
      </w:pPr>
      <w:r>
        <w:rPr>
          <w:rFonts w:ascii="Times New Roman" w:cs="Times New Roman" w:eastAsia="Times New Roman" w:hAnsi="Times New Roman"/>
          <w:b/>
          <w:bCs/>
          <w:sz w:val="24"/>
          <w:szCs w:val="24"/>
        </w:rPr>
        <w:t xml:space="preserve">Group 2 (10 mg/kg/day — Low Dose):</w:t>
      </w:r>
      <w:r>
        <w:rPr>
          <w:rFonts w:ascii="Times New Roman" w:cs="Times New Roman" w:eastAsia="Times New Roman" w:hAnsi="Times New Roman"/>
          <w:sz w:val="24"/>
          <w:szCs w:val="24"/>
        </w:rPr>
        <w:t xml:space="preserve"> No treatment-related clinical signs were observed. All animals appeared healthy throughout the dosing period.</w:t>
      </w:r>
    </w:p>
    <w:p>
      <w:pPr>
        <w:spacing w:after="120"/>
      </w:pPr>
      <w:r>
        <w:rPr>
          <w:rFonts w:ascii="Times New Roman" w:cs="Times New Roman" w:eastAsia="Times New Roman" w:hAnsi="Times New Roman"/>
          <w:b/>
          <w:bCs/>
          <w:sz w:val="24"/>
          <w:szCs w:val="24"/>
        </w:rPr>
        <w:t xml:space="preserve">Group 3 (50 mg/kg/day — Mid Dose):</w:t>
      </w:r>
      <w:r>
        <w:rPr>
          <w:rFonts w:ascii="Times New Roman" w:cs="Times New Roman" w:eastAsia="Times New Roman" w:hAnsi="Times New Roman"/>
          <w:sz w:val="24"/>
          <w:szCs w:val="24"/>
        </w:rPr>
        <w:t xml:space="preserve"> Soft stool was observed in 3 of 10 animals (M301, M303, and M305) during Days 8 to 14. The finding was transient and resolved without intervention by Day 15. No other clinical signs were noted.</w:t>
      </w:r>
    </w:p>
    <w:p>
      <w:pPr>
        <w:spacing w:after="120"/>
      </w:pPr>
      <w:r>
        <w:rPr>
          <w:rFonts w:ascii="Times New Roman" w:cs="Times New Roman" w:eastAsia="Times New Roman" w:hAnsi="Times New Roman"/>
          <w:b/>
          <w:bCs/>
          <w:sz w:val="24"/>
          <w:szCs w:val="24"/>
        </w:rPr>
        <w:t xml:space="preserve">Group 4 (200 mg/kg/day — High Dose):</w:t>
      </w:r>
      <w:r>
        <w:rPr>
          <w:rFonts w:ascii="Times New Roman" w:cs="Times New Roman" w:eastAsia="Times New Roman" w:hAnsi="Times New Roman"/>
          <w:sz w:val="24"/>
          <w:szCs w:val="24"/>
        </w:rPr>
        <w:t xml:space="preserve"> Multiple clinical signs consistent with systemic toxicity were observed throughout the study. Reduced activity was observed in 6 of 10 animals (M401, M402, M403, M404, F401, F402) from Day 1 through Day 28. Hunched posture was recorded in 4 of 10 animals (M401, M402, M403, F401) from Day 1 through Day 21. Soft stool was observed in 7 of 10 animals from Day 1 through Day 28. Partially closed eyes were noted in 3 animals (M401, M402, F401) from Days 1 to 14. All clinical signs persisted for the duration of dosing and are considered treatment-related.</w:t>
      </w:r>
    </w:p>
    <w:p>
      <w:pPr>
        <w:pStyle w:val="Heading3"/>
        <w:spacing w:after="80" w:before="160"/>
        <w:rPr>
          <w:rFonts w:ascii="Times New Roman" w:cs="Times New Roman" w:eastAsia="Times New Roman" w:hAnsi="Times New Roman"/>
          <w:b/>
          <w:bCs/>
          <w:sz w:val="24"/>
          <w:szCs w:val="24"/>
        </w:rPr>
      </w:pPr>
      <w:r>
        <w:t xml:space="preserve">5.2.3 Body Weight</w:t>
      </w:r>
    </w:p>
    <w:p>
      <w:pPr>
        <w:spacing w:after="120"/>
      </w:pPr>
      <w:r>
        <w:rPr>
          <w:rFonts w:ascii="Times New Roman" w:cs="Times New Roman" w:eastAsia="Times New Roman" w:hAnsi="Times New Roman"/>
          <w:sz w:val="24"/>
          <w:szCs w:val="24"/>
        </w:rPr>
        <w:t xml:space="preserve">Body weights were recorded on Day 1 (pre-dose) and weekly thereafter through Day 28.</w:t>
      </w:r>
    </w:p>
    <w:p>
      <w:pPr>
        <w:spacing w:after="120"/>
      </w:pPr>
      <w:r>
        <w:rPr>
          <w:rFonts w:ascii="Times New Roman" w:cs="Times New Roman" w:eastAsia="Times New Roman" w:hAnsi="Times New Roman"/>
          <w:b/>
          <w:bCs/>
          <w:sz w:val="24"/>
          <w:szCs w:val="24"/>
        </w:rPr>
        <w:t xml:space="preserve">Male Mean Body Weights (g):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60"/>
        <w:gridCol w:w="1360"/>
        <w:gridCol w:w="1360"/>
        <w:gridCol w:w="1360"/>
      </w:tblGrid>
      <w:tr>
        <w:trPr>
          <w:tblHeader/>
        </w:trPr>
        <w:tc>
          <w:tcPr>
            <w:tcW w:type="dxa" w:w="2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7</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14</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21</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28</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G1 — Control (0 mg/kg)</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231.4</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261.3</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288.6</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312.4</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338.7</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G2 — Low (10 mg/kg)</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229.8</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260.1</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287.4</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310.8</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336.2</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G3 — Mid (50 mg/kg)</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232.1</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256.4</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281.2</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299.7</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318.4</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G4 — High (200 mg/kg)</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230.5</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247.6</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264.8</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278.3</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291.5</w:t>
            </w:r>
          </w:p>
        </w:tc>
      </w:tr>
    </w:tbl>
    <w:p>
      <w:pPr>
        <w:spacing w:after="6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Female Mean Body Weights (g):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60"/>
        <w:gridCol w:w="1360"/>
        <w:gridCol w:w="1360"/>
        <w:gridCol w:w="1360"/>
      </w:tblGrid>
      <w:tr>
        <w:trPr>
          <w:tblHeader/>
        </w:trPr>
        <w:tc>
          <w:tcPr>
            <w:tcW w:type="dxa" w:w="2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7</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14</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21</w:t>
            </w:r>
          </w:p>
        </w:tc>
        <w:tc>
          <w:tcPr>
            <w:tcW w:type="dxa" w:w="136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Day 28</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G1 — Control (0 mg/kg)</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183.2</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203.8</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219.4</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232.7</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244.8</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G2 — Low (10 mg/kg)</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184.6</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204.2</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220.1</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233.5</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245.6</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G3 — Mid (50 mg/kg)</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182.9</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201.6</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215.8</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226.4</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235.9</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G4 — High (200 mg/kg)</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184.1</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196.2</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207.3</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214.8</w:t>
            </w:r>
          </w:p>
        </w:tc>
        <w:tc>
          <w:tcPr>
            <w:tcW w:type="dxa" w:w="136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220.6</w:t>
            </w:r>
          </w:p>
        </w:tc>
      </w:tr>
    </w:tbl>
    <w:p>
      <w:pPr>
        <w:spacing w:after="6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Body weight gain in Group 4 males was reduced by 13.9% relative to controls by Day 28 (291.5 g vs. 338.7 g). Group 4 females showed a similar reduction of 9.9% (220.6 g vs. 244.8 g). Group 3 showed mild reductions of 6.0% (males) and 3.6% (females) relative to controls at Day 28. Groups 1 and 2 showed comparable body weight trajectories throughout the study.</w:t>
      </w:r>
    </w:p>
    <w:p>
      <w:pPr>
        <w:pStyle w:val="Heading2"/>
        <w:spacing w:after="80" w:before="200"/>
        <w:rPr>
          <w:rFonts w:ascii="Times New Roman" w:cs="Times New Roman" w:eastAsia="Times New Roman" w:hAnsi="Times New Roman"/>
          <w:b/>
          <w:bCs/>
          <w:sz w:val="26"/>
          <w:szCs w:val="26"/>
        </w:rPr>
      </w:pPr>
      <w:r>
        <w:t xml:space="preserve">5.3 Anatomic Pathology</w:t>
      </w:r>
    </w:p>
    <w:p>
      <w:pPr>
        <w:pStyle w:val="Heading3"/>
        <w:spacing w:after="80" w:before="160"/>
        <w:rPr>
          <w:rFonts w:ascii="Times New Roman" w:cs="Times New Roman" w:eastAsia="Times New Roman" w:hAnsi="Times New Roman"/>
          <w:b/>
          <w:bCs/>
          <w:sz w:val="24"/>
          <w:szCs w:val="24"/>
        </w:rPr>
      </w:pPr>
      <w:r>
        <w:t xml:space="preserve">5.3.1 Organ Weights</w:t>
      </w:r>
    </w:p>
    <w:p>
      <w:pPr>
        <w:spacing w:after="120"/>
      </w:pPr>
      <w:r>
        <w:rPr>
          <w:rFonts w:ascii="Times New Roman" w:cs="Times New Roman" w:eastAsia="Times New Roman" w:hAnsi="Times New Roman"/>
          <w:sz w:val="24"/>
          <w:szCs w:val="24"/>
        </w:rPr>
        <w:t xml:space="preserve">Terminal organ weights were recorded at scheduled necropsy on Day 29.</w:t>
      </w:r>
    </w:p>
    <w:p>
      <w:pPr>
        <w:spacing w:after="120"/>
      </w:pPr>
      <w:r>
        <w:rPr>
          <w:rFonts w:ascii="Times New Roman" w:cs="Times New Roman" w:eastAsia="Times New Roman" w:hAnsi="Times New Roman"/>
          <w:b/>
          <w:bCs/>
          <w:sz w:val="24"/>
          <w:szCs w:val="24"/>
        </w:rPr>
        <w:t xml:space="preserve">Male Absolute Organ Weights (g) — Group Means: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300"/>
      </w:tblGrid>
      <w:tr>
        <w:trPr>
          <w:tblHeader/>
        </w:trPr>
        <w:tc>
          <w:tcPr>
            <w:tcW w:type="dxa" w:w="2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Organ</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G1 Control</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G2 Low</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G3 Mid</w:t>
            </w:r>
          </w:p>
        </w:tc>
        <w:tc>
          <w:tcPr>
            <w:tcW w:type="dxa" w:w="13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G4 High</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Liver</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11.48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11.47</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12.82</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15.33</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Kidneys (paired)</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2.18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2.18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2.31</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2.64</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Heart</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1.13</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1.17</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Brain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1.89</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1.87</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1.86</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Spleen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0.74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0.74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0.77</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0.81</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Thymus</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0.38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0.38</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0.34</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0.28</w:t>
            </w:r>
          </w:p>
        </w:tc>
      </w:tr>
    </w:tbl>
    <w:p>
      <w:pPr>
        <w:spacing w:after="6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Female Absolute Organ Weights (g) — Group Means: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300"/>
      </w:tblGrid>
      <w:tr>
        <w:trPr>
          <w:tblHeader/>
        </w:trPr>
        <w:tc>
          <w:tcPr>
            <w:tcW w:type="dxa" w:w="2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Organ</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G1 Control</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G2 Low</w:t>
            </w:r>
          </w:p>
        </w:tc>
        <w:tc>
          <w:tcPr>
            <w:tcW w:type="dxa" w:w="1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G3 Mid</w:t>
            </w:r>
          </w:p>
        </w:tc>
        <w:tc>
          <w:tcPr>
            <w:tcW w:type="dxa" w:w="13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G4 High</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Liver</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8.65</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8.73</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9.66</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11.79</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Kidneys (paired)</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1.53</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1.54</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1.64</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1.87</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Heart</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0.87</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0.87</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0.87</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0.90</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Brain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1.86</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1.86</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1.84</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1.83</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Spleen</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0.63</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0.67</w:t>
            </w:r>
          </w:p>
        </w:tc>
      </w:tr>
      <w:tr>
        <w:tc>
          <w:tcPr>
            <w:tcW w:type="dxa" w:w="2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Thymus</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0.42</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0.41</w:t>
            </w:r>
          </w:p>
        </w:tc>
        <w:tc>
          <w:tcPr>
            <w:tcW w:type="dxa" w:w="1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0.37</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0.30</w:t>
            </w:r>
          </w:p>
        </w:tc>
      </w:tr>
    </w:tbl>
    <w:p>
      <w:pPr>
        <w:spacing w:after="6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Liver weights were statistically increased in Group 3 (12.82 g males, 9.66 g females) and Group 4 (15.33 g males, 11.79 g females) relative to controls. The increase in Group 4 males represents a 33.5% elevation over the control mean (p &lt; 0.01, Dunnett’s test). Kidney weights were increased in Group 4 (males: 2.64 g vs. 2.18 g control; females: 1.87 g vs. 1.53 g control). Thymus weights were reduced in Group 4 (males: 0.28 g; females: 0.30 g), consistent with stress or lymphoid depletion. All other organ weights were comparable across groups.</w:t>
      </w:r>
    </w:p>
    <w:p>
      <w:pPr>
        <w:pStyle w:val="Heading3"/>
        <w:spacing w:after="80" w:before="160"/>
        <w:rPr>
          <w:rFonts w:ascii="Times New Roman" w:cs="Times New Roman" w:eastAsia="Times New Roman" w:hAnsi="Times New Roman"/>
          <w:b/>
          <w:bCs/>
          <w:sz w:val="24"/>
          <w:szCs w:val="24"/>
        </w:rPr>
      </w:pPr>
      <w:r>
        <w:t xml:space="preserve">5.3.2 Macroscopic Observations</w:t>
      </w:r>
    </w:p>
    <w:p>
      <w:pPr>
        <w:spacing w:after="120"/>
      </w:pPr>
      <w:r>
        <w:rPr>
          <w:rFonts w:ascii="Times New Roman" w:cs="Times New Roman" w:eastAsia="Times New Roman" w:hAnsi="Times New Roman"/>
          <w:sz w:val="24"/>
          <w:szCs w:val="24"/>
        </w:rPr>
        <w:t xml:space="preserve">A complete macroscopic examination was performed on all animals at scheduled necropsy on Day 29.</w:t>
      </w:r>
    </w:p>
    <w:p>
      <w:pPr>
        <w:spacing w:after="120"/>
      </w:pPr>
      <w:r>
        <w:rPr>
          <w:rFonts w:ascii="Times New Roman" w:cs="Times New Roman" w:eastAsia="Times New Roman" w:hAnsi="Times New Roman"/>
          <w:b/>
          <w:bCs/>
          <w:sz w:val="24"/>
          <w:szCs w:val="24"/>
        </w:rPr>
        <w:t xml:space="preserve">Groups 1 and 2 (0 and 10 mg/kg/day):</w:t>
      </w:r>
      <w:r>
        <w:rPr>
          <w:rFonts w:ascii="Times New Roman" w:cs="Times New Roman" w:eastAsia="Times New Roman" w:hAnsi="Times New Roman"/>
          <w:sz w:val="24"/>
          <w:szCs w:val="24"/>
        </w:rPr>
        <w:t xml:space="preserve"> No treatment-related macroscopic findings were observed in any tissue in male or female animals.</w:t>
      </w:r>
    </w:p>
    <w:p>
      <w:pPr>
        <w:spacing w:after="120"/>
      </w:pPr>
      <w:r>
        <w:rPr>
          <w:rFonts w:ascii="Times New Roman" w:cs="Times New Roman" w:eastAsia="Times New Roman" w:hAnsi="Times New Roman"/>
          <w:b/>
          <w:bCs/>
          <w:sz w:val="24"/>
          <w:szCs w:val="24"/>
        </w:rPr>
        <w:t xml:space="preserve">Group 3 (50 mg/kg/day):</w:t>
      </w:r>
      <w:r>
        <w:rPr>
          <w:rFonts w:ascii="Times New Roman" w:cs="Times New Roman" w:eastAsia="Times New Roman" w:hAnsi="Times New Roman"/>
          <w:sz w:val="24"/>
          <w:szCs w:val="24"/>
        </w:rPr>
        <w:t xml:space="preserve"> No macroscopic findings were noted in the liver or any other tissue. Microscopic hepatocellular hypertrophy at this dose was not associated with a macroscopic correlate.</w:t>
      </w:r>
    </w:p>
    <w:p>
      <w:pPr>
        <w:spacing w:after="120"/>
      </w:pPr>
      <w:r>
        <w:rPr>
          <w:rFonts w:ascii="Times New Roman" w:cs="Times New Roman" w:eastAsia="Times New Roman" w:hAnsi="Times New Roman"/>
          <w:b/>
          <w:bCs/>
          <w:sz w:val="24"/>
          <w:szCs w:val="24"/>
        </w:rPr>
        <w:t xml:space="preserve">Group 4 (200 mg/kg/day):</w:t>
      </w:r>
      <w:r>
        <w:rPr>
          <w:rFonts w:ascii="Times New Roman" w:cs="Times New Roman" w:eastAsia="Times New Roman" w:hAnsi="Times New Roman"/>
          <w:sz w:val="24"/>
          <w:szCs w:val="24"/>
        </w:rPr>
        <w:t xml:space="preserve"> The liver appeared enlarged and pale tan in all 5 males and all 5 females. In 2 of 5 males (M401, M402), dark surface foci were additionally noted on the liver, consistent with focal necrosis observed microscopically. No macroscopic findings were noted in the kidney, thymus, or any other tissue.</w:t>
      </w:r>
    </w:p>
    <w:p>
      <w:pPr>
        <w:pStyle w:val="Heading3"/>
        <w:spacing w:after="80" w:before="160"/>
        <w:rPr>
          <w:rFonts w:ascii="Times New Roman" w:cs="Times New Roman" w:eastAsia="Times New Roman" w:hAnsi="Times New Roman"/>
          <w:b/>
          <w:bCs/>
          <w:sz w:val="24"/>
          <w:szCs w:val="24"/>
        </w:rPr>
      </w:pPr>
      <w:r>
        <w:t xml:space="preserve">5.3.3 Microscopic Findings</w:t>
      </w:r>
    </w:p>
    <w:p>
      <w:pPr>
        <w:spacing w:after="120"/>
      </w:pPr>
      <w:r>
        <w:rPr>
          <w:rFonts w:ascii="Times New Roman" w:cs="Times New Roman" w:eastAsia="Times New Roman" w:hAnsi="Times New Roman"/>
          <w:sz w:val="24"/>
          <w:szCs w:val="24"/>
        </w:rPr>
        <w:t xml:space="preserve">Microscopic examination was performed on tissues from all animals in Groups 1 and 4 and target tissues (liver, kidney) from Groups 2 and 3.</w:t>
      </w:r>
    </w:p>
    <w:p>
      <w:pPr>
        <w:spacing w:after="120"/>
      </w:pPr>
      <w:r>
        <w:rPr>
          <w:rFonts w:ascii="Times New Roman" w:cs="Times New Roman" w:eastAsia="Times New Roman" w:hAnsi="Times New Roman"/>
          <w:b/>
          <w:bCs/>
          <w:sz w:val="24"/>
          <w:szCs w:val="24"/>
        </w:rPr>
        <w:t xml:space="preserve">Liver:</w:t>
      </w:r>
    </w:p>
    <w:p>
      <w:pPr>
        <w:spacing w:after="120"/>
      </w:pPr>
      <w:r>
        <w:rPr>
          <w:rFonts w:ascii="Times New Roman" w:cs="Times New Roman" w:eastAsia="Times New Roman" w:hAnsi="Times New Roman"/>
          <w:sz w:val="24"/>
          <w:szCs w:val="24"/>
        </w:rPr>
        <w:t xml:space="preserve">Groups 1 and 2: No treatment-related microscopic findings. Hepatic parenchyma appeared within normal limits in all animals examined.</w:t>
      </w:r>
    </w:p>
    <w:p>
      <w:pPr>
        <w:spacing w:after="120"/>
      </w:pPr>
      <w:r>
        <w:rPr>
          <w:rFonts w:ascii="Times New Roman" w:cs="Times New Roman" w:eastAsia="Times New Roman" w:hAnsi="Times New Roman"/>
          <w:sz w:val="24"/>
          <w:szCs w:val="24"/>
        </w:rPr>
        <w:t xml:space="preserve">Group 3: Minimal hepatocellular hypertrophy (Grade 1) was observed in 3 of 5 males (M301, M302, M304) and 2 of 5 females (F301, F303). The finding consisted of enlarged hepatocytes with abundant pale cytoplasm, predominantly in the centrilobular region. This change is consistent with hepatic enzyme induction and is considered adaptive rather than adverse at this dose.</w:t>
      </w:r>
    </w:p>
    <w:p>
      <w:pPr>
        <w:spacing w:after="120"/>
      </w:pPr>
      <w:r>
        <w:rPr>
          <w:rFonts w:ascii="Times New Roman" w:cs="Times New Roman" w:eastAsia="Times New Roman" w:hAnsi="Times New Roman"/>
          <w:sz w:val="24"/>
          <w:szCs w:val="24"/>
        </w:rPr>
        <w:t xml:space="preserve">Group 4: Moderate hepatocellular hypertrophy (Grade 2 to 3) was present in all 5 males and all 5 females. Additionally, mild centrilobular necrosis (Grade 1 to 2) was observed in 2 of 5 males (M401, M402) and 1 of 5 females (F401). Necrosis was characterised by hepatocyte loss and karyolysis in the centrilobular zone. These findings are considered adverse and directly attributable to compound administration.</w:t>
      </w:r>
    </w:p>
    <w:p>
      <w:pPr>
        <w:spacing w:after="120"/>
      </w:pPr>
      <w:r>
        <w:rPr>
          <w:rFonts w:ascii="Times New Roman" w:cs="Times New Roman" w:eastAsia="Times New Roman" w:hAnsi="Times New Roman"/>
          <w:b/>
          <w:bCs/>
          <w:sz w:val="24"/>
          <w:szCs w:val="24"/>
        </w:rPr>
        <w:t xml:space="preserve">Kidneys:</w:t>
      </w:r>
    </w:p>
    <w:p>
      <w:pPr>
        <w:spacing w:after="120"/>
      </w:pPr>
      <w:r>
        <w:rPr>
          <w:rFonts w:ascii="Times New Roman" w:cs="Times New Roman" w:eastAsia="Times New Roman" w:hAnsi="Times New Roman"/>
          <w:sz w:val="24"/>
          <w:szCs w:val="24"/>
        </w:rPr>
        <w:t xml:space="preserve">Groups 1 and 2: No treatment-related findings.</w:t>
      </w:r>
    </w:p>
    <w:p>
      <w:pPr>
        <w:spacing w:after="120"/>
      </w:pPr>
      <w:r>
        <w:rPr>
          <w:rFonts w:ascii="Times New Roman" w:cs="Times New Roman" w:eastAsia="Times New Roman" w:hAnsi="Times New Roman"/>
          <w:sz w:val="24"/>
          <w:szCs w:val="24"/>
        </w:rPr>
        <w:t xml:space="preserve">Group 3: No treatment-related renal findings.</w:t>
      </w:r>
    </w:p>
    <w:p>
      <w:pPr>
        <w:spacing w:after="120"/>
      </w:pPr>
      <w:r>
        <w:rPr>
          <w:rFonts w:ascii="Times New Roman" w:cs="Times New Roman" w:eastAsia="Times New Roman" w:hAnsi="Times New Roman"/>
          <w:sz w:val="24"/>
          <w:szCs w:val="24"/>
        </w:rPr>
        <w:t xml:space="preserve">Group 4: Minimal renal tubular basophilia (Grade 1) was observed in 3 of 5 males (M401, M402, M404) and 2 of 5 females (F402, F403). The finding consisted of basophilic tubular epithelial cells in the cortex, consistent with tubular regeneration following mild nephrotoxic injury.</w:t>
      </w:r>
    </w:p>
    <w:p>
      <w:pPr>
        <w:spacing w:after="120"/>
      </w:pPr>
      <w:r>
        <w:rPr>
          <w:rFonts w:ascii="Times New Roman" w:cs="Times New Roman" w:eastAsia="Times New Roman" w:hAnsi="Times New Roman"/>
          <w:b/>
          <w:bCs/>
          <w:sz w:val="24"/>
          <w:szCs w:val="24"/>
        </w:rPr>
        <w:t xml:space="preserve">Thymus:</w:t>
      </w:r>
    </w:p>
    <w:p>
      <w:pPr>
        <w:spacing w:after="120"/>
      </w:pPr>
      <w:r>
        <w:rPr>
          <w:rFonts w:ascii="Times New Roman" w:cs="Times New Roman" w:eastAsia="Times New Roman" w:hAnsi="Times New Roman"/>
          <w:sz w:val="24"/>
          <w:szCs w:val="24"/>
        </w:rPr>
        <w:t xml:space="preserve">No treatment-related thymic findings were observed in Groups 1, 2, or 3. Thymic lymphoid depletion (Grade 1) was observed in 2 of 5 Group 4 males (M401, M402), consistent with stress-related involution secondary to body weight loss and systemic toxicity.</w:t>
      </w:r>
    </w:p>
    <w:p>
      <w:pPr>
        <w:spacing w:after="120"/>
      </w:pPr>
      <w:r>
        <w:rPr>
          <w:rFonts w:ascii="Times New Roman" w:cs="Times New Roman" w:eastAsia="Times New Roman" w:hAnsi="Times New Roman"/>
          <w:b/>
          <w:bCs/>
          <w:sz w:val="24"/>
          <w:szCs w:val="24"/>
        </w:rPr>
        <w:t xml:space="preserve">Other Organs (Heart, Brain, Spleen, Adrenal Glands, Gonads, Lungs, Bone Marrow):</w:t>
      </w:r>
    </w:p>
    <w:p>
      <w:pPr>
        <w:spacing w:after="120"/>
      </w:pPr>
      <w:r>
        <w:rPr>
          <w:rFonts w:ascii="Times New Roman" w:cs="Times New Roman" w:eastAsia="Times New Roman" w:hAnsi="Times New Roman"/>
          <w:sz w:val="24"/>
          <w:szCs w:val="24"/>
        </w:rPr>
        <w:t xml:space="preserve">No treatment-related microscopic findings were identified in the heart, brain, spleen, adrenal glands, gonads, lungs, or bone marrow in any dose group.</w:t>
      </w:r>
    </w:p>
    <w:p>
      <w:pPr>
        <w:pStyle w:val="Heading3"/>
        <w:spacing w:after="80" w:before="160"/>
        <w:rPr>
          <w:rFonts w:ascii="Times New Roman" w:cs="Times New Roman" w:eastAsia="Times New Roman" w:hAnsi="Times New Roman"/>
          <w:b/>
          <w:bCs/>
          <w:sz w:val="24"/>
          <w:szCs w:val="24"/>
        </w:rPr>
      </w:pPr>
      <w:r>
        <w:t xml:space="preserve">5.3.4 Conclusion</w:t>
      </w:r>
    </w:p>
    <w:p>
      <w:pPr>
        <w:spacing w:after="120"/>
      </w:pPr>
      <w:r>
        <w:rPr>
          <w:rFonts w:ascii="Times New Roman" w:cs="Times New Roman" w:eastAsia="Times New Roman" w:hAnsi="Times New Roman"/>
          <w:sz w:val="24"/>
          <w:szCs w:val="24"/>
        </w:rPr>
        <w:t xml:space="preserve">The no-observed-adverse-effect level (NOAEL) for Compound XR-247 under the conditions of this study is </w:t>
      </w:r>
      <w:r>
        <w:rPr>
          <w:rFonts w:ascii="Times New Roman" w:cs="Times New Roman" w:eastAsia="Times New Roman" w:hAnsi="Times New Roman"/>
          <w:b/>
          <w:bCs/>
          <w:sz w:val="24"/>
          <w:szCs w:val="24"/>
        </w:rPr>
        <w:t xml:space="preserve">10 mg/kg/day</w:t>
      </w:r>
      <w:r>
        <w:rPr>
          <w:rFonts w:ascii="Times New Roman" w:cs="Times New Roman" w:eastAsia="Times New Roman" w:hAnsi="Times New Roman"/>
          <w:sz w:val="24"/>
          <w:szCs w:val="24"/>
        </w:rPr>
        <w:t xml:space="preserve">, based on the absence of adverse findings at the low dose level. The lowest-observed-adverse-effect level (LOAEL) is </w:t>
      </w:r>
      <w:r>
        <w:rPr>
          <w:rFonts w:ascii="Times New Roman" w:cs="Times New Roman" w:eastAsia="Times New Roman" w:hAnsi="Times New Roman"/>
          <w:b/>
          <w:bCs/>
          <w:sz w:val="24"/>
          <w:szCs w:val="24"/>
        </w:rPr>
        <w:t xml:space="preserve">200 mg/kg/day</w:t>
      </w:r>
      <w:r>
        <w:rPr>
          <w:rFonts w:ascii="Times New Roman" w:cs="Times New Roman" w:eastAsia="Times New Roman" w:hAnsi="Times New Roman"/>
          <w:sz w:val="24"/>
          <w:szCs w:val="24"/>
        </w:rPr>
        <w:t xml:space="preserve">, based on adverse hepatic findings (hepatocellular hypertrophy Grade 2–3 and centrilobular necrosis), renal tubular basophilia, body weight reduction, and clinical signs of systemic toxicity.</w:t>
      </w:r>
    </w:p>
    <w:p>
      <w:pPr>
        <w:pBdr>
          <w:bottom w:val="single" w:color="999999" w:sz="6" w:space="1"/>
        </w:pBdr>
        <w:spacing w:after="100" w:before="10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6.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Abbreviation</w:t>
            </w:r>
          </w:p>
        </w:tc>
        <w:tc>
          <w:tcPr>
            <w:tcW w:type="dxa" w:w="7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Definition</w:t>
            </w:r>
          </w:p>
        </w:tc>
      </w:tr>
      <w:tr>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ANOVA</w:t>
            </w:r>
          </w:p>
        </w:tc>
        <w:tc>
          <w:tcPr>
            <w:tcW w:type="dxa" w:w="7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analysis of variance</w:t>
            </w:r>
          </w:p>
        </w:tc>
      </w:tr>
      <w:tr>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GLP</w:t>
            </w:r>
          </w:p>
        </w:tc>
        <w:tc>
          <w:tcPr>
            <w:tcW w:type="dxa" w:w="7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Good Laboratory Practice</w:t>
            </w:r>
          </w:p>
        </w:tc>
      </w:tr>
      <w:tr>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H&amp;E</w:t>
            </w:r>
          </w:p>
        </w:tc>
        <w:tc>
          <w:tcPr>
            <w:tcW w:type="dxa" w:w="7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haematoxylin and eosin</w:t>
            </w:r>
          </w:p>
        </w:tc>
      </w:tr>
      <w:tr>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LOAEL</w:t>
            </w:r>
          </w:p>
        </w:tc>
        <w:tc>
          <w:tcPr>
            <w:tcW w:type="dxa" w:w="7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lowest-observed-adverse-effect level</w:t>
            </w:r>
          </w:p>
        </w:tc>
      </w:tr>
      <w:tr>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NOAEL</w:t>
            </w:r>
          </w:p>
        </w:tc>
        <w:tc>
          <w:tcPr>
            <w:tcW w:type="dxa" w:w="7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no-observed-adverse-effect level</w:t>
            </w:r>
          </w:p>
        </w:tc>
      </w:tr>
      <w:tr>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QAU</w:t>
            </w:r>
          </w:p>
        </w:tc>
        <w:tc>
          <w:tcPr>
            <w:tcW w:type="dxa" w:w="7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Quality Assurance Unit</w:t>
            </w:r>
          </w:p>
        </w:tc>
      </w:tr>
    </w:tbl>
    <w:p>
      <w:pPr>
        <w:pBdr>
          <w:bottom w:val="single" w:color="999999" w:sz="6" w:space="1"/>
        </w:pBdr>
        <w:spacing w:after="100" w:before="10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7. Quality Assurance Statement</w:t>
      </w:r>
    </w:p>
    <w:p>
      <w:pPr>
        <w:spacing w:after="120"/>
      </w:pPr>
      <w:r>
        <w:rPr>
          <w:rFonts w:ascii="Times New Roman" w:cs="Times New Roman" w:eastAsia="Times New Roman" w:hAnsi="Times New Roman"/>
          <w:sz w:val="24"/>
          <w:szCs w:val="24"/>
        </w:rPr>
        <w:t xml:space="preserve">This study was conducted in compliance with GLP regulations (21 CFR Part 58). Periodic inspections were conducted by the Quality Assurance Unit.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rPr>
          <w:tblHeader/>
        </w:trPr>
        <w:tc>
          <w:tcPr>
            <w:tcW w:type="dxa" w:w="3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Phase Inspected</w:t>
            </w:r>
          </w:p>
        </w:tc>
        <w:tc>
          <w:tcPr>
            <w:tcW w:type="dxa" w:w="2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Audit Date</w:t>
            </w:r>
          </w:p>
        </w:tc>
        <w:tc>
          <w:tcPr>
            <w:tcW w:type="dxa" w:w="2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Reporting Date</w:t>
            </w:r>
          </w:p>
        </w:tc>
      </w:tr>
      <w:tr>
        <w:tc>
          <w:tcPr>
            <w:tcW w:type="dxa" w:w="3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In-life phase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 February 2024</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01 March 2024</w:t>
            </w:r>
          </w:p>
        </w:tc>
      </w:tr>
      <w:tr>
        <w:tc>
          <w:tcPr>
            <w:tcW w:type="dxa" w:w="3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Pathology review</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08 March 2024</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12 March 2024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Times New Roman" w:cs="Times New Roman" w:eastAsia="Times New Roman" w:hAnsi="Times New Roman"/>
        <w:color w:val="666666"/>
        <w:sz w:val="18"/>
        <w:szCs w:val="18"/>
      </w:rPr>
      <w:t xml:space="preserve">TOX-2024-0412  │  NONCLINICAL STUDY REPORT  │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80" w:before="200"/>
    </w:pPr>
    <w:rPr>
      <w:rFonts w:ascii="Times New Roman" w:cs="Times New Roman" w:eastAsia="Times New Roman" w:hAnsi="Times New Roman"/>
      <w:b/>
      <w:bCs/>
      <w:color w:val="2E4F8A"/>
      <w:sz w:val="26"/>
      <w:szCs w:val="26"/>
    </w:rPr>
  </w:style>
  <w:style w:type="paragraph" w:styleId="Heading3">
    <w:name w:val="Heading 3"/>
    <w:basedOn w:val="Normal"/>
    <w:next w:val="Normal"/>
    <w:pPr>
      <w:spacing w:after="60" w:before="160"/>
    </w:pPr>
    <w:rPr>
      <w:rFonts w:ascii="Times New Roman" w:cs="Times New Roman" w:eastAsia="Times New Roman" w:hAnsi="Times New Roman"/>
      <w:b/>
      <w:bCs/>
      <w:color w:val="2E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2026-09-21T23:04:42.079Z</dcterms:created>
  <dcterms:modified xsi:type="dcterms:W3CDTF">2026-09-21T23:04:42.079Z</dcterms:modified>
</cp:coreProperties>
</file>

<file path=docProps/custom.xml><?xml version="1.0" encoding="utf-8"?>
<Properties xmlns="http://schemas.openxmlformats.org/officeDocument/2006/custom-properties" xmlns:vt="http://schemas.openxmlformats.org/officeDocument/2006/docPropsVTypes"/>
</file>