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24"/>
          <w:szCs w:val="24"/>
        </w:rPr>
        <w:t xml:space="preserve">STUDY PROTOCOL</w:t>
      </w:r>
    </w:p>
    <w:p>
      <w:pPr>
        <w:spacing w:after="200"/>
        <w:jc w:val="center"/>
      </w:pPr>
      <w:r>
        <w:rPr>
          <w:rFonts w:ascii="Times New Roman" w:cs="Times New Roman" w:eastAsia="Times New Roman" w:hAnsi="Times New Roman"/>
          <w:b/>
          <w:bCs/>
          <w:sz w:val="24"/>
          <w:szCs w:val="24"/>
        </w:rPr>
        <w:t xml:space="preserve">13-Week Repeat-Dose Oral Gavage Toxicity Study with PCDRUG in Sprague-Dawley Rats</w:t>
      </w:r>
    </w:p>
    <w:p>
      <w:pPr>
        <w:spacing w:after="80"/>
      </w:pPr>
      <w:r>
        <w:rPr>
          <w:rFonts w:ascii="Times New Roman" w:cs="Times New Roman" w:eastAsia="Times New Roman" w:hAnsi="Times New Roman"/>
          <w:sz w:val="24"/>
          <w:szCs w:val="24"/>
        </w:rPr>
        <w:t xml:space="preserve"/>
      </w:r>
    </w:p>
    <w:p>
      <w:pPr>
        <w:spacing w:after="60"/>
      </w:pPr>
      <w:r>
        <w:rPr>
          <w:rFonts w:ascii="Times New Roman" w:cs="Times New Roman" w:eastAsia="Times New Roman" w:hAnsi="Times New Roman"/>
          <w:b/>
          <w:bCs/>
          <w:sz w:val="24"/>
          <w:szCs w:val="24"/>
        </w:rPr>
        <w:t xml:space="preserve">Protocol Number: </w:t>
      </w:r>
      <w:r>
        <w:rPr>
          <w:rFonts w:ascii="Times New Roman" w:cs="Times New Roman" w:eastAsia="Times New Roman" w:hAnsi="Times New Roman"/>
          <w:sz w:val="24"/>
          <w:szCs w:val="24"/>
        </w:rPr>
        <w:t xml:space="preserve">PC201708</w:t>
      </w:r>
    </w:p>
    <w:p>
      <w:pPr>
        <w:spacing w:after="60"/>
      </w:pPr>
      <w:r>
        <w:rPr>
          <w:rFonts w:ascii="Times New Roman" w:cs="Times New Roman" w:eastAsia="Times New Roman" w:hAnsi="Times New Roman"/>
          <w:b/>
          <w:bCs/>
          <w:sz w:val="24"/>
          <w:szCs w:val="24"/>
        </w:rPr>
        <w:t xml:space="preserve">Study Title: </w:t>
      </w:r>
      <w:r>
        <w:rPr>
          <w:rFonts w:ascii="Times New Roman" w:cs="Times New Roman" w:eastAsia="Times New Roman" w:hAnsi="Times New Roman"/>
          <w:sz w:val="24"/>
          <w:szCs w:val="24"/>
        </w:rPr>
        <w:t xml:space="preserve">13-Week Repeat-Dose Oral Gavage Toxicity Study with PCDRUG in Sprague-Dawley Rats</w:t>
      </w:r>
    </w:p>
    <w:p>
      <w:pPr>
        <w:spacing w:after="60"/>
      </w:pPr>
      <w:r>
        <w:rPr>
          <w:rFonts w:ascii="Times New Roman" w:cs="Times New Roman" w:eastAsia="Times New Roman" w:hAnsi="Times New Roman"/>
          <w:b/>
          <w:bCs/>
          <w:sz w:val="24"/>
          <w:szCs w:val="24"/>
        </w:rPr>
        <w:t xml:space="preserve">Sponsor: </w:t>
      </w:r>
      <w:r>
        <w:rPr>
          <w:rFonts w:ascii="Times New Roman" w:cs="Times New Roman" w:eastAsia="Times New Roman" w:hAnsi="Times New Roman"/>
          <w:sz w:val="24"/>
          <w:szCs w:val="24"/>
        </w:rPr>
        <w:t xml:space="preserve">PCLS Pharmaceuticals</w:t>
      </w:r>
    </w:p>
    <w:p>
      <w:pPr>
        <w:spacing w:after="60"/>
      </w:pPr>
      <w:r>
        <w:rPr>
          <w:rFonts w:ascii="Times New Roman" w:cs="Times New Roman" w:eastAsia="Times New Roman" w:hAnsi="Times New Roman"/>
          <w:b/>
          <w:bCs/>
          <w:sz w:val="24"/>
          <w:szCs w:val="24"/>
        </w:rPr>
        <w:t xml:space="preserve">Test Article: </w:t>
      </w:r>
      <w:r>
        <w:rPr>
          <w:rFonts w:ascii="Times New Roman" w:cs="Times New Roman" w:eastAsia="Times New Roman" w:hAnsi="Times New Roman"/>
          <w:sz w:val="24"/>
          <w:szCs w:val="24"/>
        </w:rPr>
        <w:t xml:space="preserve">PCDRUG</w:t>
      </w:r>
    </w:p>
    <w:p>
      <w:pPr>
        <w:spacing w:after="60"/>
      </w:pPr>
      <w:r>
        <w:rPr>
          <w:rFonts w:ascii="Times New Roman" w:cs="Times New Roman" w:eastAsia="Times New Roman" w:hAnsi="Times New Roman"/>
          <w:b/>
          <w:bCs/>
          <w:sz w:val="24"/>
          <w:szCs w:val="24"/>
        </w:rPr>
        <w:t xml:space="preserve">Species/Strain: </w:t>
      </w:r>
      <w:r>
        <w:rPr>
          <w:rFonts w:ascii="Times New Roman" w:cs="Times New Roman" w:eastAsia="Times New Roman" w:hAnsi="Times New Roman"/>
          <w:sz w:val="24"/>
          <w:szCs w:val="24"/>
        </w:rPr>
        <w:t xml:space="preserve">Rat / Sprague-Dawley (Crl:CD(SD))</w:t>
      </w:r>
    </w:p>
    <w:p>
      <w:pPr>
        <w:spacing w:after="60"/>
      </w:pPr>
      <w:r>
        <w:rPr>
          <w:rFonts w:ascii="Times New Roman" w:cs="Times New Roman" w:eastAsia="Times New Roman" w:hAnsi="Times New Roman"/>
          <w:b/>
          <w:bCs/>
          <w:sz w:val="24"/>
          <w:szCs w:val="24"/>
        </w:rPr>
        <w:t xml:space="preserve">Study Director: </w:t>
      </w:r>
      <w:r>
        <w:rPr>
          <w:rFonts w:ascii="Times New Roman" w:cs="Times New Roman" w:eastAsia="Times New Roman" w:hAnsi="Times New Roman"/>
          <w:sz w:val="24"/>
          <w:szCs w:val="24"/>
        </w:rPr>
        <w:t xml:space="preserve">David Everyman</w:t>
      </w:r>
    </w:p>
    <w:p>
      <w:pPr>
        <w:spacing w:after="60"/>
      </w:pPr>
      <w:r>
        <w:rPr>
          <w:rFonts w:ascii="Times New Roman" w:cs="Times New Roman" w:eastAsia="Times New Roman" w:hAnsi="Times New Roman"/>
          <w:b/>
          <w:bCs/>
          <w:sz w:val="24"/>
          <w:szCs w:val="24"/>
        </w:rPr>
        <w:t xml:space="preserve">Test Facility: </w:t>
      </w:r>
      <w:r>
        <w:rPr>
          <w:rFonts w:ascii="Times New Roman" w:cs="Times New Roman" w:eastAsia="Times New Roman" w:hAnsi="Times New Roman"/>
          <w:sz w:val="24"/>
          <w:szCs w:val="24"/>
        </w:rPr>
        <w:t xml:space="preserve">PointCross Life Sciences, Inc — Silver Spring, MD</w:t>
      </w:r>
    </w:p>
    <w:p>
      <w:pPr>
        <w:spacing w:after="60"/>
      </w:pPr>
      <w:r>
        <w:rPr>
          <w:rFonts w:ascii="Times New Roman" w:cs="Times New Roman" w:eastAsia="Times New Roman" w:hAnsi="Times New Roman"/>
          <w:b/>
          <w:bCs/>
          <w:sz w:val="24"/>
          <w:szCs w:val="24"/>
        </w:rPr>
        <w:t xml:space="preserve">Analytical Site: </w:t>
      </w:r>
      <w:r>
        <w:rPr>
          <w:rFonts w:ascii="Times New Roman" w:cs="Times New Roman" w:eastAsia="Times New Roman" w:hAnsi="Times New Roman"/>
          <w:sz w:val="24"/>
          <w:szCs w:val="24"/>
        </w:rPr>
        <w:t xml:space="preserve">Analytical Labs — Foster City, CA</w:t>
      </w:r>
    </w:p>
    <w:p>
      <w:pPr>
        <w:spacing w:after="60"/>
      </w:pPr>
      <w:r>
        <w:rPr>
          <w:rFonts w:ascii="Times New Roman" w:cs="Times New Roman" w:eastAsia="Times New Roman" w:hAnsi="Times New Roman"/>
          <w:b/>
          <w:bCs/>
          <w:sz w:val="24"/>
          <w:szCs w:val="24"/>
        </w:rPr>
        <w:t xml:space="preserve">GLP Compliance: </w:t>
      </w:r>
      <w:r>
        <w:rPr>
          <w:rFonts w:ascii="Times New Roman" w:cs="Times New Roman" w:eastAsia="Times New Roman" w:hAnsi="Times New Roman"/>
          <w:sz w:val="24"/>
          <w:szCs w:val="24"/>
        </w:rPr>
        <w:t xml:space="preserve">FDA GLP (21 CFR Part 58)</w:t>
      </w:r>
    </w:p>
    <w:p>
      <w:pPr>
        <w:spacing w:after="60"/>
      </w:pPr>
      <w:r>
        <w:rPr>
          <w:rFonts w:ascii="Times New Roman" w:cs="Times New Roman" w:eastAsia="Times New Roman" w:hAnsi="Times New Roman"/>
          <w:b/>
          <w:bCs/>
          <w:sz w:val="24"/>
          <w:szCs w:val="24"/>
        </w:rPr>
        <w:t xml:space="preserve">Study Start Date: </w:t>
      </w:r>
      <w:r>
        <w:rPr>
          <w:rFonts w:ascii="Times New Roman" w:cs="Times New Roman" w:eastAsia="Times New Roman" w:hAnsi="Times New Roman"/>
          <w:sz w:val="24"/>
          <w:szCs w:val="24"/>
        </w:rPr>
        <w:t xml:space="preserve">15 January 2016</w:t>
      </w:r>
    </w:p>
    <w:p>
      <w:pPr>
        <w:spacing w:after="60"/>
      </w:pPr>
      <w:r>
        <w:rPr>
          <w:rFonts w:ascii="Times New Roman" w:cs="Times New Roman" w:eastAsia="Times New Roman" w:hAnsi="Times New Roman"/>
          <w:b/>
          <w:bCs/>
          <w:sz w:val="24"/>
          <w:szCs w:val="24"/>
        </w:rPr>
        <w:t xml:space="preserve">Experimental Start Date: </w:t>
      </w:r>
      <w:r>
        <w:rPr>
          <w:rFonts w:ascii="Times New Roman" w:cs="Times New Roman" w:eastAsia="Times New Roman" w:hAnsi="Times New Roman"/>
          <w:sz w:val="24"/>
          <w:szCs w:val="24"/>
        </w:rPr>
        <w:t xml:space="preserve">01 February 2016</w:t>
      </w:r>
    </w:p>
    <w:p>
      <w:pPr>
        <w:spacing w:after="60"/>
      </w:pPr>
      <w:r>
        <w:rPr>
          <w:rFonts w:ascii="Times New Roman" w:cs="Times New Roman" w:eastAsia="Times New Roman" w:hAnsi="Times New Roman"/>
          <w:b/>
          <w:bCs/>
          <w:sz w:val="24"/>
          <w:szCs w:val="24"/>
        </w:rPr>
        <w:t xml:space="preserve">Experimental End Date: </w:t>
      </w:r>
      <w:r>
        <w:rPr>
          <w:rFonts w:ascii="Times New Roman" w:cs="Times New Roman" w:eastAsia="Times New Roman" w:hAnsi="Times New Roman"/>
          <w:sz w:val="24"/>
          <w:szCs w:val="24"/>
        </w:rPr>
        <w:t xml:space="preserve">16 May 2016</w:t>
      </w:r>
    </w:p>
    <w:p>
      <w:pPr>
        <w:spacing w:after="60"/>
      </w:pPr>
      <w:r>
        <w:rPr>
          <w:rFonts w:ascii="Times New Roman" w:cs="Times New Roman" w:eastAsia="Times New Roman" w:hAnsi="Times New Roman"/>
          <w:b/>
          <w:bCs/>
          <w:sz w:val="24"/>
          <w:szCs w:val="24"/>
        </w:rPr>
        <w:t xml:space="preserve">Protocol Version: </w:t>
      </w:r>
      <w:r>
        <w:rPr>
          <w:rFonts w:ascii="Times New Roman" w:cs="Times New Roman" w:eastAsia="Times New Roman" w:hAnsi="Times New Roman"/>
          <w:sz w:val="24"/>
          <w:szCs w:val="24"/>
        </w:rPr>
        <w:t xml:space="preserve">1.0</w:t>
      </w:r>
    </w:p>
    <w:p>
      <w:pPr>
        <w:pBdr>
          <w:bottom w:val="single" w:color="AAAAAA" w:sz="6" w:space="1"/>
        </w:pBdr>
        <w:spacing w:after="80" w:before="80"/>
      </w:pPr>
      <w:r>
        <w:rPr>
          <w:rFonts w:ascii="Times New Roman" w:cs="Times New Roman" w:eastAsia="Times New Roman" w:hAnsi="Times New Roman"/>
          <w:sz w:val="24"/>
          <w:szCs w:val="24"/>
        </w:rPr>
        <w:t xml:space="preserve"/>
      </w:r>
    </w:p>
    <w:p>
      <w:pPr>
        <w:pStyle w:val="Heading1"/>
        <w:spacing w:after="120" w:before="280"/>
        <w:rPr>
          <w:rFonts w:ascii="Times New Roman" w:cs="Times New Roman" w:eastAsia="Times New Roman" w:hAnsi="Times New Roman"/>
          <w:b/>
          <w:bCs/>
          <w:sz w:val="28"/>
          <w:szCs w:val="28"/>
        </w:rPr>
      </w:pPr>
      <w:r>
        <w:t xml:space="preserve">1. Objective</w:t>
      </w:r>
    </w:p>
    <w:p>
      <w:pPr>
        <w:spacing w:after="120"/>
      </w:pPr>
      <w:r>
        <w:rPr>
          <w:rFonts w:ascii="Times New Roman" w:cs="Times New Roman" w:eastAsia="Times New Roman" w:hAnsi="Times New Roman"/>
          <w:sz w:val="24"/>
          <w:szCs w:val="24"/>
        </w:rPr>
        <w:t xml:space="preserve">The objective of this study is to evaluate the potential subchronic toxicity of PCDRUG following repeated daily oral gavage administration to Sprague-Dawley rats for 13 consecutive weeks (91 days). The study will: (1) characterise the nature, severity, dose-response, and reversibility of any treatment-related toxicological effects; (2) identify target organs of toxicity; and (3) establish a no-observed-adverse-effect level (NOAEL) to support regulatory filing.</w:t>
      </w:r>
    </w:p>
    <w:p>
      <w:pPr>
        <w:spacing w:after="120"/>
      </w:pPr>
      <w:r>
        <w:rPr>
          <w:rFonts w:ascii="Times New Roman" w:cs="Times New Roman" w:eastAsia="Times New Roman" w:hAnsi="Times New Roman"/>
          <w:sz w:val="24"/>
          <w:szCs w:val="24"/>
        </w:rPr>
        <w:t xml:space="preserve">PCDRUG (Lot PC4321, purity 96%) is a small-molecule investigational candidate under development by PCLS Pharmaceuticals. Based on available pharmacological and in vitro data, hepatic and renal tissues are considered potential targets. A 14-day recovery cohort is included to assess reversibility of any findings.</w:t>
      </w:r>
    </w:p>
    <w:p>
      <w:pPr>
        <w:pBdr>
          <w:bottom w:val="single" w:color="AAAAAA" w:sz="6" w:space="1"/>
        </w:pBdr>
        <w:spacing w:after="80" w:before="80"/>
      </w:pPr>
      <w:r>
        <w:rPr>
          <w:rFonts w:ascii="Times New Roman" w:cs="Times New Roman" w:eastAsia="Times New Roman" w:hAnsi="Times New Roman"/>
          <w:sz w:val="24"/>
          <w:szCs w:val="24"/>
        </w:rPr>
        <w:t xml:space="preserve"/>
      </w:r>
    </w:p>
    <w:p>
      <w:pPr>
        <w:pStyle w:val="Heading1"/>
        <w:spacing w:after="120" w:before="280"/>
        <w:rPr>
          <w:rFonts w:ascii="Times New Roman" w:cs="Times New Roman" w:eastAsia="Times New Roman" w:hAnsi="Times New Roman"/>
          <w:b/>
          <w:bCs/>
          <w:sz w:val="28"/>
          <w:szCs w:val="28"/>
        </w:rPr>
      </w:pPr>
      <w:r>
        <w:t xml:space="preserve">2. Study Design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rPr>
          <w:tblHeader/>
        </w:trPr>
        <w:tc>
          <w:tcPr>
            <w:tcW w:type="dxa" w:w="38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Parameter</w:t>
            </w:r>
          </w:p>
        </w:tc>
        <w:tc>
          <w:tcPr>
            <w:tcW w:type="dxa" w:w="52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Detail</w:t>
            </w:r>
          </w:p>
        </w:tc>
      </w:tr>
      <w:tr>
        <w:tc>
          <w:tcPr>
            <w:tcW w:type="dxa" w:w="3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Species</w:t>
            </w:r>
          </w:p>
        </w:tc>
        <w:tc>
          <w:tcPr>
            <w:tcW w:type="dxa" w:w="5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Sprague-Dawley rat (Crl:CD(SD))</w:t>
            </w:r>
          </w:p>
        </w:tc>
      </w:tr>
      <w:tr>
        <w:tc>
          <w:tcPr>
            <w:tcW w:type="dxa" w:w="3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Source</w:t>
            </w:r>
          </w:p>
        </w:tc>
        <w:tc>
          <w:tcPr>
            <w:tcW w:type="dxa" w:w="5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Rat Labs</w:t>
            </w:r>
          </w:p>
        </w:tc>
      </w:tr>
      <w:tr>
        <w:tc>
          <w:tcPr>
            <w:tcW w:type="dxa" w:w="3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Sex</w:t>
            </w:r>
          </w:p>
        </w:tc>
        <w:tc>
          <w:tcPr>
            <w:tcW w:type="dxa" w:w="5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Male and Female</w:t>
            </w:r>
          </w:p>
        </w:tc>
      </w:tr>
      <w:tr>
        <w:tc>
          <w:tcPr>
            <w:tcW w:type="dxa" w:w="3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Age at receipt</w:t>
            </w:r>
          </w:p>
        </w:tc>
        <w:tc>
          <w:tcPr>
            <w:tcW w:type="dxa" w:w="5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6 to 7 weeks</w:t>
            </w:r>
          </w:p>
        </w:tc>
      </w:tr>
      <w:tr>
        <w:tc>
          <w:tcPr>
            <w:tcW w:type="dxa" w:w="3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Route of administration</w:t>
            </w:r>
          </w:p>
        </w:tc>
        <w:tc>
          <w:tcPr>
            <w:tcW w:type="dxa" w:w="5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Oral gavage</w:t>
            </w:r>
          </w:p>
        </w:tc>
      </w:tr>
      <w:tr>
        <w:tc>
          <w:tcPr>
            <w:tcW w:type="dxa" w:w="3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Dosing frequency</w:t>
            </w:r>
          </w:p>
        </w:tc>
        <w:tc>
          <w:tcPr>
            <w:tcW w:type="dxa" w:w="5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Once daily, 7 days per week</w:t>
            </w:r>
          </w:p>
        </w:tc>
      </w:tr>
      <w:tr>
        <w:tc>
          <w:tcPr>
            <w:tcW w:type="dxa" w:w="3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Treatment duration</w:t>
            </w:r>
          </w:p>
        </w:tc>
        <w:tc>
          <w:tcPr>
            <w:tcW w:type="dxa" w:w="5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13 weeks (91 days)</w:t>
            </w:r>
          </w:p>
        </w:tc>
      </w:tr>
      <w:tr>
        <w:tc>
          <w:tcPr>
            <w:tcW w:type="dxa" w:w="3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Recovery period</w:t>
            </w:r>
          </w:p>
        </w:tc>
        <w:tc>
          <w:tcPr>
            <w:tcW w:type="dxa" w:w="5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14 days (termination Day 106)</w:t>
            </w:r>
          </w:p>
        </w:tc>
      </w:tr>
      <w:tr>
        <w:tc>
          <w:tcPr>
            <w:tcW w:type="dxa" w:w="3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Vehicle</w:t>
            </w:r>
          </w:p>
        </w:tc>
        <w:tc>
          <w:tcPr>
            <w:tcW w:type="dxa" w:w="5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Saline (0.9% NaCl)</w:t>
            </w:r>
          </w:p>
        </w:tc>
      </w:tr>
      <w:tr>
        <w:tc>
          <w:tcPr>
            <w:tcW w:type="dxa" w:w="3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Housing</w:t>
            </w:r>
          </w:p>
        </w:tc>
        <w:tc>
          <w:tcPr>
            <w:tcW w:type="dxa" w:w="5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Individual — polycarbonate cages</w:t>
            </w:r>
          </w:p>
        </w:tc>
      </w:tr>
      <w:tr>
        <w:tc>
          <w:tcPr>
            <w:tcW w:type="dxa" w:w="3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Light cycle</w:t>
            </w:r>
          </w:p>
        </w:tc>
        <w:tc>
          <w:tcPr>
            <w:tcW w:type="dxa" w:w="5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12-hour light / 12-hour dark</w:t>
            </w:r>
          </w:p>
        </w:tc>
      </w:tr>
      <w:tr>
        <w:tc>
          <w:tcPr>
            <w:tcW w:type="dxa" w:w="3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Temperature</w:t>
            </w:r>
          </w:p>
        </w:tc>
        <w:tc>
          <w:tcPr>
            <w:tcW w:type="dxa" w:w="5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22 to 28°C</w:t>
            </w:r>
          </w:p>
        </w:tc>
      </w:tr>
      <w:tr>
        <w:tc>
          <w:tcPr>
            <w:tcW w:type="dxa" w:w="3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Humidity</w:t>
            </w:r>
          </w:p>
        </w:tc>
        <w:tc>
          <w:tcPr>
            <w:tcW w:type="dxa" w:w="5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30 to 70%</w:t>
            </w:r>
          </w:p>
        </w:tc>
      </w:tr>
      <w:tr>
        <w:tc>
          <w:tcPr>
            <w:tcW w:type="dxa" w:w="3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Diet</w:t>
            </w:r>
          </w:p>
        </w:tc>
        <w:tc>
          <w:tcPr>
            <w:tcW w:type="dxa" w:w="5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Standard certified rodent diet, ad libitum</w:t>
            </w:r>
          </w:p>
        </w:tc>
      </w:tr>
      <w:tr>
        <w:tc>
          <w:tcPr>
            <w:tcW w:type="dxa" w:w="3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Water</w:t>
            </w:r>
          </w:p>
        </w:tc>
        <w:tc>
          <w:tcPr>
            <w:tcW w:type="dxa" w:w="5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Reverse osmosis, ad libitum</w:t>
            </w:r>
          </w:p>
        </w:tc>
      </w:tr>
      <w:tr>
        <w:tc>
          <w:tcPr>
            <w:tcW w:type="dxa" w:w="3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Method of identification</w:t>
            </w:r>
          </w:p>
        </w:tc>
        <w:tc>
          <w:tcPr>
            <w:tcW w:type="dxa" w:w="5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Microchip</w:t>
            </w:r>
          </w:p>
        </w:tc>
      </w:tr>
      <w:tr>
        <w:tc>
          <w:tcPr>
            <w:tcW w:type="dxa" w:w="3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Method of termination</w:t>
            </w:r>
          </w:p>
        </w:tc>
        <w:tc>
          <w:tcPr>
            <w:tcW w:type="dxa" w:w="5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Anaesthetised exsanguination</w:t>
            </w:r>
          </w:p>
        </w:tc>
      </w:tr>
    </w:tbl>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b/>
          <w:bCs/>
          <w:sz w:val="24"/>
          <w:szCs w:val="24"/>
        </w:rPr>
        <w:t xml:space="preserve">Animal Allocation: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1600"/>
        <w:gridCol w:w="1300"/>
        <w:gridCol w:w="1100"/>
        <w:gridCol w:w="1100"/>
        <w:gridCol w:w="1100"/>
        <w:gridCol w:w="1100"/>
        <w:gridCol w:w="900"/>
      </w:tblGrid>
      <w:tr>
        <w:trPr>
          <w:tblHeader/>
        </w:trPr>
        <w:tc>
          <w:tcPr>
            <w:tcW w:type="dxa" w:w="6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Group</w:t>
            </w:r>
          </w:p>
        </w:tc>
        <w:tc>
          <w:tcPr>
            <w:tcW w:type="dxa" w:w="8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Arm Code</w:t>
            </w:r>
          </w:p>
        </w:tc>
        <w:tc>
          <w:tcPr>
            <w:tcW w:type="dxa" w:w="16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Treatment</w:t>
            </w:r>
          </w:p>
        </w:tc>
        <w:tc>
          <w:tcPr>
            <w:tcW w:type="dxa" w:w="13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Dose (mg/kg/day)</w:t>
            </w:r>
          </w:p>
        </w:tc>
        <w:tc>
          <w:tcPr>
            <w:tcW w:type="dxa" w:w="11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Males (Main)</w:t>
            </w:r>
          </w:p>
        </w:tc>
        <w:tc>
          <w:tcPr>
            <w:tcW w:type="dxa" w:w="11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Females (Main)</w:t>
            </w:r>
          </w:p>
        </w:tc>
        <w:tc>
          <w:tcPr>
            <w:tcW w:type="dxa" w:w="11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Males (Recovery)</w:t>
            </w:r>
          </w:p>
        </w:tc>
        <w:tc>
          <w:tcPr>
            <w:tcW w:type="dxa" w:w="11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Females (Recovery)</w:t>
            </w:r>
          </w:p>
        </w:tc>
        <w:tc>
          <w:tcPr>
            <w:tcW w:type="dxa" w:w="9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Total</w:t>
            </w:r>
          </w:p>
        </w:tc>
      </w:tr>
      <w:tr>
        <w:tc>
          <w:tcPr>
            <w:tcW w:type="dxa" w:w="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w:t>
            </w:r>
          </w:p>
        </w:tc>
        <w:tc>
          <w:tcPr>
            <w:tcW w:type="dxa" w:w="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w:t>
            </w:r>
          </w:p>
        </w:tc>
        <w:tc>
          <w:tcPr>
            <w:tcW w:type="dxa" w:w="1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Vehicle Control</w:t>
            </w:r>
          </w:p>
        </w:tc>
        <w:tc>
          <w:tcPr>
            <w:tcW w:type="dxa" w:w="13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w:t>
            </w:r>
          </w:p>
        </w:tc>
        <w:tc>
          <w:tcPr>
            <w:tcW w:type="dxa" w:w="9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30</w:t>
            </w:r>
          </w:p>
        </w:tc>
      </w:tr>
      <w:tr>
        <w:tc>
          <w:tcPr>
            <w:tcW w:type="dxa" w:w="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w:t>
            </w:r>
          </w:p>
        </w:tc>
        <w:tc>
          <w:tcPr>
            <w:tcW w:type="dxa" w:w="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w:t>
            </w:r>
          </w:p>
        </w:tc>
        <w:tc>
          <w:tcPr>
            <w:tcW w:type="dxa" w:w="1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PCDRUG Low</w:t>
            </w:r>
          </w:p>
        </w:tc>
        <w:tc>
          <w:tcPr>
            <w:tcW w:type="dxa" w:w="13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15</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15</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w:t>
            </w:r>
          </w:p>
        </w:tc>
        <w:tc>
          <w:tcPr>
            <w:tcW w:type="dxa" w:w="9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40</w:t>
            </w:r>
          </w:p>
        </w:tc>
      </w:tr>
      <w:tr>
        <w:tc>
          <w:tcPr>
            <w:tcW w:type="dxa" w:w="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3</w:t>
            </w:r>
          </w:p>
        </w:tc>
        <w:tc>
          <w:tcPr>
            <w:tcW w:type="dxa" w:w="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3</w:t>
            </w:r>
          </w:p>
        </w:tc>
        <w:tc>
          <w:tcPr>
            <w:tcW w:type="dxa" w:w="1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PCDRUG Mid</w:t>
            </w:r>
          </w:p>
        </w:tc>
        <w:tc>
          <w:tcPr>
            <w:tcW w:type="dxa" w:w="13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20</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15</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15</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w:t>
            </w:r>
          </w:p>
        </w:tc>
        <w:tc>
          <w:tcPr>
            <w:tcW w:type="dxa" w:w="9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40</w:t>
            </w:r>
          </w:p>
        </w:tc>
      </w:tr>
      <w:tr>
        <w:tc>
          <w:tcPr>
            <w:tcW w:type="dxa" w:w="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4</w:t>
            </w:r>
          </w:p>
        </w:tc>
        <w:tc>
          <w:tcPr>
            <w:tcW w:type="dxa" w:w="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4</w:t>
            </w:r>
          </w:p>
        </w:tc>
        <w:tc>
          <w:tcPr>
            <w:tcW w:type="dxa" w:w="1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PCDRUG High</w:t>
            </w:r>
          </w:p>
        </w:tc>
        <w:tc>
          <w:tcPr>
            <w:tcW w:type="dxa" w:w="13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200</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15</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15</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w:t>
            </w:r>
          </w:p>
        </w:tc>
        <w:tc>
          <w:tcPr>
            <w:tcW w:type="dxa" w:w="9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40</w:t>
            </w:r>
          </w:p>
        </w:tc>
      </w:tr>
      <w:tr>
        <w:tc>
          <w:tcPr>
            <w:tcW w:type="dxa" w:w="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Total</w:t>
            </w:r>
          </w:p>
        </w:tc>
        <w:tc>
          <w:tcPr>
            <w:tcW w:type="dxa" w:w="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
            </w:r>
          </w:p>
        </w:tc>
        <w:tc>
          <w:tcPr>
            <w:tcW w:type="dxa" w:w="1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
            </w:r>
          </w:p>
        </w:tc>
        <w:tc>
          <w:tcPr>
            <w:tcW w:type="dxa" w:w="13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55</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55</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20</w:t>
            </w:r>
          </w:p>
        </w:tc>
        <w:tc>
          <w:tcPr>
            <w:tcW w:type="dxa" w:w="1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20</w:t>
            </w:r>
          </w:p>
        </w:tc>
        <w:tc>
          <w:tcPr>
            <w:tcW w:type="dxa" w:w="9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150</w:t>
            </w:r>
          </w:p>
        </w:tc>
      </w:tr>
    </w:tbl>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Animals will be assigned to groups by stratified randomisation based on body weight on Day 1. Recovery animals are designated at study initiation and are sacrificed 14 days after the main group terminal sacrifice.</w:t>
      </w:r>
    </w:p>
    <w:p>
      <w:pPr>
        <w:pBdr>
          <w:bottom w:val="single" w:color="AAAAAA" w:sz="6" w:space="1"/>
        </w:pBdr>
        <w:spacing w:after="80" w:before="80"/>
      </w:pPr>
      <w:r>
        <w:rPr>
          <w:rFonts w:ascii="Times New Roman" w:cs="Times New Roman" w:eastAsia="Times New Roman" w:hAnsi="Times New Roman"/>
          <w:sz w:val="24"/>
          <w:szCs w:val="24"/>
        </w:rPr>
        <w:t xml:space="preserve"/>
      </w:r>
    </w:p>
    <w:p>
      <w:pPr>
        <w:pStyle w:val="Heading1"/>
        <w:spacing w:after="120" w:before="280"/>
        <w:rPr>
          <w:rFonts w:ascii="Times New Roman" w:cs="Times New Roman" w:eastAsia="Times New Roman" w:hAnsi="Times New Roman"/>
          <w:b/>
          <w:bCs/>
          <w:sz w:val="28"/>
          <w:szCs w:val="28"/>
        </w:rPr>
      </w:pPr>
      <w:r>
        <w:t xml:space="preserve">3. Materials and Methods</w:t>
      </w:r>
    </w:p>
    <w:p>
      <w:pPr>
        <w:pStyle w:val="Heading2"/>
        <w:spacing w:after="80" w:before="200"/>
        <w:rPr>
          <w:rFonts w:ascii="Times New Roman" w:cs="Times New Roman" w:eastAsia="Times New Roman" w:hAnsi="Times New Roman"/>
          <w:b/>
          <w:bCs/>
          <w:sz w:val="26"/>
          <w:szCs w:val="26"/>
        </w:rPr>
      </w:pPr>
      <w:r>
        <w:t xml:space="preserve">3.1 Test Article</w:t>
      </w:r>
    </w:p>
    <w:p>
      <w:pPr>
        <w:spacing w:after="120"/>
      </w:pPr>
      <w:r>
        <w:rPr>
          <w:rFonts w:ascii="Times New Roman" w:cs="Times New Roman" w:eastAsia="Times New Roman" w:hAnsi="Times New Roman"/>
          <w:sz w:val="24"/>
          <w:szCs w:val="24"/>
        </w:rPr>
        <w:t xml:space="preserve">PCDRUG will be supplied by PCLS Pharmaceuticals Analytical Chemistry Group. Lot PC4321 has a purity of 96%. The test article will be stored at controlled room temperature, protected from light, and characterised for stability and homogeneity prior to use.</w:t>
      </w:r>
    </w:p>
    <w:p>
      <w:pPr>
        <w:pStyle w:val="Heading2"/>
        <w:spacing w:after="80" w:before="200"/>
        <w:rPr>
          <w:rFonts w:ascii="Times New Roman" w:cs="Times New Roman" w:eastAsia="Times New Roman" w:hAnsi="Times New Roman"/>
          <w:b/>
          <w:bCs/>
          <w:sz w:val="26"/>
          <w:szCs w:val="26"/>
        </w:rPr>
      </w:pPr>
      <w:r>
        <w:t xml:space="preserve">3.2 Vehicle</w:t>
      </w:r>
    </w:p>
    <w:p>
      <w:pPr>
        <w:spacing w:after="120"/>
      </w:pPr>
      <w:r>
        <w:rPr>
          <w:rFonts w:ascii="Times New Roman" w:cs="Times New Roman" w:eastAsia="Times New Roman" w:hAnsi="Times New Roman"/>
          <w:sz w:val="24"/>
          <w:szCs w:val="24"/>
        </w:rPr>
        <w:t xml:space="preserve">Vehicle will be 0.9% sodium chloride (saline) for injection. Dosing formulations will be prepared at weekly intervals and stored refrigerated (2 to 8°C) until use.</w:t>
      </w:r>
    </w:p>
    <w:p>
      <w:pPr>
        <w:pStyle w:val="Heading2"/>
        <w:spacing w:after="80" w:before="200"/>
        <w:rPr>
          <w:rFonts w:ascii="Times New Roman" w:cs="Times New Roman" w:eastAsia="Times New Roman" w:hAnsi="Times New Roman"/>
          <w:b/>
          <w:bCs/>
          <w:sz w:val="26"/>
          <w:szCs w:val="26"/>
        </w:rPr>
      </w:pPr>
      <w:r>
        <w:t xml:space="preserve">3.3 Dose Preparation and Administration</w:t>
      </w:r>
    </w:p>
    <w:p>
      <w:pPr>
        <w:spacing w:after="120"/>
      </w:pPr>
      <w:r>
        <w:rPr>
          <w:rFonts w:ascii="Times New Roman" w:cs="Times New Roman" w:eastAsia="Times New Roman" w:hAnsi="Times New Roman"/>
          <w:sz w:val="24"/>
          <w:szCs w:val="24"/>
        </w:rPr>
        <w:t xml:space="preserve">Dosing formulations will be prepared by dissolving/suspending PCDRUG in saline to achieve the required nominal concentrations: 0.2 mg/mL (Group 2), 2.0 mg/mL (Group 3), and 20.0 mg/mL (Group 4). The dose volume will be 10 mL/kg, adjusted weekly based on the most recent body weight. Group 1 will receive saline vehicle at 10 mL/kg.</w:t>
      </w:r>
    </w:p>
    <w:p>
      <w:pPr>
        <w:pStyle w:val="Heading2"/>
        <w:spacing w:after="80" w:before="200"/>
        <w:rPr>
          <w:rFonts w:ascii="Times New Roman" w:cs="Times New Roman" w:eastAsia="Times New Roman" w:hAnsi="Times New Roman"/>
          <w:b/>
          <w:bCs/>
          <w:sz w:val="26"/>
          <w:szCs w:val="26"/>
        </w:rPr>
      </w:pPr>
      <w:r>
        <w:t xml:space="preserve">3.4 Dose Formulation Verification</w:t>
      </w:r>
    </w:p>
    <w:p>
      <w:pPr>
        <w:spacing w:after="120"/>
      </w:pPr>
      <w:r>
        <w:rPr>
          <w:rFonts w:ascii="Times New Roman" w:cs="Times New Roman" w:eastAsia="Times New Roman" w:hAnsi="Times New Roman"/>
          <w:sz w:val="24"/>
          <w:szCs w:val="24"/>
        </w:rPr>
        <w:t xml:space="preserve">Formulation samples will be collected at the beginning and end of the treatment period (Day 1 and Week 13) and analysed by HPLC for concentration verification. Acceptance criterion: measured concentration within ±10% of nominal. Samples will also be assessed for homogeneity.</w:t>
      </w:r>
    </w:p>
    <w:p>
      <w:pPr>
        <w:pStyle w:val="Heading2"/>
        <w:spacing w:after="80" w:before="200"/>
        <w:rPr>
          <w:rFonts w:ascii="Times New Roman" w:cs="Times New Roman" w:eastAsia="Times New Roman" w:hAnsi="Times New Roman"/>
          <w:b/>
          <w:bCs/>
          <w:sz w:val="26"/>
          <w:szCs w:val="26"/>
        </w:rPr>
      </w:pPr>
      <w:r>
        <w:t xml:space="preserve">3.5 In-Life Observations</w:t>
      </w:r>
    </w:p>
    <w:p>
      <w:pPr>
        <w:spacing w:after="120"/>
      </w:pPr>
      <w:r>
        <w:rPr>
          <w:rFonts w:ascii="Times New Roman" w:cs="Times New Roman" w:eastAsia="Times New Roman" w:hAnsi="Times New Roman"/>
          <w:sz w:val="24"/>
          <w:szCs w:val="24"/>
        </w:rPr>
        <w:t xml:space="preserve">Cage-side observations: twice daily throughout the study. Detailed clinical examinations: weekly from Day 1 through terminal sacrifice. Body weights will be recorded weekly (Days 1, 8, 15, … through Day 92 for main groups; Days 99 and 106 for recovery groups). Food consumption will be measured weekly.</w:t>
      </w:r>
    </w:p>
    <w:p>
      <w:pPr>
        <w:pStyle w:val="Heading2"/>
        <w:spacing w:after="80" w:before="200"/>
        <w:rPr>
          <w:rFonts w:ascii="Times New Roman" w:cs="Times New Roman" w:eastAsia="Times New Roman" w:hAnsi="Times New Roman"/>
          <w:b/>
          <w:bCs/>
          <w:sz w:val="26"/>
          <w:szCs w:val="26"/>
        </w:rPr>
      </w:pPr>
      <w:r>
        <w:t xml:space="preserve">3.6 Terminal Procedures</w:t>
      </w:r>
    </w:p>
    <w:p>
      <w:pPr>
        <w:spacing w:after="120"/>
      </w:pPr>
      <w:r>
        <w:rPr>
          <w:rFonts w:ascii="Times New Roman" w:cs="Times New Roman" w:eastAsia="Times New Roman" w:hAnsi="Times New Roman"/>
          <w:sz w:val="24"/>
          <w:szCs w:val="24"/>
        </w:rPr>
        <w:t xml:space="preserve">Main group animals will be euthanised at Day 92 (end of Week 13). Recovery group animals will be euthanised at Day 106 (14 days post-treatment). All animals will be exsanguinated under anaesthesia. A complete macroscopic post-mortem examination will be performed on all animals. The following organs will be weighed: liver, kidneys, heart, brain, spleen, thymus, adrenal glands, pituitary gland, thyroid gland, and gonads (ovaries or testes).</w:t>
      </w:r>
    </w:p>
    <w:p>
      <w:pPr>
        <w:pStyle w:val="Heading2"/>
        <w:spacing w:after="80" w:before="200"/>
        <w:rPr>
          <w:rFonts w:ascii="Times New Roman" w:cs="Times New Roman" w:eastAsia="Times New Roman" w:hAnsi="Times New Roman"/>
          <w:b/>
          <w:bCs/>
          <w:sz w:val="26"/>
          <w:szCs w:val="26"/>
        </w:rPr>
      </w:pPr>
      <w:r>
        <w:t xml:space="preserve">3.7 Tissue Collection and Histopathology</w:t>
      </w:r>
    </w:p>
    <w:p>
      <w:pPr>
        <w:spacing w:after="120"/>
      </w:pPr>
      <w:r>
        <w:rPr>
          <w:rFonts w:ascii="Times New Roman" w:cs="Times New Roman" w:eastAsia="Times New Roman" w:hAnsi="Times New Roman"/>
          <w:sz w:val="24"/>
          <w:szCs w:val="24"/>
        </w:rPr>
        <w:t xml:space="preserve">The following tissues will be collected and fixed in 10% neutral buffered formalin from all animals in Groups 1 and 4 (and from recovery animals in Groups 1R and 4R):</w:t>
      </w:r>
    </w:p>
    <w:p>
      <w:pPr>
        <w:spacing w:after="120"/>
      </w:pPr>
      <w:r>
        <w:rPr>
          <w:rFonts w:ascii="Times New Roman" w:cs="Times New Roman" w:eastAsia="Times New Roman" w:hAnsi="Times New Roman"/>
          <w:sz w:val="24"/>
          <w:szCs w:val="24"/>
        </w:rPr>
        <w:t xml:space="preserve">Adrenal glands, aorta, bone marrow (femur and sternum), sternum (with marrow), brain, epididymis, oesophagus, eye, Harderian gland, heart, hip joint, kidneys, large intestine (caecum, colon, rectum), larynx, liver, lungs, lymph nodes (mesenteric and popliteal), mammary gland, muscle (quadriceps femoris), nerve (optic and sciatic), pancreas, Peyer’s patches, pituitary gland, coagulating gland, prostate gland, salivary glands (parotid, sublingual, submandibular), seminal vesicles, skin, small intestine (duodenum, ileum, jejunum), spinal cord (cervical, thoracic, lumbar), spleen, stomach, testes/ovaries, thymus, thyroid/parathyroid glands, tongue, trachea, ureter, urinary bladder, and uterus.</w:t>
      </w:r>
    </w:p>
    <w:p>
      <w:pPr>
        <w:spacing w:after="120"/>
      </w:pPr>
      <w:r>
        <w:rPr>
          <w:rFonts w:ascii="Times New Roman" w:cs="Times New Roman" w:eastAsia="Times New Roman" w:hAnsi="Times New Roman"/>
          <w:sz w:val="24"/>
          <w:szCs w:val="24"/>
        </w:rPr>
        <w:t xml:space="preserve">Target tissues (liver, kidneys) only will be collected from Groups 2 and 3 (and Groups 2R and 3R). Sections will be cut at 4 to 6 μm and stained with haematoxylin and eosin (H&amp;E). Microscopic findings will be graded 1 (Minimal) to 5 (Severe). Pathology peer review will be performed.</w:t>
      </w:r>
    </w:p>
    <w:p>
      <w:pPr>
        <w:pStyle w:val="Heading2"/>
        <w:spacing w:after="80" w:before="200"/>
        <w:rPr>
          <w:rFonts w:ascii="Times New Roman" w:cs="Times New Roman" w:eastAsia="Times New Roman" w:hAnsi="Times New Roman"/>
          <w:b/>
          <w:bCs/>
          <w:sz w:val="26"/>
          <w:szCs w:val="26"/>
        </w:rPr>
      </w:pPr>
      <w:r>
        <w:t xml:space="preserve">3.8 Clinical Pathology</w:t>
      </w:r>
    </w:p>
    <w:p>
      <w:pPr>
        <w:spacing w:after="120"/>
      </w:pPr>
      <w:r>
        <w:rPr>
          <w:rFonts w:ascii="Times New Roman" w:cs="Times New Roman" w:eastAsia="Times New Roman" w:hAnsi="Times New Roman"/>
          <w:sz w:val="24"/>
          <w:szCs w:val="24"/>
        </w:rPr>
        <w:t xml:space="preserve">Blood samples for haematology and clinical chemistry will be collected from all main-group animals at terminal sacrifice. Urine will be collected by metabolic cage over 16 hours prior to necropsy.</w:t>
      </w:r>
    </w:p>
    <w:p>
      <w:pPr>
        <w:pStyle w:val="Heading2"/>
        <w:spacing w:after="80" w:before="200"/>
        <w:rPr>
          <w:rFonts w:ascii="Times New Roman" w:cs="Times New Roman" w:eastAsia="Times New Roman" w:hAnsi="Times New Roman"/>
          <w:b/>
          <w:bCs/>
          <w:sz w:val="26"/>
          <w:szCs w:val="26"/>
        </w:rPr>
      </w:pPr>
      <w:r>
        <w:t xml:space="preserve">3.9 Toxicokinetics</w:t>
      </w:r>
    </w:p>
    <w:p>
      <w:pPr>
        <w:spacing w:after="120"/>
      </w:pPr>
      <w:r>
        <w:rPr>
          <w:rFonts w:ascii="Times New Roman" w:cs="Times New Roman" w:eastAsia="Times New Roman" w:hAnsi="Times New Roman"/>
          <w:sz w:val="24"/>
          <w:szCs w:val="24"/>
        </w:rPr>
        <w:t xml:space="preserve">Blood samples for toxicokinetic (TK) analysis will be collected on Day 1 and during Week 13 from TK satellite animals (if designated) or from main-group animals at specified timepoints post-dose. Plasma will be analysed by validated LC-MS/MS for PCDRUG concentration.</w:t>
      </w:r>
    </w:p>
    <w:p>
      <w:pPr>
        <w:pStyle w:val="Heading2"/>
        <w:spacing w:after="80" w:before="200"/>
        <w:rPr>
          <w:rFonts w:ascii="Times New Roman" w:cs="Times New Roman" w:eastAsia="Times New Roman" w:hAnsi="Times New Roman"/>
          <w:b/>
          <w:bCs/>
          <w:sz w:val="26"/>
          <w:szCs w:val="26"/>
        </w:rPr>
      </w:pPr>
      <w:r>
        <w:t xml:space="preserve">3.10 Statistical Analysis</w:t>
      </w:r>
    </w:p>
    <w:p>
      <w:pPr>
        <w:spacing w:after="120"/>
      </w:pPr>
      <w:r>
        <w:rPr>
          <w:rFonts w:ascii="Times New Roman" w:cs="Times New Roman" w:eastAsia="Times New Roman" w:hAnsi="Times New Roman"/>
          <w:sz w:val="24"/>
          <w:szCs w:val="24"/>
        </w:rPr>
        <w:t xml:space="preserve">Continuous variables will be analysed by one-way ANOVA with Dunnett’s post-hoc test. Bartlett’s test will be applied for variance homogeneity; if heterogeneous, Kruskal-Wallis with Dunn’s post-hoc will be used. Incidence data will be compared by Fisher’s exact test. Statistical significance: p &lt; 0.05.</w:t>
      </w:r>
    </w:p>
    <w:p>
      <w:pPr>
        <w:pBdr>
          <w:bottom w:val="single" w:color="AAAAAA" w:sz="6" w:space="1"/>
        </w:pBdr>
        <w:spacing w:after="80" w:before="80"/>
      </w:pPr>
      <w:r>
        <w:rPr>
          <w:rFonts w:ascii="Times New Roman" w:cs="Times New Roman" w:eastAsia="Times New Roman" w:hAnsi="Times New Roman"/>
          <w:sz w:val="24"/>
          <w:szCs w:val="24"/>
        </w:rPr>
        <w:t xml:space="preserve"/>
      </w:r>
    </w:p>
    <w:p>
      <w:pPr>
        <w:pStyle w:val="Heading1"/>
        <w:spacing w:after="120" w:before="280"/>
        <w:rPr>
          <w:rFonts w:ascii="Times New Roman" w:cs="Times New Roman" w:eastAsia="Times New Roman" w:hAnsi="Times New Roman"/>
          <w:b/>
          <w:bCs/>
          <w:sz w:val="28"/>
          <w:szCs w:val="28"/>
        </w:rPr>
      </w:pPr>
      <w:r>
        <w:t xml:space="preserve">4. Study Schedule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Event</w:t>
            </w:r>
          </w:p>
        </w:tc>
        <w:tc>
          <w:tcPr>
            <w:tcW w:type="dxa" w:w="45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Study Day / Timepoint</w:t>
            </w:r>
          </w:p>
        </w:tc>
      </w:tr>
      <w:tr>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Animal receipt</w:t>
            </w:r>
          </w:p>
        </w:tc>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Day −6 (15 January 2016)</w:t>
            </w:r>
          </w:p>
        </w:tc>
      </w:tr>
      <w:tr>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Acclimation</w:t>
            </w:r>
          </w:p>
        </w:tc>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Days −5 to −1</w:t>
            </w:r>
          </w:p>
        </w:tc>
      </w:tr>
      <w:tr>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Group allocation / randomisation</w:t>
            </w:r>
          </w:p>
        </w:tc>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Day 1 (01 February 2016)</w:t>
            </w:r>
          </w:p>
        </w:tc>
      </w:tr>
      <w:tr>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First dose administration</w:t>
            </w:r>
          </w:p>
        </w:tc>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Day 1</w:t>
            </w:r>
          </w:p>
        </w:tc>
      </w:tr>
      <w:tr>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Last dose administration (main groups)</w:t>
            </w:r>
          </w:p>
        </w:tc>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Day 91</w:t>
            </w:r>
          </w:p>
        </w:tc>
      </w:tr>
      <w:tr>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Main group terminal necropsy</w:t>
            </w:r>
          </w:p>
        </w:tc>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Day 92</w:t>
            </w:r>
          </w:p>
        </w:tc>
      </w:tr>
      <w:tr>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Recovery group last dose</w:t>
            </w:r>
          </w:p>
        </w:tc>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Day 91</w:t>
            </w:r>
          </w:p>
        </w:tc>
      </w:tr>
      <w:tr>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Recovery group terminal necropsy</w:t>
            </w:r>
          </w:p>
        </w:tc>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Day 106 (16 May 2016)</w:t>
            </w:r>
          </w:p>
        </w:tc>
      </w:tr>
      <w:tr>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Body weight measurements</w:t>
            </w:r>
          </w:p>
        </w:tc>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Days 1, 8, 15, 22, 29, 36, 43, 50, 57, 64, 71, 78, 85, 92, 99, 106</w:t>
            </w:r>
          </w:p>
        </w:tc>
      </w:tr>
      <w:tr>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Formulation verification</w:t>
            </w:r>
          </w:p>
        </w:tc>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Day 1 and Week 13</w:t>
            </w:r>
          </w:p>
        </w:tc>
      </w:tr>
      <w:tr>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TK sampling</w:t>
            </w:r>
          </w:p>
        </w:tc>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Day 1 and Week 13</w:t>
            </w:r>
          </w:p>
        </w:tc>
      </w:tr>
    </w:tbl>
    <w:p>
      <w:pPr>
        <w:spacing w:after="80"/>
      </w:pPr>
      <w:r>
        <w:rPr>
          <w:rFonts w:ascii="Times New Roman" w:cs="Times New Roman" w:eastAsia="Times New Roman" w:hAnsi="Times New Roman"/>
          <w:sz w:val="24"/>
          <w:szCs w:val="24"/>
        </w:rPr>
        <w:t xml:space="preserve"/>
      </w:r>
    </w:p>
    <w:p>
      <w:pPr>
        <w:pBdr>
          <w:bottom w:val="single" w:color="AAAAAA" w:sz="6" w:space="1"/>
        </w:pBdr>
        <w:spacing w:after="80" w:before="80"/>
      </w:pPr>
      <w:r>
        <w:rPr>
          <w:rFonts w:ascii="Times New Roman" w:cs="Times New Roman" w:eastAsia="Times New Roman" w:hAnsi="Times New Roman"/>
          <w:sz w:val="24"/>
          <w:szCs w:val="24"/>
        </w:rPr>
        <w:t xml:space="preserve"/>
      </w:r>
    </w:p>
    <w:p>
      <w:pPr>
        <w:pStyle w:val="Heading1"/>
        <w:spacing w:after="120" w:before="280"/>
        <w:rPr>
          <w:rFonts w:ascii="Times New Roman" w:cs="Times New Roman" w:eastAsia="Times New Roman" w:hAnsi="Times New Roman"/>
          <w:b/>
          <w:bCs/>
          <w:sz w:val="28"/>
          <w:szCs w:val="28"/>
        </w:rPr>
      </w:pPr>
      <w:r>
        <w:t xml:space="preserve">5. Protocol Amendments and Deviations</w:t>
      </w:r>
    </w:p>
    <w:p>
      <w:pPr>
        <w:spacing w:after="120"/>
      </w:pPr>
      <w:r>
        <w:rPr>
          <w:rFonts w:ascii="Times New Roman" w:cs="Times New Roman" w:eastAsia="Times New Roman" w:hAnsi="Times New Roman"/>
          <w:sz w:val="24"/>
          <w:szCs w:val="24"/>
        </w:rPr>
        <w:t xml:space="preserve">Any protocol amendments will be documented, signed, and dated by the Study Director prior to implementation. Protocol deviations will be documented, assessed for impact on study integrity, and reported in the final study report.</w:t>
      </w:r>
    </w:p>
    <w:p>
      <w:pPr>
        <w:pBdr>
          <w:bottom w:val="single" w:color="AAAAAA" w:sz="6" w:space="1"/>
        </w:pBdr>
        <w:spacing w:after="80" w:before="80"/>
      </w:pPr>
      <w:r>
        <w:rPr>
          <w:rFonts w:ascii="Times New Roman" w:cs="Times New Roman" w:eastAsia="Times New Roman" w:hAnsi="Times New Roman"/>
          <w:sz w:val="24"/>
          <w:szCs w:val="24"/>
        </w:rPr>
        <w:t xml:space="preserve"/>
      </w:r>
    </w:p>
    <w:p>
      <w:pPr>
        <w:pStyle w:val="Heading1"/>
        <w:spacing w:after="120" w:before="280"/>
        <w:rPr>
          <w:rFonts w:ascii="Times New Roman" w:cs="Times New Roman" w:eastAsia="Times New Roman" w:hAnsi="Times New Roman"/>
          <w:b/>
          <w:bCs/>
          <w:sz w:val="28"/>
          <w:szCs w:val="28"/>
        </w:rPr>
      </w:pPr>
      <w:r>
        <w:t xml:space="preserve">Appendix A — Dose Group Assignments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600"/>
        <w:gridCol w:w="1800"/>
        <w:gridCol w:w="1900"/>
      </w:tblGrid>
      <w:tr>
        <w:trPr>
          <w:tblHeader/>
        </w:trPr>
        <w:tc>
          <w:tcPr>
            <w:tcW w:type="dxa" w:w="12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Arm Code</w:t>
            </w:r>
          </w:p>
        </w:tc>
        <w:tc>
          <w:tcPr>
            <w:tcW w:type="dxa" w:w="25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Treatment</w:t>
            </w:r>
          </w:p>
        </w:tc>
        <w:tc>
          <w:tcPr>
            <w:tcW w:type="dxa" w:w="16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Dose (mg/kg/day)</w:t>
            </w:r>
          </w:p>
        </w:tc>
        <w:tc>
          <w:tcPr>
            <w:tcW w:type="dxa" w:w="18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Concentration (mg/mL)</w:t>
            </w:r>
          </w:p>
        </w:tc>
        <w:tc>
          <w:tcPr>
            <w:tcW w:type="dxa" w:w="19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Dose Volume (mL/kg)</w:t>
            </w:r>
          </w:p>
        </w:tc>
      </w:tr>
      <w:tr>
        <w:tc>
          <w:tcPr>
            <w:tcW w:type="dxa" w:w="1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 / 1R</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Vehicle Control (Saline)</w:t>
            </w:r>
          </w:p>
        </w:tc>
        <w:tc>
          <w:tcPr>
            <w:tcW w:type="dxa" w:w="1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w:t>
            </w:r>
          </w:p>
        </w:tc>
        <w:tc>
          <w:tcPr>
            <w:tcW w:type="dxa" w:w="1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N/A</w:t>
            </w:r>
          </w:p>
        </w:tc>
        <w:tc>
          <w:tcPr>
            <w:tcW w:type="dxa" w:w="19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w:t>
            </w:r>
          </w:p>
        </w:tc>
      </w:tr>
      <w:tr>
        <w:tc>
          <w:tcPr>
            <w:tcW w:type="dxa" w:w="1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 / 2R</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PCDRUG Low Dose</w:t>
            </w:r>
          </w:p>
        </w:tc>
        <w:tc>
          <w:tcPr>
            <w:tcW w:type="dxa" w:w="1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w:t>
            </w:r>
          </w:p>
        </w:tc>
        <w:tc>
          <w:tcPr>
            <w:tcW w:type="dxa" w:w="1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0.2</w:t>
            </w:r>
          </w:p>
        </w:tc>
        <w:tc>
          <w:tcPr>
            <w:tcW w:type="dxa" w:w="19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w:t>
            </w:r>
          </w:p>
        </w:tc>
      </w:tr>
      <w:tr>
        <w:tc>
          <w:tcPr>
            <w:tcW w:type="dxa" w:w="1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3 / 3R</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PCDRUG Mid Dose</w:t>
            </w:r>
          </w:p>
        </w:tc>
        <w:tc>
          <w:tcPr>
            <w:tcW w:type="dxa" w:w="1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20</w:t>
            </w:r>
          </w:p>
        </w:tc>
        <w:tc>
          <w:tcPr>
            <w:tcW w:type="dxa" w:w="1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2.0</w:t>
            </w:r>
          </w:p>
        </w:tc>
        <w:tc>
          <w:tcPr>
            <w:tcW w:type="dxa" w:w="19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w:t>
            </w:r>
          </w:p>
        </w:tc>
      </w:tr>
      <w:tr>
        <w:tc>
          <w:tcPr>
            <w:tcW w:type="dxa" w:w="1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4 / 4R</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PCDRUG High Dose</w:t>
            </w:r>
          </w:p>
        </w:tc>
        <w:tc>
          <w:tcPr>
            <w:tcW w:type="dxa" w:w="1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200</w:t>
            </w:r>
          </w:p>
        </w:tc>
        <w:tc>
          <w:tcPr>
            <w:tcW w:type="dxa" w:w="1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20.0</w:t>
            </w:r>
          </w:p>
        </w:tc>
        <w:tc>
          <w:tcPr>
            <w:tcW w:type="dxa" w:w="19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w:t>
            </w:r>
          </w:p>
        </w:tc>
      </w:tr>
    </w:tbl>
    <w:p>
      <w:pPr>
        <w:spacing w:after="80"/>
      </w:pPr>
      <w:r>
        <w:rPr>
          <w:rFonts w:ascii="Times New Roman" w:cs="Times New Roman" w:eastAsia="Times New Roman" w:hAnsi="Times New Roman"/>
          <w:sz w:val="24"/>
          <w:szCs w:val="24"/>
        </w:rPr>
        <w:t xml:space="preserve"/>
      </w:r>
    </w:p>
    <w:p>
      <w:pPr>
        <w:pStyle w:val="Heading1"/>
        <w:spacing w:after="120" w:before="280"/>
        <w:rPr>
          <w:rFonts w:ascii="Times New Roman" w:cs="Times New Roman" w:eastAsia="Times New Roman" w:hAnsi="Times New Roman"/>
          <w:b/>
          <w:bCs/>
          <w:sz w:val="28"/>
          <w:szCs w:val="28"/>
        </w:rPr>
      </w:pPr>
      <w:r>
        <w:t xml:space="preserve">Appendix B — Tissues for Histopathological Examination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500"/>
      </w:tblGrid>
      <w:tr>
        <w:trPr>
          <w:tblHeader/>
        </w:trPr>
        <w:tc>
          <w:tcPr>
            <w:tcW w:type="dxa" w:w="45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Tissue</w:t>
            </w:r>
          </w:p>
        </w:tc>
        <w:tc>
          <w:tcPr>
            <w:tcW w:type="dxa" w:w="20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Groups 1 &amp; 4 (Full Panel)</w:t>
            </w:r>
          </w:p>
        </w:tc>
        <w:tc>
          <w:tcPr>
            <w:tcW w:type="dxa" w:w="25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Groups 2 &amp; 3 (Target Only)</w:t>
            </w:r>
          </w:p>
        </w:tc>
      </w:tr>
      <w:tr>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Liver</w:t>
            </w:r>
          </w:p>
        </w:tc>
        <w:tc>
          <w:tcPr>
            <w:tcW w:type="dxa" w:w="2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w:t>
            </w:r>
          </w:p>
        </w:tc>
      </w:tr>
      <w:tr>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Kidney</w:t>
            </w:r>
          </w:p>
        </w:tc>
        <w:tc>
          <w:tcPr>
            <w:tcW w:type="dxa" w:w="2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w:t>
            </w:r>
          </w:p>
        </w:tc>
      </w:tr>
      <w:tr>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Heart</w:t>
            </w:r>
          </w:p>
        </w:tc>
        <w:tc>
          <w:tcPr>
            <w:tcW w:type="dxa" w:w="2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
            </w:r>
          </w:p>
        </w:tc>
      </w:tr>
      <w:tr>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Brain</w:t>
            </w:r>
          </w:p>
        </w:tc>
        <w:tc>
          <w:tcPr>
            <w:tcW w:type="dxa" w:w="2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
            </w:r>
          </w:p>
        </w:tc>
      </w:tr>
      <w:tr>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Spleen</w:t>
            </w:r>
          </w:p>
        </w:tc>
        <w:tc>
          <w:tcPr>
            <w:tcW w:type="dxa" w:w="2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
            </w:r>
          </w:p>
        </w:tc>
      </w:tr>
      <w:tr>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Thymus</w:t>
            </w:r>
          </w:p>
        </w:tc>
        <w:tc>
          <w:tcPr>
            <w:tcW w:type="dxa" w:w="2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
            </w:r>
          </w:p>
        </w:tc>
      </w:tr>
      <w:tr>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Adrenal glands</w:t>
            </w:r>
          </w:p>
        </w:tc>
        <w:tc>
          <w:tcPr>
            <w:tcW w:type="dxa" w:w="2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
            </w:r>
          </w:p>
        </w:tc>
      </w:tr>
      <w:tr>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Gonads (testes/ovaries)</w:t>
            </w:r>
          </w:p>
        </w:tc>
        <w:tc>
          <w:tcPr>
            <w:tcW w:type="dxa" w:w="2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
            </w:r>
          </w:p>
        </w:tc>
      </w:tr>
      <w:tr>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Lungs</w:t>
            </w:r>
          </w:p>
        </w:tc>
        <w:tc>
          <w:tcPr>
            <w:tcW w:type="dxa" w:w="2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
            </w:r>
          </w:p>
        </w:tc>
      </w:tr>
      <w:tr>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Bone marrow (femur + sternum)</w:t>
            </w:r>
          </w:p>
        </w:tc>
        <w:tc>
          <w:tcPr>
            <w:tcW w:type="dxa" w:w="2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
            </w:r>
          </w:p>
        </w:tc>
      </w:tr>
      <w:tr>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All other listed tissues (47 total)</w:t>
            </w:r>
          </w:p>
        </w:tc>
        <w:tc>
          <w:tcPr>
            <w:tcW w:type="dxa" w:w="2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color w:val="666666"/>
        <w:sz w:val="18"/>
        <w:szCs w:val="18"/>
      </w:rPr>
      <w:t xml:space="preserve">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of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center"/>
    </w:pPr>
    <w:r>
      <w:rPr>
        <w:rFonts w:ascii="Times New Roman" w:cs="Times New Roman" w:eastAsia="Times New Roman" w:hAnsi="Times New Roman"/>
        <w:color w:val="666666"/>
        <w:sz w:val="18"/>
        <w:szCs w:val="18"/>
      </w:rPr>
      <w:t xml:space="preserve">PC201708  │  STUDY PROTOCOL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80"/>
    </w:pPr>
    <w:rPr>
      <w:rFonts w:ascii="Times New Roman" w:cs="Times New Roman" w:eastAsia="Times New Roman" w:hAnsi="Times New Roman"/>
      <w:b/>
      <w:bCs/>
      <w:color w:val="1F3864"/>
      <w:sz w:val="28"/>
      <w:szCs w:val="28"/>
    </w:rPr>
  </w:style>
  <w:style w:type="paragraph" w:styleId="Heading2">
    <w:name w:val="Heading 2"/>
    <w:basedOn w:val="Normal"/>
    <w:next w:val="Normal"/>
    <w:pPr>
      <w:spacing w:after="80" w:before="200"/>
    </w:pPr>
    <w:rPr>
      <w:rFonts w:ascii="Times New Roman" w:cs="Times New Roman" w:eastAsia="Times New Roman" w:hAnsi="Times New Roman"/>
      <w:b/>
      <w:bCs/>
      <w:color w:val="2E4F8A"/>
      <w:sz w:val="26"/>
      <w:szCs w:val="26"/>
    </w:rPr>
  </w:style>
  <w:style w:type="paragraph" w:styleId="Heading3">
    <w:name w:val="Heading 3"/>
    <w:basedOn w:val="Normal"/>
    <w:next w:val="Normal"/>
    <w:pPr>
      <w:spacing w:after="60" w:before="160"/>
    </w:pPr>
    <w:rPr>
      <w:rFonts w:ascii="Times New Roman" w:cs="Times New Roman" w:eastAsia="Times New Roman" w:hAnsi="Times New Roman"/>
      <w:b/>
      <w:bCs/>
      <w:color w:val="2E4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2026-09-22T20:59:49.489Z</dcterms:created>
  <dcterms:modified xsi:type="dcterms:W3CDTF">2026-09-22T20:59:49.490Z</dcterms:modified>
</cp:coreProperties>
</file>

<file path=docProps/custom.xml><?xml version="1.0" encoding="utf-8"?>
<Properties xmlns="http://schemas.openxmlformats.org/officeDocument/2006/custom-properties" xmlns:vt="http://schemas.openxmlformats.org/officeDocument/2006/docPropsVTypes"/>
</file>