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4"/>
          <w:szCs w:val="24"/>
        </w:rPr>
        <w:t xml:space="preserve">STUDY PROTOCOL</w:t>
      </w:r>
    </w:p>
    <w:p>
      <w:pPr>
        <w:spacing w:after="200"/>
        <w:jc w:val="center"/>
      </w:pPr>
      <w:r>
        <w:rPr>
          <w:rFonts w:ascii="Times New Roman" w:cs="Times New Roman" w:eastAsia="Times New Roman" w:hAnsi="Times New Roman"/>
          <w:b/>
          <w:bCs/>
          <w:sz w:val="24"/>
          <w:szCs w:val="24"/>
        </w:rPr>
        <w:t xml:space="preserve">A 28-Day Repeat-Dose Oral Gavage Toxicity Study with Compound KD-115 in Sprague-Dawley Rats</w:t>
      </w:r>
    </w:p>
    <w:p>
      <w:pPr>
        <w:spacing w:after="80"/>
      </w:pPr>
      <w:r>
        <w:rPr>
          <w:rFonts w:ascii="Times New Roman" w:cs="Times New Roman" w:eastAsia="Times New Roman" w:hAnsi="Times New Roman"/>
          <w:sz w:val="24"/>
          <w:szCs w:val="24"/>
        </w:rPr>
        <w:t xml:space="preserve"/>
      </w:r>
    </w:p>
    <w:p>
      <w:pPr>
        <w:spacing w:after="60"/>
      </w:pPr>
      <w:r>
        <w:rPr>
          <w:rFonts w:ascii="Times New Roman" w:cs="Times New Roman" w:eastAsia="Times New Roman" w:hAnsi="Times New Roman"/>
          <w:b/>
          <w:bCs/>
          <w:sz w:val="24"/>
          <w:szCs w:val="24"/>
        </w:rPr>
        <w:t xml:space="preserve">Protocol Number: </w:t>
      </w:r>
      <w:r>
        <w:rPr>
          <w:rFonts w:ascii="Times New Roman" w:cs="Times New Roman" w:eastAsia="Times New Roman" w:hAnsi="Times New Roman"/>
          <w:sz w:val="24"/>
          <w:szCs w:val="24"/>
        </w:rPr>
        <w:t xml:space="preserve">TOX-2025-0421-P</w:t>
      </w:r>
    </w:p>
    <w:p>
      <w:pPr>
        <w:spacing w:after="60"/>
      </w:pPr>
      <w:r>
        <w:rPr>
          <w:rFonts w:ascii="Times New Roman" w:cs="Times New Roman" w:eastAsia="Times New Roman" w:hAnsi="Times New Roman"/>
          <w:b/>
          <w:bCs/>
          <w:sz w:val="24"/>
          <w:szCs w:val="24"/>
        </w:rPr>
        <w:t xml:space="preserve">Study Title: </w:t>
      </w:r>
      <w:r>
        <w:rPr>
          <w:rFonts w:ascii="Times New Roman" w:cs="Times New Roman" w:eastAsia="Times New Roman" w:hAnsi="Times New Roman"/>
          <w:sz w:val="24"/>
          <w:szCs w:val="24"/>
        </w:rPr>
        <w:t xml:space="preserve">A 28-Day Repeat-Dose Oral Gavage Toxicity Study with Compound KD-115 in Sprague-Dawley Rats</w:t>
      </w:r>
    </w:p>
    <w:p>
      <w:pPr>
        <w:spacing w:after="60"/>
      </w:pPr>
      <w:r>
        <w:rPr>
          <w:rFonts w:ascii="Times New Roman" w:cs="Times New Roman" w:eastAsia="Times New Roman" w:hAnsi="Times New Roman"/>
          <w:b/>
          <w:bCs/>
          <w:sz w:val="24"/>
          <w:szCs w:val="24"/>
        </w:rPr>
        <w:t xml:space="preserve">Sponsor: </w:t>
      </w:r>
      <w:r>
        <w:rPr>
          <w:rFonts w:ascii="Times New Roman" w:cs="Times New Roman" w:eastAsia="Times New Roman" w:hAnsi="Times New Roman"/>
          <w:sz w:val="24"/>
          <w:szCs w:val="24"/>
        </w:rPr>
        <w:t xml:space="preserve">Internal — Nonclinical Safety Research</w:t>
      </w:r>
    </w:p>
    <w:p>
      <w:pPr>
        <w:spacing w:after="60"/>
      </w:pPr>
      <w:r>
        <w:rPr>
          <w:rFonts w:ascii="Times New Roman" w:cs="Times New Roman" w:eastAsia="Times New Roman" w:hAnsi="Times New Roman"/>
          <w:b/>
          <w:bCs/>
          <w:sz w:val="24"/>
          <w:szCs w:val="24"/>
        </w:rPr>
        <w:t xml:space="preserve">Test Article: </w:t>
      </w:r>
      <w:r>
        <w:rPr>
          <w:rFonts w:ascii="Times New Roman" w:cs="Times New Roman" w:eastAsia="Times New Roman" w:hAnsi="Times New Roman"/>
          <w:sz w:val="24"/>
          <w:szCs w:val="24"/>
        </w:rPr>
        <w:t xml:space="preserve">Compound KD-115</w:t>
      </w:r>
    </w:p>
    <w:p>
      <w:pPr>
        <w:spacing w:after="60"/>
      </w:pPr>
      <w:r>
        <w:rPr>
          <w:rFonts w:ascii="Times New Roman" w:cs="Times New Roman" w:eastAsia="Times New Roman" w:hAnsi="Times New Roman"/>
          <w:b/>
          <w:bCs/>
          <w:sz w:val="24"/>
          <w:szCs w:val="24"/>
        </w:rPr>
        <w:t xml:space="preserve">Species/Strain: </w:t>
      </w:r>
      <w:r>
        <w:rPr>
          <w:rFonts w:ascii="Times New Roman" w:cs="Times New Roman" w:eastAsia="Times New Roman" w:hAnsi="Times New Roman"/>
          <w:sz w:val="24"/>
          <w:szCs w:val="24"/>
        </w:rPr>
        <w:t xml:space="preserve">Rat / Sprague-Dawley (Crl:CD(SD))</w:t>
      </w:r>
    </w:p>
    <w:p>
      <w:pPr>
        <w:spacing w:after="60"/>
      </w:pPr>
      <w:r>
        <w:rPr>
          <w:rFonts w:ascii="Times New Roman" w:cs="Times New Roman" w:eastAsia="Times New Roman" w:hAnsi="Times New Roman"/>
          <w:b/>
          <w:bCs/>
          <w:sz w:val="24"/>
          <w:szCs w:val="24"/>
        </w:rPr>
        <w:t xml:space="preserve">Study Director: </w:t>
      </w:r>
      <w:r>
        <w:rPr>
          <w:rFonts w:ascii="Times New Roman" w:cs="Times New Roman" w:eastAsia="Times New Roman" w:hAnsi="Times New Roman"/>
          <w:sz w:val="24"/>
          <w:szCs w:val="24"/>
        </w:rPr>
        <w:t xml:space="preserve">S. Park, DVM, PhD</w:t>
      </w:r>
    </w:p>
    <w:p>
      <w:pPr>
        <w:spacing w:after="60"/>
      </w:pPr>
      <w:r>
        <w:rPr>
          <w:rFonts w:ascii="Times New Roman" w:cs="Times New Roman" w:eastAsia="Times New Roman" w:hAnsi="Times New Roman"/>
          <w:b/>
          <w:bCs/>
          <w:sz w:val="24"/>
          <w:szCs w:val="24"/>
        </w:rPr>
        <w:t xml:space="preserve">Test Facility: </w:t>
      </w:r>
      <w:r>
        <w:rPr>
          <w:rFonts w:ascii="Times New Roman" w:cs="Times New Roman" w:eastAsia="Times New Roman" w:hAnsi="Times New Roman"/>
          <w:sz w:val="24"/>
          <w:szCs w:val="24"/>
        </w:rPr>
        <w:t xml:space="preserve">Nonclinical Safety Research, New Brunswick, NJ</w:t>
      </w:r>
    </w:p>
    <w:p>
      <w:pPr>
        <w:spacing w:after="60"/>
      </w:pPr>
      <w:r>
        <w:rPr>
          <w:rFonts w:ascii="Times New Roman" w:cs="Times New Roman" w:eastAsia="Times New Roman" w:hAnsi="Times New Roman"/>
          <w:b/>
          <w:bCs/>
          <w:sz w:val="24"/>
          <w:szCs w:val="24"/>
        </w:rPr>
        <w:t xml:space="preserve">GLP Compliance: </w:t>
      </w:r>
      <w:r>
        <w:rPr>
          <w:rFonts w:ascii="Times New Roman" w:cs="Times New Roman" w:eastAsia="Times New Roman" w:hAnsi="Times New Roman"/>
          <w:sz w:val="24"/>
          <w:szCs w:val="24"/>
        </w:rPr>
        <w:t xml:space="preserve">FDA GLP (21 CFR Part 58)</w:t>
      </w:r>
    </w:p>
    <w:p>
      <w:pPr>
        <w:spacing w:after="60"/>
      </w:pPr>
      <w:r>
        <w:rPr>
          <w:rFonts w:ascii="Times New Roman" w:cs="Times New Roman" w:eastAsia="Times New Roman" w:hAnsi="Times New Roman"/>
          <w:b/>
          <w:bCs/>
          <w:sz w:val="24"/>
          <w:szCs w:val="24"/>
        </w:rPr>
        <w:t xml:space="preserve">Arrival Date: </w:t>
      </w:r>
      <w:r>
        <w:rPr>
          <w:rFonts w:ascii="Times New Roman" w:cs="Times New Roman" w:eastAsia="Times New Roman" w:hAnsi="Times New Roman"/>
          <w:sz w:val="24"/>
          <w:szCs w:val="24"/>
        </w:rPr>
        <w:t xml:space="preserve">10 March 2025</w:t>
      </w:r>
    </w:p>
    <w:p>
      <w:pPr>
        <w:spacing w:after="60"/>
      </w:pPr>
      <w:r>
        <w:rPr>
          <w:rFonts w:ascii="Times New Roman" w:cs="Times New Roman" w:eastAsia="Times New Roman" w:hAnsi="Times New Roman"/>
          <w:b/>
          <w:bCs/>
          <w:sz w:val="24"/>
          <w:szCs w:val="24"/>
        </w:rPr>
        <w:t xml:space="preserve">Day 1 (First Dose): </w:t>
      </w:r>
      <w:r>
        <w:rPr>
          <w:rFonts w:ascii="Times New Roman" w:cs="Times New Roman" w:eastAsia="Times New Roman" w:hAnsi="Times New Roman"/>
          <w:sz w:val="24"/>
          <w:szCs w:val="24"/>
        </w:rPr>
        <w:t xml:space="preserve">17 March 2025</w:t>
      </w:r>
    </w:p>
    <w:p>
      <w:pPr>
        <w:spacing w:after="60"/>
      </w:pPr>
      <w:r>
        <w:rPr>
          <w:rFonts w:ascii="Times New Roman" w:cs="Times New Roman" w:eastAsia="Times New Roman" w:hAnsi="Times New Roman"/>
          <w:b/>
          <w:bCs/>
          <w:sz w:val="24"/>
          <w:szCs w:val="24"/>
        </w:rPr>
        <w:t xml:space="preserve">Necropsy Date: </w:t>
      </w:r>
      <w:r>
        <w:rPr>
          <w:rFonts w:ascii="Times New Roman" w:cs="Times New Roman" w:eastAsia="Times New Roman" w:hAnsi="Times New Roman"/>
          <w:sz w:val="24"/>
          <w:szCs w:val="24"/>
        </w:rPr>
        <w:t xml:space="preserve">14 April 2025</w:t>
      </w:r>
    </w:p>
    <w:p>
      <w:pPr>
        <w:spacing w:after="60"/>
      </w:pPr>
      <w:r>
        <w:rPr>
          <w:rFonts w:ascii="Times New Roman" w:cs="Times New Roman" w:eastAsia="Times New Roman" w:hAnsi="Times New Roman"/>
          <w:b/>
          <w:bCs/>
          <w:sz w:val="24"/>
          <w:szCs w:val="24"/>
        </w:rPr>
        <w:t xml:space="preserve">Protocol Version: </w:t>
      </w:r>
      <w:r>
        <w:rPr>
          <w:rFonts w:ascii="Times New Roman" w:cs="Times New Roman" w:eastAsia="Times New Roman" w:hAnsi="Times New Roman"/>
          <w:sz w:val="24"/>
          <w:szCs w:val="24"/>
        </w:rPr>
        <w:t xml:space="preserve">1.0</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1. Objective</w:t>
      </w:r>
    </w:p>
    <w:p>
      <w:pPr>
        <w:spacing w:after="120"/>
      </w:pPr>
      <w:r>
        <w:rPr>
          <w:rFonts w:ascii="Times New Roman" w:cs="Times New Roman" w:eastAsia="Times New Roman" w:hAnsi="Times New Roman"/>
          <w:sz w:val="24"/>
          <w:szCs w:val="24"/>
        </w:rPr>
        <w:t xml:space="preserve">The objectives of this study are to: (1) evaluate the potential toxicity of Compound KD-115 following repeated oral gavage administration to Sprague-Dawley rats for 28 consecutive days; (2) characterise the nature, severity, and dose-response relationship of treatment-related effects; (3) identify target organs of toxicity; and (4) establish a no-observed-adverse-effect level (NOAEL) to support further development. The study was conducted in compliance with Good Laboratory Practice (GLP) regulations.</w:t>
      </w:r>
    </w:p>
    <w:p>
      <w:pPr>
        <w:spacing w:after="120"/>
      </w:pPr>
      <w:r>
        <w:rPr>
          <w:rFonts w:ascii="Times New Roman" w:cs="Times New Roman" w:eastAsia="Times New Roman" w:hAnsi="Times New Roman"/>
          <w:sz w:val="24"/>
          <w:szCs w:val="24"/>
        </w:rPr>
        <w:t xml:space="preserve">Compound KD-115 is a small-molecule investigational candidate with a novel mechanism of action targeting renal tubular ion transport. Based on the mechanism of action and in vitro cell viability studies in proximal tubular cells, the kidney is identified as the primary target organ of interest. Bone marrow effects have been observed at supratherapeutic concentrations in in vitro colony-forming assays. The doses of 5, 25, and 100 mg/kg/day were selected based on the maximum tolerated dose (100 mg/kg) determined in a 7-day range-finding study.</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2. Study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Parameter</w:t>
            </w:r>
          </w:p>
        </w:tc>
        <w:tc>
          <w:tcPr>
            <w:tcW w:type="dxa" w:w="5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Detail</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Species</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Sprague-Dawley rat (Crl:CD(SD))</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Source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Charles River Laboratories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Sex</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Male and Female</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Age at study start</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7 to 8 weeks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Route of administration</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Oral gavage</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Dosing frequency</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Once daily, 7 days per week</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Study duration</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28 days</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Vehicle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0.5% hydroxypropyl methylcellulose (HPMC) in purified water</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Dose volume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 mL/kg body weight (adjusted weekly)</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Housing</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 per cage, polycarbonate, wire-topped</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Light cycle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12-hour light / 12-hour dark</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Temperature</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22 ± 2°C</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Humidity</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30 to 70%</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Diet</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Certified rodent diet, ad libitum</w:t>
            </w:r>
          </w:p>
        </w:tc>
      </w:tr>
      <w:tr>
        <w:tc>
          <w:tcPr>
            <w:tcW w:type="dxa" w:w="3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Water</w:t>
            </w:r>
          </w:p>
        </w:tc>
        <w:tc>
          <w:tcPr>
            <w:tcW w:type="dxa" w:w="5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Purified (reverse osmosis), ad libitum</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b/>
          <w:bCs/>
          <w:sz w:val="24"/>
          <w:szCs w:val="24"/>
        </w:rPr>
        <w:t xml:space="preserve">Animal Allocation: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600"/>
        <w:gridCol w:w="1000"/>
        <w:gridCol w:w="1000"/>
        <w:gridCol w:w="900"/>
      </w:tblGrid>
      <w:tr>
        <w:trPr>
          <w:tblHeader/>
        </w:trPr>
        <w:tc>
          <w:tcPr>
            <w:tcW w:type="dxa" w:w="1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28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Treatment</w:t>
            </w:r>
          </w:p>
        </w:tc>
        <w:tc>
          <w:tcPr>
            <w:tcW w:type="dxa" w:w="1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Dose (mg/kg/day)</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Males</w:t>
            </w:r>
          </w:p>
        </w:tc>
        <w:tc>
          <w:tcPr>
            <w:tcW w:type="dxa" w:w="1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Females</w:t>
            </w:r>
          </w:p>
        </w:tc>
        <w:tc>
          <w:tcPr>
            <w:tcW w:type="dxa" w:w="9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Total</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w:t>
            </w:r>
          </w:p>
        </w:tc>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Vehicle Control (0.5% HPMC)</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w:t>
            </w:r>
          </w:p>
        </w:tc>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KD-115 Low Dose</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w:t>
            </w:r>
          </w:p>
        </w:tc>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KD-115 Mid Dose</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25</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w:t>
            </w:r>
          </w:p>
        </w:tc>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KD-115 High Dose</w:t>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100</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Total</w:t>
            </w:r>
          </w:p>
        </w:tc>
        <w:tc>
          <w:tcPr>
            <w:tcW w:type="dxa" w:w="28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c>
          <w:tcPr>
            <w:tcW w:type="dxa" w:w="1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1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20</w:t>
            </w:r>
          </w:p>
        </w:tc>
        <w:tc>
          <w:tcPr>
            <w:tcW w:type="dxa" w:w="9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40</w:t>
            </w:r>
          </w:p>
        </w:tc>
      </w:tr>
    </w:tbl>
    <w:p>
      <w:pPr>
        <w:spacing w:after="80"/>
      </w:pPr>
      <w:r>
        <w:rPr>
          <w:rFonts w:ascii="Times New Roman" w:cs="Times New Roman" w:eastAsia="Times New Roman" w:hAnsi="Times New Roman"/>
          <w:sz w:val="24"/>
          <w:szCs w:val="24"/>
        </w:rPr>
        <w:t xml:space="preserve"/>
      </w:r>
    </w:p>
    <w:p>
      <w:pPr>
        <w:spacing w:after="120"/>
      </w:pPr>
      <w:r>
        <w:rPr>
          <w:rFonts w:ascii="Times New Roman" w:cs="Times New Roman" w:eastAsia="Times New Roman" w:hAnsi="Times New Roman"/>
          <w:sz w:val="24"/>
          <w:szCs w:val="24"/>
        </w:rPr>
        <w:t xml:space="preserve">Animals will be assigned to groups by stratified randomisation based on body weight on Day 1. No recovery groups are included in this study.</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3. Materials and Methods</w:t>
      </w:r>
    </w:p>
    <w:p>
      <w:pPr>
        <w:pStyle w:val="Heading2"/>
        <w:spacing w:after="80" w:before="200"/>
        <w:rPr>
          <w:rFonts w:ascii="Times New Roman" w:cs="Times New Roman" w:eastAsia="Times New Roman" w:hAnsi="Times New Roman"/>
          <w:b/>
          <w:bCs/>
          <w:sz w:val="26"/>
          <w:szCs w:val="26"/>
        </w:rPr>
      </w:pPr>
      <w:r>
        <w:t xml:space="preserve">3.1 Test Article</w:t>
      </w:r>
    </w:p>
    <w:p>
      <w:pPr>
        <w:spacing w:after="120"/>
      </w:pPr>
      <w:r>
        <w:rPr>
          <w:rFonts w:ascii="Times New Roman" w:cs="Times New Roman" w:eastAsia="Times New Roman" w:hAnsi="Times New Roman"/>
          <w:sz w:val="24"/>
          <w:szCs w:val="24"/>
        </w:rPr>
        <w:t xml:space="preserve">Compound KD-115 will be supplied by the Sponsor Analytical Chemistry Group. The batch used (KD115-2025-A01) has a purity of ≥97% (HPLC). The test article will be stored at controlled room temperature (15 to 25°C), protected from light and moisture.</w:t>
      </w:r>
    </w:p>
    <w:p>
      <w:pPr>
        <w:pStyle w:val="Heading2"/>
        <w:spacing w:after="80" w:before="200"/>
        <w:rPr>
          <w:rFonts w:ascii="Times New Roman" w:cs="Times New Roman" w:eastAsia="Times New Roman" w:hAnsi="Times New Roman"/>
          <w:b/>
          <w:bCs/>
          <w:sz w:val="26"/>
          <w:szCs w:val="26"/>
        </w:rPr>
      </w:pPr>
      <w:r>
        <w:t xml:space="preserve">3.2 Vehicle</w:t>
      </w:r>
    </w:p>
    <w:p>
      <w:pPr>
        <w:spacing w:after="120"/>
      </w:pPr>
      <w:r>
        <w:rPr>
          <w:rFonts w:ascii="Times New Roman" w:cs="Times New Roman" w:eastAsia="Times New Roman" w:hAnsi="Times New Roman"/>
          <w:sz w:val="24"/>
          <w:szCs w:val="24"/>
        </w:rPr>
        <w:t xml:space="preserve">Vehicle will be 0.5% hydroxypropyl methylcellulose (HPMC, w/v) in purified water. Dosing formulations will be prepared as suspensions at weekly intervals and stored refrigerated (2 to 8°C) until use.</w:t>
      </w:r>
    </w:p>
    <w:p>
      <w:pPr>
        <w:pStyle w:val="Heading2"/>
        <w:spacing w:after="80" w:before="200"/>
        <w:rPr>
          <w:rFonts w:ascii="Times New Roman" w:cs="Times New Roman" w:eastAsia="Times New Roman" w:hAnsi="Times New Roman"/>
          <w:b/>
          <w:bCs/>
          <w:sz w:val="26"/>
          <w:szCs w:val="26"/>
        </w:rPr>
      </w:pPr>
      <w:r>
        <w:t xml:space="preserve">3.3 Dose Preparation and Administration</w:t>
      </w:r>
    </w:p>
    <w:p>
      <w:pPr>
        <w:spacing w:after="120"/>
      </w:pPr>
      <w:r>
        <w:rPr>
          <w:rFonts w:ascii="Times New Roman" w:cs="Times New Roman" w:eastAsia="Times New Roman" w:hAnsi="Times New Roman"/>
          <w:sz w:val="24"/>
          <w:szCs w:val="24"/>
        </w:rPr>
        <w:t xml:space="preserve">Dosing formulations will be prepared to the following nominal concentrations: 0.5 mg/mL (Group 2, 5 mg/kg), 2.5 mg/mL (Group 3, 25 mg/kg), and 10.0 mg/mL (Group 4, 100 mg/kg). Group 1 will receive vehicle at 10 mL/kg. Doses will be administered via oral gavage once daily at approximately the same time each day.</w:t>
      </w:r>
    </w:p>
    <w:p>
      <w:pPr>
        <w:pStyle w:val="Heading2"/>
        <w:spacing w:after="80" w:before="200"/>
        <w:rPr>
          <w:rFonts w:ascii="Times New Roman" w:cs="Times New Roman" w:eastAsia="Times New Roman" w:hAnsi="Times New Roman"/>
          <w:b/>
          <w:bCs/>
          <w:sz w:val="26"/>
          <w:szCs w:val="26"/>
        </w:rPr>
      </w:pPr>
      <w:r>
        <w:t xml:space="preserve">3.4 Dose Formulation Verification</w:t>
      </w:r>
    </w:p>
    <w:p>
      <w:pPr>
        <w:spacing w:after="120"/>
      </w:pPr>
      <w:r>
        <w:rPr>
          <w:rFonts w:ascii="Times New Roman" w:cs="Times New Roman" w:eastAsia="Times New Roman" w:hAnsi="Times New Roman"/>
          <w:sz w:val="24"/>
          <w:szCs w:val="24"/>
        </w:rPr>
        <w:t xml:space="preserve">Formulation samples will be collected on Days 1, 14, and 28 for concentration verification by HPLC. Acceptance criterion: measured concentration within ±10% of nominal. Homogeneity will be assessed on Day 1.</w:t>
      </w:r>
    </w:p>
    <w:p>
      <w:pPr>
        <w:pStyle w:val="Heading2"/>
        <w:spacing w:after="80" w:before="200"/>
        <w:rPr>
          <w:rFonts w:ascii="Times New Roman" w:cs="Times New Roman" w:eastAsia="Times New Roman" w:hAnsi="Times New Roman"/>
          <w:b/>
          <w:bCs/>
          <w:sz w:val="26"/>
          <w:szCs w:val="26"/>
        </w:rPr>
      </w:pPr>
      <w:r>
        <w:t xml:space="preserve">3.5 In-Life Observations</w:t>
      </w:r>
    </w:p>
    <w:p>
      <w:pPr>
        <w:spacing w:after="120"/>
      </w:pPr>
      <w:r>
        <w:rPr>
          <w:rFonts w:ascii="Times New Roman" w:cs="Times New Roman" w:eastAsia="Times New Roman" w:hAnsi="Times New Roman"/>
          <w:sz w:val="24"/>
          <w:szCs w:val="24"/>
        </w:rPr>
        <w:t xml:space="preserve">Cage-side observations will be recorded twice daily. Detailed clinical examinations will be performed weekly on Days 1, 7, 14, 21, and 28. Body weights will be recorded on Days 1, 7, 14, 21, and 28. Food consumption will be measured weekly.</w:t>
      </w:r>
    </w:p>
    <w:p>
      <w:pPr>
        <w:pStyle w:val="Heading2"/>
        <w:spacing w:after="80" w:before="200"/>
        <w:rPr>
          <w:rFonts w:ascii="Times New Roman" w:cs="Times New Roman" w:eastAsia="Times New Roman" w:hAnsi="Times New Roman"/>
          <w:b/>
          <w:bCs/>
          <w:sz w:val="26"/>
          <w:szCs w:val="26"/>
        </w:rPr>
      </w:pPr>
      <w:r>
        <w:t xml:space="preserve">3.6 Terminal Procedures</w:t>
      </w:r>
    </w:p>
    <w:p>
      <w:pPr>
        <w:spacing w:after="120"/>
      </w:pPr>
      <w:r>
        <w:rPr>
          <w:rFonts w:ascii="Times New Roman" w:cs="Times New Roman" w:eastAsia="Times New Roman" w:hAnsi="Times New Roman"/>
          <w:sz w:val="24"/>
          <w:szCs w:val="24"/>
        </w:rPr>
        <w:t xml:space="preserve">All surviving animals will be euthanised on Day 29 by carbon dioxide inhalation followed by exsanguination. A complete macroscopic post-mortem examination will be performed. The following organs will be weighed: liver, kidneys (combined), heart, brain, spleen, and thymus.</w:t>
      </w:r>
    </w:p>
    <w:p>
      <w:pPr>
        <w:pStyle w:val="Heading2"/>
        <w:spacing w:after="80" w:before="200"/>
        <w:rPr>
          <w:rFonts w:ascii="Times New Roman" w:cs="Times New Roman" w:eastAsia="Times New Roman" w:hAnsi="Times New Roman"/>
          <w:b/>
          <w:bCs/>
          <w:sz w:val="26"/>
          <w:szCs w:val="26"/>
        </w:rPr>
      </w:pPr>
      <w:r>
        <w:t xml:space="preserve">3.7 Tissue Collection and Histopathology</w:t>
      </w:r>
    </w:p>
    <w:p>
      <w:pPr>
        <w:spacing w:after="120"/>
      </w:pPr>
      <w:r>
        <w:rPr>
          <w:rFonts w:ascii="Times New Roman" w:cs="Times New Roman" w:eastAsia="Times New Roman" w:hAnsi="Times New Roman"/>
          <w:sz w:val="24"/>
          <w:szCs w:val="24"/>
        </w:rPr>
        <w:t xml:space="preserve">The following tissues will be collected from all Group 1 and Group 4 animals: liver, kidneys, heart, brain, spleen, thymus, adrenal glands, gonads (testes or ovaries), lungs, and bone marrow (femoral smear and section).</w:t>
      </w:r>
    </w:p>
    <w:p>
      <w:pPr>
        <w:spacing w:after="120"/>
      </w:pPr>
      <w:r>
        <w:rPr>
          <w:rFonts w:ascii="Times New Roman" w:cs="Times New Roman" w:eastAsia="Times New Roman" w:hAnsi="Times New Roman"/>
          <w:sz w:val="24"/>
          <w:szCs w:val="24"/>
        </w:rPr>
        <w:t xml:space="preserve">Target tissues (kidneys only) will be collected from Groups 2 and 3. All tissues will be fixed in 10% neutral buffered formalin and processed to paraffin wax. Sections will be cut at 4 to 6 μm and stained with haematoxylin and eosin (H&amp;E). Microscopic findings will be graded on a scale of 1 (Minimal) to 5 (Severe). A pathology peer review will be performed by an independent board-certified veterinary pathologist.</w:t>
      </w:r>
    </w:p>
    <w:p>
      <w:pPr>
        <w:pStyle w:val="Heading2"/>
        <w:spacing w:after="80" w:before="200"/>
        <w:rPr>
          <w:rFonts w:ascii="Times New Roman" w:cs="Times New Roman" w:eastAsia="Times New Roman" w:hAnsi="Times New Roman"/>
          <w:b/>
          <w:bCs/>
          <w:sz w:val="26"/>
          <w:szCs w:val="26"/>
        </w:rPr>
      </w:pPr>
      <w:r>
        <w:t xml:space="preserve">3.8 Statistical Analysis</w:t>
      </w:r>
    </w:p>
    <w:p>
      <w:pPr>
        <w:spacing w:after="120"/>
      </w:pPr>
      <w:r>
        <w:rPr>
          <w:rFonts w:ascii="Times New Roman" w:cs="Times New Roman" w:eastAsia="Times New Roman" w:hAnsi="Times New Roman"/>
          <w:sz w:val="24"/>
          <w:szCs w:val="24"/>
        </w:rPr>
        <w:t xml:space="preserve">Continuous variables (body weights, organ weights) will be analysed by one-way ANOVA with Dunnett’s post-hoc test. Where variance is heterogeneous (Bartlett’s test, p &lt; 0.05), the Kruskal-Wallis test with Dunn’s post-hoc will be applied. Incidence data will be compared by Fisher’s exact test. Statistical significance: p &lt; 0.05.</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4. Study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Event</w:t>
            </w:r>
          </w:p>
        </w:tc>
        <w:tc>
          <w:tcPr>
            <w:tcW w:type="dxa" w:w="4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Date / Study Day</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Animal receipt</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 March 2025</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Acclimation start</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11 March 2025</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Group allocation / randomisation</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17 March 2025 (Day 1)</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First dose</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17 March 2025 (Day 1)</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Formulation verification</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Days 1, 14, 28</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Body weight measurements</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Days 1, 7, 14, 21, 28</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Last dose</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13 April 2025 (Day 28)</w:t>
            </w:r>
          </w:p>
        </w:tc>
      </w:tr>
      <w:tr>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Terminal necropsy</w:t>
            </w:r>
          </w:p>
        </w:tc>
        <w:tc>
          <w:tcPr>
            <w:tcW w:type="dxa" w:w="4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14 April 2025 (Day 29)</w:t>
            </w:r>
          </w:p>
        </w:tc>
      </w:tr>
    </w:tbl>
    <w:p>
      <w:pPr>
        <w:spacing w:after="80"/>
      </w:pPr>
      <w:r>
        <w:rPr>
          <w:rFonts w:ascii="Times New Roman" w:cs="Times New Roman" w:eastAsia="Times New Roman" w:hAnsi="Times New Roman"/>
          <w:sz w:val="24"/>
          <w:szCs w:val="24"/>
        </w:rPr>
        <w:t xml:space="preserve"/>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5. Protocol Amendments and Deviations</w:t>
      </w:r>
    </w:p>
    <w:p>
      <w:pPr>
        <w:spacing w:after="120"/>
      </w:pPr>
      <w:r>
        <w:rPr>
          <w:rFonts w:ascii="Times New Roman" w:cs="Times New Roman" w:eastAsia="Times New Roman" w:hAnsi="Times New Roman"/>
          <w:sz w:val="24"/>
          <w:szCs w:val="24"/>
        </w:rPr>
        <w:t xml:space="preserve">Any amendments will be documented and approved by the Study Director before implementation. Deviations will be documented, assessed for scientific impact, and reported in the final study report.</w:t>
      </w:r>
    </w:p>
    <w:p>
      <w:pPr>
        <w:pBdr>
          <w:bottom w:val="single" w:color="AAAAAA" w:sz="6" w:space="1"/>
        </w:pBdr>
        <w:spacing w:after="80" w:before="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Appendix A — Dose Groups and Formulation Concentrations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700"/>
        <w:gridCol w:w="2100"/>
        <w:gridCol w:w="1400"/>
      </w:tblGrid>
      <w:tr>
        <w:trPr>
          <w:tblHeader/>
        </w:trPr>
        <w:tc>
          <w:tcPr>
            <w:tcW w:type="dxa" w:w="12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w:t>
            </w:r>
          </w:p>
        </w:tc>
        <w:tc>
          <w:tcPr>
            <w:tcW w:type="dxa" w:w="26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Treatment</w:t>
            </w:r>
          </w:p>
        </w:tc>
        <w:tc>
          <w:tcPr>
            <w:tcW w:type="dxa" w:w="17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Dose (mg/kg/day)</w:t>
            </w:r>
          </w:p>
        </w:tc>
        <w:tc>
          <w:tcPr>
            <w:tcW w:type="dxa" w:w="21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Formulation Conc (mg/mL)</w:t>
            </w:r>
          </w:p>
        </w:tc>
        <w:tc>
          <w:tcPr>
            <w:tcW w:type="dxa" w:w="14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Volume (mL/kg)</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w:t>
            </w:r>
          </w:p>
        </w:tc>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Vehicle Control (0.5% HPMC)</w:t>
            </w:r>
          </w:p>
        </w:tc>
        <w:tc>
          <w:tcPr>
            <w:tcW w:type="dxa" w:w="1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w:t>
            </w:r>
          </w:p>
        </w:tc>
        <w:tc>
          <w:tcPr>
            <w:tcW w:type="dxa" w:w="2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N/A</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w:t>
            </w:r>
          </w:p>
        </w:tc>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KD-115 Low Dose</w:t>
            </w:r>
          </w:p>
        </w:tc>
        <w:tc>
          <w:tcPr>
            <w:tcW w:type="dxa" w:w="1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5</w:t>
            </w:r>
          </w:p>
        </w:tc>
        <w:tc>
          <w:tcPr>
            <w:tcW w:type="dxa" w:w="2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0.5</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3</w:t>
            </w:r>
          </w:p>
        </w:tc>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KD-115 Mid Dose</w:t>
            </w:r>
          </w:p>
        </w:tc>
        <w:tc>
          <w:tcPr>
            <w:tcW w:type="dxa" w:w="1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25</w:t>
            </w:r>
          </w:p>
        </w:tc>
        <w:tc>
          <w:tcPr>
            <w:tcW w:type="dxa" w:w="2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2.5</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r>
        <w:tc>
          <w:tcPr>
            <w:tcW w:type="dxa" w:w="12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4</w:t>
            </w:r>
          </w:p>
        </w:tc>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KD-115 High Dose</w:t>
            </w:r>
          </w:p>
        </w:tc>
        <w:tc>
          <w:tcPr>
            <w:tcW w:type="dxa" w:w="17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100</w:t>
            </w:r>
          </w:p>
        </w:tc>
        <w:tc>
          <w:tcPr>
            <w:tcW w:type="dxa" w:w="21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10.0</w:t>
            </w:r>
          </w:p>
        </w:tc>
        <w:tc>
          <w:tcPr>
            <w:tcW w:type="dxa" w:w="14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10</w:t>
            </w:r>
          </w:p>
        </w:tc>
      </w:tr>
    </w:tbl>
    <w:p>
      <w:pPr>
        <w:spacing w:after="80"/>
      </w:pPr>
      <w:r>
        <w:rPr>
          <w:rFonts w:ascii="Times New Roman" w:cs="Times New Roman" w:eastAsia="Times New Roman" w:hAnsi="Times New Roman"/>
          <w:sz w:val="24"/>
          <w:szCs w:val="24"/>
        </w:rPr>
        <w:t xml:space="preserve"/>
      </w:r>
    </w:p>
    <w:p>
      <w:pPr>
        <w:pStyle w:val="Heading1"/>
        <w:spacing w:after="120" w:before="280"/>
        <w:rPr>
          <w:rFonts w:ascii="Times New Roman" w:cs="Times New Roman" w:eastAsia="Times New Roman" w:hAnsi="Times New Roman"/>
          <w:b/>
          <w:bCs/>
          <w:sz w:val="28"/>
          <w:szCs w:val="28"/>
        </w:rPr>
      </w:pPr>
      <w:r>
        <w:t xml:space="preserve">Appendix B — Tissues for Histopathological Examination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Tissue</w:t>
            </w:r>
          </w:p>
        </w:tc>
        <w:tc>
          <w:tcPr>
            <w:tcW w:type="dxa" w:w="2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Groups 1 &amp; 4 (Full Panel)</w:t>
            </w:r>
          </w:p>
        </w:tc>
        <w:tc>
          <w:tcPr>
            <w:tcW w:type="dxa" w:w="2500"/>
            <w:shd w:fill="D9E1F2"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24"/>
                <w:szCs w:val="24"/>
              </w:rPr>
              <w:t xml:space="preserve">Groups 2 &amp; 3 (Target Only)</w:t>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Liver</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Kidneys (bilateral)</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Heart</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Brain</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Spleen</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Thymus</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Adrenal Glands</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Gonads (testes/ovaries)</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Lungs</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r>
        <w:tc>
          <w:tcPr>
            <w:tcW w:type="dxa" w:w="40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Bone Marrow (femur section + smear)</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w:t>
            </w:r>
          </w:p>
        </w:tc>
        <w:tc>
          <w:tcPr>
            <w:tcW w:type="dxa" w:w="2500"/>
            <w:tcMar>
              <w:top w:type="dxa" w:w="60"/>
              <w:left w:type="dxa" w:w="100"/>
              <w:bottom w:type="dxa" w:w="60"/>
              <w:right w:type="dxa" w:w="100"/>
            </w:tcMar>
          </w:tcPr>
          <w:p>
            <w:pPr>
              <w:spacing w:after="40" w:before="40"/>
            </w:pPr>
            <w:r>
              <w:rPr>
                <w:rFonts w:ascii="Times New Roman" w:cs="Times New Roman" w:eastAsia="Times New Roman" w:hAnsi="Times New Roman"/>
                <w:sz w:val="24"/>
                <w:szCs w:val="24"/>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rFonts w:ascii="Times New Roman" w:cs="Times New Roman" w:eastAsia="Times New Roman" w:hAnsi="Times New Roman"/>
        <w:color w:val="666666"/>
        <w:sz w:val="18"/>
        <w:szCs w:val="18"/>
      </w:rPr>
      <w:t xml:space="preserve">TOX-2025-0421-P  │  STUDY PROTOCOL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pPr>
    <w:rPr>
      <w:rFonts w:ascii="Times New Roman" w:cs="Times New Roman" w:eastAsia="Times New Roman" w:hAnsi="Times New Roman"/>
      <w:b/>
      <w:bCs/>
      <w:color w:val="1F3864"/>
      <w:sz w:val="28"/>
      <w:szCs w:val="28"/>
    </w:rPr>
  </w:style>
  <w:style w:type="paragraph" w:styleId="Heading2">
    <w:name w:val="Heading 2"/>
    <w:basedOn w:val="Normal"/>
    <w:next w:val="Normal"/>
    <w:pPr>
      <w:spacing w:after="80" w:before="200"/>
    </w:pPr>
    <w:rPr>
      <w:rFonts w:ascii="Times New Roman" w:cs="Times New Roman" w:eastAsia="Times New Roman" w:hAnsi="Times New Roman"/>
      <w:b/>
      <w:bCs/>
      <w:color w:val="2E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2026-09-22T21:05:37.465Z</dcterms:created>
  <dcterms:modified xsi:type="dcterms:W3CDTF">2026-09-22T21:05:37.465Z</dcterms:modified>
</cp:coreProperties>
</file>

<file path=docProps/custom.xml><?xml version="1.0" encoding="utf-8"?>
<Properties xmlns="http://schemas.openxmlformats.org/officeDocument/2006/custom-properties" xmlns:vt="http://schemas.openxmlformats.org/officeDocument/2006/docPropsVTypes"/>
</file>