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caps/>
          <w:sz w:val="40"/>
          <w:szCs w:val="40"/>
        </w:rPr>
        <w:t xml:space="preserve">STUDY PROTOCOL</w:t>
      </w:r>
    </w:p>
    <w:p>
      <w:pPr>
        <w:spacing w:after="60"/>
        <w:jc w:val="center"/>
      </w:pPr>
      <w:r>
        <w:rPr>
          <w:rFonts w:ascii="Times New Roman" w:cs="Times New Roman" w:eastAsia="Times New Roman" w:hAnsi="Times New Roman"/>
          <w:b/>
          <w:bCs/>
          <w:sz w:val="24"/>
          <w:szCs w:val="24"/>
        </w:rPr>
        <w:t xml:space="preserve">TOX-2025-0118-P  |  VERSION 1.0</w:t>
      </w:r>
    </w:p>
    <w:p>
      <w:pPr>
        <w:spacing w:after="12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Study Title</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A 28-Day Repeat-Dose Oral Gavage Toxicity Study with Compound YZ-389 in Sprague-Dawley Rats with Anatomic Pathology Endpoints</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Protocol Date</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06 January 2025</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Study Director</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J. Hartwell, MS</w:t>
            </w:r>
          </w:p>
        </w:tc>
      </w:tr>
    </w:tbl>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1.  GLP Compliance and General Guidelines</w:t>
      </w:r>
    </w:p>
    <w:p>
      <w:pPr>
        <w:spacing w:after="80"/>
      </w:pPr>
      <w:r>
        <w:rPr>
          <w:rFonts w:ascii="Times New Roman" w:cs="Times New Roman" w:eastAsia="Times New Roman" w:hAnsi="Times New Roman"/>
          <w:sz w:val="24"/>
          <w:szCs w:val="24"/>
        </w:rPr>
        <w:t xml:space="preserve">This study will be conducted at the Nonclinical Safety Research facility in accordance with the Good Laboratory Practice Regulations for Nonclinical Laboratory Studies (21 Code of Federal Regulations Part 58) and applicable Standard Operating Procedures.</w:t>
      </w:r>
    </w:p>
    <w:p>
      <w:pPr>
        <w:spacing w:after="80"/>
      </w:pPr>
      <w:r>
        <w:rPr>
          <w:rFonts w:ascii="Times New Roman" w:cs="Times New Roman" w:eastAsia="Times New Roman" w:hAnsi="Times New Roman"/>
          <w:sz w:val="24"/>
          <w:szCs w:val="24"/>
        </w:rPr>
        <w:t xml:space="preserve">Any portion of this study conducted at a subcontract facility will be performed in accordance with the OECD Principles of Good Laboratory Practice as accepted by Regulatory Authorities in accordance with the OECD Mutual Acceptance of Data Agreement.</w:t>
      </w:r>
    </w:p>
    <w:p>
      <w:pPr>
        <w:spacing w:after="80"/>
      </w:pPr>
      <w:r>
        <w:rPr>
          <w:rFonts w:ascii="Times New Roman" w:cs="Times New Roman" w:eastAsia="Times New Roman" w:hAnsi="Times New Roman"/>
          <w:sz w:val="24"/>
          <w:szCs w:val="24"/>
        </w:rPr>
        <w:t xml:space="preserve">Exceptions to the GLPs include the following, which will not be audited by the Quality Assurance Unit (QAU):</w:t>
      </w:r>
    </w:p>
    <w:p>
      <w:pPr>
        <w:pStyle w:val="ListParagraph"/>
        <w:numPr>
          <w:ilvl w:val="0"/>
          <w:numId w:val="2"/>
        </w:numPr>
        <w:spacing w:after="60"/>
      </w:pPr>
      <w:r>
        <w:rPr>
          <w:rFonts w:ascii="Times New Roman" w:cs="Times New Roman" w:eastAsia="Times New Roman" w:hAnsi="Times New Roman"/>
          <w:sz w:val="24"/>
          <w:szCs w:val="24"/>
        </w:rPr>
        <w:t xml:space="preserve">Characterization of bulk test article, which was performed in accordance with Good Manufacturing Practice regulations.</w:t>
      </w:r>
    </w:p>
    <w:p>
      <w:pPr>
        <w:pStyle w:val="ListParagraph"/>
        <w:numPr>
          <w:ilvl w:val="0"/>
          <w:numId w:val="2"/>
        </w:numPr>
        <w:spacing w:after="60"/>
      </w:pPr>
      <w:r>
        <w:rPr>
          <w:rFonts w:ascii="Times New Roman" w:cs="Times New Roman" w:eastAsia="Times New Roman" w:hAnsi="Times New Roman"/>
          <w:sz w:val="24"/>
          <w:szCs w:val="24"/>
        </w:rPr>
        <w:t xml:space="preserve">Any exploratory or non-validated analytical methods, if conducted, which will be performed using scientifically sound but non-validated procedures.</w:t>
      </w:r>
    </w:p>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2.  Objectives</w:t>
      </w:r>
    </w:p>
    <w:p>
      <w:pPr>
        <w:spacing w:after="80"/>
      </w:pPr>
      <w:r>
        <w:rPr>
          <w:rFonts w:ascii="Times New Roman" w:cs="Times New Roman" w:eastAsia="Times New Roman" w:hAnsi="Times New Roman"/>
          <w:sz w:val="24"/>
          <w:szCs w:val="24"/>
        </w:rPr>
        <w:t xml:space="preserve">The objectives of this study are to:</w:t>
      </w:r>
    </w:p>
    <w:p>
      <w:pPr>
        <w:pStyle w:val="ListParagraph"/>
        <w:numPr>
          <w:ilvl w:val="0"/>
          <w:numId w:val="3"/>
        </w:numPr>
        <w:spacing w:after="60"/>
      </w:pPr>
      <w:r>
        <w:rPr>
          <w:rFonts w:ascii="Times New Roman" w:cs="Times New Roman" w:eastAsia="Times New Roman" w:hAnsi="Times New Roman"/>
          <w:sz w:val="24"/>
          <w:szCs w:val="24"/>
        </w:rPr>
        <w:t xml:space="preserve">Determine the potential toxicity of Compound YZ-389 when administered orally to Sprague-Dawley rats for 28 consecutive days.</w:t>
      </w:r>
    </w:p>
    <w:p>
      <w:pPr>
        <w:pStyle w:val="ListParagraph"/>
        <w:numPr>
          <w:ilvl w:val="0"/>
          <w:numId w:val="3"/>
        </w:numPr>
        <w:spacing w:after="60"/>
      </w:pPr>
      <w:r>
        <w:rPr>
          <w:rFonts w:ascii="Times New Roman" w:cs="Times New Roman" w:eastAsia="Times New Roman" w:hAnsi="Times New Roman"/>
          <w:sz w:val="24"/>
          <w:szCs w:val="24"/>
        </w:rPr>
        <w:t xml:space="preserve">Characterise the nature, severity, and dose-response relationship of any treatment-related findings.</w:t>
      </w:r>
    </w:p>
    <w:p>
      <w:pPr>
        <w:pStyle w:val="ListParagraph"/>
        <w:numPr>
          <w:ilvl w:val="0"/>
          <w:numId w:val="3"/>
        </w:numPr>
        <w:spacing w:after="60"/>
      </w:pPr>
      <w:r>
        <w:rPr>
          <w:rFonts w:ascii="Times New Roman" w:cs="Times New Roman" w:eastAsia="Times New Roman" w:hAnsi="Times New Roman"/>
          <w:sz w:val="24"/>
          <w:szCs w:val="24"/>
        </w:rPr>
        <w:t xml:space="preserve">Identify potential target organs of toxicity based on macroscopic and microscopic anatomic pathology evaluation.</w:t>
      </w:r>
    </w:p>
    <w:p>
      <w:pPr>
        <w:pStyle w:val="ListParagraph"/>
        <w:numPr>
          <w:ilvl w:val="0"/>
          <w:numId w:val="3"/>
        </w:numPr>
        <w:spacing w:after="60"/>
      </w:pPr>
      <w:r>
        <w:rPr>
          <w:rFonts w:ascii="Times New Roman" w:cs="Times New Roman" w:eastAsia="Times New Roman" w:hAnsi="Times New Roman"/>
          <w:sz w:val="24"/>
          <w:szCs w:val="24"/>
        </w:rPr>
        <w:t xml:space="preserve">Establish a no-observed-adverse-effect level (NOAEL) to support further development.</w:t>
      </w:r>
    </w:p>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3.  Contributing Scientists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Role</w:t>
            </w:r>
          </w:p>
        </w:tc>
        <w:tc>
          <w:tcPr>
            <w:tcW w:type="dxa" w:w="6226"/>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Scientist</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Study Director</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J. Hartwell, MS · Nonclinical Safety Research</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Pathology</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A. Patel, DVM, PhD, DACVP · Nonclinical Safety Research</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Pathology Peer Review</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 Nguyen, DVM, PhD, DACVP · Nonclinical Safety Research</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Clinical Assessment</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R. Collins, DVM · Nonclinical Safety Research</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Sponsor Representative</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To be confirmed prior to study initiation</w:t>
            </w:r>
          </w:p>
        </w:tc>
      </w:tr>
    </w:tbl>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4.  Test Article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Test Article Name</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Compound YZ-389</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Chemical Name</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2-(4-fluorophenyl)-N-(pyridin-3-yl)acetamide</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Molecular Formula</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C13H11FN2O</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Molecular Weight</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230.24 g/mol</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CAS Number</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2025-0389-YZ</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Class of Compound</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Small molecule kinase modulator</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Certificate of Analysis Designation</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YZ389-COA-2024-01</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Batch (Lot) No.</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YZ389-2024-B03</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Purity</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99.2% (HPLC)</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Supplier</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Sponsor Analytical Chemistry Group</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Bulk Test Article Storage Conditions</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15 to 25°C, protected from light and moisture</w:t>
            </w:r>
          </w:p>
        </w:tc>
      </w:tr>
    </w:tbl>
    <w:p>
      <w:pPr>
        <w:spacing w:after="120"/>
      </w:pPr>
      <w:r>
        <w:rPr>
          <w:rFonts w:ascii="Times New Roman" w:cs="Times New Roman" w:eastAsia="Times New Roman" w:hAnsi="Times New Roman"/>
          <w:sz w:val="24"/>
          <w:szCs w:val="24"/>
        </w:rPr>
        <w:t xml:space="preserve"/>
      </w:r>
    </w:p>
    <w:p>
      <w:pPr>
        <w:pStyle w:val="Heading2"/>
        <w:spacing w:after="80" w:before="200"/>
      </w:pPr>
      <w:r>
        <w:rPr>
          <w:rFonts w:ascii="Times New Roman" w:cs="Times New Roman" w:eastAsia="Times New Roman" w:hAnsi="Times New Roman"/>
          <w:b/>
          <w:bCs/>
          <w:sz w:val="26"/>
          <w:szCs w:val="26"/>
        </w:rPr>
        <w:t xml:space="preserve">4.1  Characterisation and Stability of Bulk Compound YZ-389</w:t>
      </w:r>
    </w:p>
    <w:p>
      <w:pPr>
        <w:spacing w:after="80"/>
      </w:pPr>
      <w:r>
        <w:rPr>
          <w:rFonts w:ascii="Times New Roman" w:cs="Times New Roman" w:eastAsia="Times New Roman" w:hAnsi="Times New Roman"/>
          <w:sz w:val="24"/>
          <w:szCs w:val="24"/>
        </w:rPr>
        <w:t xml:space="preserve">The Sponsor Analytical Chemistry Group will provide a Certificate of Analysis for each batch of YZ-389 to be used in this study. The batch designated YZ389-2024-B03 is considered acceptable with regard to identity, strength, purity, and composition. The batch will be used within the established retest date.</w:t>
      </w:r>
    </w:p>
    <w:p>
      <w:pPr>
        <w:pStyle w:val="Heading2"/>
        <w:spacing w:after="80" w:before="200"/>
      </w:pPr>
      <w:r>
        <w:rPr>
          <w:rFonts w:ascii="Times New Roman" w:cs="Times New Roman" w:eastAsia="Times New Roman" w:hAnsi="Times New Roman"/>
          <w:b/>
          <w:bCs/>
          <w:sz w:val="26"/>
          <w:szCs w:val="26"/>
        </w:rPr>
        <w:t xml:space="preserve">4.2  Reserve Sample</w:t>
      </w:r>
    </w:p>
    <w:p>
      <w:pPr>
        <w:spacing w:after="80"/>
      </w:pPr>
      <w:r>
        <w:rPr>
          <w:rFonts w:ascii="Times New Roman" w:cs="Times New Roman" w:eastAsia="Times New Roman" w:hAnsi="Times New Roman"/>
          <w:sz w:val="24"/>
          <w:szCs w:val="24"/>
        </w:rPr>
        <w:t xml:space="preserve">A reserve bulk test article sample will be collected and retained in the archives of the Nonclinical Safety Research facility for the duration of the required retention period.</w:t>
      </w:r>
    </w:p>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5.  Vehicle and Control Article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Identification</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0.5% methylcellulose in purified water (w/v)</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Batch (Lot) No.</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As per formulation records</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Storage Conditions</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Controlled room temperature, protected from light</w:t>
            </w:r>
          </w:p>
        </w:tc>
      </w:tr>
    </w:tbl>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6.  Compound YZ-389 Dosing Formulations</w:t>
      </w:r>
    </w:p>
    <w:p>
      <w:pPr>
        <w:spacing w:after="80"/>
      </w:pPr>
      <w:r>
        <w:rPr>
          <w:rFonts w:ascii="Times New Roman" w:cs="Times New Roman" w:eastAsia="Times New Roman" w:hAnsi="Times New Roman"/>
          <w:sz w:val="24"/>
          <w:szCs w:val="24"/>
        </w:rPr>
        <w:t xml:space="preserve">Dosing formulations will be prepared as a suspension in vehicle. All doses and concentrations will be corrected for purity. Formulations will be prepared weekly and stored refrigerated (2 to 8°C) in amber glass containers protected from light.</w:t>
      </w:r>
    </w:p>
    <w:p>
      <w:pPr>
        <w:pStyle w:val="Heading2"/>
        <w:spacing w:after="80" w:before="200"/>
      </w:pPr>
      <w:r>
        <w:rPr>
          <w:rFonts w:ascii="Times New Roman" w:cs="Times New Roman" w:eastAsia="Times New Roman" w:hAnsi="Times New Roman"/>
          <w:b/>
          <w:bCs/>
          <w:sz w:val="26"/>
          <w:szCs w:val="26"/>
        </w:rPr>
        <w:t xml:space="preserve">6.1  Storage of Dosing Formulations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Storage Conditions</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2 to 8°C, protected from light.</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In-use Stability</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Up to 7 days when stored under defined conditions (as established in prior stability assessment).</w:t>
            </w:r>
          </w:p>
        </w:tc>
      </w:tr>
    </w:tbl>
    <w:p>
      <w:pPr>
        <w:spacing w:after="120"/>
      </w:pPr>
      <w:r>
        <w:rPr>
          <w:rFonts w:ascii="Times New Roman" w:cs="Times New Roman" w:eastAsia="Times New Roman" w:hAnsi="Times New Roman"/>
          <w:sz w:val="24"/>
          <w:szCs w:val="24"/>
        </w:rPr>
        <w:t xml:space="preserve"/>
      </w:r>
    </w:p>
    <w:p>
      <w:pPr>
        <w:pStyle w:val="Heading2"/>
        <w:spacing w:after="80" w:before="200"/>
      </w:pPr>
      <w:r>
        <w:rPr>
          <w:rFonts w:ascii="Times New Roman" w:cs="Times New Roman" w:eastAsia="Times New Roman" w:hAnsi="Times New Roman"/>
          <w:b/>
          <w:bCs/>
          <w:sz w:val="26"/>
          <w:szCs w:val="26"/>
        </w:rPr>
        <w:t xml:space="preserve">6.2  Verification of Dosing Formulation Content</w:t>
      </w:r>
    </w:p>
    <w:p>
      <w:pPr>
        <w:spacing w:after="80"/>
      </w:pPr>
      <w:r>
        <w:rPr>
          <w:rFonts w:ascii="Times New Roman" w:cs="Times New Roman" w:eastAsia="Times New Roman" w:hAnsi="Times New Roman"/>
          <w:sz w:val="24"/>
          <w:szCs w:val="24"/>
        </w:rPr>
        <w:t xml:space="preserve">Dosing formulation samples will be collected for concentration verification on Day 1, at the study midpoint (Day 14), and at the end of the dosing period (Day 28). Samples will be analysed by HPLC under a validated analytical procedure.</w:t>
      </w:r>
    </w:p>
    <w:p>
      <w:pPr>
        <w:spacing w:after="60" w:before="120"/>
      </w:pPr>
      <w:r>
        <w:rPr>
          <w:rFonts w:ascii="Times New Roman" w:cs="Times New Roman" w:eastAsia="Times New Roman" w:hAnsi="Times New Roman"/>
          <w:b/>
          <w:bCs/>
          <w:sz w:val="24"/>
          <w:szCs w:val="24"/>
        </w:rPr>
        <w:t xml:space="preserve">Table 6.2-1: Dosing Formulation Sample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Day</w:t>
            </w:r>
          </w:p>
        </w:tc>
        <w:tc>
          <w:tcPr>
            <w:tcW w:type="dxa" w:w="4526"/>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Groups Sampled</w:t>
            </w:r>
          </w:p>
        </w:tc>
        <w:tc>
          <w:tcPr>
            <w:tcW w:type="dxa" w:w="30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Samples per Concentration</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Day 1</w:t>
            </w:r>
          </w:p>
        </w:tc>
        <w:tc>
          <w:tcPr>
            <w:tcW w:type="dxa" w:w="45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Vehicle (G1) and YZ-389 (G2, G3, G4)</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2 × 1 mL per concentration</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Day 14</w:t>
            </w:r>
          </w:p>
        </w:tc>
        <w:tc>
          <w:tcPr>
            <w:tcW w:type="dxa" w:w="45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Vehicle (G1) and YZ-389 (G2, G3, G4)</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2 × 1 mL per concentration</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Day 28</w:t>
            </w:r>
          </w:p>
        </w:tc>
        <w:tc>
          <w:tcPr>
            <w:tcW w:type="dxa" w:w="45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Vehicle (G1) and YZ-389 (G2, G3, G4)</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2 × 1 mL per concentration</w:t>
            </w:r>
          </w:p>
        </w:tc>
      </w:tr>
    </w:tbl>
    <w:p>
      <w:pPr>
        <w:spacing w:after="12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b/>
          <w:bCs/>
          <w:sz w:val="24"/>
          <w:szCs w:val="24"/>
        </w:rPr>
        <w:t xml:space="preserve">Acceptance Criteria:</w:t>
      </w:r>
    </w:p>
    <w:p>
      <w:pPr>
        <w:spacing w:after="80"/>
      </w:pPr>
      <w:r>
        <w:rPr>
          <w:rFonts w:ascii="Times New Roman" w:cs="Times New Roman" w:eastAsia="Times New Roman" w:hAnsi="Times New Roman"/>
          <w:sz w:val="24"/>
          <w:szCs w:val="24"/>
        </w:rPr>
        <w:t xml:space="preserve">For vehicle (0 mg/mL): absence of test article confirmed.</w:t>
      </w:r>
    </w:p>
    <w:p>
      <w:pPr>
        <w:spacing w:after="80"/>
      </w:pPr>
      <w:r>
        <w:rPr>
          <w:rFonts w:ascii="Times New Roman" w:cs="Times New Roman" w:eastAsia="Times New Roman" w:hAnsi="Times New Roman"/>
          <w:sz w:val="24"/>
          <w:szCs w:val="24"/>
        </w:rPr>
        <w:t xml:space="preserve">For all other concentrations: mean measured concentration within ±10% of intended concentration; individual values within ±20% of each other.</w:t>
      </w:r>
    </w:p>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7.  Contaminants in Diet, Water, and Vehicle</w:t>
      </w:r>
    </w:p>
    <w:p>
      <w:pPr>
        <w:spacing w:after="80"/>
      </w:pPr>
      <w:r>
        <w:rPr>
          <w:rFonts w:ascii="Times New Roman" w:cs="Times New Roman" w:eastAsia="Times New Roman" w:hAnsi="Times New Roman"/>
          <w:sz w:val="24"/>
          <w:szCs w:val="24"/>
        </w:rPr>
        <w:t xml:space="preserve">There are no known contaminants reasonably expected to be present in the diet, drinking water, or vehicle that are known to interfere with the purpose or conduct of this study. Establishment of specifications for contaminant levels is therefore unnecessary.</w:t>
      </w:r>
    </w:p>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8.  Test System</w:t>
      </w:r>
    </w:p>
    <w:p>
      <w:pPr>
        <w:spacing w:after="80"/>
      </w:pPr>
      <w:r>
        <w:rPr>
          <w:rFonts w:ascii="Times New Roman" w:cs="Times New Roman" w:eastAsia="Times New Roman" w:hAnsi="Times New Roman"/>
          <w:sz w:val="24"/>
          <w:szCs w:val="24"/>
        </w:rPr>
        <w:t xml:space="preserve">The number of animals used represents the minimum necessary to satisfy regulatory requirements and general scientific principles. This study does not result in unnecessary duplication of data with regard to species, strain, test article, route of administration, or duration of treatment.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Species</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Rat</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Strain</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Sprague-Dawley (Crl:CD(SD))</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Source</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Charles River Laboratories</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Target Age at Study Initiation</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7 to 8 weeks</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Target Body Weight at Day 1</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Males: 200 to 250 g; Females: 160 to 200 g</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Health Status</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Naive, virus antibody free</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Acclimation Period</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Minimum 5 days prior to Day 1</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Total Number of Animals</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40 (20 males, 20 females)</w:t>
            </w:r>
          </w:p>
        </w:tc>
      </w:tr>
    </w:tbl>
    <w:p>
      <w:pPr>
        <w:spacing w:after="120"/>
      </w:pPr>
      <w:r>
        <w:rPr>
          <w:rFonts w:ascii="Times New Roman" w:cs="Times New Roman" w:eastAsia="Times New Roman" w:hAnsi="Times New Roman"/>
          <w:sz w:val="24"/>
          <w:szCs w:val="24"/>
        </w:rPr>
        <w:t xml:space="preserve"/>
      </w:r>
    </w:p>
    <w:p>
      <w:pPr>
        <w:pStyle w:val="Heading2"/>
        <w:spacing w:after="80" w:before="200"/>
      </w:pPr>
      <w:r>
        <w:rPr>
          <w:rFonts w:ascii="Times New Roman" w:cs="Times New Roman" w:eastAsia="Times New Roman" w:hAnsi="Times New Roman"/>
          <w:b/>
          <w:bCs/>
          <w:sz w:val="26"/>
          <w:szCs w:val="26"/>
        </w:rPr>
        <w:t xml:space="preserve">8.1  Group Selection, Assignment, and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Number of Animals per Group</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 males and 5 females per group</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Method of Assignment</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Stratified randomisation by body weight using a computerised random allocation procedure on Day 1</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Criteria for Assignment</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Body weight within ±20% of the group mean on Day 1; animals outside this range will be excluded</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Method of Identification</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Unique ear tag number assigned at receipt; cage cards marked with animal ID, group, sex, and dose level</w:t>
            </w:r>
          </w:p>
        </w:tc>
      </w:tr>
    </w:tbl>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9.  Husbandry</w:t>
      </w:r>
    </w:p>
    <w:p>
      <w:pPr>
        <w:pStyle w:val="Heading2"/>
        <w:spacing w:after="80" w:before="200"/>
      </w:pPr>
      <w:r>
        <w:rPr>
          <w:rFonts w:ascii="Times New Roman" w:cs="Times New Roman" w:eastAsia="Times New Roman" w:hAnsi="Times New Roman"/>
          <w:b/>
          <w:bCs/>
          <w:sz w:val="26"/>
          <w:szCs w:val="26"/>
        </w:rPr>
        <w:t xml:space="preserve">9.1  Housing and On-Test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Housing</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Polycarbonate cages, 2 animals per cage, same sex per cage</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Bedding</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Autoclaved wood shavings, changed at least twice weekly</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Enrichment</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Animals will be provided with enrichment in accordance with the facility enrichment programme</w:t>
            </w:r>
          </w:p>
        </w:tc>
      </w:tr>
    </w:tbl>
    <w:p>
      <w:pPr>
        <w:spacing w:after="12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Housing may be modified at the discretion of the Study Director for animal health or welfare purposes or to assist in study activities.</w:t>
      </w:r>
    </w:p>
    <w:p>
      <w:pPr>
        <w:pStyle w:val="Heading2"/>
        <w:spacing w:after="80" w:before="200"/>
      </w:pPr>
      <w:r>
        <w:rPr>
          <w:rFonts w:ascii="Times New Roman" w:cs="Times New Roman" w:eastAsia="Times New Roman" w:hAnsi="Times New Roman"/>
          <w:b/>
          <w:bCs/>
          <w:sz w:val="26"/>
          <w:szCs w:val="26"/>
        </w:rPr>
        <w:t xml:space="preserve">9.2  Method of Feeding and Watering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Diet</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Certified rodent diet (RM1 or equivalent), provided ad libitum</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Water Source</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Filtered tap water delivered via individual water bottles or automated system</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Method</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Food and water provided ad libitum throughout the study except during designated fasting periods prior to procedures</w:t>
            </w:r>
          </w:p>
        </w:tc>
      </w:tr>
    </w:tbl>
    <w:p>
      <w:pPr>
        <w:spacing w:after="12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Altered feeding times will be documented in the study records.</w:t>
      </w:r>
    </w:p>
    <w:p>
      <w:pPr>
        <w:pStyle w:val="Heading2"/>
        <w:spacing w:after="80" w:before="200"/>
      </w:pPr>
      <w:r>
        <w:rPr>
          <w:rFonts w:ascii="Times New Roman" w:cs="Times New Roman" w:eastAsia="Times New Roman" w:hAnsi="Times New Roman"/>
          <w:b/>
          <w:bCs/>
          <w:sz w:val="26"/>
          <w:szCs w:val="26"/>
        </w:rPr>
        <w:t xml:space="preserve">9.3  Room Environmental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Parameter</w:t>
            </w:r>
          </w:p>
        </w:tc>
        <w:tc>
          <w:tcPr>
            <w:tcW w:type="dxa" w:w="6226"/>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Target Range</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Temperature</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20 to 24°C (targeted daily mean)</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Relative Humidity</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40% to 70% (targeted daily mean)</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Light/Dark Cycle</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12-hour light / 12-hour dark (06:00 to 18:00 light), except when interruptions are necessitated by study room activities</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Air Changes</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Minimum 10 air changes per hour</w:t>
            </w:r>
          </w:p>
        </w:tc>
      </w:tr>
    </w:tbl>
    <w:p>
      <w:pPr>
        <w:spacing w:after="12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Environmental conditions will be continuously monitored and recorded throughout the study.</w:t>
      </w:r>
    </w:p>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10.  Administration of Compound YZ-389</w:t>
      </w:r>
    </w:p>
    <w:p>
      <w:pPr>
        <w:pStyle w:val="Heading2"/>
        <w:spacing w:after="80" w:before="200"/>
      </w:pPr>
      <w:r>
        <w:rPr>
          <w:rFonts w:ascii="Times New Roman" w:cs="Times New Roman" w:eastAsia="Times New Roman" w:hAnsi="Times New Roman"/>
          <w:b/>
          <w:bCs/>
          <w:sz w:val="26"/>
          <w:szCs w:val="26"/>
        </w:rPr>
        <w:t xml:space="preserve">10.1  Route of Administration</w:t>
      </w:r>
    </w:p>
    <w:p>
      <w:pPr>
        <w:spacing w:after="80"/>
      </w:pPr>
      <w:r>
        <w:rPr>
          <w:rFonts w:ascii="Times New Roman" w:cs="Times New Roman" w:eastAsia="Times New Roman" w:hAnsi="Times New Roman"/>
          <w:sz w:val="24"/>
          <w:szCs w:val="24"/>
        </w:rPr>
        <w:t xml:space="preserve">Because Compound YZ-389 is intended for oral administration in humans, the same route will be used in this study.</w:t>
      </w:r>
    </w:p>
    <w:p>
      <w:pPr>
        <w:pStyle w:val="Heading2"/>
        <w:spacing w:after="80" w:before="200"/>
      </w:pPr>
      <w:r>
        <w:rPr>
          <w:rFonts w:ascii="Times New Roman" w:cs="Times New Roman" w:eastAsia="Times New Roman" w:hAnsi="Times New Roman"/>
          <w:b/>
          <w:bCs/>
          <w:sz w:val="26"/>
          <w:szCs w:val="26"/>
        </w:rPr>
        <w:t xml:space="preserve">10.2  Dose Selection</w:t>
      </w:r>
    </w:p>
    <w:p>
      <w:pPr>
        <w:spacing w:after="80"/>
      </w:pPr>
      <w:r>
        <w:rPr>
          <w:rFonts w:ascii="Times New Roman" w:cs="Times New Roman" w:eastAsia="Times New Roman" w:hAnsi="Times New Roman"/>
          <w:sz w:val="24"/>
          <w:szCs w:val="24"/>
        </w:rPr>
        <w:t xml:space="preserve">Dose levels for this study were selected based on data from a 7-day dose range-finding study (Protocol TOX-2024-DRF-004). In that study, Compound YZ-389 was administered orally to Sprague-Dawley rats at dose levels of 25, 100, and 400 mg/kg/day. The high dose of 400 mg/kg/day produced body weight reduction and clinical signs including reduced activity and soft stool. Liver weights were elevated at 400 mg/kg/day, suggesting hepatic involvement.</w:t>
      </w:r>
    </w:p>
    <w:p>
      <w:pPr>
        <w:spacing w:after="80"/>
      </w:pPr>
      <w:r>
        <w:rPr>
          <w:rFonts w:ascii="Times New Roman" w:cs="Times New Roman" w:eastAsia="Times New Roman" w:hAnsi="Times New Roman"/>
          <w:sz w:val="24"/>
          <w:szCs w:val="24"/>
        </w:rPr>
        <w:t xml:space="preserve">Based on these data, the high dose of 400 mg/kg/day has been selected to induce discernible adverse effects. The mid dose of 100 mg/kg/day is expected to produce minimal to moderate effects. The low dose of 25 mg/kg/day is anticipated to represent a NOAEL candidate.</w:t>
      </w:r>
    </w:p>
    <w:p>
      <w:pPr>
        <w:pStyle w:val="Heading2"/>
        <w:spacing w:after="80" w:before="200"/>
      </w:pPr>
      <w:r>
        <w:rPr>
          <w:rFonts w:ascii="Times New Roman" w:cs="Times New Roman" w:eastAsia="Times New Roman" w:hAnsi="Times New Roman"/>
          <w:b/>
          <w:bCs/>
          <w:sz w:val="26"/>
          <w:szCs w:val="26"/>
        </w:rPr>
        <w:t xml:space="preserve">10.3  Drug Administration</w:t>
      </w:r>
    </w:p>
    <w:p>
      <w:pPr>
        <w:spacing w:after="80"/>
      </w:pPr>
      <w:r>
        <w:rPr>
          <w:rFonts w:ascii="Times New Roman" w:cs="Times New Roman" w:eastAsia="Times New Roman" w:hAnsi="Times New Roman"/>
          <w:sz w:val="24"/>
          <w:szCs w:val="24"/>
        </w:rPr>
        <w:t xml:space="preserve">Dosing formulations of vehicle or Compound YZ-389 will be administered to rats by oral gavage once daily for 28 consecutive days. The dose volume will be adjusted based on the most recent body weight recorded for each animal. Animals will be dosed at approximately the same time each day (within a ±1 hour window).</w:t>
      </w:r>
    </w:p>
    <w:p>
      <w:pPr>
        <w:pStyle w:val="Heading2"/>
        <w:spacing w:after="80" w:before="200"/>
      </w:pPr>
      <w:r>
        <w:rPr>
          <w:rFonts w:ascii="Times New Roman" w:cs="Times New Roman" w:eastAsia="Times New Roman" w:hAnsi="Times New Roman"/>
          <w:b/>
          <w:bCs/>
          <w:sz w:val="26"/>
          <w:szCs w:val="26"/>
        </w:rPr>
        <w:t xml:space="preserve">10.4  Experimental Design</w:t>
      </w:r>
    </w:p>
    <w:p>
      <w:pPr>
        <w:spacing w:after="60" w:before="120"/>
      </w:pPr>
      <w:r>
        <w:rPr>
          <w:rFonts w:ascii="Times New Roman" w:cs="Times New Roman" w:eastAsia="Times New Roman" w:hAnsi="Times New Roman"/>
          <w:b/>
          <w:bCs/>
          <w:sz w:val="24"/>
          <w:szCs w:val="24"/>
        </w:rPr>
        <w:t xml:space="preserve">Table 10.4-1: Experimental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500"/>
        <w:gridCol w:w="1526"/>
        <w:gridCol w:w="1900"/>
        <w:gridCol w:w="1500"/>
      </w:tblGrid>
      <w:tr>
        <w:trPr>
          <w:tblHeader/>
        </w:trPr>
        <w:tc>
          <w:tcPr>
            <w:tcW w:type="dxa" w:w="6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Group</w:t>
            </w:r>
          </w:p>
        </w:tc>
        <w:tc>
          <w:tcPr>
            <w:tcW w:type="dxa" w:w="20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Treatment</w:t>
            </w:r>
          </w:p>
        </w:tc>
        <w:tc>
          <w:tcPr>
            <w:tcW w:type="dxa" w:w="15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Daily Dose (mg/kg)</w:t>
            </w:r>
          </w:p>
        </w:tc>
        <w:tc>
          <w:tcPr>
            <w:tcW w:type="dxa" w:w="1526"/>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Dose Volume (mL/kg)</w:t>
            </w:r>
          </w:p>
        </w:tc>
        <w:tc>
          <w:tcPr>
            <w:tcW w:type="dxa" w:w="19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Concentration (mg/mL)</w:t>
            </w:r>
          </w:p>
        </w:tc>
        <w:tc>
          <w:tcPr>
            <w:tcW w:type="dxa" w:w="15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No. of Animals</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1</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Vehicle Control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0</w:t>
            </w:r>
          </w:p>
        </w:tc>
        <w:tc>
          <w:tcPr>
            <w:tcW w:type="dxa" w:w="15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10</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 M, 5 F</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2</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YZ-389 Low Dose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25</w:t>
            </w:r>
          </w:p>
        </w:tc>
        <w:tc>
          <w:tcPr>
            <w:tcW w:type="dxa" w:w="15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10</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2.5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 M, 5 F</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3</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YZ-389 Mid Dose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100</w:t>
            </w:r>
          </w:p>
        </w:tc>
        <w:tc>
          <w:tcPr>
            <w:tcW w:type="dxa" w:w="15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10</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 M, 5 F</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4</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YZ-389 High Dose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400</w:t>
            </w:r>
          </w:p>
        </w:tc>
        <w:tc>
          <w:tcPr>
            <w:tcW w:type="dxa" w:w="15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10</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40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 M, 5 F</w:t>
            </w:r>
          </w:p>
        </w:tc>
      </w:tr>
    </w:tbl>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11.  Type and Frequency of Observations and Tests</w:t>
      </w:r>
    </w:p>
    <w:p>
      <w:pPr>
        <w:spacing w:after="80"/>
      </w:pPr>
      <w:r>
        <w:rPr>
          <w:rFonts w:ascii="Times New Roman" w:cs="Times New Roman" w:eastAsia="Times New Roman" w:hAnsi="Times New Roman"/>
          <w:sz w:val="24"/>
          <w:szCs w:val="24"/>
        </w:rPr>
        <w:t xml:space="preserve">The following observations and tests will be conducted on all available animals unless otherwise noted. Additional observations may be performed at the discretion of the Study Director.</w:t>
      </w:r>
    </w:p>
    <w:p>
      <w:pPr>
        <w:pStyle w:val="Heading2"/>
        <w:spacing w:after="80" w:before="200"/>
      </w:pPr>
      <w:r>
        <w:rPr>
          <w:rFonts w:ascii="Times New Roman" w:cs="Times New Roman" w:eastAsia="Times New Roman" w:hAnsi="Times New Roman"/>
          <w:b/>
          <w:bCs/>
          <w:sz w:val="26"/>
          <w:szCs w:val="26"/>
        </w:rPr>
        <w:t xml:space="preserve">11.1  Clinical Assessment</w:t>
      </w:r>
    </w:p>
    <w:p>
      <w:pPr>
        <w:pStyle w:val="Heading3"/>
        <w:spacing w:after="60" w:before="160"/>
      </w:pPr>
      <w:r>
        <w:rPr>
          <w:rFonts w:ascii="Times New Roman" w:cs="Times New Roman" w:eastAsia="Times New Roman" w:hAnsi="Times New Roman"/>
          <w:b/>
          <w:bCs/>
          <w:sz w:val="24"/>
          <w:szCs w:val="24"/>
        </w:rPr>
        <w:t xml:space="preserve">11.1.1  Viability</w:t>
      </w:r>
    </w:p>
    <w:p>
      <w:pPr>
        <w:spacing w:after="80"/>
      </w:pPr>
      <w:r>
        <w:rPr>
          <w:rFonts w:ascii="Times New Roman" w:cs="Times New Roman" w:eastAsia="Times New Roman" w:hAnsi="Times New Roman"/>
          <w:sz w:val="24"/>
          <w:szCs w:val="24"/>
        </w:rPr>
        <w:t xml:space="preserve">All animals will be observed for mortality and morbidity at least twice daily (morning and afternoon) from the first day of the pretest period and throughout the study. Moribund animals will be euthanised humanely and subjected to a full unscheduled necropsy.</w:t>
      </w:r>
    </w:p>
    <w:p>
      <w:pPr>
        <w:pStyle w:val="Heading3"/>
        <w:spacing w:after="60" w:before="160"/>
      </w:pPr>
      <w:r>
        <w:rPr>
          <w:rFonts w:ascii="Times New Roman" w:cs="Times New Roman" w:eastAsia="Times New Roman" w:hAnsi="Times New Roman"/>
          <w:b/>
          <w:bCs/>
          <w:sz w:val="24"/>
          <w:szCs w:val="24"/>
        </w:rPr>
        <w:t xml:space="preserve">11.1.2  Clinical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Parameter</w:t>
            </w:r>
          </w:p>
        </w:tc>
        <w:tc>
          <w:tcPr>
            <w:tcW w:type="dxa" w:w="6226"/>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Frequency</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Cage-side observations</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Once daily at approximately the time of dosing, recorded individually per animal</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Detailed clinical examination</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Once weekly; findings recorded using standardised terminology</w:t>
            </w:r>
          </w:p>
        </w:tc>
      </w:tr>
    </w:tbl>
    <w:p>
      <w:pPr>
        <w:spacing w:after="12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Observations will include but are not limited to: general appearance and behaviour, skin and fur condition, eyes and mucous membranes, respiratory pattern, posture, gait, and the presence of any palpable masses or abnormalities.</w:t>
      </w:r>
    </w:p>
    <w:p>
      <w:pPr>
        <w:pStyle w:val="Heading3"/>
        <w:spacing w:after="60" w:before="160"/>
      </w:pPr>
      <w:r>
        <w:rPr>
          <w:rFonts w:ascii="Times New Roman" w:cs="Times New Roman" w:eastAsia="Times New Roman" w:hAnsi="Times New Roman"/>
          <w:b/>
          <w:bCs/>
          <w:sz w:val="24"/>
          <w:szCs w:val="24"/>
        </w:rPr>
        <w:t xml:space="preserve">11.1.3  Body Weights</w:t>
      </w:r>
    </w:p>
    <w:p>
      <w:pPr>
        <w:spacing w:after="80"/>
      </w:pPr>
      <w:r>
        <w:rPr>
          <w:rFonts w:ascii="Times New Roman" w:cs="Times New Roman" w:eastAsia="Times New Roman" w:hAnsi="Times New Roman"/>
          <w:sz w:val="24"/>
          <w:szCs w:val="24"/>
        </w:rPr>
        <w:t xml:space="preserve">Individual body weights will be recorded on the following occasions: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Timepoint</w:t>
            </w:r>
          </w:p>
        </w:tc>
        <w:tc>
          <w:tcPr>
            <w:tcW w:type="dxa" w:w="5426"/>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Day</w:t>
            </w:r>
          </w:p>
        </w:tc>
      </w:tr>
      <w:tr>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Pre-dose (randomisation)</w:t>
            </w:r>
          </w:p>
        </w:tc>
        <w:tc>
          <w:tcPr>
            <w:tcW w:type="dxa" w:w="54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Day 1</w:t>
            </w:r>
          </w:p>
        </w:tc>
      </w:tr>
      <w:tr>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Weekly during dosing</w:t>
            </w:r>
          </w:p>
        </w:tc>
        <w:tc>
          <w:tcPr>
            <w:tcW w:type="dxa" w:w="54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Days 7, 14, 21</w:t>
            </w:r>
          </w:p>
        </w:tc>
      </w:tr>
      <w:tr>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Terminal (pre-necropsy)</w:t>
            </w:r>
          </w:p>
        </w:tc>
        <w:tc>
          <w:tcPr>
            <w:tcW w:type="dxa" w:w="54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Day 28</w:t>
            </w:r>
          </w:p>
        </w:tc>
      </w:tr>
    </w:tbl>
    <w:p>
      <w:pPr>
        <w:spacing w:after="12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Body weight gain will be calculated for each animal relative to the Day 1 pre-dose value.</w:t>
      </w:r>
    </w:p>
    <w:p>
      <w:pPr>
        <w:pStyle w:val="Heading3"/>
        <w:spacing w:after="60" w:before="160"/>
      </w:pPr>
      <w:r>
        <w:rPr>
          <w:rFonts w:ascii="Times New Roman" w:cs="Times New Roman" w:eastAsia="Times New Roman" w:hAnsi="Times New Roman"/>
          <w:b/>
          <w:bCs/>
          <w:sz w:val="24"/>
          <w:szCs w:val="24"/>
        </w:rPr>
        <w:t xml:space="preserve">11.1.4  Food Consumption</w:t>
      </w:r>
    </w:p>
    <w:p>
      <w:pPr>
        <w:spacing w:after="80"/>
      </w:pPr>
      <w:r>
        <w:rPr>
          <w:rFonts w:ascii="Times New Roman" w:cs="Times New Roman" w:eastAsia="Times New Roman" w:hAnsi="Times New Roman"/>
          <w:sz w:val="24"/>
          <w:szCs w:val="24"/>
        </w:rPr>
        <w:t xml:space="preserve">Group food consumption will be measured over each weekly interval corresponding to body weight measurements. Individual food consumption will not be determined for this study design.</w:t>
      </w:r>
    </w:p>
    <w:p>
      <w:pPr>
        <w:pStyle w:val="Heading3"/>
        <w:spacing w:after="60" w:before="160"/>
      </w:pPr>
      <w:r>
        <w:rPr>
          <w:rFonts w:ascii="Times New Roman" w:cs="Times New Roman" w:eastAsia="Times New Roman" w:hAnsi="Times New Roman"/>
          <w:b/>
          <w:bCs/>
          <w:sz w:val="24"/>
          <w:szCs w:val="24"/>
        </w:rPr>
        <w:t xml:space="preserve">11.1.5  Physical Examinations</w:t>
      </w:r>
    </w:p>
    <w:p>
      <w:pPr>
        <w:spacing w:after="80"/>
      </w:pPr>
      <w:r>
        <w:rPr>
          <w:rFonts w:ascii="Times New Roman" w:cs="Times New Roman" w:eastAsia="Times New Roman" w:hAnsi="Times New Roman"/>
          <w:sz w:val="24"/>
          <w:szCs w:val="24"/>
        </w:rPr>
        <w:t xml:space="preserve">A staff veterinarian or designee will conduct physical examinations on all available animals at the following timepoints: pretest and at the end of the dosing period (Week 4). Additional examinations will be performed at the discretion of the Study Director based on clinical findings.</w:t>
      </w:r>
    </w:p>
    <w:p>
      <w:pPr>
        <w:spacing w:after="120"/>
      </w:pPr>
      <w:r>
        <w:rPr>
          <w:rFonts w:ascii="Times New Roman" w:cs="Times New Roman" w:eastAsia="Times New Roman" w:hAnsi="Times New Roman"/>
          <w:sz w:val="24"/>
          <w:szCs w:val="24"/>
        </w:rPr>
        <w:t xml:space="preserve"/>
      </w:r>
    </w:p>
    <w:p>
      <w:pPr>
        <w:pStyle w:val="Heading2"/>
        <w:spacing w:after="80" w:before="200"/>
      </w:pPr>
      <w:r>
        <w:rPr>
          <w:rFonts w:ascii="Times New Roman" w:cs="Times New Roman" w:eastAsia="Times New Roman" w:hAnsi="Times New Roman"/>
          <w:b/>
          <w:bCs/>
          <w:sz w:val="26"/>
          <w:szCs w:val="26"/>
        </w:rPr>
        <w:t xml:space="preserve">11.2  Anatomic Pathology</w:t>
      </w:r>
    </w:p>
    <w:p>
      <w:pPr>
        <w:pStyle w:val="Heading3"/>
        <w:spacing w:after="60" w:before="160"/>
      </w:pPr>
      <w:r>
        <w:rPr>
          <w:rFonts w:ascii="Times New Roman" w:cs="Times New Roman" w:eastAsia="Times New Roman" w:hAnsi="Times New Roman"/>
          <w:b/>
          <w:bCs/>
          <w:sz w:val="24"/>
          <w:szCs w:val="24"/>
        </w:rPr>
        <w:t xml:space="preserve">11.2.1  Gross Pathology</w:t>
      </w:r>
    </w:p>
    <w:p>
      <w:pPr>
        <w:spacing w:after="60" w:before="120"/>
      </w:pPr>
      <w:r>
        <w:rPr>
          <w:rFonts w:ascii="Times New Roman" w:cs="Times New Roman" w:eastAsia="Times New Roman" w:hAnsi="Times New Roman"/>
          <w:b/>
          <w:bCs/>
          <w:sz w:val="24"/>
          <w:szCs w:val="24"/>
        </w:rPr>
        <w:t xml:space="preserve">Table 11.2-1: Terminal Procedures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800"/>
        <w:gridCol w:w="1026"/>
        <w:gridCol w:w="800"/>
        <w:gridCol w:w="1500"/>
        <w:gridCol w:w="1000"/>
        <w:gridCol w:w="1900"/>
      </w:tblGrid>
      <w:tr>
        <w:trPr>
          <w:tblHeader/>
        </w:trPr>
        <w:tc>
          <w:tcPr>
            <w:tcW w:type="dxa" w:w="13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Group / Dose</w:t>
            </w:r>
          </w:p>
        </w:tc>
        <w:tc>
          <w:tcPr>
            <w:tcW w:type="dxa" w:w="7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Males (n)</w:t>
            </w:r>
          </w:p>
        </w:tc>
        <w:tc>
          <w:tcPr>
            <w:tcW w:type="dxa" w:w="8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Females (n)</w:t>
            </w:r>
          </w:p>
        </w:tc>
        <w:tc>
          <w:tcPr>
            <w:tcW w:type="dxa" w:w="1026"/>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Scheduled Euthanasia</w:t>
            </w:r>
          </w:p>
        </w:tc>
        <w:tc>
          <w:tcPr>
            <w:tcW w:type="dxa" w:w="8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Necropsy</w:t>
            </w:r>
          </w:p>
        </w:tc>
        <w:tc>
          <w:tcPr>
            <w:tcW w:type="dxa" w:w="15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Tissue Collection</w:t>
            </w:r>
          </w:p>
        </w:tc>
        <w:tc>
          <w:tcPr>
            <w:tcW w:type="dxa" w:w="10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Organ Weights</w:t>
            </w:r>
          </w:p>
        </w:tc>
        <w:tc>
          <w:tcPr>
            <w:tcW w:type="dxa" w:w="19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Histopathology</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G1 · 0 mg/kg</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w:t>
            </w:r>
          </w:p>
        </w:tc>
        <w:tc>
          <w:tcPr>
            <w:tcW w:type="dxa" w:w="1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Day 29</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Full tissue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Full tissue</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G2 · 25 mg/kg</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w:t>
            </w:r>
          </w:p>
        </w:tc>
        <w:tc>
          <w:tcPr>
            <w:tcW w:type="dxa" w:w="1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Day 29</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Gross lesions + target tissues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Gross lesions + target tissues</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G3 · 100 mg/kg</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w:t>
            </w:r>
          </w:p>
        </w:tc>
        <w:tc>
          <w:tcPr>
            <w:tcW w:type="dxa" w:w="1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Day 29</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Gross lesions + target tissues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Gross lesions + target tissues</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G4 · 400 mg/kg</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w:t>
            </w:r>
          </w:p>
        </w:tc>
        <w:tc>
          <w:tcPr>
            <w:tcW w:type="dxa" w:w="1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Day 29</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Full tissue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Full tissue</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Unscheduled</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As required</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Full tissue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Full tissue</w:t>
            </w:r>
          </w:p>
        </w:tc>
      </w:tr>
    </w:tbl>
    <w:p>
      <w:pPr>
        <w:spacing w:after="12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All surviving animals will be euthanised on Day 29 by carbon dioxide inhalation followed by exsanguination. Animals found dead will be necropsied as soon as possible. A complete macroscopic examination will be conducted on all animals. Terminal body weights will be recorded immediately prior to euthanasia. All gross lesions will be recorded, measured where possible, and collected for histopathological evaluation.</w:t>
      </w:r>
    </w:p>
    <w:p>
      <w:pPr>
        <w:pStyle w:val="Heading3"/>
        <w:spacing w:after="60" w:before="160"/>
      </w:pPr>
      <w:r>
        <w:rPr>
          <w:rFonts w:ascii="Times New Roman" w:cs="Times New Roman" w:eastAsia="Times New Roman" w:hAnsi="Times New Roman"/>
          <w:b/>
          <w:bCs/>
          <w:sz w:val="24"/>
          <w:szCs w:val="24"/>
        </w:rPr>
        <w:t xml:space="preserve">11.2.2  Organ Weights</w:t>
      </w:r>
    </w:p>
    <w:p>
      <w:pPr>
        <w:spacing w:after="80"/>
      </w:pPr>
      <w:r>
        <w:rPr>
          <w:rFonts w:ascii="Times New Roman" w:cs="Times New Roman" w:eastAsia="Times New Roman" w:hAnsi="Times New Roman"/>
          <w:sz w:val="24"/>
          <w:szCs w:val="24"/>
        </w:rPr>
        <w:t xml:space="preserve">The following organs will be weighed (paired organs weighed together) for all animals that survive to scheduled necropsy:</w:t>
      </w:r>
    </w:p>
    <w:p>
      <w:pPr>
        <w:spacing w:after="60" w:before="120"/>
      </w:pPr>
      <w:r>
        <w:rPr>
          <w:rFonts w:ascii="Times New Roman" w:cs="Times New Roman" w:eastAsia="Times New Roman" w:hAnsi="Times New Roman"/>
          <w:b/>
          <w:bCs/>
          <w:sz w:val="24"/>
          <w:szCs w:val="24"/>
        </w:rPr>
        <w:t xml:space="preserve">Table 11.2-2: Organs Weighed at Necropsy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Organ</w:t>
            </w:r>
          </w:p>
        </w:tc>
      </w:tr>
      <w:tr>
        <w:tc>
          <w:tcPr>
            <w:tcW w:type="dxa" w:w="9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Liver</w:t>
            </w:r>
          </w:p>
        </w:tc>
      </w:tr>
      <w:tr>
        <w:tc>
          <w:tcPr>
            <w:tcW w:type="dxa" w:w="9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Kidneys (paired)</w:t>
            </w:r>
          </w:p>
        </w:tc>
      </w:tr>
      <w:tr>
        <w:tc>
          <w:tcPr>
            <w:tcW w:type="dxa" w:w="9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Heart</w:t>
            </w:r>
          </w:p>
        </w:tc>
      </w:tr>
      <w:tr>
        <w:tc>
          <w:tcPr>
            <w:tcW w:type="dxa" w:w="9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Brain</w:t>
            </w:r>
          </w:p>
        </w:tc>
      </w:tr>
      <w:tr>
        <w:tc>
          <w:tcPr>
            <w:tcW w:type="dxa" w:w="9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Spleen</w:t>
            </w:r>
          </w:p>
        </w:tc>
      </w:tr>
      <w:tr>
        <w:tc>
          <w:tcPr>
            <w:tcW w:type="dxa" w:w="9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Thymus</w:t>
            </w:r>
          </w:p>
        </w:tc>
      </w:tr>
      <w:tr>
        <w:tc>
          <w:tcPr>
            <w:tcW w:type="dxa" w:w="9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Adrenal glands (paired)</w:t>
            </w:r>
          </w:p>
        </w:tc>
      </w:tr>
      <w:tr>
        <w:tc>
          <w:tcPr>
            <w:tcW w:type="dxa" w:w="9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Testes (males) / Ovaries (females)</w:t>
            </w:r>
          </w:p>
        </w:tc>
      </w:tr>
    </w:tbl>
    <w:p>
      <w:pPr>
        <w:spacing w:after="12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Absolute organ weights, organ-to-body weight ratios, and organ-to-brain weight ratios will be calculated.</w:t>
      </w:r>
    </w:p>
    <w:p>
      <w:pPr>
        <w:pStyle w:val="Heading3"/>
        <w:spacing w:after="60" w:before="160"/>
      </w:pPr>
      <w:r>
        <w:rPr>
          <w:rFonts w:ascii="Times New Roman" w:cs="Times New Roman" w:eastAsia="Times New Roman" w:hAnsi="Times New Roman"/>
          <w:b/>
          <w:bCs/>
          <w:sz w:val="24"/>
          <w:szCs w:val="24"/>
        </w:rPr>
        <w:t xml:space="preserve">11.2.3  Tissue Collection and Preservation</w:t>
      </w:r>
    </w:p>
    <w:p>
      <w:pPr>
        <w:spacing w:after="80"/>
      </w:pPr>
      <w:r>
        <w:rPr>
          <w:rFonts w:ascii="Times New Roman" w:cs="Times New Roman" w:eastAsia="Times New Roman" w:hAnsi="Times New Roman"/>
          <w:sz w:val="24"/>
          <w:szCs w:val="24"/>
        </w:rPr>
        <w:t xml:space="preserve">Tissues will be fixed in 10% neutral buffered formalin unless otherwise specified.</w:t>
      </w:r>
    </w:p>
    <w:p>
      <w:pPr>
        <w:spacing w:after="60" w:before="120"/>
      </w:pPr>
      <w:r>
        <w:rPr>
          <w:rFonts w:ascii="Times New Roman" w:cs="Times New Roman" w:eastAsia="Times New Roman" w:hAnsi="Times New Roman"/>
          <w:b/>
          <w:bCs/>
          <w:sz w:val="24"/>
          <w:szCs w:val="24"/>
        </w:rPr>
        <w:t xml:space="preserve">Table 11.2-3: Tissue Collection and Preservation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700"/>
        <w:gridCol w:w="1626"/>
        <w:gridCol w:w="3000"/>
      </w:tblGrid>
      <w:tr>
        <w:trPr>
          <w:tblHeader/>
        </w:trPr>
        <w:tc>
          <w:tcPr>
            <w:tcW w:type="dxa" w:w="30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Tissue</w:t>
            </w:r>
          </w:p>
        </w:tc>
        <w:tc>
          <w:tcPr>
            <w:tcW w:type="dxa" w:w="7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Collect</w:t>
            </w:r>
          </w:p>
        </w:tc>
        <w:tc>
          <w:tcPr>
            <w:tcW w:type="dxa" w:w="7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Weigh</w:t>
            </w:r>
          </w:p>
        </w:tc>
        <w:tc>
          <w:tcPr>
            <w:tcW w:type="dxa" w:w="1626"/>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Microscopic Evaluation</w:t>
            </w:r>
          </w:p>
        </w:tc>
        <w:tc>
          <w:tcPr>
            <w:tcW w:type="dxa" w:w="30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Comment</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Liver (3 sections)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Left lateral, median, and right lateral lobes</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Kidneys (bilateral)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Corticomedullary section</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Heart</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Cross-section at papillary muscle level</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Brain (3 levels)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Cerebrum, cerebellum, brainstem</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Spleen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Thymus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If not identified grossly, region will be sampled</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Adrenal glands (bilateral)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Testes / Ovaries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Testes fixed in modified Davidson's fixative</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Lungs (5 lobes)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Trachea</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Oesophagus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Stomach</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Small intestine (duodenum, jejunum, ileum)</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Large intestine (caecum, colon, rectum)</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Bone marrow (sternum smear)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Lymph node, mesenteric</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Skeletal muscle (thigh)</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Sciatic nerve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Skin (dorsal)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Urinary bladder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Gross lesions (where possible)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X</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
            </w:r>
          </w:p>
        </w:tc>
      </w:tr>
    </w:tbl>
    <w:p>
      <w:pPr>
        <w:spacing w:after="12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Abbreviations: X = Procedure to be conducted; NA = Not applicable.</w:t>
      </w:r>
    </w:p>
    <w:p>
      <w:pPr>
        <w:spacing w:after="80"/>
      </w:pPr>
      <w:r>
        <w:rPr>
          <w:rFonts w:ascii="Times New Roman" w:cs="Times New Roman" w:eastAsia="Times New Roman" w:hAnsi="Times New Roman"/>
          <w:sz w:val="24"/>
          <w:szCs w:val="24"/>
        </w:rPr>
        <w:t xml:space="preserve">Additional tissues may be collected and examined at the discretion of the Study Pathologist. Regional lymph nodes will be collected with tissue masses or tumours.</w:t>
      </w:r>
    </w:p>
    <w:p>
      <w:pPr>
        <w:pStyle w:val="Heading3"/>
        <w:spacing w:after="60" w:before="160"/>
      </w:pPr>
      <w:r>
        <w:rPr>
          <w:rFonts w:ascii="Times New Roman" w:cs="Times New Roman" w:eastAsia="Times New Roman" w:hAnsi="Times New Roman"/>
          <w:b/>
          <w:bCs/>
          <w:sz w:val="24"/>
          <w:szCs w:val="24"/>
        </w:rPr>
        <w:t xml:space="preserve">11.2.4  Microscopic Pathology</w:t>
      </w:r>
    </w:p>
    <w:p>
      <w:pPr>
        <w:spacing w:after="80"/>
      </w:pPr>
      <w:r>
        <w:rPr>
          <w:rFonts w:ascii="Times New Roman" w:cs="Times New Roman" w:eastAsia="Times New Roman" w:hAnsi="Times New Roman"/>
          <w:sz w:val="24"/>
          <w:szCs w:val="24"/>
        </w:rPr>
        <w:t xml:space="preserve">Representative samples of each organ listed in Table 11.2-3 from Groups 1 and 4, and gross lesions and target tissues from Groups 2 and 3, will be processed and embedded in paraffin, sectioned at 4 to 6 μm, and stained with haematoxylin and eosin (H&amp;E). Additional stains (e.g., PAS, Masson’s trichrome, Oil Red O) will be applied at the discretion of the Study Pathologist.</w:t>
      </w:r>
    </w:p>
    <w:p>
      <w:pPr>
        <w:spacing w:after="80"/>
      </w:pPr>
      <w:r>
        <w:rPr>
          <w:rFonts w:ascii="Times New Roman" w:cs="Times New Roman" w:eastAsia="Times New Roman" w:hAnsi="Times New Roman"/>
          <w:sz w:val="24"/>
          <w:szCs w:val="24"/>
        </w:rPr>
        <w:t xml:space="preserve">Microscopic lesions will be recorded individually per animal and graded for severity using the following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Grade</w:t>
            </w:r>
          </w:p>
        </w:tc>
        <w:tc>
          <w:tcPr>
            <w:tcW w:type="dxa" w:w="8026"/>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Descriptor</w:t>
            </w:r>
          </w:p>
        </w:tc>
      </w:tr>
      <w:t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1</w:t>
            </w:r>
          </w:p>
        </w:tc>
        <w:tc>
          <w:tcPr>
            <w:tcW w:type="dxa" w:w="8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Minimal</w:t>
            </w:r>
          </w:p>
        </w:tc>
      </w:tr>
      <w:t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2</w:t>
            </w:r>
          </w:p>
        </w:tc>
        <w:tc>
          <w:tcPr>
            <w:tcW w:type="dxa" w:w="8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Mild</w:t>
            </w:r>
          </w:p>
        </w:tc>
      </w:tr>
      <w:t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3</w:t>
            </w:r>
          </w:p>
        </w:tc>
        <w:tc>
          <w:tcPr>
            <w:tcW w:type="dxa" w:w="8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Moderate</w:t>
            </w:r>
          </w:p>
        </w:tc>
      </w:tr>
      <w:t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4</w:t>
            </w:r>
          </w:p>
        </w:tc>
        <w:tc>
          <w:tcPr>
            <w:tcW w:type="dxa" w:w="8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Marked</w:t>
            </w:r>
          </w:p>
        </w:tc>
      </w:tr>
      <w:t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5</w:t>
            </w:r>
          </w:p>
        </w:tc>
        <w:tc>
          <w:tcPr>
            <w:tcW w:type="dxa" w:w="8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Severe</w:t>
            </w:r>
          </w:p>
        </w:tc>
      </w:tr>
    </w:tbl>
    <w:p>
      <w:pPr>
        <w:spacing w:after="12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Incidences of microscopic findings will be tabulated by group, sex, and tissue.</w:t>
      </w:r>
    </w:p>
    <w:p>
      <w:pPr>
        <w:pStyle w:val="Heading3"/>
        <w:spacing w:after="60" w:before="160"/>
      </w:pPr>
      <w:r>
        <w:rPr>
          <w:rFonts w:ascii="Times New Roman" w:cs="Times New Roman" w:eastAsia="Times New Roman" w:hAnsi="Times New Roman"/>
          <w:b/>
          <w:bCs/>
          <w:sz w:val="24"/>
          <w:szCs w:val="24"/>
        </w:rPr>
        <w:t xml:space="preserve">11.2.5  Pathology Peer Review</w:t>
      </w:r>
    </w:p>
    <w:p>
      <w:pPr>
        <w:spacing w:after="80"/>
      </w:pPr>
      <w:r>
        <w:rPr>
          <w:rFonts w:ascii="Times New Roman" w:cs="Times New Roman" w:eastAsia="Times New Roman" w:hAnsi="Times New Roman"/>
          <w:sz w:val="24"/>
          <w:szCs w:val="24"/>
        </w:rPr>
        <w:t xml:space="preserve">The microscopic pathology evaluation will be independently reviewed by the Peer Review Pathologist identified in Section 3. The Peer Review Pathologist will review all slides from Groups 1 and 4 and any target tissues from Groups 2 and 3. The outcome of the peer review will be documented in the pathology report.</w:t>
      </w:r>
    </w:p>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12.  Analysis of Results</w:t>
      </w:r>
    </w:p>
    <w:p>
      <w:pPr>
        <w:spacing w:after="80"/>
      </w:pPr>
      <w:r>
        <w:rPr>
          <w:rFonts w:ascii="Times New Roman" w:cs="Times New Roman" w:eastAsia="Times New Roman" w:hAnsi="Times New Roman"/>
          <w:b/>
          <w:bCs/>
          <w:sz w:val="24"/>
          <w:szCs w:val="24"/>
        </w:rPr>
        <w:t xml:space="preserve">Continuous Variables (body weight, organ weights, food consumption): </w:t>
      </w:r>
      <w:r>
        <w:rPr>
          <w:rFonts w:ascii="Times New Roman" w:cs="Times New Roman" w:eastAsia="Times New Roman" w:hAnsi="Times New Roman"/>
          <w:sz w:val="24"/>
          <w:szCs w:val="24"/>
        </w:rPr>
        <w:t xml:space="preserve">Mean values from treated groups will be compared to those of the control group using a one-way analysis of variance (ANOVA) followed by Dunnett's test for multiple comparisons. Where Bartlett's test indicates heterogeneity of variance (p &lt; 0.05), Kruskal-Wallis non-parametric ANOVA with Dunn’s post-hoc test will be applied. Statistical significance is defined as p &lt; 0.05 (two-tailed).</w:t>
      </w:r>
    </w:p>
    <w:p>
      <w:pPr>
        <w:spacing w:after="80"/>
      </w:pPr>
      <w:r>
        <w:rPr>
          <w:rFonts w:ascii="Times New Roman" w:cs="Times New Roman" w:eastAsia="Times New Roman" w:hAnsi="Times New Roman"/>
          <w:b/>
          <w:bCs/>
          <w:sz w:val="24"/>
          <w:szCs w:val="24"/>
        </w:rPr>
        <w:t xml:space="preserve">Incidence Data (clinical observations, histopathology findings): </w:t>
      </w:r>
      <w:r>
        <w:rPr>
          <w:rFonts w:ascii="Times New Roman" w:cs="Times New Roman" w:eastAsia="Times New Roman" w:hAnsi="Times New Roman"/>
          <w:sz w:val="24"/>
          <w:szCs w:val="24"/>
        </w:rPr>
        <w:t xml:space="preserve">Group comparisons will be made using Fisher’s exact test where applicable. Qualitative findings (gross pathology, clinical assessment) will be compared using appropriate non-statistical methods.</w:t>
      </w:r>
    </w:p>
    <w:p>
      <w:pPr>
        <w:spacing w:after="80"/>
      </w:pPr>
      <w:r>
        <w:rPr>
          <w:rFonts w:ascii="Times New Roman" w:cs="Times New Roman" w:eastAsia="Times New Roman" w:hAnsi="Times New Roman"/>
          <w:sz w:val="24"/>
          <w:szCs w:val="24"/>
        </w:rPr>
        <w:t xml:space="preserve">Biological and toxicological significance will be assessed by the Study Director and Study Pathologist independent of statistical outcome. A statistically significant difference will not automatically be considered adverse, and a non-statistically significant difference will not be disregarded if it is considered biologically meaningful.</w:t>
      </w:r>
    </w:p>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13.  Computer Systems</w:t>
      </w:r>
    </w:p>
    <w:p>
      <w:pPr>
        <w:spacing w:after="80"/>
      </w:pPr>
      <w:r>
        <w:rPr>
          <w:rFonts w:ascii="Times New Roman" w:cs="Times New Roman" w:eastAsia="Times New Roman" w:hAnsi="Times New Roman"/>
          <w:sz w:val="24"/>
          <w:szCs w:val="24"/>
        </w:rPr>
        <w:t xml:space="preserve">Data collection, processing, and reporting of in-life, organ weight, gross pathology, and histopathology data will be conducted using the facility’s validated study management system. The actual systems used will be specified in the Final Report.</w:t>
      </w:r>
    </w:p>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14.  Records to be Maintained</w:t>
      </w:r>
    </w:p>
    <w:p>
      <w:pPr>
        <w:spacing w:after="80"/>
      </w:pPr>
      <w:r>
        <w:rPr>
          <w:rFonts w:ascii="Times New Roman" w:cs="Times New Roman" w:eastAsia="Times New Roman" w:hAnsi="Times New Roman"/>
          <w:sz w:val="24"/>
          <w:szCs w:val="24"/>
        </w:rPr>
        <w:t xml:space="preserve">All raw data, documents, specimens, and required samples generated from this study, along with the protocol, final report, and any amendments, will be archived in the Nonclinical Safety Research facility archives. Archive locations will be specified in the Final Report.</w:t>
      </w:r>
    </w:p>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15.  Personnel Health and Safety</w:t>
      </w:r>
    </w:p>
    <w:p>
      <w:pPr>
        <w:spacing w:after="80"/>
      </w:pPr>
      <w:r>
        <w:rPr>
          <w:rFonts w:ascii="Times New Roman" w:cs="Times New Roman" w:eastAsia="Times New Roman" w:hAnsi="Times New Roman"/>
          <w:sz w:val="24"/>
          <w:szCs w:val="24"/>
        </w:rPr>
        <w:t xml:space="preserve">All personnel involved in the conduct of this study will follow applicable Environmental Health and Safety procedures and institutional safety guidelines. Compound YZ-389 should be handled as a potential health hazard. Appropriate personal protective equipment will be worn during all handling of the test article and dosing formulations.</w:t>
      </w:r>
    </w:p>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Protocol approved by Study Director:</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J. Hartwell, MS       Date: 06 January 2025</w:t>
            </w:r>
          </w:p>
        </w:tc>
      </w:tr>
      <w:t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Acknowledged by Sponsor Representative:</w:t>
            </w:r>
          </w:p>
        </w:tc>
        <w:tc>
          <w:tcPr>
            <w:tcW w:type="dxa" w:w="5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Pending confirmation prior to study initiation</w:t>
            </w:r>
          </w:p>
        </w:tc>
      </w:tr>
    </w:tbl>
    <w:p>
      <w:pPr>
        <w:spacing w:after="120"/>
      </w:pPr>
      <w:r>
        <w:rPr>
          <w:rFonts w:ascii="Times New Roman" w:cs="Times New Roman" w:eastAsia="Times New Roman" w:hAnsi="Times New Roman"/>
          <w:sz w:val="24"/>
          <w:szCs w:val="24"/>
        </w:rPr>
        <w:t xml:space="preserve"/>
      </w:r>
    </w:p>
    <w:p>
      <w:r>
        <w:br w:type="page"/>
      </w:r>
    </w:p>
    <w:p>
      <w:pPr>
        <w:pStyle w:val="Heading1"/>
        <w:spacing w:after="120" w:before="280"/>
      </w:pPr>
      <w:r>
        <w:rPr>
          <w:rFonts w:ascii="Times New Roman" w:cs="Times New Roman" w:eastAsia="Times New Roman" w:hAnsi="Times New Roman"/>
          <w:b/>
          <w:bCs/>
          <w:caps/>
          <w:sz w:val="28"/>
          <w:szCs w:val="28"/>
        </w:rPr>
        <w:t xml:space="preserve">Appendix 1: 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Term</w:t>
            </w:r>
          </w:p>
        </w:tc>
        <w:tc>
          <w:tcPr>
            <w:tcW w:type="dxa" w:w="7226"/>
            <w:tcBorders>
              <w:top w:val="single" w:color="000000" w:sz="4"/>
              <w:left w:val="single" w:color="000000" w:sz="4"/>
              <w:bottom w:val="single" w:color="000000" w:sz="4"/>
              <w:right w:val="single" w:color="000000" w:sz="4"/>
            </w:tcBorders>
            <w:shd w:fill="D9E1F2" w:color="auto" w:val="clear"/>
            <w:tcMar>
              <w:top w:type="dxa" w:w="60"/>
              <w:left w:type="dxa" w:w="80"/>
              <w:bottom w:type="dxa" w:w="60"/>
              <w:right w:type="dxa" w:w="80"/>
            </w:tcMar>
          </w:tcPr>
          <w:p>
            <w:pPr>
              <w:jc w:val="left"/>
            </w:pPr>
            <w:r>
              <w:rPr>
                <w:rFonts w:ascii="Times New Roman" w:cs="Times New Roman" w:eastAsia="Times New Roman" w:hAnsi="Times New Roman"/>
                <w:b/>
                <w:bCs/>
                <w:sz w:val="24"/>
                <w:szCs w:val="24"/>
              </w:rPr>
              <w:t xml:space="preserve">Definition</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ANOVA</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analysis of variance</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AUC</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area under the concentration versus time curve</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CoA</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Certificate of Analysis</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GLP</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Good Laboratory Practice</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GMP</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Good Manufacturing Practice</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H&amp;E</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haematoxylin and eosin</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HPLC</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high-performance liquid chromatography</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LOAEL</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lowest-observed-adverse-effect level</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M / F</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male / female</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NA</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not applicable</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NBF</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neutral buffered formalin</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NOAEL</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no-observed-adverse-effect level</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OECD</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Organisation for Economic Co-operation and Development</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PAS</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periodic acid-Schiff</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QAU</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Quality Assurance Unit</w:t>
            </w:r>
          </w:p>
        </w:tc>
      </w:tr>
      <w:t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SOP</w:t>
            </w:r>
          </w:p>
        </w:tc>
        <w:tc>
          <w:tcPr>
            <w:tcW w:type="dxa" w:w="7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4"/>
                <w:szCs w:val="24"/>
              </w:rPr>
              <w:t xml:space="preserve">standard operating procedure</w:t>
            </w:r>
          </w:p>
        </w:tc>
      </w:tr>
    </w:tbl>
    <w:p>
      <w:pPr>
        <w:spacing w:after="12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aps/>
          <w:sz w:val="28"/>
          <w:szCs w:val="28"/>
        </w:rPr>
        <w:t xml:space="preserve">Appendix 2: Text References</w:t>
      </w:r>
    </w:p>
    <w:p>
      <w:pPr>
        <w:pStyle w:val="ListParagraph"/>
        <w:numPr>
          <w:ilvl w:val="0"/>
          <w:numId w:val="3"/>
        </w:numPr>
        <w:spacing w:after="60"/>
      </w:pPr>
      <w:r>
        <w:rPr>
          <w:rFonts w:ascii="Times New Roman" w:cs="Times New Roman" w:eastAsia="Times New Roman" w:hAnsi="Times New Roman"/>
          <w:sz w:val="24"/>
          <w:szCs w:val="24"/>
        </w:rPr>
        <w:t xml:space="preserve">OECD Test Guideline 407: Repeated Dose 28-day Oral Toxicity Study in Rodents. Organisation for Economic Co-operation and Development; 2008.</w:t>
      </w:r>
    </w:p>
    <w:p>
      <w:pPr>
        <w:pStyle w:val="ListParagraph"/>
        <w:numPr>
          <w:ilvl w:val="0"/>
          <w:numId w:val="3"/>
        </w:numPr>
        <w:spacing w:after="60"/>
      </w:pPr>
      <w:r>
        <w:rPr>
          <w:rFonts w:ascii="Times New Roman" w:cs="Times New Roman" w:eastAsia="Times New Roman" w:hAnsi="Times New Roman"/>
          <w:sz w:val="24"/>
          <w:szCs w:val="24"/>
        </w:rPr>
        <w:t xml:space="preserve">ICH S4: Duration of Chronic Toxicity Testing in Animals (Rodent and Non Rodent Toxicity Testing). International Council for Harmonisation; 1999.</w:t>
      </w:r>
    </w:p>
    <w:p>
      <w:pPr>
        <w:pStyle w:val="ListParagraph"/>
        <w:numPr>
          <w:ilvl w:val="0"/>
          <w:numId w:val="3"/>
        </w:numPr>
        <w:spacing w:after="60"/>
      </w:pPr>
      <w:r>
        <w:rPr>
          <w:rFonts w:ascii="Times New Roman" w:cs="Times New Roman" w:eastAsia="Times New Roman" w:hAnsi="Times New Roman"/>
          <w:sz w:val="24"/>
          <w:szCs w:val="24"/>
        </w:rPr>
        <w:t xml:space="preserve">Compound YZ-389: A 7-day dose range-finding oral gavage toxicity study in Sprague-Dawley rats (Protocol TOX-2024-DRF-004). Nonclinical Safety Research; report in preparation.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color w:val="666666"/>
        <w:sz w:val="18"/>
        <w:szCs w:val="18"/>
      </w:rPr>
      <w:t xml:space="preserve">TOX-2025-0118-P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2026-09-21T21:46:19.484Z</dcterms:created>
  <dcterms:modified xsi:type="dcterms:W3CDTF">2026-09-21T21:46:19.484Z</dcterms:modified>
</cp:coreProperties>
</file>

<file path=docProps/custom.xml><?xml version="1.0" encoding="utf-8"?>
<Properties xmlns="http://schemas.openxmlformats.org/officeDocument/2006/custom-properties" xmlns:vt="http://schemas.openxmlformats.org/officeDocument/2006/docPropsVTypes"/>
</file>