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Bdr>
          <w:bottom w:val="single" w:sz="16" w:space="6" w:color="008577"/>
        </w:pBdr>
      </w:pPr>
      <w:r>
        <w:rPr>
          <w:rFonts w:ascii="Aptos Display" w:hAnsi="Aptos Display"/>
          <w:b/>
          <w:color w:val="142238"/>
          <w:sz w:val="32"/>
        </w:rPr>
        <w:t>PERK</w:t>
      </w:r>
      <w:r>
        <w:rPr>
          <w:rFonts w:ascii="Aptos Display" w:hAnsi="Aptos Display"/>
          <w:b/>
          <w:color w:val="008577"/>
          <w:sz w:val="32"/>
        </w:rPr>
        <w:t>COMMONS</w:t>
      </w:r>
    </w:p>
    <w:p/>
    <w:p>
      <w:pPr>
        <w:pStyle w:val="Title"/>
        <w:spacing w:before="320" w:after="120"/>
      </w:pPr>
      <w:r>
        <w:t>Project Charter</w:t>
      </w:r>
    </w:p>
    <w:p>
      <w:pPr>
        <w:pStyle w:val="Subtitle"/>
      </w:pPr>
      <w:r>
        <w:t>An open, community-maintained index of perks, funding and opportunities</w:t>
      </w:r>
    </w:p>
    <w:tbl>
      <w:tblPr>
        <w:tblW w:type="auto" w:w="0"/>
        <w:jc w:val="center"/>
        <w:tblLayout w:type="autofit"/>
        <w:tblLook w:firstColumn="1" w:firstRow="1" w:lastColumn="0" w:lastRow="0" w:noHBand="0" w:noVBand="1" w:val="04A0"/>
      </w:tblPr>
      <w:tblGrid>
        <w:gridCol w:w="9994"/>
      </w:tblGrid>
      <w:tr>
        <w:tc>
          <w:tcPr>
            <w:tcW w:type="dxa" w:w="9994"/>
            <w:shd w:fill="E0F6F1"/>
            <w:tcBorders>
              <w:top w:val="single" w:sz="8" w:color="008577"/>
              <w:left w:val="single" w:sz="8" w:color="008577"/>
              <w:bottom w:val="single" w:sz="8" w:color="008577"/>
              <w:right w:val="single" w:sz="8" w:color="008577"/>
            </w:tcBorders>
            <w:vAlign w:val="center"/>
          </w:tcPr>
          <w:p>
            <w:pPr>
              <w:pStyle w:val="Callout"/>
              <w:jc w:val="center"/>
            </w:pPr>
            <w:r>
              <w:t>Perks, credits and opportunities — open to everyone.</w:t>
            </w:r>
          </w:p>
        </w:tc>
      </w:tr>
    </w:tbl>
    <w:p/>
    <w:tbl>
      <w:tblPr>
        <w:tblW w:type="auto" w:w="0"/>
        <w:jc w:val="left"/>
        <w:tblLayout w:type="fixed"/>
        <w:tblLook w:firstColumn="1" w:firstRow="1" w:lastColumn="0" w:lastRow="0" w:noHBand="0" w:noVBand="1" w:val="04A0"/>
      </w:tblPr>
      <w:tblGrid>
        <w:gridCol w:w="2160"/>
        <w:gridCol w:w="7632"/>
      </w:tblGrid>
      <w:tr>
        <w:tc>
          <w:tcPr>
            <w:tcW w:type="dxa" w:w="4997"/>
            <w:shd w:fill="F4F7F9"/>
            <w:tcBorders>
              <w:bottom w:val="single" w:sz="4" w:color="D8E0E5"/>
            </w:tcBorders>
          </w:tcPr>
          <w:p>
            <w:r>
              <w:rPr>
                <w:b/>
                <w:color w:val="142238"/>
              </w:rPr>
              <w:t>Project</w:t>
            </w:r>
          </w:p>
        </w:tc>
        <w:tc>
          <w:tcPr>
            <w:tcW w:type="dxa" w:w="4997"/>
            <w:tcBorders>
              <w:bottom w:val="single" w:sz="4" w:color="D8E0E5"/>
            </w:tcBorders>
          </w:tcPr>
          <w:p>
            <w:r>
              <w:rPr>
                <w:color w:val="485260"/>
              </w:rPr>
              <w:t>PerkCommons</w:t>
            </w:r>
          </w:p>
        </w:tc>
      </w:tr>
      <w:tr>
        <w:tc>
          <w:tcPr>
            <w:tcW w:type="dxa" w:w="4997"/>
            <w:shd w:fill="F4F7F9"/>
            <w:tcBorders>
              <w:bottom w:val="single" w:sz="4" w:color="D8E0E5"/>
            </w:tcBorders>
          </w:tcPr>
          <w:p>
            <w:r>
              <w:rPr>
                <w:b/>
                <w:color w:val="142238"/>
              </w:rPr>
              <w:t>Document</w:t>
            </w:r>
          </w:p>
        </w:tc>
        <w:tc>
          <w:tcPr>
            <w:tcW w:type="dxa" w:w="4997"/>
            <w:tcBorders>
              <w:bottom w:val="single" w:sz="4" w:color="D8E0E5"/>
            </w:tcBorders>
          </w:tcPr>
          <w:p>
            <w:r>
              <w:rPr>
                <w:color w:val="485260"/>
              </w:rPr>
              <w:t>Founding Project Charter</w:t>
            </w:r>
          </w:p>
        </w:tc>
      </w:tr>
      <w:tr>
        <w:tc>
          <w:tcPr>
            <w:tcW w:type="dxa" w:w="4997"/>
            <w:shd w:fill="F4F7F9"/>
            <w:tcBorders>
              <w:bottom w:val="single" w:sz="4" w:color="D8E0E5"/>
            </w:tcBorders>
          </w:tcPr>
          <w:p>
            <w:r>
              <w:rPr>
                <w:b/>
                <w:color w:val="142238"/>
              </w:rPr>
              <w:t>Status</w:t>
            </w:r>
          </w:p>
        </w:tc>
        <w:tc>
          <w:tcPr>
            <w:tcW w:type="dxa" w:w="4997"/>
            <w:tcBorders>
              <w:bottom w:val="single" w:sz="4" w:color="D8E0E5"/>
            </w:tcBorders>
          </w:tcPr>
          <w:p>
            <w:r>
              <w:rPr>
                <w:color w:val="485260"/>
              </w:rPr>
              <w:t>Founding draft for public adoption</w:t>
            </w:r>
          </w:p>
        </w:tc>
      </w:tr>
      <w:tr>
        <w:tc>
          <w:tcPr>
            <w:tcW w:type="dxa" w:w="4997"/>
            <w:shd w:fill="F4F7F9"/>
            <w:tcBorders>
              <w:bottom w:val="single" w:sz="4" w:color="D8E0E5"/>
            </w:tcBorders>
          </w:tcPr>
          <w:p>
            <w:r>
              <w:rPr>
                <w:b/>
                <w:color w:val="142238"/>
              </w:rPr>
              <w:t>Version</w:t>
            </w:r>
          </w:p>
        </w:tc>
        <w:tc>
          <w:tcPr>
            <w:tcW w:type="dxa" w:w="4997"/>
            <w:tcBorders>
              <w:bottom w:val="single" w:sz="4" w:color="D8E0E5"/>
            </w:tcBorders>
          </w:tcPr>
          <w:p>
            <w:r>
              <w:rPr>
                <w:color w:val="485260"/>
              </w:rPr>
              <w:t>1.0</w:t>
            </w:r>
          </w:p>
        </w:tc>
      </w:tr>
    </w:tbl>
    <w:p/>
    <w:p>
      <w:pPr>
        <w:pStyle w:val="SmallText"/>
      </w:pPr>
      <w:r>
        <w:t>Name status: The founder has completed a preliminary availability review and identified no known conflicting use of “PerkCommons.” Formal legal clearance and registration remain separate steps.</w:t>
      </w:r>
    </w:p>
    <w:p>
      <w:r>
        <w:br w:type="page"/>
      </w:r>
    </w:p>
    <w:p>
      <w:pPr>
        <w:pStyle w:val="Heading1"/>
        <w:pBdr>
          <w:bottom w:val="single" w:sz="10" w:space="6" w:color="008577"/>
        </w:pBdr>
      </w:pPr>
      <w:r>
        <w:t>1. Purpose of this charter</w:t>
      </w:r>
    </w:p>
    <w:p>
      <w:r>
        <w:t>This charter defines why PerkCommons exists, what it will publish, how it will protect public trust, and how contributors, moderators, companies, sponsors and maintainers are expected to participate. It is the project’s founding reference point for product, editorial and governance decisions.</w:t>
      </w:r>
    </w:p>
    <w:p>
      <w:r>
        <w:t>The charter is intended to remain stable. Operational details may evolve, but changes that affect the mission, openness, editorial independence or community rights should be documented and publicly explained.</w:t>
      </w:r>
    </w:p>
    <w:tbl>
      <w:tblPr>
        <w:tblW w:type="auto" w:w="0"/>
        <w:jc w:val="center"/>
        <w:tblLayout w:type="fixed"/>
        <w:tblLook w:firstColumn="1" w:firstRow="1" w:lastColumn="0" w:lastRow="0" w:noHBand="0" w:noVBand="1" w:val="04A0"/>
      </w:tblPr>
      <w:tblGrid>
        <w:gridCol w:w="4997"/>
        <w:gridCol w:w="4997"/>
      </w:tblGrid>
      <w:tr>
        <w:tc>
          <w:tcPr>
            <w:tcW w:type="dxa" w:w="4997"/>
            <w:shd w:fill="E0F6F1"/>
            <w:tcBorders>
              <w:top w:val="single" w:sz="8" w:color="D0DCE2"/>
              <w:left w:val="single" w:sz="8" w:color="D0DCE2"/>
              <w:bottom w:val="single" w:sz="8" w:color="D0DCE2"/>
              <w:right w:val="single" w:sz="8" w:color="D0DCE2"/>
            </w:tcBorders>
          </w:tcPr>
          <w:p>
            <w:r>
              <w:rPr>
                <w:b/>
                <w:color w:val="008577"/>
                <w:sz w:val="18"/>
              </w:rPr>
              <w:t>MISSION</w:t>
            </w:r>
          </w:p>
          <w:p>
            <w:pPr>
              <w:pStyle w:val="Callout"/>
            </w:pPr>
            <w:r>
              <w:t>Make legitimate perks, credits, grants, discounts, funding and support programs easier for everyone to discover, verify and access.</w:t>
            </w:r>
          </w:p>
        </w:tc>
        <w:tc>
          <w:tcPr>
            <w:tcW w:type="dxa" w:w="4997"/>
            <w:shd w:fill="F4F7F9"/>
            <w:tcBorders>
              <w:top w:val="single" w:sz="8" w:color="D0DCE2"/>
              <w:left w:val="single" w:sz="8" w:color="D0DCE2"/>
              <w:bottom w:val="single" w:sz="8" w:color="D0DCE2"/>
              <w:right w:val="single" w:sz="8" w:color="D0DCE2"/>
            </w:tcBorders>
          </w:tcPr>
          <w:p>
            <w:r>
              <w:rPr>
                <w:b/>
                <w:color w:val="008577"/>
                <w:sz w:val="18"/>
              </w:rPr>
              <w:t>VISION</w:t>
            </w:r>
          </w:p>
          <w:p>
            <w:pPr>
              <w:pStyle w:val="Callout"/>
            </w:pPr>
            <w:r>
              <w:t>Become the trusted open index for practical opportunities — maintained by a community, reusable as public data and free from paywalls.</w:t>
            </w:r>
          </w:p>
        </w:tc>
      </w:tr>
    </w:tbl>
    <w:p>
      <w:pPr>
        <w:pStyle w:val="Heading1"/>
      </w:pPr>
      <w:r>
        <w:t>2. The public promise</w:t>
      </w:r>
    </w:p>
    <w:tbl>
      <w:tblPr>
        <w:tblW w:type="auto" w:w="0"/>
        <w:jc w:val="center"/>
        <w:tblLayout w:type="fixed"/>
        <w:tblLook w:firstColumn="1" w:firstRow="1" w:lastColumn="0" w:lastRow="0" w:noHBand="0" w:noVBand="1" w:val="04A0"/>
      </w:tblPr>
      <w:tblGrid>
        <w:gridCol w:w="4997"/>
        <w:gridCol w:w="4997"/>
      </w:tblGrid>
      <w:tr>
        <w:tc>
          <w:tcPr>
            <w:tcW w:type="dxa" w:w="2088"/>
            <w:shd w:fill="E0F6F1"/>
            <w:tcBorders>
              <w:bottom w:val="single" w:sz="4" w:color="D8E0E5"/>
            </w:tcBorders>
          </w:tcPr>
          <w:p>
            <w:r>
              <w:rPr>
                <w:b/>
                <w:color w:val="142238"/>
              </w:rPr>
              <w:t>Free access</w:t>
            </w:r>
          </w:p>
        </w:tc>
        <w:tc>
          <w:tcPr>
            <w:tcW w:type="dxa" w:w="7560"/>
            <w:tcBorders>
              <w:bottom w:val="single" w:sz="4" w:color="D8E0E5"/>
            </w:tcBorders>
          </w:tcPr>
          <w:p>
            <w:r>
              <w:t>The ordinary index will remain freely accessible without a subscription or membership paywall.</w:t>
            </w:r>
          </w:p>
        </w:tc>
      </w:tr>
      <w:tr>
        <w:tc>
          <w:tcPr>
            <w:tcW w:type="dxa" w:w="2088"/>
            <w:shd w:fill="E0F6F1"/>
            <w:tcBorders>
              <w:bottom w:val="single" w:sz="4" w:color="D8E0E5"/>
            </w:tcBorders>
          </w:tcPr>
          <w:p>
            <w:r>
              <w:rPr>
                <w:b/>
                <w:color w:val="142238"/>
              </w:rPr>
              <w:t>Open contribution</w:t>
            </w:r>
          </w:p>
        </w:tc>
        <w:tc>
          <w:tcPr>
            <w:tcW w:type="dxa" w:w="7560"/>
            <w:tcBorders>
              <w:bottom w:val="single" w:sz="4" w:color="D8E0E5"/>
            </w:tcBorders>
          </w:tcPr>
          <w:p>
            <w:r>
              <w:t>Individuals, communities and companies may propose additions and corrections under the same published rules.</w:t>
            </w:r>
          </w:p>
        </w:tc>
      </w:tr>
      <w:tr>
        <w:tc>
          <w:tcPr>
            <w:tcW w:type="dxa" w:w="2088"/>
            <w:shd w:fill="E0F6F1"/>
            <w:tcBorders>
              <w:bottom w:val="single" w:sz="4" w:color="D8E0E5"/>
            </w:tcBorders>
          </w:tcPr>
          <w:p>
            <w:r>
              <w:rPr>
                <w:b/>
                <w:color w:val="142238"/>
              </w:rPr>
              <w:t>Editorial independence</w:t>
            </w:r>
          </w:p>
        </w:tc>
        <w:tc>
          <w:tcPr>
            <w:tcW w:type="dxa" w:w="7560"/>
            <w:tcBorders>
              <w:bottom w:val="single" w:sz="4" w:color="D8E0E5"/>
            </w:tcBorders>
          </w:tcPr>
          <w:p>
            <w:r>
              <w:t>Payment will never purchase verification, factual approval or removal of a legitimate competitor.</w:t>
            </w:r>
          </w:p>
        </w:tc>
      </w:tr>
      <w:tr>
        <w:tc>
          <w:tcPr>
            <w:tcW w:type="dxa" w:w="2088"/>
            <w:shd w:fill="E0F6F1"/>
            <w:tcBorders>
              <w:bottom w:val="single" w:sz="4" w:color="D8E0E5"/>
            </w:tcBorders>
          </w:tcPr>
          <w:p>
            <w:r>
              <w:rPr>
                <w:b/>
                <w:color w:val="142238"/>
              </w:rPr>
              <w:t>Transparent evidence</w:t>
            </w:r>
          </w:p>
        </w:tc>
        <w:tc>
          <w:tcPr>
            <w:tcW w:type="dxa" w:w="7560"/>
            <w:tcBorders>
              <w:bottom w:val="single" w:sz="4" w:color="D8E0E5"/>
            </w:tcBorders>
          </w:tcPr>
          <w:p>
            <w:r>
              <w:t>Listings will show their source, status and most recent review date wherever practical.</w:t>
            </w:r>
          </w:p>
        </w:tc>
      </w:tr>
      <w:tr>
        <w:tc>
          <w:tcPr>
            <w:tcW w:type="dxa" w:w="2088"/>
            <w:shd w:fill="E0F6F1"/>
            <w:tcBorders>
              <w:bottom w:val="single" w:sz="4" w:color="D8E0E5"/>
            </w:tcBorders>
          </w:tcPr>
          <w:p>
            <w:r>
              <w:rPr>
                <w:b/>
                <w:color w:val="142238"/>
              </w:rPr>
              <w:t>Open data</w:t>
            </w:r>
          </w:p>
        </w:tc>
        <w:tc>
          <w:tcPr>
            <w:tcW w:type="dxa" w:w="7560"/>
            <w:tcBorders>
              <w:bottom w:val="single" w:sz="4" w:color="D8E0E5"/>
            </w:tcBorders>
          </w:tcPr>
          <w:p>
            <w:r>
              <w:t>Published factual listing data should be reusable under a clearly stated open licence.</w:t>
            </w:r>
          </w:p>
        </w:tc>
      </w:tr>
      <w:tr>
        <w:tc>
          <w:tcPr>
            <w:tcW w:type="dxa" w:w="2088"/>
            <w:shd w:fill="E0F6F1"/>
            <w:tcBorders>
              <w:bottom w:val="single" w:sz="4" w:color="D8E0E5"/>
            </w:tcBorders>
          </w:tcPr>
          <w:p>
            <w:r>
              <w:rPr>
                <w:b/>
                <w:color w:val="142238"/>
              </w:rPr>
              <w:t>Respect for users</w:t>
            </w:r>
          </w:p>
        </w:tc>
        <w:tc>
          <w:tcPr>
            <w:tcW w:type="dxa" w:w="7560"/>
            <w:tcBorders>
              <w:bottom w:val="single" w:sz="4" w:color="D8E0E5"/>
            </w:tcBorders>
          </w:tcPr>
          <w:p>
            <w:r>
              <w:t>PerkCommons will collect as little personal data as reasonably possible and will not sell contributor data.</w:t>
            </w:r>
          </w:p>
        </w:tc>
      </w:tr>
    </w:tbl>
    <w:p>
      <w:pPr>
        <w:pStyle w:val="Heading1"/>
      </w:pPr>
      <w:r>
        <w:t>3. Scope</w:t>
      </w:r>
    </w:p>
    <w:p>
      <w:pPr>
        <w:pStyle w:val="Heading2"/>
      </w:pPr>
      <w:r>
        <w:t>PerkCommons may index opportunities such as:</w:t>
      </w:r>
    </w:p>
    <w:p>
      <w:pPr>
        <w:pStyle w:val="ListBullet"/>
      </w:pPr>
      <w:r>
        <w:t>software, cloud, AI and infrastructure credits;</w:t>
      </w:r>
    </w:p>
    <w:p>
      <w:pPr>
        <w:pStyle w:val="ListBullet"/>
      </w:pPr>
      <w:r>
        <w:t>startup, small-business and founder programs;</w:t>
      </w:r>
    </w:p>
    <w:p>
      <w:pPr>
        <w:pStyle w:val="ListBullet"/>
      </w:pPr>
      <w:r>
        <w:t>student, educator, research and nonprofit benefits;</w:t>
      </w:r>
    </w:p>
    <w:p>
      <w:pPr>
        <w:pStyle w:val="ListBullet"/>
      </w:pPr>
      <w:r>
        <w:t>grants, fellowships, competitions and funding opportunities;</w:t>
      </w:r>
    </w:p>
    <w:p>
      <w:pPr>
        <w:pStyle w:val="ListBullet"/>
      </w:pPr>
      <w:r>
        <w:t>developer tools, productivity services and professional discounts;</w:t>
      </w:r>
    </w:p>
    <w:p>
      <w:pPr>
        <w:pStyle w:val="ListBullet"/>
      </w:pPr>
      <w:r>
        <w:t>open-source sponsorships and community support programs;</w:t>
      </w:r>
    </w:p>
    <w:p>
      <w:pPr>
        <w:pStyle w:val="ListBullet"/>
      </w:pPr>
      <w:r>
        <w:t>accelerators, incubators and partner benefit programs.</w:t>
      </w:r>
    </w:p>
    <w:p>
      <w:pPr>
        <w:pStyle w:val="Heading2"/>
      </w:pPr>
      <w:r>
        <w:t>PerkCommons will not knowingly publish:</w:t>
      </w:r>
    </w:p>
    <w:p>
      <w:pPr>
        <w:pStyle w:val="ListBullet"/>
      </w:pPr>
      <w:r>
        <w:t>fabricated, deceptive or unverifiable offers;</w:t>
      </w:r>
    </w:p>
    <w:p>
      <w:pPr>
        <w:pStyle w:val="ListBullet"/>
      </w:pPr>
      <w:r>
        <w:t>ordinary affiliate promotions presented as public benefits;</w:t>
      </w:r>
    </w:p>
    <w:p>
      <w:pPr>
        <w:pStyle w:val="ListBullet"/>
      </w:pPr>
      <w:r>
        <w:t>expired offers represented as active;</w:t>
      </w:r>
    </w:p>
    <w:p>
      <w:pPr>
        <w:pStyle w:val="ListBullet"/>
      </w:pPr>
      <w:r>
        <w:t>malware, phishing links, referral spam or tracking-heavy redirects;</w:t>
      </w:r>
    </w:p>
    <w:p>
      <w:pPr>
        <w:pStyle w:val="ListBullet"/>
      </w:pPr>
      <w:r>
        <w:t>offers involving unlawful activity or categories prohibited by project policy;</w:t>
      </w:r>
    </w:p>
    <w:p>
      <w:pPr>
        <w:pStyle w:val="ListBullet"/>
      </w:pPr>
      <w:r>
        <w:t>content that requires the disclosure of unnecessary personal or confidential information.</w:t>
      </w:r>
    </w:p>
    <w:p>
      <w:pPr>
        <w:pStyle w:val="Heading1"/>
      </w:pPr>
      <w:r>
        <w:t>4. How the index works</w:t>
      </w:r>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1999"/>
            <w:shd w:fill="E0F6F1"/>
            <w:tcBorders>
              <w:top w:val="single" w:sz="6" w:color="D0DCE2"/>
              <w:left w:val="single" w:sz="6" w:color="D0DCE2"/>
              <w:bottom w:val="single" w:sz="6" w:color="D0DCE2"/>
              <w:right w:val="single" w:sz="6" w:color="D0DCE2"/>
            </w:tcBorders>
          </w:tcPr>
          <w:p>
            <w:pPr>
              <w:jc w:val="center"/>
            </w:pPr>
            <w:r>
              <w:rPr>
                <w:b/>
                <w:color w:val="008577"/>
                <w:sz w:val="36"/>
              </w:rPr>
              <w:t>1</w:t>
            </w:r>
          </w:p>
          <w:p>
            <w:pPr>
              <w:jc w:val="center"/>
            </w:pPr>
            <w:r>
              <w:rPr>
                <w:b/>
                <w:color w:val="142238"/>
              </w:rPr>
              <w:t>Submit</w:t>
            </w:r>
            <w:r/>
          </w:p>
          <w:p>
            <w:pPr>
              <w:pStyle w:val="SmallText"/>
              <w:jc w:val="center"/>
            </w:pPr>
            <w:r>
              <w:t>A user or company proposes a listing.</w:t>
            </w:r>
          </w:p>
        </w:tc>
        <w:tc>
          <w:tcPr>
            <w:tcW w:type="dxa" w:w="1999"/>
            <w:shd w:fill="F4F7F9"/>
            <w:tcBorders>
              <w:top w:val="single" w:sz="6" w:color="D0DCE2"/>
              <w:left w:val="single" w:sz="6" w:color="D0DCE2"/>
              <w:bottom w:val="single" w:sz="6" w:color="D0DCE2"/>
              <w:right w:val="single" w:sz="6" w:color="D0DCE2"/>
            </w:tcBorders>
          </w:tcPr>
          <w:p>
            <w:pPr>
              <w:jc w:val="center"/>
            </w:pPr>
            <w:r>
              <w:rPr>
                <w:b/>
                <w:color w:val="008577"/>
                <w:sz w:val="36"/>
              </w:rPr>
              <w:t>2</w:t>
            </w:r>
          </w:p>
          <w:p>
            <w:pPr>
              <w:jc w:val="center"/>
            </w:pPr>
            <w:r>
              <w:rPr>
                <w:b/>
                <w:color w:val="142238"/>
              </w:rPr>
              <w:t>Screen</w:t>
            </w:r>
            <w:r/>
          </w:p>
          <w:p>
            <w:pPr>
              <w:pStyle w:val="SmallText"/>
              <w:jc w:val="center"/>
            </w:pPr>
            <w:r>
              <w:t>Automated checks flag spam, duplicates and unsafe links.</w:t>
            </w:r>
          </w:p>
        </w:tc>
        <w:tc>
          <w:tcPr>
            <w:tcW w:type="dxa" w:w="1999"/>
            <w:shd w:fill="E0F6F1"/>
            <w:tcBorders>
              <w:top w:val="single" w:sz="6" w:color="D0DCE2"/>
              <w:left w:val="single" w:sz="6" w:color="D0DCE2"/>
              <w:bottom w:val="single" w:sz="6" w:color="D0DCE2"/>
              <w:right w:val="single" w:sz="6" w:color="D0DCE2"/>
            </w:tcBorders>
          </w:tcPr>
          <w:p>
            <w:pPr>
              <w:jc w:val="center"/>
            </w:pPr>
            <w:r>
              <w:rPr>
                <w:b/>
                <w:color w:val="008577"/>
                <w:sz w:val="36"/>
              </w:rPr>
              <w:t>3</w:t>
            </w:r>
          </w:p>
          <w:p>
            <w:pPr>
              <w:jc w:val="center"/>
            </w:pPr>
            <w:r>
              <w:rPr>
                <w:b/>
                <w:color w:val="142238"/>
              </w:rPr>
              <w:t>Review</w:t>
            </w:r>
            <w:r/>
          </w:p>
          <w:p>
            <w:pPr>
              <w:pStyle w:val="SmallText"/>
              <w:jc w:val="center"/>
            </w:pPr>
            <w:r>
              <w:t>A moderator verifies the source and rewrites claims neutrally.</w:t>
            </w:r>
          </w:p>
        </w:tc>
        <w:tc>
          <w:tcPr>
            <w:tcW w:type="dxa" w:w="1999"/>
            <w:shd w:fill="F4F7F9"/>
            <w:tcBorders>
              <w:top w:val="single" w:sz="6" w:color="D0DCE2"/>
              <w:left w:val="single" w:sz="6" w:color="D0DCE2"/>
              <w:bottom w:val="single" w:sz="6" w:color="D0DCE2"/>
              <w:right w:val="single" w:sz="6" w:color="D0DCE2"/>
            </w:tcBorders>
          </w:tcPr>
          <w:p>
            <w:pPr>
              <w:jc w:val="center"/>
            </w:pPr>
            <w:r>
              <w:rPr>
                <w:b/>
                <w:color w:val="008577"/>
                <w:sz w:val="36"/>
              </w:rPr>
              <w:t>4</w:t>
            </w:r>
          </w:p>
          <w:p>
            <w:pPr>
              <w:jc w:val="center"/>
            </w:pPr>
            <w:r>
              <w:rPr>
                <w:b/>
                <w:color w:val="142238"/>
              </w:rPr>
              <w:t>Publish</w:t>
            </w:r>
            <w:r/>
          </w:p>
          <w:p>
            <w:pPr>
              <w:pStyle w:val="SmallText"/>
              <w:jc w:val="center"/>
            </w:pPr>
            <w:r>
              <w:t>Approved data enters the public index with status and dates.</w:t>
            </w:r>
          </w:p>
        </w:tc>
        <w:tc>
          <w:tcPr>
            <w:tcW w:type="dxa" w:w="1999"/>
            <w:shd w:fill="E0F6F1"/>
            <w:tcBorders>
              <w:top w:val="single" w:sz="6" w:color="D0DCE2"/>
              <w:left w:val="single" w:sz="6" w:color="D0DCE2"/>
              <w:bottom w:val="single" w:sz="6" w:color="D0DCE2"/>
              <w:right w:val="single" w:sz="6" w:color="D0DCE2"/>
            </w:tcBorders>
          </w:tcPr>
          <w:p>
            <w:pPr>
              <w:jc w:val="center"/>
            </w:pPr>
            <w:r>
              <w:rPr>
                <w:b/>
                <w:color w:val="008577"/>
                <w:sz w:val="36"/>
              </w:rPr>
              <w:t>5</w:t>
            </w:r>
          </w:p>
          <w:p>
            <w:pPr>
              <w:jc w:val="center"/>
            </w:pPr>
            <w:r>
              <w:rPr>
                <w:b/>
                <w:color w:val="142238"/>
              </w:rPr>
              <w:t>Maintain</w:t>
            </w:r>
            <w:r/>
          </w:p>
          <w:p>
            <w:pPr>
              <w:pStyle w:val="SmallText"/>
              <w:jc w:val="center"/>
            </w:pPr>
            <w:r>
              <w:t>The community reports changes; listings are reviewed or archived.</w:t>
            </w:r>
          </w:p>
        </w:tc>
      </w:tr>
    </w:tbl>
    <w:p>
      <w:pPr>
        <w:pStyle w:val="Heading2"/>
      </w:pPr>
      <w:r>
        <w:t>Published listing statuses</w:t>
      </w:r>
    </w:p>
    <w:tbl>
      <w:tblPr>
        <w:tblW w:type="auto" w:w="0"/>
        <w:jc w:val="center"/>
        <w:tblLook w:firstColumn="1" w:firstRow="1" w:lastColumn="0" w:lastRow="0" w:noHBand="0" w:noVBand="1" w:val="04A0"/>
      </w:tblPr>
      <w:tblGrid>
        <w:gridCol w:w="3331"/>
        <w:gridCol w:w="3331"/>
        <w:gridCol w:w="3331"/>
      </w:tblGrid>
      <w:tr>
        <w:tc>
          <w:tcPr>
            <w:tcW w:type="dxa" w:w="3331"/>
            <w:shd w:fill="142238"/>
          </w:tcPr>
          <w:p>
            <w:r>
              <w:rPr>
                <w:b/>
                <w:color w:val="FFFFFF"/>
              </w:rPr>
              <w:t>Status</w:t>
            </w:r>
          </w:p>
        </w:tc>
        <w:tc>
          <w:tcPr>
            <w:tcW w:type="dxa" w:w="3331"/>
            <w:shd w:fill="142238"/>
          </w:tcPr>
          <w:p>
            <w:r>
              <w:rPr>
                <w:b/>
                <w:color w:val="FFFFFF"/>
              </w:rPr>
              <w:t>Meaning</w:t>
            </w:r>
          </w:p>
        </w:tc>
        <w:tc>
          <w:tcPr>
            <w:tcW w:type="dxa" w:w="3331"/>
            <w:shd w:fill="142238"/>
          </w:tcPr>
          <w:p>
            <w:r>
              <w:rPr>
                <w:b/>
                <w:color w:val="FFFFFF"/>
              </w:rPr>
              <w:t>Typical action</w:t>
            </w:r>
          </w:p>
        </w:tc>
      </w:tr>
      <w:tr>
        <w:tc>
          <w:tcPr>
            <w:tcW w:type="dxa" w:w="3331"/>
            <w:tcBorders>
              <w:bottom w:val="single" w:sz="4" w:color="D8E0E5"/>
            </w:tcBorders>
          </w:tcPr>
          <w:p>
            <w:r>
              <w:rPr>
                <w:b/>
                <w:color w:val="008577"/>
              </w:rPr>
              <w:t>Active</w:t>
            </w:r>
          </w:p>
        </w:tc>
        <w:tc>
          <w:tcPr>
            <w:tcW w:type="dxa" w:w="3331"/>
            <w:tcBorders>
              <w:bottom w:val="single" w:sz="4" w:color="D8E0E5"/>
            </w:tcBorders>
          </w:tcPr>
          <w:p>
            <w:r>
              <w:t>A credible source indicates the opportunity is currently available.</w:t>
            </w:r>
          </w:p>
        </w:tc>
        <w:tc>
          <w:tcPr>
            <w:tcW w:type="dxa" w:w="3331"/>
            <w:tcBorders>
              <w:bottom w:val="single" w:sz="4" w:color="D8E0E5"/>
            </w:tcBorders>
          </w:tcPr>
          <w:p>
            <w:r>
              <w:t>Keep visible and schedule review.</w:t>
            </w:r>
          </w:p>
        </w:tc>
      </w:tr>
      <w:tr>
        <w:tc>
          <w:tcPr>
            <w:tcW w:type="dxa" w:w="3331"/>
            <w:tcBorders>
              <w:bottom w:val="single" w:sz="4" w:color="D8E0E5"/>
            </w:tcBorders>
          </w:tcPr>
          <w:p>
            <w:r>
              <w:rPr>
                <w:b/>
                <w:color w:val="008577"/>
              </w:rPr>
              <w:t>Limited</w:t>
            </w:r>
          </w:p>
        </w:tc>
        <w:tc>
          <w:tcPr>
            <w:tcW w:type="dxa" w:w="3331"/>
            <w:tcBorders>
              <w:bottom w:val="single" w:sz="4" w:color="D8E0E5"/>
            </w:tcBorders>
          </w:tcPr>
          <w:p>
            <w:r>
              <w:t>Available only by geography, cohort, eligibility or partner route.</w:t>
            </w:r>
          </w:p>
        </w:tc>
        <w:tc>
          <w:tcPr>
            <w:tcW w:type="dxa" w:w="3331"/>
            <w:tcBorders>
              <w:bottom w:val="single" w:sz="4" w:color="D8E0E5"/>
            </w:tcBorders>
          </w:tcPr>
          <w:p>
            <w:r>
              <w:t>Display restrictions prominently.</w:t>
            </w:r>
          </w:p>
        </w:tc>
      </w:tr>
      <w:tr>
        <w:tc>
          <w:tcPr>
            <w:tcW w:type="dxa" w:w="3331"/>
            <w:tcBorders>
              <w:bottom w:val="single" w:sz="4" w:color="D8E0E5"/>
            </w:tcBorders>
          </w:tcPr>
          <w:p>
            <w:r>
              <w:rPr>
                <w:b/>
                <w:color w:val="008577"/>
              </w:rPr>
              <w:t>Waitlist</w:t>
            </w:r>
          </w:p>
        </w:tc>
        <w:tc>
          <w:tcPr>
            <w:tcW w:type="dxa" w:w="3331"/>
            <w:tcBorders>
              <w:bottom w:val="single" w:sz="4" w:color="D8E0E5"/>
            </w:tcBorders>
          </w:tcPr>
          <w:p>
            <w:r>
              <w:t>The program exists but is not accepting normal applications.</w:t>
            </w:r>
          </w:p>
        </w:tc>
        <w:tc>
          <w:tcPr>
            <w:tcW w:type="dxa" w:w="3331"/>
            <w:tcBorders>
              <w:bottom w:val="single" w:sz="4" w:color="D8E0E5"/>
            </w:tcBorders>
          </w:tcPr>
          <w:p>
            <w:r>
              <w:t>Keep visible with caution.</w:t>
            </w:r>
          </w:p>
        </w:tc>
      </w:tr>
      <w:tr>
        <w:tc>
          <w:tcPr>
            <w:tcW w:type="dxa" w:w="3331"/>
            <w:tcBorders>
              <w:bottom w:val="single" w:sz="4" w:color="D8E0E5"/>
            </w:tcBorders>
          </w:tcPr>
          <w:p>
            <w:r>
              <w:rPr>
                <w:b/>
                <w:color w:val="008577"/>
              </w:rPr>
              <w:t>Unconfirmed</w:t>
            </w:r>
          </w:p>
        </w:tc>
        <w:tc>
          <w:tcPr>
            <w:tcW w:type="dxa" w:w="3331"/>
            <w:tcBorders>
              <w:bottom w:val="single" w:sz="4" w:color="D8E0E5"/>
            </w:tcBorders>
          </w:tcPr>
          <w:p>
            <w:r>
              <w:t>Previously credible but not recently reconfirmed.</w:t>
            </w:r>
          </w:p>
        </w:tc>
        <w:tc>
          <w:tcPr>
            <w:tcW w:type="dxa" w:w="3331"/>
            <w:tcBorders>
              <w:bottom w:val="single" w:sz="4" w:color="D8E0E5"/>
            </w:tcBorders>
          </w:tcPr>
          <w:p>
            <w:r>
              <w:t>Request evidence or recheck.</w:t>
            </w:r>
          </w:p>
        </w:tc>
      </w:tr>
      <w:tr>
        <w:tc>
          <w:tcPr>
            <w:tcW w:type="dxa" w:w="3331"/>
            <w:tcBorders>
              <w:bottom w:val="single" w:sz="4" w:color="D8E0E5"/>
            </w:tcBorders>
          </w:tcPr>
          <w:p>
            <w:r>
              <w:rPr>
                <w:b/>
                <w:color w:val="008577"/>
              </w:rPr>
              <w:t>Expired</w:t>
            </w:r>
          </w:p>
        </w:tc>
        <w:tc>
          <w:tcPr>
            <w:tcW w:type="dxa" w:w="3331"/>
            <w:tcBorders>
              <w:bottom w:val="single" w:sz="4" w:color="D8E0E5"/>
            </w:tcBorders>
          </w:tcPr>
          <w:p>
            <w:r>
              <w:t>No longer available or deadline passed.</w:t>
            </w:r>
          </w:p>
        </w:tc>
        <w:tc>
          <w:tcPr>
            <w:tcW w:type="dxa" w:w="3331"/>
            <w:tcBorders>
              <w:bottom w:val="single" w:sz="4" w:color="D8E0E5"/>
            </w:tcBorders>
          </w:tcPr>
          <w:p>
            <w:r>
              <w:t>Archive; retain history where useful.</w:t>
            </w:r>
          </w:p>
        </w:tc>
      </w:tr>
      <w:tr>
        <w:tc>
          <w:tcPr>
            <w:tcW w:type="dxa" w:w="3331"/>
            <w:tcBorders>
              <w:bottom w:val="single" w:sz="4" w:color="D8E0E5"/>
            </w:tcBorders>
          </w:tcPr>
          <w:p>
            <w:r>
              <w:rPr>
                <w:b/>
                <w:color w:val="008577"/>
              </w:rPr>
              <w:t>Disputed</w:t>
            </w:r>
          </w:p>
        </w:tc>
        <w:tc>
          <w:tcPr>
            <w:tcW w:type="dxa" w:w="3331"/>
            <w:tcBorders>
              <w:bottom w:val="single" w:sz="4" w:color="D8E0E5"/>
            </w:tcBorders>
          </w:tcPr>
          <w:p>
            <w:r>
              <w:t>A material factual concern is under review.</w:t>
            </w:r>
          </w:p>
        </w:tc>
        <w:tc>
          <w:tcPr>
            <w:tcW w:type="dxa" w:w="3331"/>
            <w:tcBorders>
              <w:bottom w:val="single" w:sz="4" w:color="D8E0E5"/>
            </w:tcBorders>
          </w:tcPr>
          <w:p>
            <w:r>
              <w:t>Show caution or temporarily unpublish.</w:t>
            </w:r>
          </w:p>
        </w:tc>
      </w:tr>
    </w:tbl>
    <w:p>
      <w:pPr>
        <w:pStyle w:val="Heading1"/>
      </w:pPr>
      <w:r>
        <w:t>5. Verification standard</w:t>
      </w:r>
    </w:p>
    <w:p>
      <w:r>
        <w:t>PerkCommons verifies evidence, not outcomes. A listing may be published when a moderator can identify a credible source, understand the material eligibility conditions and confirm that the destination is legitimate. Publication does not guarantee acceptance, availability, value, suitability or endorsement.</w:t>
      </w:r>
    </w:p>
    <w:tbl>
      <w:tblPr>
        <w:tblW w:type="auto" w:w="0"/>
        <w:jc w:val="center"/>
        <w:tblLook w:firstColumn="1" w:firstRow="1" w:lastColumn="0" w:lastRow="0" w:noHBand="0" w:noVBand="1" w:val="04A0"/>
      </w:tblPr>
      <w:tblGrid>
        <w:gridCol w:w="9994"/>
      </w:tblGrid>
      <w:tr>
        <w:tc>
          <w:tcPr>
            <w:tcW w:type="dxa" w:w="9994"/>
            <w:shd w:fill="FFF7E6"/>
            <w:tcBorders>
              <w:left w:val="single" w:sz="24" w:color="C58E2D"/>
            </w:tcBorders>
          </w:tcPr>
          <w:p>
            <w:pPr>
              <w:pStyle w:val="Callout"/>
            </w:pPr>
            <w:r>
              <w:t>Preferred label: “Source checked on [date]” — not a vague promise that an offer is universally “verified.”</w:t>
            </w:r>
          </w:p>
        </w:tc>
      </w:tr>
    </w:tbl>
    <w:p>
      <w:pPr>
        <w:pStyle w:val="Heading2"/>
      </w:pPr>
      <w:r>
        <w:t>Evidence will be prioritized in this order:</w:t>
      </w:r>
    </w:p>
    <w:p>
      <w:pPr>
        <w:pStyle w:val="ListNumber"/>
      </w:pPr>
      <w:r>
        <w:t>the provider’s official program page or documentation;</w:t>
      </w:r>
    </w:p>
    <w:p>
      <w:pPr>
        <w:pStyle w:val="ListNumber"/>
      </w:pPr>
      <w:r>
        <w:t>a provider representative using a verifiable company identity;</w:t>
      </w:r>
    </w:p>
    <w:p>
      <w:pPr>
        <w:pStyle w:val="ListNumber"/>
      </w:pPr>
      <w:r>
        <w:t>an official partner or accelerator page;</w:t>
      </w:r>
    </w:p>
    <w:p>
      <w:pPr>
        <w:pStyle w:val="ListNumber"/>
      </w:pPr>
      <w:r>
        <w:t>credible independent reporting or archival evidence;</w:t>
      </w:r>
    </w:p>
    <w:p>
      <w:pPr>
        <w:pStyle w:val="ListNumber"/>
      </w:pPr>
      <w:r>
        <w:t>community evidence that can be independently checked.</w:t>
      </w:r>
    </w:p>
    <w:p>
      <w:pPr>
        <w:pStyle w:val="Heading1"/>
      </w:pPr>
      <w:r>
        <w:t>6. Sponsorship and partnerships</w:t>
      </w:r>
    </w:p>
    <w:p>
      <w:r>
        <w:t>Companies may support PerkCommons through sponsorships, partnerships or donations. Supporters may receive clearly labelled visibility, such as a sponsor block, category sponsorship, public supporter profile or sponsored educational content.</w:t>
      </w:r>
    </w:p>
    <w:p>
      <w:pPr>
        <w:pStyle w:val="ListBullet"/>
      </w:pPr>
      <w:r>
        <w:rPr>
          <w:b/>
          <w:color w:val="142238"/>
        </w:rPr>
        <w:t>Ordinary inclusion remains free.</w:t>
      </w:r>
    </w:p>
    <w:p>
      <w:pPr>
        <w:pStyle w:val="ListBullet"/>
      </w:pPr>
      <w:r>
        <w:rPr>
          <w:b/>
          <w:color w:val="142238"/>
        </w:rPr>
        <w:t>Sponsored placement is visually separated from organic results.</w:t>
      </w:r>
    </w:p>
    <w:p>
      <w:pPr>
        <w:pStyle w:val="ListBullet"/>
      </w:pPr>
      <w:r>
        <w:t>Sponsors receive no special verification standard.</w:t>
      </w:r>
    </w:p>
    <w:p>
      <w:pPr>
        <w:pStyle w:val="ListBullet"/>
      </w:pPr>
      <w:r>
        <w:t>Sponsors cannot suppress competitors or dictate editorial conclusions.</w:t>
      </w:r>
    </w:p>
    <w:p>
      <w:pPr>
        <w:pStyle w:val="ListBullet"/>
      </w:pPr>
      <w:r>
        <w:t>Commercial relationships and affiliate links are disclosed.</w:t>
      </w:r>
    </w:p>
    <w:p>
      <w:pPr>
        <w:pStyle w:val="ListBullet"/>
      </w:pPr>
      <w:r>
        <w:t>A moderator with a financial conflict must recuse themselves.</w:t>
      </w:r>
    </w:p>
    <w:p>
      <w:r>
        <w:br w:type="page"/>
      </w:r>
    </w:p>
    <w:p>
      <w:pPr>
        <w:pStyle w:val="Heading1"/>
      </w:pPr>
      <w:r>
        <w:t>7. Governance</w:t>
      </w:r>
    </w:p>
    <w:p>
      <w:r>
        <w:t>PerkCommons will begin as a founder-led project and evolve toward documented shared stewardship as the contributor community grows. Authority should be tied to roles, recorded decisions and accountable access — not informal status.</w:t>
      </w:r>
    </w:p>
    <w:tbl>
      <w:tblPr>
        <w:tblW w:type="auto" w:w="0"/>
        <w:jc w:val="center"/>
        <w:tblLook w:firstColumn="1" w:firstRow="1" w:lastColumn="0" w:lastRow="0" w:noHBand="0" w:noVBand="1" w:val="04A0"/>
      </w:tblPr>
      <w:tblGrid>
        <w:gridCol w:w="3331"/>
        <w:gridCol w:w="3331"/>
        <w:gridCol w:w="3331"/>
      </w:tblGrid>
      <w:tr>
        <w:tc>
          <w:tcPr>
            <w:tcW w:type="dxa" w:w="3331"/>
            <w:shd w:fill="142238"/>
          </w:tcPr>
          <w:p>
            <w:r>
              <w:rPr>
                <w:b/>
                <w:color w:val="FFFFFF"/>
              </w:rPr>
              <w:t>Role</w:t>
            </w:r>
          </w:p>
        </w:tc>
        <w:tc>
          <w:tcPr>
            <w:tcW w:type="dxa" w:w="3331"/>
            <w:shd w:fill="142238"/>
          </w:tcPr>
          <w:p>
            <w:r>
              <w:rPr>
                <w:b/>
                <w:color w:val="FFFFFF"/>
              </w:rPr>
              <w:t>Primary responsibility</w:t>
            </w:r>
          </w:p>
        </w:tc>
        <w:tc>
          <w:tcPr>
            <w:tcW w:type="dxa" w:w="3331"/>
            <w:shd w:fill="142238"/>
          </w:tcPr>
          <w:p>
            <w:r>
              <w:rPr>
                <w:b/>
                <w:color w:val="FFFFFF"/>
              </w:rPr>
              <w:t>Accountability</w:t>
            </w:r>
          </w:p>
        </w:tc>
      </w:tr>
      <w:tr>
        <w:tc>
          <w:tcPr>
            <w:tcW w:type="dxa" w:w="3331"/>
            <w:tcBorders>
              <w:bottom w:val="single" w:sz="4" w:color="D8E0E5"/>
            </w:tcBorders>
          </w:tcPr>
          <w:p>
            <w:r>
              <w:rPr>
                <w:b/>
                <w:color w:val="008577"/>
              </w:rPr>
              <w:t>Project lead</w:t>
            </w:r>
          </w:p>
        </w:tc>
        <w:tc>
          <w:tcPr>
            <w:tcW w:type="dxa" w:w="3331"/>
            <w:tcBorders>
              <w:bottom w:val="single" w:sz="4" w:color="D8E0E5"/>
            </w:tcBorders>
          </w:tcPr>
          <w:p>
            <w:r>
              <w:t>Mission, legal formation, finance and major policy decisions.</w:t>
            </w:r>
          </w:p>
        </w:tc>
        <w:tc>
          <w:tcPr>
            <w:tcW w:type="dxa" w:w="3331"/>
            <w:tcBorders>
              <w:bottom w:val="single" w:sz="4" w:color="D8E0E5"/>
            </w:tcBorders>
          </w:tcPr>
          <w:p>
            <w:r>
              <w:t>Publishes material decisions and conflicts.</w:t>
            </w:r>
          </w:p>
        </w:tc>
      </w:tr>
      <w:tr>
        <w:tc>
          <w:tcPr>
            <w:tcW w:type="dxa" w:w="3331"/>
            <w:tcBorders>
              <w:bottom w:val="single" w:sz="4" w:color="D8E0E5"/>
            </w:tcBorders>
          </w:tcPr>
          <w:p>
            <w:r>
              <w:rPr>
                <w:b/>
                <w:color w:val="008577"/>
              </w:rPr>
              <w:t>Maintainers</w:t>
            </w:r>
          </w:p>
        </w:tc>
        <w:tc>
          <w:tcPr>
            <w:tcW w:type="dxa" w:w="3331"/>
            <w:tcBorders>
              <w:bottom w:val="single" w:sz="4" w:color="D8E0E5"/>
            </w:tcBorders>
          </w:tcPr>
          <w:p>
            <w:r>
              <w:t>Repositories, releases, infrastructure and security.</w:t>
            </w:r>
          </w:p>
        </w:tc>
        <w:tc>
          <w:tcPr>
            <w:tcW w:type="dxa" w:w="3331"/>
            <w:tcBorders>
              <w:bottom w:val="single" w:sz="4" w:color="D8E0E5"/>
            </w:tcBorders>
          </w:tcPr>
          <w:p>
            <w:r>
              <w:t>Protected branches, peer review and least privilege.</w:t>
            </w:r>
          </w:p>
        </w:tc>
      </w:tr>
      <w:tr>
        <w:tc>
          <w:tcPr>
            <w:tcW w:type="dxa" w:w="3331"/>
            <w:tcBorders>
              <w:bottom w:val="single" w:sz="4" w:color="D8E0E5"/>
            </w:tcBorders>
          </w:tcPr>
          <w:p>
            <w:r>
              <w:rPr>
                <w:b/>
                <w:color w:val="008577"/>
              </w:rPr>
              <w:t>Listing moderators</w:t>
            </w:r>
          </w:p>
        </w:tc>
        <w:tc>
          <w:tcPr>
            <w:tcW w:type="dxa" w:w="3331"/>
            <w:tcBorders>
              <w:bottom w:val="single" w:sz="4" w:color="D8E0E5"/>
            </w:tcBorders>
          </w:tcPr>
          <w:p>
            <w:r>
              <w:t>Evidence review, corrections, status and archives.</w:t>
            </w:r>
          </w:p>
        </w:tc>
        <w:tc>
          <w:tcPr>
            <w:tcW w:type="dxa" w:w="3331"/>
            <w:tcBorders>
              <w:bottom w:val="single" w:sz="4" w:color="D8E0E5"/>
            </w:tcBorders>
          </w:tcPr>
          <w:p>
            <w:r>
              <w:t>Decision reasons, audit trail and recusal.</w:t>
            </w:r>
          </w:p>
        </w:tc>
      </w:tr>
      <w:tr>
        <w:tc>
          <w:tcPr>
            <w:tcW w:type="dxa" w:w="3331"/>
            <w:tcBorders>
              <w:bottom w:val="single" w:sz="4" w:color="D8E0E5"/>
            </w:tcBorders>
          </w:tcPr>
          <w:p>
            <w:r>
              <w:rPr>
                <w:b/>
                <w:color w:val="008577"/>
              </w:rPr>
              <w:t>Community moderators</w:t>
            </w:r>
          </w:p>
        </w:tc>
        <w:tc>
          <w:tcPr>
            <w:tcW w:type="dxa" w:w="3331"/>
            <w:tcBorders>
              <w:bottom w:val="single" w:sz="4" w:color="D8E0E5"/>
            </w:tcBorders>
          </w:tcPr>
          <w:p>
            <w:r>
              <w:t>Conduct reports and community spaces.</w:t>
            </w:r>
          </w:p>
        </w:tc>
        <w:tc>
          <w:tcPr>
            <w:tcW w:type="dxa" w:w="3331"/>
            <w:tcBorders>
              <w:bottom w:val="single" w:sz="4" w:color="D8E0E5"/>
            </w:tcBorders>
          </w:tcPr>
          <w:p>
            <w:r>
              <w:t>Published enforcement process and appeals.</w:t>
            </w:r>
          </w:p>
        </w:tc>
      </w:tr>
      <w:tr>
        <w:tc>
          <w:tcPr>
            <w:tcW w:type="dxa" w:w="3331"/>
            <w:tcBorders>
              <w:bottom w:val="single" w:sz="4" w:color="D8E0E5"/>
            </w:tcBorders>
          </w:tcPr>
          <w:p>
            <w:r>
              <w:rPr>
                <w:b/>
                <w:color w:val="008577"/>
              </w:rPr>
              <w:t>Partnership reviewer</w:t>
            </w:r>
          </w:p>
        </w:tc>
        <w:tc>
          <w:tcPr>
            <w:tcW w:type="dxa" w:w="3331"/>
            <w:tcBorders>
              <w:bottom w:val="single" w:sz="4" w:color="D8E0E5"/>
            </w:tcBorders>
          </w:tcPr>
          <w:p>
            <w:r>
              <w:t>Sponsorship proposals and disclosures.</w:t>
            </w:r>
          </w:p>
        </w:tc>
        <w:tc>
          <w:tcPr>
            <w:tcW w:type="dxa" w:w="3331"/>
            <w:tcBorders>
              <w:bottom w:val="single" w:sz="4" w:color="D8E0E5"/>
            </w:tcBorders>
          </w:tcPr>
          <w:p>
            <w:r>
              <w:t>Separation from editorial verification.</w:t>
            </w:r>
          </w:p>
        </w:tc>
      </w:tr>
    </w:tbl>
    <w:p>
      <w:pPr>
        <w:pStyle w:val="Heading2"/>
      </w:pPr>
      <w:r>
        <w:t>Decision rules</w:t>
      </w:r>
    </w:p>
    <w:p>
      <w:pPr>
        <w:pStyle w:val="ListBullet"/>
      </w:pPr>
      <w:r>
        <w:t>Routine listing decisions may be made by one authorized moderator.</w:t>
      </w:r>
    </w:p>
    <w:p>
      <w:pPr>
        <w:pStyle w:val="ListBullet"/>
      </w:pPr>
      <w:r>
        <w:t>Disputed removals, appeals and sponsor-related decisions require an independent second reviewer.</w:t>
      </w:r>
    </w:p>
    <w:p>
      <w:pPr>
        <w:pStyle w:val="ListBullet"/>
      </w:pPr>
      <w:r>
        <w:t>Material changes to the charter, funding model, data licence or editorial independence should be proposed publicly.</w:t>
      </w:r>
    </w:p>
    <w:p>
      <w:pPr>
        <w:pStyle w:val="ListBullet"/>
      </w:pPr>
      <w:r>
        <w:t>Conflicts of interest must be disclosed and affected reviewers must recuse themselves.</w:t>
      </w:r>
    </w:p>
    <w:p>
      <w:pPr>
        <w:pStyle w:val="ListBullet"/>
      </w:pPr>
      <w:r>
        <w:t>Critical assets should never depend on a single account or recovery method.</w:t>
      </w:r>
    </w:p>
    <w:p>
      <w:pPr>
        <w:pStyle w:val="Heading1"/>
      </w:pPr>
      <w:r>
        <w:t>8. Community participation</w:t>
      </w:r>
    </w:p>
    <w:p>
      <w:r>
        <w:t>Community participation is welcomed through submissions, corrections, evidence, translations, data maintenance, documentation, design and software contributions. Contributors do not need to pay, represent a company or hold an account unless an account is operationally necessary.</w:t>
      </w:r>
    </w:p>
    <w:p>
      <w:pPr>
        <w:pStyle w:val="Heading2"/>
      </w:pPr>
      <w:r>
        <w:t>Contributors are expected to:</w:t>
      </w:r>
    </w:p>
    <w:p>
      <w:pPr>
        <w:pStyle w:val="ListBullet"/>
      </w:pPr>
      <w:r>
        <w:t>submit information in good faith and cite sources;</w:t>
      </w:r>
    </w:p>
    <w:p>
      <w:pPr>
        <w:pStyle w:val="ListBullet"/>
      </w:pPr>
      <w:r>
        <w:t>avoid confidential, personal or unlawfully obtained information;</w:t>
      </w:r>
    </w:p>
    <w:p>
      <w:pPr>
        <w:pStyle w:val="ListBullet"/>
      </w:pPr>
      <w:r>
        <w:t>respect the Code of Conduct and moderator decisions;</w:t>
      </w:r>
    </w:p>
    <w:p>
      <w:pPr>
        <w:pStyle w:val="ListBullet"/>
      </w:pPr>
      <w:r>
        <w:t>disclose affiliations and referral interests;</w:t>
      </w:r>
    </w:p>
    <w:p>
      <w:pPr>
        <w:pStyle w:val="ListBullet"/>
      </w:pPr>
      <w:r>
        <w:t>grant the permissions needed to publish accepted contributions;</w:t>
      </w:r>
    </w:p>
    <w:p>
      <w:pPr>
        <w:pStyle w:val="ListBullet"/>
      </w:pPr>
      <w:r>
        <w:t>correct mistakes openly when discovered.</w:t>
      </w:r>
    </w:p>
    <w:p>
      <w:pPr>
        <w:pStyle w:val="Heading1"/>
      </w:pPr>
      <w:r>
        <w:t>9. Openness, licensing and portability</w:t>
      </w:r>
    </w:p>
    <w:p>
      <w:r>
        <w:t>PerkCommons should remain useful even if its website changes or the original team steps away. The project will therefore favor portable formats, public version history, documented schemas and open licences.</w:t>
      </w:r>
    </w:p>
    <w:tbl>
      <w:tblPr>
        <w:tblW w:type="auto" w:w="0"/>
        <w:jc w:val="center"/>
        <w:tblLook w:firstColumn="1" w:firstRow="1" w:lastColumn="0" w:lastRow="0" w:noHBand="0" w:noVBand="1" w:val="04A0"/>
      </w:tblPr>
      <w:tblGrid>
        <w:gridCol w:w="4997"/>
        <w:gridCol w:w="4997"/>
      </w:tblGrid>
      <w:tr>
        <w:tc>
          <w:tcPr>
            <w:tcW w:type="dxa" w:w="4997"/>
            <w:shd w:fill="E0F6F1"/>
            <w:tcBorders>
              <w:bottom w:val="single" w:sz="4" w:color="D8E0E5"/>
            </w:tcBorders>
          </w:tcPr>
          <w:p>
            <w:r>
              <w:rPr>
                <w:b/>
                <w:color w:val="142238"/>
              </w:rPr>
              <w:t>Software</w:t>
            </w:r>
          </w:p>
        </w:tc>
        <w:tc>
          <w:tcPr>
            <w:tcW w:type="dxa" w:w="4997"/>
            <w:tcBorders>
              <w:bottom w:val="single" w:sz="4" w:color="D8E0E5"/>
            </w:tcBorders>
          </w:tcPr>
          <w:p>
            <w:r>
              <w:t>A permissive open-source licence, with Apache License 2.0 as the preferred starting point.</w:t>
            </w:r>
          </w:p>
        </w:tc>
      </w:tr>
      <w:tr>
        <w:tc>
          <w:tcPr>
            <w:tcW w:type="dxa" w:w="4997"/>
            <w:shd w:fill="E0F6F1"/>
            <w:tcBorders>
              <w:bottom w:val="single" w:sz="4" w:color="D8E0E5"/>
            </w:tcBorders>
          </w:tcPr>
          <w:p>
            <w:r>
              <w:rPr>
                <w:b/>
                <w:color w:val="142238"/>
              </w:rPr>
              <w:t>Factual listing data</w:t>
            </w:r>
          </w:p>
        </w:tc>
        <w:tc>
          <w:tcPr>
            <w:tcW w:type="dxa" w:w="4997"/>
            <w:tcBorders>
              <w:bottom w:val="single" w:sz="4" w:color="D8E0E5"/>
            </w:tcBorders>
          </w:tcPr>
          <w:p>
            <w:r>
              <w:t>A highly reusable open-data licence, with CC0 as the preferred starting point.</w:t>
            </w:r>
          </w:p>
        </w:tc>
      </w:tr>
      <w:tr>
        <w:tc>
          <w:tcPr>
            <w:tcW w:type="dxa" w:w="4997"/>
            <w:shd w:fill="E0F6F1"/>
            <w:tcBorders>
              <w:bottom w:val="single" w:sz="4" w:color="D8E0E5"/>
            </w:tcBorders>
          </w:tcPr>
          <w:p>
            <w:r>
              <w:rPr>
                <w:b/>
                <w:color w:val="142238"/>
              </w:rPr>
              <w:t>Original guides and documentation</w:t>
            </w:r>
          </w:p>
        </w:tc>
        <w:tc>
          <w:tcPr>
            <w:tcW w:type="dxa" w:w="4997"/>
            <w:tcBorders>
              <w:bottom w:val="single" w:sz="4" w:color="D8E0E5"/>
            </w:tcBorders>
          </w:tcPr>
          <w:p>
            <w:r>
              <w:t>A public content licence such as CC BY 4.0, unless otherwise marked.</w:t>
            </w:r>
          </w:p>
        </w:tc>
      </w:tr>
    </w:tbl>
    <w:p>
      <w:pPr>
        <w:pStyle w:val="Heading1"/>
      </w:pPr>
      <w:r>
        <w:t>10. Privacy and safety</w:t>
      </w:r>
    </w:p>
    <w:p>
      <w:pPr>
        <w:pStyle w:val="ListBullet"/>
      </w:pPr>
      <w:r>
        <w:t>Collect only information needed to review, publish and maintain listings.</w:t>
      </w:r>
    </w:p>
    <w:p>
      <w:pPr>
        <w:pStyle w:val="ListBullet"/>
      </w:pPr>
      <w:r>
        <w:t>Do not sell personal data or contributor contact information.</w:t>
      </w:r>
    </w:p>
    <w:p>
      <w:pPr>
        <w:pStyle w:val="ListBullet"/>
      </w:pPr>
      <w:r>
        <w:t>Publish contributor identities only with clear permission.</w:t>
      </w:r>
    </w:p>
    <w:p>
      <w:pPr>
        <w:pStyle w:val="ListBullet"/>
      </w:pPr>
      <w:r>
        <w:t>Use secure access controls, two-factor authentication and least-privilege roles.</w:t>
      </w:r>
    </w:p>
    <w:p>
      <w:pPr>
        <w:pStyle w:val="ListBullet"/>
      </w:pPr>
      <w:r>
        <w:t>Provide private channels for privacy, legal, conduct and security reports.</w:t>
      </w:r>
    </w:p>
    <w:p>
      <w:pPr>
        <w:pStyle w:val="ListBullet"/>
      </w:pPr>
      <w:r>
        <w:t>Retain rejected submissions, logs and correspondence only for defined operational or legal periods.</w:t>
      </w:r>
    </w:p>
    <w:p>
      <w:pPr>
        <w:pStyle w:val="ListBullet"/>
      </w:pPr>
      <w:r>
        <w:t>Do not require moderators to open clearly suspicious links or files on personal devices.</w:t>
      </w:r>
    </w:p>
    <w:p>
      <w:r>
        <w:br w:type="page"/>
      </w:r>
    </w:p>
    <w:p>
      <w:pPr>
        <w:pStyle w:val="Heading1"/>
      </w:pPr>
      <w:r>
        <w:t>11. Funding and financial integrity</w:t>
      </w:r>
    </w:p>
    <w:p>
      <w:r>
        <w:t>PerkCommons may be funded through community donations, sponsorships, grants and clearly disclosed partnerships. Funds should support infrastructure, legal and accounting needs, moderation, accessibility, security, outreach and other mission-aligned work.</w:t>
      </w:r>
    </w:p>
    <w:tbl>
      <w:tblPr>
        <w:tblW w:type="auto" w:w="0"/>
        <w:jc w:val="center"/>
        <w:tblLook w:firstColumn="1" w:firstRow="1" w:lastColumn="0" w:lastRow="0" w:noHBand="0" w:noVBand="1" w:val="04A0"/>
      </w:tblPr>
      <w:tblGrid>
        <w:gridCol w:w="3331"/>
        <w:gridCol w:w="3331"/>
        <w:gridCol w:w="3331"/>
      </w:tblGrid>
      <w:tr>
        <w:tc>
          <w:tcPr>
            <w:tcW w:type="dxa" w:w="3331"/>
            <w:shd w:fill="E0F6F1"/>
            <w:tcBorders>
              <w:top w:val="single" w:sz="6" w:color="D0DCE2"/>
              <w:left w:val="single" w:sz="6" w:color="D0DCE2"/>
              <w:bottom w:val="single" w:sz="6" w:color="D0DCE2"/>
              <w:right w:val="single" w:sz="6" w:color="D0DCE2"/>
            </w:tcBorders>
          </w:tcPr>
          <w:p>
            <w:r>
              <w:rPr>
                <w:b/>
                <w:color w:val="008577"/>
              </w:rPr>
              <w:t>Transparent</w:t>
            </w:r>
          </w:p>
          <w:p>
            <w:pPr>
              <w:pStyle w:val="SmallText"/>
            </w:pPr>
            <w:r>
              <w:t>Material supporters and spending categories are reported publicly.</w:t>
            </w:r>
          </w:p>
        </w:tc>
        <w:tc>
          <w:tcPr>
            <w:tcW w:type="dxa" w:w="3331"/>
            <w:shd w:fill="F4F7F9"/>
            <w:tcBorders>
              <w:top w:val="single" w:sz="6" w:color="D0DCE2"/>
              <w:left w:val="single" w:sz="6" w:color="D0DCE2"/>
              <w:bottom w:val="single" w:sz="6" w:color="D0DCE2"/>
              <w:right w:val="single" w:sz="6" w:color="D0DCE2"/>
            </w:tcBorders>
          </w:tcPr>
          <w:p>
            <w:r>
              <w:rPr>
                <w:b/>
                <w:color w:val="008577"/>
              </w:rPr>
              <w:t>Separated</w:t>
            </w:r>
          </w:p>
          <w:p>
            <w:pPr>
              <w:pStyle w:val="SmallText"/>
            </w:pPr>
            <w:r>
              <w:t>Donations, sponsorships and restricted funding are recorded distinctly.</w:t>
            </w:r>
          </w:p>
        </w:tc>
        <w:tc>
          <w:tcPr>
            <w:tcW w:type="dxa" w:w="3331"/>
            <w:shd w:fill="E0F6F1"/>
            <w:tcBorders>
              <w:top w:val="single" w:sz="6" w:color="D0DCE2"/>
              <w:left w:val="single" w:sz="6" w:color="D0DCE2"/>
              <w:bottom w:val="single" w:sz="6" w:color="D0DCE2"/>
              <w:right w:val="single" w:sz="6" w:color="D0DCE2"/>
            </w:tcBorders>
          </w:tcPr>
          <w:p>
            <w:r>
              <w:rPr>
                <w:b/>
                <w:color w:val="008577"/>
              </w:rPr>
              <w:t>Mission-bound</w:t>
            </w:r>
          </w:p>
          <w:p>
            <w:pPr>
              <w:pStyle w:val="SmallText"/>
            </w:pPr>
            <w:r>
              <w:t>Funding does not override editorial policy or user access.</w:t>
            </w:r>
          </w:p>
        </w:tc>
      </w:tr>
      <w:tr>
        <w:tc>
          <w:tcPr>
            <w:tcW w:type="dxa" w:w="3331"/>
            <w:shd w:fill="F4F7F9"/>
            <w:tcBorders>
              <w:top w:val="single" w:sz="6" w:color="D0DCE2"/>
              <w:left w:val="single" w:sz="6" w:color="D0DCE2"/>
              <w:bottom w:val="single" w:sz="6" w:color="D0DCE2"/>
              <w:right w:val="single" w:sz="6" w:color="D0DCE2"/>
            </w:tcBorders>
          </w:tcPr>
          <w:p>
            <w:r>
              <w:rPr>
                <w:b/>
                <w:color w:val="008577"/>
              </w:rPr>
              <w:t>Controlled</w:t>
            </w:r>
          </w:p>
          <w:p>
            <w:pPr>
              <w:pStyle w:val="SmallText"/>
            </w:pPr>
            <w:r>
              <w:t>Larger expenses require documented approval.</w:t>
            </w:r>
          </w:p>
        </w:tc>
        <w:tc>
          <w:tcPr>
            <w:tcW w:type="dxa" w:w="3331"/>
            <w:shd w:fill="E0F6F1"/>
            <w:tcBorders>
              <w:top w:val="single" w:sz="6" w:color="D0DCE2"/>
              <w:left w:val="single" w:sz="6" w:color="D0DCE2"/>
              <w:bottom w:val="single" w:sz="6" w:color="D0DCE2"/>
              <w:right w:val="single" w:sz="6" w:color="D0DCE2"/>
            </w:tcBorders>
          </w:tcPr>
          <w:p>
            <w:r>
              <w:rPr>
                <w:b/>
                <w:color w:val="008577"/>
              </w:rPr>
              <w:t>Traceable</w:t>
            </w:r>
          </w:p>
          <w:p>
            <w:pPr>
              <w:pStyle w:val="SmallText"/>
            </w:pPr>
            <w:r>
              <w:t>Receipts and transaction records are retained.</w:t>
            </w:r>
          </w:p>
        </w:tc>
        <w:tc>
          <w:tcPr>
            <w:tcW w:type="dxa" w:w="3331"/>
            <w:shd w:fill="F4F7F9"/>
            <w:tcBorders>
              <w:top w:val="single" w:sz="6" w:color="D0DCE2"/>
              <w:left w:val="single" w:sz="6" w:color="D0DCE2"/>
              <w:bottom w:val="single" w:sz="6" w:color="D0DCE2"/>
              <w:right w:val="single" w:sz="6" w:color="D0DCE2"/>
            </w:tcBorders>
          </w:tcPr>
          <w:p>
            <w:r>
              <w:rPr>
                <w:b/>
                <w:color w:val="008577"/>
              </w:rPr>
              <w:t>Honest</w:t>
            </w:r>
          </w:p>
          <w:p>
            <w:pPr>
              <w:pStyle w:val="SmallText"/>
            </w:pPr>
            <w:r>
              <w:t>Payments are not called charitable donations unless legally accurate.</w:t>
            </w:r>
          </w:p>
        </w:tc>
      </w:tr>
    </w:tbl>
    <w:p>
      <w:pPr>
        <w:pStyle w:val="Heading1"/>
      </w:pPr>
      <w:r>
        <w:t>12. Measures of success</w:t>
      </w:r>
    </w:p>
    <w:p>
      <w:r>
        <w:t>PerkCommons will prioritize trust and usefulness over vanity metrics. Early success should be measured through:</w:t>
      </w:r>
    </w:p>
    <w:tbl>
      <w:tblPr>
        <w:tblW w:type="auto" w:w="0"/>
        <w:jc w:val="center"/>
        <w:tblLook w:firstColumn="1" w:firstRow="1" w:lastColumn="0" w:lastRow="0" w:noHBand="0" w:noVBand="1" w:val="04A0"/>
      </w:tblPr>
      <w:tblGrid>
        <w:gridCol w:w="4997"/>
        <w:gridCol w:w="4997"/>
      </w:tblGrid>
      <w:tr>
        <w:tc>
          <w:tcPr>
            <w:tcW w:type="dxa" w:w="4997"/>
            <w:shd w:fill="E0F6F1"/>
            <w:tcBorders>
              <w:bottom w:val="single" w:sz="4" w:color="D8E0E5"/>
            </w:tcBorders>
          </w:tcPr>
          <w:p>
            <w:r>
              <w:rPr>
                <w:b/>
                <w:color w:val="142238"/>
              </w:rPr>
              <w:t>Accuracy</w:t>
            </w:r>
          </w:p>
        </w:tc>
        <w:tc>
          <w:tcPr>
            <w:tcW w:type="dxa" w:w="4997"/>
            <w:tcBorders>
              <w:bottom w:val="single" w:sz="4" w:color="D8E0E5"/>
            </w:tcBorders>
          </w:tcPr>
          <w:p>
            <w:r>
              <w:t>Percentage of sampled listings whose status and key conditions remain correct.</w:t>
            </w:r>
          </w:p>
        </w:tc>
      </w:tr>
      <w:tr>
        <w:tc>
          <w:tcPr>
            <w:tcW w:type="dxa" w:w="4997"/>
            <w:shd w:fill="E0F6F1"/>
            <w:tcBorders>
              <w:bottom w:val="single" w:sz="4" w:color="D8E0E5"/>
            </w:tcBorders>
          </w:tcPr>
          <w:p>
            <w:r>
              <w:rPr>
                <w:b/>
                <w:color w:val="142238"/>
              </w:rPr>
              <w:t>Freshness</w:t>
            </w:r>
          </w:p>
        </w:tc>
        <w:tc>
          <w:tcPr>
            <w:tcW w:type="dxa" w:w="4997"/>
            <w:tcBorders>
              <w:bottom w:val="single" w:sz="4" w:color="D8E0E5"/>
            </w:tcBorders>
          </w:tcPr>
          <w:p>
            <w:r>
              <w:t>Share of active listings reviewed within the target interval.</w:t>
            </w:r>
          </w:p>
        </w:tc>
      </w:tr>
      <w:tr>
        <w:tc>
          <w:tcPr>
            <w:tcW w:type="dxa" w:w="4997"/>
            <w:shd w:fill="E0F6F1"/>
            <w:tcBorders>
              <w:bottom w:val="single" w:sz="4" w:color="D8E0E5"/>
            </w:tcBorders>
          </w:tcPr>
          <w:p>
            <w:r>
              <w:rPr>
                <w:b/>
                <w:color w:val="142238"/>
              </w:rPr>
              <w:t>Coverage</w:t>
            </w:r>
          </w:p>
        </w:tc>
        <w:tc>
          <w:tcPr>
            <w:tcW w:type="dxa" w:w="4997"/>
            <w:tcBorders>
              <w:bottom w:val="single" w:sz="4" w:color="D8E0E5"/>
            </w:tcBorders>
          </w:tcPr>
          <w:p>
            <w:r>
              <w:t>Useful diversity across categories, regions and eligible audiences.</w:t>
            </w:r>
          </w:p>
        </w:tc>
      </w:tr>
      <w:tr>
        <w:tc>
          <w:tcPr>
            <w:tcW w:type="dxa" w:w="4997"/>
            <w:shd w:fill="E0F6F1"/>
            <w:tcBorders>
              <w:bottom w:val="single" w:sz="4" w:color="D8E0E5"/>
            </w:tcBorders>
          </w:tcPr>
          <w:p>
            <w:r>
              <w:rPr>
                <w:b/>
                <w:color w:val="142238"/>
              </w:rPr>
              <w:t>Responsiveness</w:t>
            </w:r>
          </w:p>
        </w:tc>
        <w:tc>
          <w:tcPr>
            <w:tcW w:type="dxa" w:w="4997"/>
            <w:tcBorders>
              <w:bottom w:val="single" w:sz="4" w:color="D8E0E5"/>
            </w:tcBorders>
          </w:tcPr>
          <w:p>
            <w:r>
              <w:t>Time to process corrections, expiry reports and legitimate submissions.</w:t>
            </w:r>
          </w:p>
        </w:tc>
      </w:tr>
      <w:tr>
        <w:tc>
          <w:tcPr>
            <w:tcW w:type="dxa" w:w="4997"/>
            <w:shd w:fill="E0F6F1"/>
            <w:tcBorders>
              <w:bottom w:val="single" w:sz="4" w:color="D8E0E5"/>
            </w:tcBorders>
          </w:tcPr>
          <w:p>
            <w:r>
              <w:rPr>
                <w:b/>
                <w:color w:val="142238"/>
              </w:rPr>
              <w:t>Openness</w:t>
            </w:r>
          </w:p>
        </w:tc>
        <w:tc>
          <w:tcPr>
            <w:tcW w:type="dxa" w:w="4997"/>
            <w:tcBorders>
              <w:bottom w:val="single" w:sz="4" w:color="D8E0E5"/>
            </w:tcBorders>
          </w:tcPr>
          <w:p>
            <w:r>
              <w:t>Availability and practical reuse of the public dataset.</w:t>
            </w:r>
          </w:p>
        </w:tc>
      </w:tr>
      <w:tr>
        <w:tc>
          <w:tcPr>
            <w:tcW w:type="dxa" w:w="4997"/>
            <w:shd w:fill="E0F6F1"/>
            <w:tcBorders>
              <w:bottom w:val="single" w:sz="4" w:color="D8E0E5"/>
            </w:tcBorders>
          </w:tcPr>
          <w:p>
            <w:r>
              <w:rPr>
                <w:b/>
                <w:color w:val="142238"/>
              </w:rPr>
              <w:t>Community health</w:t>
            </w:r>
          </w:p>
        </w:tc>
        <w:tc>
          <w:tcPr>
            <w:tcW w:type="dxa" w:w="4997"/>
            <w:tcBorders>
              <w:bottom w:val="single" w:sz="4" w:color="D8E0E5"/>
            </w:tcBorders>
          </w:tcPr>
          <w:p>
            <w:r>
              <w:t>Contributor retention, moderator capacity and conduct outcomes.</w:t>
            </w:r>
          </w:p>
        </w:tc>
      </w:tr>
      <w:tr>
        <w:tc>
          <w:tcPr>
            <w:tcW w:type="dxa" w:w="4997"/>
            <w:shd w:fill="E0F6F1"/>
            <w:tcBorders>
              <w:bottom w:val="single" w:sz="4" w:color="D8E0E5"/>
            </w:tcBorders>
          </w:tcPr>
          <w:p>
            <w:r>
              <w:rPr>
                <w:b/>
                <w:color w:val="142238"/>
              </w:rPr>
              <w:t>Independence</w:t>
            </w:r>
          </w:p>
        </w:tc>
        <w:tc>
          <w:tcPr>
            <w:tcW w:type="dxa" w:w="4997"/>
            <w:tcBorders>
              <w:bottom w:val="single" w:sz="4" w:color="D8E0E5"/>
            </w:tcBorders>
          </w:tcPr>
          <w:p>
            <w:r>
              <w:t>Clear sponsorship disclosure and absence of paid editorial decisions.</w:t>
            </w:r>
          </w:p>
        </w:tc>
      </w:tr>
      <w:tr>
        <w:tc>
          <w:tcPr>
            <w:tcW w:type="dxa" w:w="4997"/>
            <w:shd w:fill="E0F6F1"/>
            <w:tcBorders>
              <w:bottom w:val="single" w:sz="4" w:color="D8E0E5"/>
            </w:tcBorders>
          </w:tcPr>
          <w:p>
            <w:r>
              <w:rPr>
                <w:b/>
                <w:color w:val="142238"/>
              </w:rPr>
              <w:t>Sustainability</w:t>
            </w:r>
          </w:p>
        </w:tc>
        <w:tc>
          <w:tcPr>
            <w:tcW w:type="dxa" w:w="4997"/>
            <w:tcBorders>
              <w:bottom w:val="single" w:sz="4" w:color="D8E0E5"/>
            </w:tcBorders>
          </w:tcPr>
          <w:p>
            <w:r>
              <w:t>Infrastructure and legal costs covered without restricting ordinary access.</w:t>
            </w:r>
          </w:p>
        </w:tc>
      </w:tr>
    </w:tbl>
    <w:p>
      <w:pPr>
        <w:pStyle w:val="Heading1"/>
      </w:pPr>
      <w:r>
        <w:t>13. Founding milestones</w:t>
      </w:r>
    </w:p>
    <w:p>
      <w:r>
        <w:rPr>
          <w:b/>
          <w:color w:val="008577"/>
          <w:sz w:val="22"/>
        </w:rPr>
        <w:t>01  Foundation</w:t>
      </w:r>
      <w:r>
        <w:t xml:space="preserve"> — Adopt the charter, policies, licences, schema and asset-ownership plan.</w:t>
      </w:r>
    </w:p>
    <w:p>
      <w:r>
        <w:rPr>
          <w:b/>
          <w:color w:val="008577"/>
          <w:sz w:val="22"/>
        </w:rPr>
        <w:t>02  Validation</w:t>
      </w:r>
      <w:r>
        <w:t xml:space="preserve"> — Manually research at least 50 listings and test the full moderation workflow.</w:t>
      </w:r>
    </w:p>
    <w:p>
      <w:r>
        <w:rPr>
          <w:b/>
          <w:color w:val="008577"/>
          <w:sz w:val="22"/>
        </w:rPr>
        <w:t>03  Private pilot</w:t>
      </w:r>
      <w:r>
        <w:t xml:space="preserve"> — Invite a small contributor group and process real submissions.</w:t>
      </w:r>
    </w:p>
    <w:p>
      <w:r>
        <w:rPr>
          <w:b/>
          <w:color w:val="008577"/>
          <w:sz w:val="22"/>
        </w:rPr>
        <w:t>04  Public launch</w:t>
      </w:r>
      <w:r>
        <w:t xml:space="preserve"> — Release the static index, contribution route, transparency pages and open dataset.</w:t>
      </w:r>
    </w:p>
    <w:p>
      <w:r>
        <w:rPr>
          <w:b/>
          <w:color w:val="008577"/>
          <w:sz w:val="22"/>
        </w:rPr>
        <w:t>05  Formalization</w:t>
      </w:r>
      <w:r>
        <w:t xml:space="preserve"> — Create the appropriate legal entity before material sponsorship, recurring funds or paid work.</w:t>
      </w:r>
    </w:p>
    <w:p>
      <w:r>
        <w:rPr>
          <w:b/>
          <w:color w:val="008577"/>
          <w:sz w:val="22"/>
        </w:rPr>
        <w:t>06  Shared stewardship</w:t>
      </w:r>
      <w:r>
        <w:t xml:space="preserve"> — Expand moderation and governance without weakening accountability.</w:t>
      </w:r>
    </w:p>
    <w:p>
      <w:pPr>
        <w:pStyle w:val="Heading1"/>
      </w:pPr>
      <w:r>
        <w:t>14. Charter amendments</w:t>
      </w:r>
    </w:p>
    <w:p>
      <w:r>
        <w:t>Minor wording and operational clarifications may be approved by project maintainers. Changes that materially affect free access, open data, sponsorship independence, governance rights or the project mission should be proposed publicly, include a written rationale and allow a reasonable period for community comment.</w:t>
      </w:r>
    </w:p>
    <w:p>
      <w:pPr>
        <w:pStyle w:val="Heading1"/>
      </w:pPr>
      <w:r>
        <w:t>15. Adoption</w:t>
      </w:r>
    </w:p>
    <w:tbl>
      <w:tblPr>
        <w:tblW w:type="auto" w:w="0"/>
        <w:jc w:val="center"/>
        <w:tblLook w:firstColumn="1" w:firstRow="1" w:lastColumn="0" w:lastRow="0" w:noHBand="0" w:noVBand="1" w:val="04A0"/>
      </w:tblPr>
      <w:tblGrid>
        <w:gridCol w:w="4997"/>
        <w:gridCol w:w="4997"/>
      </w:tblGrid>
      <w:tr>
        <w:tc>
          <w:tcPr>
            <w:tcW w:type="dxa" w:w="4997"/>
            <w:shd w:fill="F4F7F9"/>
            <w:tcBorders>
              <w:bottom w:val="single" w:sz="4" w:color="D8E0E5"/>
            </w:tcBorders>
          </w:tcPr>
          <w:p>
            <w:r>
              <w:rPr>
                <w:b/>
                <w:color w:val="142238"/>
              </w:rPr>
              <w:t>Adopted by</w:t>
            </w:r>
          </w:p>
        </w:tc>
        <w:tc>
          <w:tcPr>
            <w:tcW w:type="dxa" w:w="4997"/>
            <w:tcBorders>
              <w:bottom w:val="single" w:sz="4" w:color="D8E0E5"/>
            </w:tcBorders>
          </w:tcPr>
          <w:p>
            <w:r>
              <w:t>____________________________________________</w:t>
            </w:r>
          </w:p>
        </w:tc>
      </w:tr>
      <w:tr>
        <w:tc>
          <w:tcPr>
            <w:tcW w:type="dxa" w:w="4997"/>
            <w:shd w:fill="F4F7F9"/>
            <w:tcBorders>
              <w:bottom w:val="single" w:sz="4" w:color="D8E0E5"/>
            </w:tcBorders>
          </w:tcPr>
          <w:p>
            <w:r>
              <w:rPr>
                <w:b/>
                <w:color w:val="142238"/>
              </w:rPr>
              <w:t>Role</w:t>
            </w:r>
          </w:p>
        </w:tc>
        <w:tc>
          <w:tcPr>
            <w:tcW w:type="dxa" w:w="4997"/>
            <w:tcBorders>
              <w:bottom w:val="single" w:sz="4" w:color="D8E0E5"/>
            </w:tcBorders>
          </w:tcPr>
          <w:p>
            <w:r>
              <w:t>____________________________________________</w:t>
            </w:r>
          </w:p>
        </w:tc>
      </w:tr>
      <w:tr>
        <w:tc>
          <w:tcPr>
            <w:tcW w:type="dxa" w:w="4997"/>
            <w:shd w:fill="F4F7F9"/>
            <w:tcBorders>
              <w:bottom w:val="single" w:sz="4" w:color="D8E0E5"/>
            </w:tcBorders>
          </w:tcPr>
          <w:p>
            <w:r>
              <w:rPr>
                <w:b/>
                <w:color w:val="142238"/>
              </w:rPr>
              <w:t>Date</w:t>
            </w:r>
          </w:p>
        </w:tc>
        <w:tc>
          <w:tcPr>
            <w:tcW w:type="dxa" w:w="4997"/>
            <w:tcBorders>
              <w:bottom w:val="single" w:sz="4" w:color="D8E0E5"/>
            </w:tcBorders>
          </w:tcPr>
          <w:p>
            <w:r>
              <w:t>____________________________________________</w:t>
            </w:r>
          </w:p>
        </w:tc>
      </w:tr>
      <w:tr>
        <w:tc>
          <w:tcPr>
            <w:tcW w:type="dxa" w:w="4997"/>
            <w:shd w:fill="F4F7F9"/>
            <w:tcBorders>
              <w:bottom w:val="single" w:sz="4" w:color="D8E0E5"/>
            </w:tcBorders>
          </w:tcPr>
          <w:p>
            <w:r>
              <w:rPr>
                <w:b/>
                <w:color w:val="142238"/>
              </w:rPr>
              <w:t>Public version URL</w:t>
            </w:r>
          </w:p>
        </w:tc>
        <w:tc>
          <w:tcPr>
            <w:tcW w:type="dxa" w:w="4997"/>
            <w:tcBorders>
              <w:bottom w:val="single" w:sz="4" w:color="D8E0E5"/>
            </w:tcBorders>
          </w:tcPr>
          <w:p>
            <w:r>
              <w:t>____________________________________________</w:t>
            </w:r>
          </w:p>
        </w:tc>
      </w:tr>
    </w:tbl>
    <w:p/>
    <w:tbl>
      <w:tblPr>
        <w:tblW w:type="auto" w:w="0"/>
        <w:jc w:val="center"/>
        <w:tblLook w:firstColumn="1" w:firstRow="1" w:lastColumn="0" w:lastRow="0" w:noHBand="0" w:noVBand="1" w:val="04A0"/>
      </w:tblPr>
      <w:tblGrid>
        <w:gridCol w:w="9994"/>
      </w:tblGrid>
      <w:tr>
        <w:tc>
          <w:tcPr>
            <w:tcW w:type="dxa" w:w="9994"/>
            <w:shd w:fill="142238"/>
          </w:tcPr>
          <w:p>
            <w:pPr>
              <w:jc w:val="center"/>
            </w:pPr>
            <w:r>
              <w:rPr>
                <w:b/>
                <w:color w:val="FFFFFF"/>
                <w:sz w:val="24"/>
              </w:rPr>
              <w:t>PerkCommons exists to make useful opportunities easier to find — without turning access into a privilege.</w:t>
            </w:r>
          </w:p>
        </w:tc>
      </w:tr>
    </w:tbl>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85260"/>
        <w:sz w:val="16"/>
      </w:rPr>
      <w:t xml:space="preserve">Project Charter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Display" w:hAnsi="Aptos Display"/>
        <w:b/>
        <w:color w:val="008577"/>
        <w:sz w:val="16"/>
      </w:rPr>
      <w:t>PERKCOMMONS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48526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4223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08577"/>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1422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4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00857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line="259" w:lineRule="auto"/>
    </w:pPr>
    <w:rPr>
      <w:rFonts w:ascii="Aptos" w:hAnsi="Aptos" w:eastAsia="Aptos"/>
      <w:b/>
      <w:color w:val="142238"/>
      <w:sz w:val="22"/>
    </w:rPr>
  </w:style>
  <w:style w:type="paragraph" w:customStyle="1" w:styleId="SmallText">
    <w:name w:val="Small Text"/>
    <w:rPr>
      <w:rFonts w:ascii="Aptos" w:hAnsi="Aptos" w:eastAsia="Aptos"/>
      <w:color w:val="48526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