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0gw2x79qbsq" w:id="0"/>
      <w:bookmarkEnd w:id="0"/>
      <w:r w:rsidDel="00000000" w:rsidR="00000000" w:rsidRPr="00000000">
        <w:rPr>
          <w:b w:val="1"/>
          <w:bCs w:val="1"/>
          <w:sz w:val="46"/>
          <w:szCs w:val="46"/>
          <w:rtl w:val="0"/>
        </w:rPr>
        <w:t xml:space="preserve">Les objectifs de référence par domaine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tngdm5g5815" w:id="1"/>
      <w:bookmarkEnd w:id="1"/>
      <w:r w:rsidDel="00000000" w:rsidR="00000000" w:rsidRPr="00000000">
        <w:rPr>
          <w:b w:val="1"/>
          <w:bCs w:val="1"/>
          <w:sz w:val="34"/>
          <w:szCs w:val="34"/>
          <w:rtl w:val="0"/>
        </w:rPr>
        <w:t xml:space="preserve">Sources juridiques et cadres de recherche pour l'évaluation des propositions politiques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vuohs7v85d9" w:id="2"/>
      <w:bookmarkEnd w:id="2"/>
      <w:r w:rsidDel="00000000" w:rsidR="00000000" w:rsidRPr="00000000">
        <w:rPr>
          <w:b w:val="1"/>
          <w:bCs w:val="1"/>
          <w:sz w:val="34"/>
          <w:szCs w:val="34"/>
          <w:rtl w:val="0"/>
        </w:rPr>
        <w:t xml:space="preserve">1. Pourquoi ancrer les objectifs plutôt que les choisir</w:t>
      </w:r>
    </w:p>
    <w:p w:rsidR="00000000" w:rsidDel="00000000" w:rsidP="00000000" w:rsidRDefault="00000000" w:rsidRPr="00000000" w14:paraId="00000005">
      <w:pPr>
        <w:spacing w:after="240" w:before="240" w:lineRule="auto"/>
        <w:rPr/>
      </w:pPr>
      <w:r w:rsidDel="00000000" w:rsidR="00000000" w:rsidRPr="00000000">
        <w:rPr>
          <w:rtl w:val="0"/>
        </w:rPr>
        <w:t xml:space="preserve">Évaluer l'efficacité d'une mesure suppose de répondre à une question préalable : efficace au regard de quoi ?</w:t>
      </w:r>
    </w:p>
    <w:p w:rsidR="00000000" w:rsidDel="00000000" w:rsidP="00000000" w:rsidRDefault="00000000" w:rsidRPr="00000000" w14:paraId="00000006">
      <w:pPr>
        <w:spacing w:after="240" w:before="240" w:lineRule="auto"/>
        <w:rPr/>
      </w:pPr>
      <w:r w:rsidDel="00000000" w:rsidR="00000000" w:rsidRPr="00000000">
        <w:rPr>
          <w:rtl w:val="0"/>
        </w:rPr>
        <w:t xml:space="preserve">Trois réponses sont possibles, et deux d'entre elles posent problème.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Évaluer contre l'objectif affiché par le candidat</w:t>
      </w:r>
      <w:r w:rsidDel="00000000" w:rsidR="00000000" w:rsidRPr="00000000">
        <w:rPr>
          <w:rtl w:val="0"/>
        </w:rPr>
        <w:t xml:space="preserve"> rend chaque fiche défendable prise isolément, mais empêche toute comparaison entre candidats sur un même sujet. Deux propositions opposées sur les retraites seraient jugées à l'aune de critères différents, ce qui prive le lecteur de ce qu'il cherche : un point de comparaison.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Choisir soi-même l'objectif</w:t>
      </w:r>
      <w:r w:rsidDel="00000000" w:rsidR="00000000" w:rsidRPr="00000000">
        <w:rPr>
          <w:rtl w:val="0"/>
        </w:rPr>
        <w:t xml:space="preserve"> revient à faire le choix politique que l'on prétend éviter. Poser que l'objectif de la politique des retraites est « la stabilisation du système » adopte le cadrage d'un camp, celui pour lequel la contrainte financière est fixe et les paramètres doivent s'y plier. Poser à l'inverse que l'objectif est « le niveau de vie des retraités » adopte le cadrage inverse.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Aller chercher l'objectif dans le texte qui l'assigne</w:t>
      </w:r>
      <w:r w:rsidDel="00000000" w:rsidR="00000000" w:rsidRPr="00000000">
        <w:rPr>
          <w:rtl w:val="0"/>
        </w:rPr>
        <w:t xml:space="preserve"> échappe aux deux difficultés. L'objectif n'est ni celui du candidat ni celui de l'analyste : c'est celui que le législateur ou l'institution compétente a formellement fixé au domaine. Il est vérifiable, opposable, et le même pour tous les candidats.</w:t>
      </w:r>
    </w:p>
    <w:p w:rsidR="00000000" w:rsidDel="00000000" w:rsidP="00000000" w:rsidRDefault="00000000" w:rsidRPr="00000000" w14:paraId="0000000A">
      <w:pPr>
        <w:spacing w:after="240" w:before="240" w:lineRule="auto"/>
        <w:rPr/>
      </w:pPr>
      <w:r w:rsidDel="00000000" w:rsidR="00000000" w:rsidRPr="00000000">
        <w:rPr>
          <w:rtl w:val="0"/>
        </w:rPr>
        <w:t xml:space="preserve">Trois propriétés rendent cette approche robuste.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Ces objectifs sont presque toujours multidimensionnels.</w:t>
      </w:r>
      <w:r w:rsidDel="00000000" w:rsidR="00000000" w:rsidRPr="00000000">
        <w:rPr>
          <w:rtl w:val="0"/>
        </w:rPr>
        <w:t xml:space="preserve"> La loi ne dit pas « le système de retraite doit être équilibré », elle énumère plusieurs finalités simultanées, souvent en tension. Cette structure est un avantage : elle permet de montrer l'arbitrage propre à chaque mesure au lieu de le trancher.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Les dimensions se répartissent entre deux critères de notation.</w:t>
      </w:r>
      <w:r w:rsidDel="00000000" w:rsidR="00000000" w:rsidRPr="00000000">
        <w:rPr>
          <w:rtl w:val="0"/>
        </w:rPr>
        <w:t xml:space="preserve"> Celles que la mesure vise relèvent de l'Efficacité. Celles qu'elle dégrade relèvent des Effets rebonds et Externalités. Une mesure qui améliore une dimension au détriment d'une autre n'est donc pas « bonne » ou « mauvaise » : elle est décrite pour ce qu'elle est, un arbitrage.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Le droit français et les cadres de recherche internationaux convergent souvent.</w:t>
      </w:r>
      <w:r w:rsidDel="00000000" w:rsidR="00000000" w:rsidRPr="00000000">
        <w:rPr>
          <w:rtl w:val="0"/>
        </w:rPr>
        <w:t xml:space="preserve"> Pour l'énergie et les retraites en particulier, les dimensions retenues par le législateur français recoupent celles des cadres d'évaluation internationaux. Ce double ancrage est le plus solide dont on puisse disposer.</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ni2oc1pzt49" w:id="3"/>
      <w:bookmarkEnd w:id="3"/>
      <w:r w:rsidDel="00000000" w:rsidR="00000000" w:rsidRPr="00000000">
        <w:rPr>
          <w:b w:val="1"/>
          <w:bCs w:val="1"/>
          <w:sz w:val="34"/>
          <w:szCs w:val="34"/>
          <w:rtl w:val="0"/>
        </w:rPr>
        <w:t xml:space="preserve">2. Le cadre transversal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rg6jegsu48g" w:id="4"/>
      <w:bookmarkEnd w:id="4"/>
      <w:r w:rsidDel="00000000" w:rsidR="00000000" w:rsidRPr="00000000">
        <w:rPr>
          <w:b w:val="1"/>
          <w:bCs w:val="1"/>
          <w:color w:val="000000"/>
          <w:sz w:val="26"/>
          <w:szCs w:val="26"/>
          <w:rtl w:val="0"/>
        </w:rPr>
        <w:t xml:space="preserve">2.1 Les six critères du CAD de l'OCDE</w:t>
      </w:r>
    </w:p>
    <w:p w:rsidR="00000000" w:rsidDel="00000000" w:rsidP="00000000" w:rsidRDefault="00000000" w:rsidRPr="00000000" w14:paraId="00000011">
      <w:pPr>
        <w:spacing w:after="240" w:before="240" w:lineRule="auto"/>
        <w:rPr/>
      </w:pPr>
      <w:r w:rsidDel="00000000" w:rsidR="00000000" w:rsidRPr="00000000">
        <w:rPr>
          <w:rtl w:val="0"/>
        </w:rPr>
        <w:t xml:space="preserve">Le Comité d'aide au développement de l'OCDE a défini six critères d'évaluation constituant un cadre normatif servant de base au jugement porté sur une intervention publique : pertinence, cohérence, efficacité, efficience, impact et durabilité. Ces critères ont été révisés en 2018-2019, la cohérence ayant été ajoutée à cette occasion pour mieux saisir les interactions entre interventions, la pensée systémique et la complexité.</w:t>
      </w:r>
    </w:p>
    <w:p w:rsidR="00000000" w:rsidDel="00000000" w:rsidP="00000000" w:rsidRDefault="00000000" w:rsidRPr="00000000" w14:paraId="00000012">
      <w:pPr>
        <w:spacing w:after="240" w:before="240" w:lineRule="auto"/>
        <w:rPr/>
      </w:pPr>
      <w:r w:rsidDel="00000000" w:rsidR="00000000" w:rsidRPr="00000000">
        <w:rPr>
          <w:rtl w:val="0"/>
        </w:rPr>
        <w:t xml:space="preserve">Trois enseignements sont directement transposables.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La distinction efficacité / impact.</w:t>
      </w:r>
      <w:r w:rsidDel="00000000" w:rsidR="00000000" w:rsidRPr="00000000">
        <w:rPr>
          <w:rtl w:val="0"/>
        </w:rPr>
        <w:t xml:space="preserve"> La guidance de 2021 précise que l'efficacité porte sur l'atteinte des objectifs annoncés, réalisations et résultats, tandis que l'impact examine des effets de plus haut niveau, potentiellement transformateurs. Cette distinction fonde le test de tautologie exposé plus bas.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La durabilité comme critère autonome.</w:t>
      </w:r>
      <w:r w:rsidDel="00000000" w:rsidR="00000000" w:rsidRPr="00000000">
        <w:rPr>
          <w:rtl w:val="0"/>
        </w:rPr>
        <w:t xml:space="preserve"> La question de savoir si les bénéfices vont durer constitue l'une des six dimensions, et non un sous-point de l'efficacité.</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L'avertissement contre l'application mécanique.</w:t>
      </w:r>
      <w:r w:rsidDel="00000000" w:rsidR="00000000" w:rsidRPr="00000000">
        <w:rPr>
          <w:rtl w:val="0"/>
        </w:rPr>
        <w:t xml:space="preserve"> L'OCDE souligne que l'efficience peut entrer en conflit avec l'équité, qu'une efficacité de court terme peut compromettre la durabilité de long terme, et que les évaluateurs ont besoin de cadres permettant des arbitrages transparents et argumentés, pas seulement de constater les tensions.</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Réserve : ces critères ont été conçus pour l'évaluation d'interventions de développement, non pour celle de programmes électoraux. Ils constituent un cadre de référence, pas une norme directement applicable.</w:t>
      </w:r>
    </w:p>
    <w:p w:rsidR="00000000" w:rsidDel="00000000" w:rsidP="00000000" w:rsidRDefault="00000000" w:rsidRPr="00000000" w14:paraId="00000017">
      <w:pPr>
        <w:spacing w:after="240" w:before="240" w:lineRule="auto"/>
        <w:rPr/>
      </w:pPr>
      <w:r w:rsidDel="00000000" w:rsidR="00000000" w:rsidRPr="00000000">
        <w:rPr>
          <w:rtl w:val="0"/>
        </w:rPr>
        <w:t xml:space="preserve">Référence : OCDE (2019), </w:t>
      </w:r>
      <w:r w:rsidDel="00000000" w:rsidR="00000000" w:rsidRPr="00000000">
        <w:rPr>
          <w:i w:val="1"/>
          <w:iCs w:val="1"/>
          <w:rtl w:val="0"/>
        </w:rPr>
        <w:t xml:space="preserve">Better Criteria for Better Evaluation</w:t>
      </w:r>
      <w:r w:rsidDel="00000000" w:rsidR="00000000" w:rsidRPr="00000000">
        <w:rPr>
          <w:rtl w:val="0"/>
        </w:rPr>
        <w:t xml:space="preserve"> ; OCDE (2021), </w:t>
      </w:r>
      <w:r w:rsidDel="00000000" w:rsidR="00000000" w:rsidRPr="00000000">
        <w:rPr>
          <w:i w:val="1"/>
          <w:iCs w:val="1"/>
          <w:rtl w:val="0"/>
        </w:rPr>
        <w:t xml:space="preserve">Applying Evaluation Criteria Thoughtfully</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c4978kurxf8a" w:id="5"/>
      <w:bookmarkEnd w:id="5"/>
      <w:r w:rsidDel="00000000" w:rsidR="00000000" w:rsidRPr="00000000">
        <w:rPr>
          <w:b w:val="1"/>
          <w:bCs w:val="1"/>
          <w:color w:val="000000"/>
          <w:sz w:val="26"/>
          <w:szCs w:val="26"/>
          <w:rtl w:val="0"/>
        </w:rPr>
        <w:t xml:space="preserve">2.2 La distinction réalisation / résultat</w:t>
      </w:r>
    </w:p>
    <w:p w:rsidR="00000000" w:rsidDel="00000000" w:rsidP="00000000" w:rsidRDefault="00000000" w:rsidRPr="00000000" w14:paraId="00000019">
      <w:pPr>
        <w:spacing w:after="240" w:before="240" w:lineRule="auto"/>
        <w:rPr/>
      </w:pPr>
      <w:r w:rsidDel="00000000" w:rsidR="00000000" w:rsidRPr="00000000">
        <w:rPr>
          <w:rtl w:val="0"/>
        </w:rPr>
        <w:t xml:space="preserve">La tradition française d'évaluation distingue, à la suite de Gibert (1980) et de Bouckaert et Pollitt (2004), les réalisations et les impacts : les moyens affectés à l'action sont les inputs, l'activité produit des réalisations, lesquelles engendrent des résultats.</w:t>
      </w:r>
    </w:p>
    <w:p w:rsidR="00000000" w:rsidDel="00000000" w:rsidP="00000000" w:rsidRDefault="00000000" w:rsidRPr="00000000" w14:paraId="0000001A">
      <w:pPr>
        <w:spacing w:after="240" w:before="240" w:lineRule="auto"/>
        <w:rPr/>
      </w:pPr>
      <w:r w:rsidDel="00000000" w:rsidR="00000000" w:rsidRPr="00000000">
        <w:rPr>
          <w:rtl w:val="0"/>
        </w:rPr>
        <w:t xml:space="preserve">L'exemple canonique est celui de la sécurité routière : le nombre de radars installés est une réalisation, la suppression des points noirs un résultat, la baisse du nombre de tués un impact.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Conséquence pratique — le test de tautologie.</w:t>
      </w:r>
      <w:r w:rsidDel="00000000" w:rsidR="00000000" w:rsidRPr="00000000">
        <w:rPr>
          <w:rtl w:val="0"/>
        </w:rPr>
        <w:t xml:space="preserve"> Si le mécanisme proposé est la définition même de l'objectif retenu (changer la règle X pour obtenir l'effet que la règle X définit), l'objectif a été formulé au niveau de la réalisation. Toute mesure paramétrique législative obtiendrait alors mécaniquement la note maximale en Efficacité.</w:t>
      </w:r>
    </w:p>
    <w:p w:rsidR="00000000" w:rsidDel="00000000" w:rsidP="00000000" w:rsidRDefault="00000000" w:rsidRPr="00000000" w14:paraId="0000001C">
      <w:pPr>
        <w:spacing w:after="240" w:before="240" w:lineRule="auto"/>
        <w:rPr/>
      </w:pPr>
      <w:r w:rsidDel="00000000" w:rsidR="00000000" w:rsidRPr="00000000">
        <w:rPr>
          <w:rtl w:val="0"/>
        </w:rPr>
        <w:t xml:space="preserve">Illustration : formuler l'objectif de l'abaissement de l'âge légal de la retraite comme « permettre de partir à 60 ans » est tautologique. Le formuler au niveau du résultat, en s'appuyant sur l'objectif légal, ne l'est pas.</w:t>
      </w:r>
    </w:p>
    <w:p w:rsidR="00000000" w:rsidDel="00000000" w:rsidP="00000000" w:rsidRDefault="00000000" w:rsidRPr="00000000" w14:paraId="0000001D">
      <w:pPr>
        <w:spacing w:after="240" w:before="240" w:lineRule="auto"/>
        <w:rPr/>
      </w:pPr>
      <w:r w:rsidDel="00000000" w:rsidR="00000000" w:rsidRPr="00000000">
        <w:rPr>
          <w:rtl w:val="0"/>
        </w:rPr>
        <w:t xml:space="preserve">Référence : DREES, </w:t>
      </w:r>
      <w:r w:rsidDel="00000000" w:rsidR="00000000" w:rsidRPr="00000000">
        <w:rPr>
          <w:i w:val="1"/>
          <w:iCs w:val="1"/>
          <w:rtl w:val="0"/>
        </w:rPr>
        <w:t xml:space="preserve">Méthodes d'évaluation des politiques publiques</w:t>
      </w:r>
      <w:r w:rsidDel="00000000" w:rsidR="00000000" w:rsidRPr="00000000">
        <w:rPr>
          <w:rtl w:val="0"/>
        </w:rPr>
        <w:t xml:space="preserve">, actes du séminaire ; Conseil scientifique de l'évaluation, critères d'évaluation des politiques publiques.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zi2h38hfxayq" w:id="6"/>
      <w:bookmarkEnd w:id="6"/>
      <w:r w:rsidDel="00000000" w:rsidR="00000000" w:rsidRPr="00000000">
        <w:rPr>
          <w:b w:val="1"/>
          <w:bCs w:val="1"/>
          <w:color w:val="000000"/>
          <w:sz w:val="26"/>
          <w:szCs w:val="26"/>
          <w:rtl w:val="0"/>
        </w:rPr>
        <w:t xml:space="preserve">2.3 La soutenabilité budgétaire comme dimension séparée</w:t>
      </w:r>
    </w:p>
    <w:p w:rsidR="00000000" w:rsidDel="00000000" w:rsidP="00000000" w:rsidRDefault="00000000" w:rsidRPr="00000000" w14:paraId="0000001F">
      <w:pPr>
        <w:spacing w:after="240" w:before="240" w:lineRule="auto"/>
        <w:rPr/>
      </w:pPr>
      <w:r w:rsidDel="00000000" w:rsidR="00000000" w:rsidRPr="00000000">
        <w:rPr>
          <w:rtl w:val="0"/>
        </w:rPr>
        <w:t xml:space="preserve">Le Green Book du Trésor britannique, guide d'évaluation obligatoire pour les administrations, traite l'accessibilité budgétaire comme une dimension distincte de la valeur économique : la dimension financière porte exclusivement sur l'impact financier pour le secteur public, là où la dimension économique évalue la meilleure valeur sociale. L'édition 2026 confirme que la valeur pour l'argent public dépend des coûts et bénéfices monétisés, mais aussi de l'accessibilité financière, des effets distributifs, du risque et de l'incertitude.</w:t>
      </w:r>
    </w:p>
    <w:p w:rsidR="00000000" w:rsidDel="00000000" w:rsidP="00000000" w:rsidRDefault="00000000" w:rsidRPr="00000000" w14:paraId="00000020">
      <w:pPr>
        <w:spacing w:after="240" w:before="240" w:lineRule="auto"/>
        <w:rPr/>
      </w:pPr>
      <w:r w:rsidDel="00000000" w:rsidR="00000000" w:rsidRPr="00000000">
        <w:rPr>
          <w:rtl w:val="0"/>
        </w:rPr>
        <w:t xml:space="preserve">Cette séparation fonde le traitement du financement comme critère à part entière, doté de son propre seuil de blocage, plutôt que comme sous-composante diluée.</w:t>
      </w:r>
    </w:p>
    <w:p w:rsidR="00000000" w:rsidDel="00000000" w:rsidP="00000000" w:rsidRDefault="00000000" w:rsidRPr="00000000" w14:paraId="00000021">
      <w:pPr>
        <w:spacing w:after="240" w:before="240" w:lineRule="auto"/>
        <w:rPr/>
      </w:pPr>
      <w:r w:rsidDel="00000000" w:rsidR="00000000" w:rsidRPr="00000000">
        <w:rPr>
          <w:rtl w:val="0"/>
        </w:rPr>
        <w:t xml:space="preserve">Référence : HM Treasury, </w:t>
      </w:r>
      <w:r w:rsidDel="00000000" w:rsidR="00000000" w:rsidRPr="00000000">
        <w:rPr>
          <w:i w:val="1"/>
          <w:iCs w:val="1"/>
          <w:rtl w:val="0"/>
        </w:rPr>
        <w:t xml:space="preserve">The Green Book</w:t>
      </w:r>
      <w:r w:rsidDel="00000000" w:rsidR="00000000" w:rsidRPr="00000000">
        <w:rPr>
          <w:rtl w:val="0"/>
        </w:rPr>
        <w:t xml:space="preserve"> (éditions 2018, 2020 et 2026).</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1gcwacstkrz" w:id="7"/>
      <w:bookmarkEnd w:id="7"/>
      <w:r w:rsidDel="00000000" w:rsidR="00000000" w:rsidRPr="00000000">
        <w:rPr>
          <w:b w:val="1"/>
          <w:bCs w:val="1"/>
          <w:sz w:val="34"/>
          <w:szCs w:val="34"/>
          <w:rtl w:val="0"/>
        </w:rPr>
        <w:t xml:space="preserve">3. Les objectifs de référence par domaine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klm0xu62onl" w:id="8"/>
      <w:bookmarkEnd w:id="8"/>
      <w:r w:rsidDel="00000000" w:rsidR="00000000" w:rsidRPr="00000000">
        <w:rPr>
          <w:b w:val="1"/>
          <w:bCs w:val="1"/>
          <w:color w:val="000000"/>
          <w:sz w:val="26"/>
          <w:szCs w:val="26"/>
          <w:rtl w:val="0"/>
        </w:rPr>
        <w:t xml:space="preserve">3.1 Retraites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Ancrage juridique — article L111-2-1 du code de la sécurité sociale</w:t>
      </w:r>
    </w:p>
    <w:p w:rsidR="00000000" w:rsidDel="00000000" w:rsidP="00000000" w:rsidRDefault="00000000" w:rsidRPr="00000000" w14:paraId="00000026">
      <w:pPr>
        <w:spacing w:after="240" w:before="240" w:lineRule="auto"/>
        <w:rPr/>
      </w:pPr>
      <w:r w:rsidDel="00000000" w:rsidR="00000000" w:rsidRPr="00000000">
        <w:rPr>
          <w:rtl w:val="0"/>
        </w:rPr>
        <w:t xml:space="preserve">Quatre dimensions sont assignées au système de retraite par répartition :</w:t>
      </w:r>
    </w:p>
    <w:p w:rsidR="00000000" w:rsidDel="00000000" w:rsidP="00000000" w:rsidRDefault="00000000" w:rsidRPr="00000000" w14:paraId="00000027">
      <w:pPr>
        <w:numPr>
          <w:ilvl w:val="0"/>
          <w:numId w:val="21"/>
        </w:numPr>
        <w:spacing w:after="0" w:afterAutospacing="0" w:before="240" w:lineRule="auto"/>
        <w:ind w:left="720" w:hanging="360"/>
      </w:pPr>
      <w:r w:rsidDel="00000000" w:rsidR="00000000" w:rsidRPr="00000000">
        <w:rPr>
          <w:b w:val="1"/>
          <w:bCs w:val="1"/>
          <w:rtl w:val="0"/>
        </w:rPr>
        <w:t xml:space="preserve">Traitement équitable</w:t>
      </w:r>
      <w:r w:rsidDel="00000000" w:rsidR="00000000" w:rsidRPr="00000000">
        <w:rPr>
          <w:rtl w:val="0"/>
        </w:rPr>
        <w:t xml:space="preserve"> des assurés au regard de la durée de la retraite comme du montant de la pension, quels que soient le sexe, les activités et parcours professionnels passés, l'espérance de vie en bonne santé, les régimes et la génération.</w:t>
      </w:r>
    </w:p>
    <w:p w:rsidR="00000000" w:rsidDel="00000000" w:rsidP="00000000" w:rsidRDefault="00000000" w:rsidRPr="00000000" w14:paraId="00000028">
      <w:pPr>
        <w:numPr>
          <w:ilvl w:val="0"/>
          <w:numId w:val="21"/>
        </w:numPr>
        <w:spacing w:after="0" w:afterAutospacing="0" w:before="0" w:beforeAutospacing="0" w:lineRule="auto"/>
        <w:ind w:left="720" w:hanging="360"/>
      </w:pPr>
      <w:r w:rsidDel="00000000" w:rsidR="00000000" w:rsidRPr="00000000">
        <w:rPr>
          <w:b w:val="1"/>
          <w:bCs w:val="1"/>
          <w:rtl w:val="0"/>
        </w:rPr>
        <w:t xml:space="preserve">Solidarité entre et au sein des générations</w:t>
      </w:r>
      <w:r w:rsidDel="00000000" w:rsidR="00000000" w:rsidRPr="00000000">
        <w:rPr>
          <w:rtl w:val="0"/>
        </w:rPr>
        <w:t xml:space="preserve">, notamment l'égalité entre les femmes et les hommes, la prise en compte des périodes de privation involontaire d'emploi, et la garantie d'un niveau de vie satisfaisant pour tous les retraités.</w:t>
      </w:r>
    </w:p>
    <w:p w:rsidR="00000000" w:rsidDel="00000000" w:rsidP="00000000" w:rsidRDefault="00000000" w:rsidRPr="00000000" w14:paraId="00000029">
      <w:pPr>
        <w:numPr>
          <w:ilvl w:val="0"/>
          <w:numId w:val="21"/>
        </w:numPr>
        <w:spacing w:after="0" w:afterAutospacing="0" w:before="0" w:beforeAutospacing="0" w:lineRule="auto"/>
        <w:ind w:left="720" w:hanging="360"/>
      </w:pPr>
      <w:r w:rsidDel="00000000" w:rsidR="00000000" w:rsidRPr="00000000">
        <w:rPr>
          <w:b w:val="1"/>
          <w:bCs w:val="1"/>
          <w:rtl w:val="0"/>
        </w:rPr>
        <w:t xml:space="preserve">Pérennité financière</w:t>
      </w:r>
      <w:r w:rsidDel="00000000" w:rsidR="00000000" w:rsidRPr="00000000">
        <w:rPr>
          <w:rtl w:val="0"/>
        </w:rPr>
        <w:t xml:space="preserve">, assurée par des contributions réparties équitablement entre les générations et, au sein de chaque génération, entre les différents niveaux de revenus et entre les revenus tirés du travail et du capital.</w:t>
      </w:r>
    </w:p>
    <w:p w:rsidR="00000000" w:rsidDel="00000000" w:rsidP="00000000" w:rsidRDefault="00000000" w:rsidRPr="00000000" w14:paraId="0000002A">
      <w:pPr>
        <w:numPr>
          <w:ilvl w:val="0"/>
          <w:numId w:val="21"/>
        </w:numPr>
        <w:spacing w:after="240" w:before="0" w:beforeAutospacing="0" w:lineRule="auto"/>
        <w:ind w:left="720" w:hanging="360"/>
      </w:pPr>
      <w:r w:rsidDel="00000000" w:rsidR="00000000" w:rsidRPr="00000000">
        <w:rPr>
          <w:b w:val="1"/>
          <w:bCs w:val="1"/>
          <w:rtl w:val="0"/>
        </w:rPr>
        <w:t xml:space="preserve">Recherche du plein emploi</w:t>
      </w:r>
      <w:r w:rsidDel="00000000" w:rsidR="00000000" w:rsidRPr="00000000">
        <w:rPr>
          <w:rtl w:val="0"/>
        </w:rPr>
        <w:t xml:space="preserve">, posée comme condition de la pérennité.</w:t>
      </w:r>
    </w:p>
    <w:p w:rsidR="00000000" w:rsidDel="00000000" w:rsidP="00000000" w:rsidRDefault="00000000" w:rsidRPr="00000000" w14:paraId="0000002B">
      <w:pPr>
        <w:spacing w:after="240" w:before="240" w:lineRule="auto"/>
        <w:rPr/>
      </w:pPr>
      <w:r w:rsidDel="00000000" w:rsidR="00000000" w:rsidRPr="00000000">
        <w:rPr>
          <w:rtl w:val="0"/>
        </w:rPr>
        <w:t xml:space="preserve">Des objectifs chiffrés d'égalité complètent le dispositif : suppression de l'écart de pension entre femmes et hommes à l'horizon 2050, réduction de moitié en 2037 par rapport à l'écart constaté en 2023.</w:t>
      </w:r>
    </w:p>
    <w:p w:rsidR="00000000" w:rsidDel="00000000" w:rsidP="00000000" w:rsidRDefault="00000000" w:rsidRPr="00000000" w14:paraId="0000002C">
      <w:pPr>
        <w:spacing w:after="240" w:before="240" w:lineRule="auto"/>
        <w:rPr/>
      </w:pPr>
      <w:r w:rsidDel="00000000" w:rsidR="00000000" w:rsidRPr="00000000">
        <w:rPr>
          <w:rtl w:val="0"/>
        </w:rPr>
        <w:t xml:space="preserve">Le décret du 20 juin 2014 fixe les indicateurs de mesure de ces objectifs, suivis annuellement par le Comité de suivi des retraites.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Point d'attention pour la neutralité.</w:t>
      </w:r>
      <w:r w:rsidDel="00000000" w:rsidR="00000000" w:rsidRPr="00000000">
        <w:rPr>
          <w:rtl w:val="0"/>
        </w:rPr>
        <w:t xml:space="preserve"> La loi mentionne explicitement la répartition des contributions entre revenus du travail et du capital comme mode de financement de la pérennité. Financer une mesure par la fiscalité du capital relève donc du cadre légal et non d'une option exotique. Symétriquement, relever l'âge de départ poursuit bien la pérennité, également inscrite. Les deux orientations opèrent dans le terrain défini par le même texte.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Cadre de recherche — adéquation et soutenabilité</w:t>
      </w:r>
    </w:p>
    <w:p w:rsidR="00000000" w:rsidDel="00000000" w:rsidP="00000000" w:rsidRDefault="00000000" w:rsidRPr="00000000" w14:paraId="0000002F">
      <w:pPr>
        <w:spacing w:after="240" w:before="240" w:lineRule="auto"/>
        <w:rPr/>
      </w:pPr>
      <w:r w:rsidDel="00000000" w:rsidR="00000000" w:rsidRPr="00000000">
        <w:rPr>
          <w:rtl w:val="0"/>
        </w:rPr>
        <w:t xml:space="preserve">L'OCDE structure sa doctrine autour de cette tension : les réformes visent à rendre les systèmes à la fois financièrement et socialement soutenables. L'édition 2021 de </w:t>
      </w:r>
      <w:r w:rsidDel="00000000" w:rsidR="00000000" w:rsidRPr="00000000">
        <w:rPr>
          <w:i w:val="1"/>
          <w:iCs w:val="1"/>
          <w:rtl w:val="0"/>
        </w:rPr>
        <w:t xml:space="preserve">Pensions at a Glance</w:t>
      </w:r>
      <w:r w:rsidDel="00000000" w:rsidR="00000000" w:rsidRPr="00000000">
        <w:rPr>
          <w:rtl w:val="0"/>
        </w:rPr>
        <w:t xml:space="preserve"> précise que le choix d'ajuster les pensions, les cotisations ou l'âge de départ relève fondamentalement du débat démocratique — l'OCDE refuse donc elle-même de trancher entre les dimensions.</w:t>
      </w:r>
    </w:p>
    <w:p w:rsidR="00000000" w:rsidDel="00000000" w:rsidP="00000000" w:rsidRDefault="00000000" w:rsidRPr="00000000" w14:paraId="00000030">
      <w:pPr>
        <w:spacing w:after="240" w:before="240" w:lineRule="auto"/>
        <w:rPr/>
      </w:pPr>
      <w:r w:rsidDel="00000000" w:rsidR="00000000" w:rsidRPr="00000000">
        <w:rPr>
          <w:rtl w:val="0"/>
        </w:rPr>
        <w:t xml:space="preserve">Un travail publié en 2026 portant sur les 27 États membres de l'Union européenne formule un trilemme à trois termes : adéquation des prestations, stabilité budgétaire et flexibilité du marché du travail. Sa conclusion est qu'aucun modèle unique ne peut atteindre simultanément tous les objectifs.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Convergence.</w:t>
      </w:r>
      <w:r w:rsidDel="00000000" w:rsidR="00000000" w:rsidRPr="00000000">
        <w:rPr>
          <w:rtl w:val="0"/>
        </w:rPr>
        <w:t xml:space="preserve"> Les dimensions du cadre international (adéquation, soutenabilité, emploi) recoupent celles de l'article L111-2-1 (niveau de vie satisfaisant, pérennité financière, plein emploi).</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yi6ufgmpvxi" w:id="9"/>
      <w:bookmarkEnd w:id="9"/>
      <w:r w:rsidDel="00000000" w:rsidR="00000000" w:rsidRPr="00000000">
        <w:rPr>
          <w:b w:val="1"/>
          <w:bCs w:val="1"/>
          <w:color w:val="000000"/>
          <w:sz w:val="26"/>
          <w:szCs w:val="26"/>
          <w:rtl w:val="0"/>
        </w:rPr>
        <w:t xml:space="preserve">3.2 Santé</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Ancrage juridique — article L111-2-1 du code de la sécurité sociale, partie I</w:t>
      </w:r>
    </w:p>
    <w:p w:rsidR="00000000" w:rsidDel="00000000" w:rsidP="00000000" w:rsidRDefault="00000000" w:rsidRPr="00000000" w14:paraId="00000035">
      <w:pPr>
        <w:spacing w:after="240" w:before="240" w:lineRule="auto"/>
        <w:rPr/>
      </w:pPr>
      <w:r w:rsidDel="00000000" w:rsidR="00000000" w:rsidRPr="00000000">
        <w:rPr>
          <w:rtl w:val="0"/>
        </w:rPr>
        <w:t xml:space="preserve">Trois dimensions :</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Caractère universel, obligatoire et solidaire</w:t>
      </w:r>
      <w:r w:rsidDel="00000000" w:rsidR="00000000" w:rsidRPr="00000000">
        <w:rPr>
          <w:rtl w:val="0"/>
        </w:rPr>
        <w:t xml:space="preserve"> de l'assurance maladie.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Protection indépendante de l'âge et de l'état de santé</w:t>
      </w:r>
      <w:r w:rsidDel="00000000" w:rsidR="00000000" w:rsidRPr="00000000">
        <w:rPr>
          <w:rtl w:val="0"/>
        </w:rPr>
        <w:t xml:space="preserve">, financée par chaque assuré selon ses ressources.</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bCs w:val="1"/>
          <w:rtl w:val="0"/>
        </w:rPr>
        <w:t xml:space="preserve">Accès effectif aux soins sur l'ensemble du territoire</w:t>
      </w:r>
      <w:r w:rsidDel="00000000" w:rsidR="00000000" w:rsidRPr="00000000">
        <w:rPr>
          <w:rtl w:val="0"/>
        </w:rPr>
        <w:t xml:space="preserve">, garanti par l'État, qui définit par ailleurs les objectifs de la politique de santé publique.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Cadre de recherche — le cadre de performance de l'OMS</w:t>
      </w:r>
    </w:p>
    <w:p w:rsidR="00000000" w:rsidDel="00000000" w:rsidP="00000000" w:rsidRDefault="00000000" w:rsidRPr="00000000" w14:paraId="0000003A">
      <w:pPr>
        <w:spacing w:after="240" w:before="240" w:lineRule="auto"/>
        <w:rPr/>
      </w:pPr>
      <w:r w:rsidDel="00000000" w:rsidR="00000000" w:rsidRPr="00000000">
        <w:rPr>
          <w:rtl w:val="0"/>
        </w:rPr>
        <w:t xml:space="preserve">Le Rapport sur la santé dans le monde 2000 a posé trois finalités pour tout système de santé : améliorer la santé, répondre aux attentes légitimes de la population, et assurer l'équité de la contribution financière. L'amélioration de la santé y recouvre à la fois le relèvement de l'état de santé moyen et la réduction des inégalités de santé, tandis que l'équité financière signifie que chaque ménage acquitte une part juste de la dépense nationale, ce qui peut impliquer que les ménages les plus pauvres ne paient rien.</w:t>
      </w:r>
    </w:p>
    <w:p w:rsidR="00000000" w:rsidDel="00000000" w:rsidP="00000000" w:rsidRDefault="00000000" w:rsidRPr="00000000" w14:paraId="0000003B">
      <w:pPr>
        <w:spacing w:after="240" w:before="240" w:lineRule="auto"/>
        <w:rPr/>
      </w:pPr>
      <w:r w:rsidDel="00000000" w:rsidR="00000000" w:rsidRPr="00000000">
        <w:rPr>
          <w:rtl w:val="0"/>
        </w:rPr>
        <w:t xml:space="preserve">Le cadre a été actualisé en 2022 autour de cinq finalités : amélioration de la santé, centrage sur les personnes, protection financière, efficience et équité.</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Convergence.</w:t>
      </w:r>
      <w:r w:rsidDel="00000000" w:rsidR="00000000" w:rsidRPr="00000000">
        <w:rPr>
          <w:rtl w:val="0"/>
        </w:rPr>
        <w:t xml:space="preserve"> La protection financière et l'équité de contribution du cadre OMS recoupent le financement selon les ressources posé par le code de la sécurité sociale ; le centrage sur les personnes et l'accès recoupent la garantie d'accès effectif sur le territoire.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ub9kqbgj20c" w:id="10"/>
      <w:bookmarkEnd w:id="10"/>
      <w:r w:rsidDel="00000000" w:rsidR="00000000" w:rsidRPr="00000000">
        <w:rPr>
          <w:b w:val="1"/>
          <w:bCs w:val="1"/>
          <w:color w:val="000000"/>
          <w:sz w:val="26"/>
          <w:szCs w:val="26"/>
          <w:rtl w:val="0"/>
        </w:rPr>
        <w:t xml:space="preserve">3.3 Emploi et chômage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Ancrage juridique</w:t>
      </w:r>
    </w:p>
    <w:p w:rsidR="00000000" w:rsidDel="00000000" w:rsidP="00000000" w:rsidRDefault="00000000" w:rsidRPr="00000000" w14:paraId="00000040">
      <w:pPr>
        <w:spacing w:after="240" w:before="240" w:lineRule="auto"/>
        <w:rPr/>
      </w:pPr>
      <w:r w:rsidDel="00000000" w:rsidR="00000000" w:rsidRPr="00000000">
        <w:rPr>
          <w:rtl w:val="0"/>
        </w:rPr>
        <w:t xml:space="preserve">La recherche du plein emploi figure à l'article L111-2-1 du code de la sécurité sociale comme condition de la pérennité du système social. C'est un ancrage indirect : le droit français ne consacre pas d'article assignant des objectifs propres à la politique de l'emploi de façon aussi structurée que pour les retraites ou l'énergie.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Cadre de recherche — la Stratégie de l'OCDE pour l'emploi (2018)</w:t>
      </w:r>
    </w:p>
    <w:p w:rsidR="00000000" w:rsidDel="00000000" w:rsidP="00000000" w:rsidRDefault="00000000" w:rsidRPr="00000000" w14:paraId="00000042">
      <w:pPr>
        <w:spacing w:after="240" w:before="240" w:lineRule="auto"/>
        <w:rPr/>
      </w:pPr>
      <w:r w:rsidDel="00000000" w:rsidR="00000000" w:rsidRPr="00000000">
        <w:rPr>
          <w:rtl w:val="0"/>
        </w:rPr>
        <w:t xml:space="preserve">Trois dimensions par lesquelles le marché du travail contribue à la croissance inclusive et au bien-être : la quantité et la qualité des emplois, l'inclusivité du marché du travail, et la résilience et l'adaptabilité face aux chocs économiques. Le cadre est opérationnalisé par un tableau de bord d'indicateurs.</w:t>
      </w:r>
    </w:p>
    <w:p w:rsidR="00000000" w:rsidDel="00000000" w:rsidP="00000000" w:rsidRDefault="00000000" w:rsidRPr="00000000" w14:paraId="00000043">
      <w:pPr>
        <w:spacing w:after="240" w:before="240" w:lineRule="auto"/>
        <w:rPr/>
      </w:pPr>
      <w:r w:rsidDel="00000000" w:rsidR="00000000" w:rsidRPr="00000000">
        <w:rPr>
          <w:rtl w:val="0"/>
        </w:rPr>
        <w:t xml:space="preserve">Le message central de cette stratégie est que les politiques de flexibilité sont nécessaires mais non suffisantes, et que des institutions protégeant les travailleurs et favorisant l'inclusivité sont également requises. La dimension qualité de l'emploi y recouvre trois composantes : les rémunérations, la sécurité sur le marché du travail, et les conditions de travail.</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Réserve : la Stratégie de l'OCDE pour l'emploi est un cadre d'analyse assorti de recommandations orientées, contestées dans la littérature académique. Elle peut servir à structurer les dimensions d'évaluation, non à trancher les débats de politique économique.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zi3jtabc7grf" w:id="11"/>
      <w:bookmarkEnd w:id="11"/>
      <w:r w:rsidDel="00000000" w:rsidR="00000000" w:rsidRPr="00000000">
        <w:rPr>
          <w:b w:val="1"/>
          <w:bCs w:val="1"/>
          <w:color w:val="000000"/>
          <w:sz w:val="26"/>
          <w:szCs w:val="26"/>
          <w:rtl w:val="0"/>
        </w:rPr>
        <w:t xml:space="preserve">3.4 Éducation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Ancrage juridique — article L111-1 du code de l'éducation</w:t>
      </w:r>
    </w:p>
    <w:p w:rsidR="00000000" w:rsidDel="00000000" w:rsidP="00000000" w:rsidRDefault="00000000" w:rsidRPr="00000000" w14:paraId="00000048">
      <w:pPr>
        <w:spacing w:after="240" w:before="240" w:lineRule="auto"/>
        <w:rPr/>
      </w:pPr>
      <w:r w:rsidDel="00000000" w:rsidR="00000000" w:rsidRPr="00000000">
        <w:rPr>
          <w:rtl w:val="0"/>
        </w:rPr>
        <w:t xml:space="preserve">Les dimensions assignées au service public de l'éducation :</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b w:val="1"/>
          <w:bCs w:val="1"/>
          <w:rtl w:val="0"/>
        </w:rPr>
        <w:t xml:space="preserve">Priorité nationale</w:t>
      </w:r>
      <w:r w:rsidDel="00000000" w:rsidR="00000000" w:rsidRPr="00000000">
        <w:rPr>
          <w:rtl w:val="0"/>
        </w:rPr>
        <w:t xml:space="preserve"> : l'éducation est la première priorité nationale, et le service public est conçu et organisé en fonction des élèves et des étudiants.</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Égalité des chances et lutte contre les inégalités</w:t>
      </w:r>
      <w:r w:rsidDel="00000000" w:rsidR="00000000" w:rsidRPr="00000000">
        <w:rPr>
          <w:rtl w:val="0"/>
        </w:rPr>
        <w:t xml:space="preserve"> sociales et territoriales en matière de réussite scolaire et éducative.</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b w:val="1"/>
          <w:bCs w:val="1"/>
          <w:rtl w:val="0"/>
        </w:rPr>
        <w:t xml:space="preserve">Capacité de tous à apprendre</w:t>
      </w:r>
      <w:r w:rsidDel="00000000" w:rsidR="00000000" w:rsidRPr="00000000">
        <w:rPr>
          <w:rtl w:val="0"/>
        </w:rPr>
        <w:t xml:space="preserve"> : le service public reconnaît que tous les enfants partagent la capacité d'apprendre et de progresser.</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b w:val="1"/>
          <w:bCs w:val="1"/>
          <w:rtl w:val="0"/>
        </w:rPr>
        <w:t xml:space="preserve">Scolarisation inclusive</w:t>
      </w:r>
      <w:r w:rsidDel="00000000" w:rsidR="00000000" w:rsidRPr="00000000">
        <w:rPr>
          <w:rtl w:val="0"/>
        </w:rPr>
        <w:t xml:space="preserve"> de tous les enfants, sans distinction.</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b w:val="1"/>
          <w:bCs w:val="1"/>
          <w:rtl w:val="0"/>
        </w:rPr>
        <w:t xml:space="preserve">Mixité sociale</w:t>
      </w:r>
      <w:r w:rsidDel="00000000" w:rsidR="00000000" w:rsidRPr="00000000">
        <w:rPr>
          <w:rtl w:val="0"/>
        </w:rPr>
        <w:t xml:space="preserve"> des publics scolarisés au sein des établissements.</w:t>
      </w:r>
    </w:p>
    <w:p w:rsidR="00000000" w:rsidDel="00000000" w:rsidP="00000000" w:rsidRDefault="00000000" w:rsidRPr="00000000" w14:paraId="0000004E">
      <w:pPr>
        <w:numPr>
          <w:ilvl w:val="0"/>
          <w:numId w:val="12"/>
        </w:numPr>
        <w:spacing w:after="240" w:before="0" w:beforeAutospacing="0" w:lineRule="auto"/>
        <w:ind w:left="720" w:hanging="360"/>
      </w:pPr>
      <w:r w:rsidDel="00000000" w:rsidR="00000000" w:rsidRPr="00000000">
        <w:rPr>
          <w:b w:val="1"/>
          <w:bCs w:val="1"/>
          <w:rtl w:val="0"/>
        </w:rPr>
        <w:t xml:space="preserve">Acquisition d'une culture générale et d'une qualification reconnue</w:t>
      </w:r>
      <w:r w:rsidDel="00000000" w:rsidR="00000000" w:rsidRPr="00000000">
        <w:rPr>
          <w:rtl w:val="0"/>
        </w:rPr>
        <w:t xml:space="preserve"> pour tous les jeunes, quelle que soit leur origine sociale, culturelle ou géographique.</w:t>
      </w:r>
    </w:p>
    <w:p w:rsidR="00000000" w:rsidDel="00000000" w:rsidP="00000000" w:rsidRDefault="00000000" w:rsidRPr="00000000" w14:paraId="0000004F">
      <w:pPr>
        <w:spacing w:after="240" w:before="240" w:lineRule="auto"/>
        <w:rPr/>
      </w:pPr>
      <w:r w:rsidDel="00000000" w:rsidR="00000000" w:rsidRPr="00000000">
        <w:rPr>
          <w:rtl w:val="0"/>
        </w:rPr>
        <w:t xml:space="preserve">Le Conseil constitutionnel a confirmé que l'objectif de mixité sociale, sans lequel l'égalité des chances et l'effectivité du droit à l'éducation ne peuvent être assurées, s'impose au service public de l'éducation.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oolopw48i32" w:id="12"/>
      <w:bookmarkEnd w:id="12"/>
      <w:r w:rsidDel="00000000" w:rsidR="00000000" w:rsidRPr="00000000">
        <w:rPr>
          <w:b w:val="1"/>
          <w:bCs w:val="1"/>
          <w:color w:val="000000"/>
          <w:sz w:val="26"/>
          <w:szCs w:val="26"/>
          <w:rtl w:val="0"/>
        </w:rPr>
        <w:t xml:space="preserve">3.5 Énergie et climat</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Ancrage juridique — articles L100-1 et L100-4 du code de l'énergie</w:t>
      </w:r>
    </w:p>
    <w:p w:rsidR="00000000" w:rsidDel="00000000" w:rsidP="00000000" w:rsidRDefault="00000000" w:rsidRPr="00000000" w14:paraId="00000053">
      <w:pPr>
        <w:spacing w:after="240" w:before="240" w:lineRule="auto"/>
        <w:rPr/>
      </w:pPr>
      <w:r w:rsidDel="00000000" w:rsidR="00000000" w:rsidRPr="00000000">
        <w:rPr>
          <w:rtl w:val="0"/>
        </w:rPr>
        <w:t xml:space="preserve">L'article L100-1 pose le cadre général : la politique énergétique garantit l'indépendance stratégique de la nation et favorise sa compétitivité économique, et vise à assurer la sécurité d'approvisionnement, maintenir un prix compétitif, préserver la santé humaine et l'environnement en luttant contre l'aggravation de l'effet de serre, et garantir la cohésion sociale et territoriale en assurant l'accès de tous à l'énergie.</w:t>
      </w:r>
    </w:p>
    <w:p w:rsidR="00000000" w:rsidDel="00000000" w:rsidP="00000000" w:rsidRDefault="00000000" w:rsidRPr="00000000" w14:paraId="00000054">
      <w:pPr>
        <w:spacing w:after="240" w:before="240" w:lineRule="auto"/>
        <w:rPr/>
      </w:pPr>
      <w:r w:rsidDel="00000000" w:rsidR="00000000" w:rsidRPr="00000000">
        <w:rPr>
          <w:rtl w:val="0"/>
        </w:rPr>
        <w:t xml:space="preserve">L'article L100-4 porte les cibles chiffrées : réduction des émissions de gaz à effet de serre de 40 % entre 1990 et 2030 et neutralité carbone à l'horizon 2050, ainsi qu'une réduction de 50 % de la consommation énergétique finale en 2050 par rapport à 2012.</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Disposition à connaître pour toute mesure sur le nucléaire.</w:t>
      </w:r>
      <w:r w:rsidDel="00000000" w:rsidR="00000000" w:rsidRPr="00000000">
        <w:rPr>
          <w:rtl w:val="0"/>
        </w:rPr>
        <w:t xml:space="preserve"> Le même article prévoit que la décision d'arrêt d'exploitation d'un réacteur nucléaire ayant pour finalité l'atteinte des objectifs de la politique énergétique doit tenir compte de l'objectif de sécurité d'approvisionnement et de celui de réduction des émissions associées à la consommation d'énergie. Il ne s'agit pas d'une interdiction, mais d'une contrainte procédurale opposable.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Cadre de recherche — le trilemme énergétique</w:t>
      </w:r>
    </w:p>
    <w:p w:rsidR="00000000" w:rsidDel="00000000" w:rsidP="00000000" w:rsidRDefault="00000000" w:rsidRPr="00000000" w14:paraId="00000057">
      <w:pPr>
        <w:spacing w:after="240" w:before="240" w:lineRule="auto"/>
        <w:rPr/>
      </w:pPr>
      <w:r w:rsidDel="00000000" w:rsidR="00000000" w:rsidRPr="00000000">
        <w:rPr>
          <w:rtl w:val="0"/>
        </w:rPr>
        <w:t xml:space="preserve">Le Conseil mondial de l'énergie définit la soutenabilité énergétique par trois dimensions : sécurité énergétique, équité énergétique (accessibilité et prix), durabilité environnementale. Le nom même de trilemme, employé depuis 2010, acte que ces objectifs sont en tension structurelle et que les équilibrer est l'enjeu central de toute politique énergétique.</w:t>
      </w:r>
    </w:p>
    <w:p w:rsidR="00000000" w:rsidDel="00000000" w:rsidP="00000000" w:rsidRDefault="00000000" w:rsidRPr="00000000" w14:paraId="00000058">
      <w:pPr>
        <w:spacing w:after="240" w:before="240" w:lineRule="auto"/>
        <w:rPr/>
      </w:pPr>
      <w:r w:rsidDel="00000000" w:rsidR="00000000" w:rsidRPr="00000000">
        <w:rPr>
          <w:rtl w:val="0"/>
        </w:rPr>
        <w:t xml:space="preserve">L'indice associé pondère chaque dimension à 30 %, avec 10 % de contexte pays, et couvre plus de 125 pays. Les variables retenues pour la sécurité incluent l'indépendance aux importations, la diversité du mix de production et le stockage ; pour l'équité, l'accès à l'électricité et le niveau des prix.</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Convergence.</w:t>
      </w:r>
      <w:r w:rsidDel="00000000" w:rsidR="00000000" w:rsidRPr="00000000">
        <w:rPr>
          <w:rtl w:val="0"/>
        </w:rPr>
        <w:t xml:space="preserve"> Les trois dimensions du trilemme recoupent presque terme à terme celles de l'article L100-1 : sécurité d'approvisionnement, prix compétitif et accès de tous, préservation de l'environnement.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d3a6pd9asn2j" w:id="13"/>
      <w:bookmarkEnd w:id="13"/>
      <w:r w:rsidDel="00000000" w:rsidR="00000000" w:rsidRPr="00000000">
        <w:rPr>
          <w:b w:val="1"/>
          <w:bCs w:val="1"/>
          <w:color w:val="000000"/>
          <w:sz w:val="26"/>
          <w:szCs w:val="26"/>
          <w:rtl w:val="0"/>
        </w:rPr>
        <w:t xml:space="preserve">3.6 Logement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Ancrage juridique — article L300-1 du code de la construction et de l'habitation</w:t>
      </w:r>
    </w:p>
    <w:p w:rsidR="00000000" w:rsidDel="00000000" w:rsidP="00000000" w:rsidRDefault="00000000" w:rsidRPr="00000000" w14:paraId="0000005D">
      <w:pPr>
        <w:spacing w:after="240" w:before="240" w:lineRule="auto"/>
        <w:rPr/>
      </w:pPr>
      <w:r w:rsidDel="00000000" w:rsidR="00000000" w:rsidRPr="00000000">
        <w:rPr>
          <w:rtl w:val="0"/>
        </w:rPr>
        <w:t xml:space="preserve">L'État garantit le droit à un logement décent et indépendant à toute personne résidant régulièrement en France dans des conditions de permanence définies par décret, qui n'est pas en mesure d'y accéder par ses propres moyens ou de s'y maintenir. Ce droit s'exerce par un recours amiable puis, le cas échéant, contentieux.</w:t>
      </w:r>
    </w:p>
    <w:p w:rsidR="00000000" w:rsidDel="00000000" w:rsidP="00000000" w:rsidRDefault="00000000" w:rsidRPr="00000000" w14:paraId="0000005E">
      <w:pPr>
        <w:spacing w:after="240" w:before="240" w:lineRule="auto"/>
        <w:rPr/>
      </w:pPr>
      <w:r w:rsidDel="00000000" w:rsidR="00000000" w:rsidRPr="00000000">
        <w:rPr>
          <w:rtl w:val="0"/>
        </w:rPr>
        <w:t xml:space="preserve">Ce texte, issu de la loi du 5 mars 2007, se rattache à l'article 1er de la loi du 31 mai 1990 visant à la mise en œuvre du droit au logement.</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Particularité.</w:t>
      </w:r>
      <w:r w:rsidDel="00000000" w:rsidR="00000000" w:rsidRPr="00000000">
        <w:rPr>
          <w:rtl w:val="0"/>
        </w:rPr>
        <w:t xml:space="preserve"> Contrairement aux retraites ou à l'énergie, l'ancrage prend ici la forme d'un droit opposable garanti à l'individu plutôt que d'une liste d'objectifs assignés à une politique. La dimension est donc unique et forte (l'accès et le maintien dans un logement décent) plutôt que multiple. Les autres dimensions couramment mobilisées dans le débat, comme la production de logements ou la performance énergétique du parc, relèvent de textes sectoriels distincts et non de cet article.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tdgaz6xuqkt" w:id="14"/>
      <w:bookmarkEnd w:id="14"/>
      <w:r w:rsidDel="00000000" w:rsidR="00000000" w:rsidRPr="00000000">
        <w:rPr>
          <w:b w:val="1"/>
          <w:bCs w:val="1"/>
          <w:color w:val="000000"/>
          <w:sz w:val="26"/>
          <w:szCs w:val="26"/>
          <w:rtl w:val="0"/>
        </w:rPr>
        <w:t xml:space="preserve">3.7 Alimentation et agriculture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Ancrage juridique — article L1 A du code rural et de la pêche maritime</w:t>
      </w:r>
    </w:p>
    <w:p w:rsidR="00000000" w:rsidDel="00000000" w:rsidP="00000000" w:rsidRDefault="00000000" w:rsidRPr="00000000" w14:paraId="00000063">
      <w:pPr>
        <w:spacing w:after="240" w:before="240" w:lineRule="auto"/>
        <w:rPr/>
      </w:pPr>
      <w:r w:rsidDel="00000000" w:rsidR="00000000" w:rsidRPr="00000000">
        <w:rPr>
          <w:rtl w:val="0"/>
        </w:rPr>
        <w:t xml:space="preserve">Introduit par la loi du 24 mars 2025 d'orientation pour la souveraineté alimentaire et le renouvellement des générations en agriculture, cet article dispose que la protection, la valorisation et le développement de l'agriculture et de la pêche sont d'intérêt général majeur en tant qu'ils garantissent la souveraineté alimentaire de la Nation, et constituent un intérêt fondamental de la Nation comme éléments essentiels de son potentiel économique.</w:t>
      </w:r>
    </w:p>
    <w:p w:rsidR="00000000" w:rsidDel="00000000" w:rsidP="00000000" w:rsidRDefault="00000000" w:rsidRPr="00000000" w14:paraId="00000064">
      <w:pPr>
        <w:spacing w:after="240" w:before="240" w:lineRule="auto"/>
        <w:rPr/>
      </w:pPr>
      <w:r w:rsidDel="00000000" w:rsidR="00000000" w:rsidRPr="00000000">
        <w:rPr>
          <w:rtl w:val="0"/>
        </w:rPr>
        <w:t xml:space="preserve">La souveraineté alimentaire y est définie comme le maintien et le développement des capacités de la Nation à produire, transformer et distribuer les produits agricoles et alimentaires nécessaires à l'accès de l'ensemble de la population à une alimentation saine, ainsi que le soutien des capacités exportatrices contribuant à la sécurité alimentaire mondiale.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Point d'attention.</w:t>
      </w:r>
      <w:r w:rsidDel="00000000" w:rsidR="00000000" w:rsidRPr="00000000">
        <w:rPr>
          <w:rtl w:val="0"/>
        </w:rPr>
        <w:t xml:space="preserve"> Cet ancrage est récent (2025) et son insertion a fait l'objet de débats parlementaires nourris sur sa portée juridique exacte. Il convient de le présenter comme un objectif programmatique récemment codifié plutôt que comme une norme stabilisée par la jurisprudence.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g0hubenhnqhm" w:id="15"/>
      <w:bookmarkEnd w:id="15"/>
      <w:r w:rsidDel="00000000" w:rsidR="00000000" w:rsidRPr="00000000">
        <w:rPr>
          <w:b w:val="1"/>
          <w:bCs w:val="1"/>
          <w:color w:val="000000"/>
          <w:sz w:val="26"/>
          <w:szCs w:val="26"/>
          <w:rtl w:val="0"/>
        </w:rPr>
        <w:t xml:space="preserve">3.8 Fiscalité et pouvoir d'achat</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Ancrage juridique</w:t>
      </w:r>
    </w:p>
    <w:p w:rsidR="00000000" w:rsidDel="00000000" w:rsidP="00000000" w:rsidRDefault="00000000" w:rsidRPr="00000000" w14:paraId="00000069">
      <w:pPr>
        <w:spacing w:after="240" w:before="240" w:lineRule="auto"/>
        <w:rPr/>
      </w:pPr>
      <w:r w:rsidDel="00000000" w:rsidR="00000000" w:rsidRPr="00000000">
        <w:rPr>
          <w:rtl w:val="0"/>
        </w:rPr>
        <w:t xml:space="preserve">La Déclaration des droits de l'homme et du citoyen de 1789, intégrée au bloc de constitutionnalité, pose à ses articles 13 et 14 les principes de la contribution commune et de son consentement. Le Conseil constitutionnel en tire le principe d'égalité devant les charges publiques, qui fonde son contrôle des lois fiscales.</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Statut : cet ancrage n'a pas été vérifié dans le cadre de ce document. Sa formulation exacte et la jurisprudence associée doivent être confirmées avant usage.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Cadre de recherche — la Mirrlees Review</w:t>
      </w:r>
    </w:p>
    <w:p w:rsidR="00000000" w:rsidDel="00000000" w:rsidP="00000000" w:rsidRDefault="00000000" w:rsidRPr="00000000" w14:paraId="0000006C">
      <w:pPr>
        <w:spacing w:after="240" w:before="240" w:lineRule="auto"/>
        <w:rPr/>
      </w:pPr>
      <w:r w:rsidDel="00000000" w:rsidR="00000000" w:rsidRPr="00000000">
        <w:rPr>
          <w:rtl w:val="0"/>
        </w:rPr>
        <w:t xml:space="preserve">Conduite par l'Institute for Fiscal Studies sous la présidence de James Mirrlees, prix Nobel d'économie, cette revue de la fiscalité à partir des principes premiers a été publiée en deux volumes, </w:t>
      </w:r>
      <w:r w:rsidDel="00000000" w:rsidR="00000000" w:rsidRPr="00000000">
        <w:rPr>
          <w:i w:val="1"/>
          <w:iCs w:val="1"/>
          <w:rtl w:val="0"/>
        </w:rPr>
        <w:t xml:space="preserve">Dimensions of Tax Design</w:t>
      </w:r>
      <w:r w:rsidDel="00000000" w:rsidR="00000000" w:rsidRPr="00000000">
        <w:rPr>
          <w:rtl w:val="0"/>
        </w:rPr>
        <w:t xml:space="preserve"> (2010) et </w:t>
      </w:r>
      <w:r w:rsidDel="00000000" w:rsidR="00000000" w:rsidRPr="00000000">
        <w:rPr>
          <w:i w:val="1"/>
          <w:iCs w:val="1"/>
          <w:rtl w:val="0"/>
        </w:rPr>
        <w:t xml:space="preserve">Tax by Design</w:t>
      </w:r>
      <w:r w:rsidDel="00000000" w:rsidR="00000000" w:rsidRPr="00000000">
        <w:rPr>
          <w:rtl w:val="0"/>
        </w:rPr>
        <w:t xml:space="preserve"> (2011).</w:t>
      </w:r>
    </w:p>
    <w:p w:rsidR="00000000" w:rsidDel="00000000" w:rsidP="00000000" w:rsidRDefault="00000000" w:rsidRPr="00000000" w14:paraId="0000006D">
      <w:pPr>
        <w:spacing w:after="240" w:before="240" w:lineRule="auto"/>
        <w:rPr/>
      </w:pPr>
      <w:r w:rsidDel="00000000" w:rsidR="00000000" w:rsidRPr="00000000">
        <w:rPr>
          <w:rtl w:val="0"/>
        </w:rPr>
        <w:t xml:space="preserve">Trois principes structurent ses conclusions :</w:t>
      </w:r>
    </w:p>
    <w:p w:rsidR="00000000" w:rsidDel="00000000" w:rsidP="00000000" w:rsidRDefault="00000000" w:rsidRPr="00000000" w14:paraId="0000006E">
      <w:pPr>
        <w:numPr>
          <w:ilvl w:val="0"/>
          <w:numId w:val="9"/>
        </w:numPr>
        <w:spacing w:after="0" w:afterAutospacing="0" w:before="240" w:lineRule="auto"/>
        <w:ind w:left="720" w:hanging="360"/>
      </w:pPr>
      <w:r w:rsidDel="00000000" w:rsidR="00000000" w:rsidRPr="00000000">
        <w:rPr>
          <w:b w:val="1"/>
          <w:bCs w:val="1"/>
          <w:rtl w:val="0"/>
        </w:rPr>
        <w:t xml:space="preserve">Penser le système comme un tout</w:t>
      </w:r>
      <w:r w:rsidDel="00000000" w:rsidR="00000000" w:rsidRPr="00000000">
        <w:rPr>
          <w:rtl w:val="0"/>
        </w:rPr>
        <w:t xml:space="preserve">, conjointement avec le système de prestations. Le système dans son ensemble doit être vert et progressif, mais chaque impôt pris isolément n'a pas à l'être, et certains ne devraient pas l'être.</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bCs w:val="1"/>
          <w:rtl w:val="0"/>
        </w:rPr>
        <w:t xml:space="preserve">Rechercher la neutralité</w:t>
      </w:r>
      <w:r w:rsidDel="00000000" w:rsidR="00000000" w:rsidRPr="00000000">
        <w:rPr>
          <w:rtl w:val="0"/>
        </w:rPr>
        <w:t xml:space="preserve"> : un système traitant de façon similaire des activités économiques similaires est plus simple, évite les discriminations injustifiables et limite les distorsions. Les dérogations doivent être limitées et soigneusement conçues, la barre pour s'écarter de la neutralité devant être placée haut.</w:t>
      </w:r>
    </w:p>
    <w:p w:rsidR="00000000" w:rsidDel="00000000" w:rsidP="00000000" w:rsidRDefault="00000000" w:rsidRPr="00000000" w14:paraId="00000070">
      <w:pPr>
        <w:numPr>
          <w:ilvl w:val="0"/>
          <w:numId w:val="9"/>
        </w:numPr>
        <w:spacing w:after="240" w:before="0" w:beforeAutospacing="0" w:lineRule="auto"/>
        <w:ind w:left="720" w:hanging="360"/>
      </w:pPr>
      <w:r w:rsidDel="00000000" w:rsidR="00000000" w:rsidRPr="00000000">
        <w:rPr>
          <w:b w:val="1"/>
          <w:bCs w:val="1"/>
          <w:rtl w:val="0"/>
        </w:rPr>
        <w:t xml:space="preserve">Atteindre la progressivité de la façon la plus efficace possible</w:t>
      </w:r>
      <w:r w:rsidDel="00000000" w:rsidR="00000000" w:rsidRPr="00000000">
        <w:rPr>
          <w:rtl w:val="0"/>
        </w:rPr>
        <w:t xml:space="preserve">, en reconnaissant l'existence d'un arbitrage inévitable entre redistribution et incitations au travail.</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Intérêt pour l'évaluation.</w:t>
      </w:r>
      <w:r w:rsidDel="00000000" w:rsidR="00000000" w:rsidRPr="00000000">
        <w:rPr>
          <w:rtl w:val="0"/>
        </w:rPr>
        <w:t xml:space="preserve"> Le premier principe est directement opératoire : il interdit de juger une mesure fiscale isolée sur sa seule progressivité, et impose de la replacer dans l'effet du système entier. Une mesure non progressive prise isolément peut s'inscrire dans un ensemble qui l'est.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83tbnwift3sj" w:id="16"/>
      <w:bookmarkEnd w:id="16"/>
      <w:r w:rsidDel="00000000" w:rsidR="00000000" w:rsidRPr="00000000">
        <w:rPr>
          <w:b w:val="1"/>
          <w:bCs w:val="1"/>
          <w:color w:val="000000"/>
          <w:sz w:val="26"/>
          <w:szCs w:val="26"/>
          <w:rtl w:val="0"/>
        </w:rPr>
        <w:t xml:space="preserve">3.9 Dette et finances publiques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Ancrage juridique — le pacte de stabilité et de croissance réformé (2024)</w:t>
      </w:r>
    </w:p>
    <w:p w:rsidR="00000000" w:rsidDel="00000000" w:rsidP="00000000" w:rsidRDefault="00000000" w:rsidRPr="00000000" w14:paraId="00000075">
      <w:pPr>
        <w:spacing w:after="240" w:before="240" w:lineRule="auto"/>
        <w:rPr/>
      </w:pPr>
      <w:r w:rsidDel="00000000" w:rsidR="00000000" w:rsidRPr="00000000">
        <w:rPr>
          <w:rtl w:val="0"/>
        </w:rPr>
        <w:t xml:space="preserve">Fondé sur les articles 121 et 126 du traité sur le fonctionnement de l'Union européenne, le pacte a été suspendu de 2020 à 2023 puis réactivé dans un cadre révisé entré en vigueur le 30 avril 2024.</w:t>
      </w:r>
    </w:p>
    <w:p w:rsidR="00000000" w:rsidDel="00000000" w:rsidP="00000000" w:rsidRDefault="00000000" w:rsidRPr="00000000" w14:paraId="00000076">
      <w:pPr>
        <w:spacing w:after="240" w:before="240" w:lineRule="auto"/>
        <w:rPr/>
      </w:pPr>
      <w:r w:rsidDel="00000000" w:rsidR="00000000" w:rsidRPr="00000000">
        <w:rPr>
          <w:rtl w:val="0"/>
        </w:rPr>
        <w:t xml:space="preserve">La réforme change la nature de l'objectif de façon décisive pour votre méthode. Les seuils de 3 % de déficit et 60 % de dette rapportés au PIB demeurent inchangés, mais l'appréciation de la situation d'endettement ne repose plus sur une cible fixe et unique : elle s'appuie désormais sur une </w:t>
      </w:r>
      <w:r w:rsidDel="00000000" w:rsidR="00000000" w:rsidRPr="00000000">
        <w:rPr>
          <w:b w:val="1"/>
          <w:bCs w:val="1"/>
          <w:rtl w:val="0"/>
        </w:rPr>
        <w:t xml:space="preserve">analyse de soutenabilité de la dette</w:t>
      </w:r>
      <w:r w:rsidDel="00000000" w:rsidR="00000000" w:rsidRPr="00000000">
        <w:rPr>
          <w:rtl w:val="0"/>
        </w:rPr>
        <w:t xml:space="preserve">, modélisation intégrant des caractéristiques macroéconomiques et structurelles propres à chaque État, dont la démographie.</w:t>
      </w:r>
    </w:p>
    <w:p w:rsidR="00000000" w:rsidDel="00000000" w:rsidP="00000000" w:rsidRDefault="00000000" w:rsidRPr="00000000" w14:paraId="00000077">
      <w:pPr>
        <w:spacing w:after="240" w:before="240" w:lineRule="auto"/>
        <w:rPr/>
      </w:pPr>
      <w:r w:rsidDel="00000000" w:rsidR="00000000" w:rsidRPr="00000000">
        <w:rPr>
          <w:rtl w:val="0"/>
        </w:rPr>
        <w:t xml:space="preserve">Le pilotage passe par un plan budgétaire structurel de moyen terme, défini pour quatre ans et prolongeable jusqu'à sept en contrepartie de réformes et d'investissements répondant aux priorités communes de l'Union. La métrique centrale d'évaluation devient la trajectoire de </w:t>
      </w:r>
      <w:r w:rsidDel="00000000" w:rsidR="00000000" w:rsidRPr="00000000">
        <w:rPr>
          <w:b w:val="1"/>
          <w:bCs w:val="1"/>
          <w:rtl w:val="0"/>
        </w:rPr>
        <w:t xml:space="preserve">dépenses publiques nettes</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Le pacte comporte deux volets, préventif et correctif ; le volet préventif impose aux États de présenter une trajectoire de dépenses compatible avec la soutenabilité de leurs finances publiques.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Dimensions retenues</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b w:val="1"/>
          <w:bCs w:val="1"/>
          <w:rtl w:val="0"/>
        </w:rPr>
        <w:t xml:space="preserve">Soutenabilité de la trajectoire d'endettement</w:t>
      </w:r>
      <w:r w:rsidDel="00000000" w:rsidR="00000000" w:rsidRPr="00000000">
        <w:rPr>
          <w:rtl w:val="0"/>
        </w:rPr>
        <w:t xml:space="preserve">, appréciée par analyse et non par seuil unique.</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b w:val="1"/>
          <w:bCs w:val="1"/>
          <w:rtl w:val="0"/>
        </w:rPr>
        <w:t xml:space="preserve">Maintien du déficit sous la valeur de référence</w:t>
      </w:r>
      <w:r w:rsidDel="00000000" w:rsidR="00000000" w:rsidRPr="00000000">
        <w:rPr>
          <w:rtl w:val="0"/>
        </w:rPr>
        <w:t xml:space="preserve"> de 3 % du PIB sur l'horizon d'analyse.</w:t>
      </w:r>
    </w:p>
    <w:p w:rsidR="00000000" w:rsidDel="00000000" w:rsidP="00000000" w:rsidRDefault="00000000" w:rsidRPr="00000000" w14:paraId="0000007C">
      <w:pPr>
        <w:numPr>
          <w:ilvl w:val="0"/>
          <w:numId w:val="7"/>
        </w:numPr>
        <w:spacing w:after="240" w:before="0" w:beforeAutospacing="0" w:lineRule="auto"/>
        <w:ind w:left="720" w:hanging="360"/>
      </w:pPr>
      <w:r w:rsidDel="00000000" w:rsidR="00000000" w:rsidRPr="00000000">
        <w:rPr>
          <w:b w:val="1"/>
          <w:bCs w:val="1"/>
          <w:rtl w:val="0"/>
        </w:rPr>
        <w:t xml:space="preserve">Préservation de la capacité d'investissement public</w:t>
      </w:r>
      <w:r w:rsidDel="00000000" w:rsidR="00000000" w:rsidRPr="00000000">
        <w:rPr>
          <w:rtl w:val="0"/>
        </w:rPr>
        <w:t xml:space="preserve">, la durée d'ajustement pouvant être allongée en contrepartie de réformes et d'investissements.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Précaution méthodologique importante.</w:t>
      </w:r>
      <w:r w:rsidDel="00000000" w:rsidR="00000000" w:rsidRPr="00000000">
        <w:rPr>
          <w:rtl w:val="0"/>
        </w:rPr>
        <w:t xml:space="preserve"> La soutenabilité d'une dette est communément définie comme la capacité de l'emprunteur à continuer d'en assurer le service sans correction d'ampleur irréaliste de ses revenus et dépenses. Cette définition implique qu'une analyse de soutenabilité repose toujours sur un jugement et ne se réduit pas à l'application de règles numériques.</w:t>
      </w:r>
    </w:p>
    <w:p w:rsidR="00000000" w:rsidDel="00000000" w:rsidP="00000000" w:rsidRDefault="00000000" w:rsidRPr="00000000" w14:paraId="0000007E">
      <w:pPr>
        <w:spacing w:after="240" w:before="240" w:lineRule="auto"/>
        <w:rPr/>
      </w:pPr>
      <w:r w:rsidDel="00000000" w:rsidR="00000000" w:rsidRPr="00000000">
        <w:rPr>
          <w:rtl w:val="0"/>
        </w:rPr>
        <w:t xml:space="preserve">Une critique documentée porte sur les hypothèses des modèles : les équations utilisées incorporent des jugements et des partis pris, invisibles pour le lecteur non spécialiste et donc non discutés. Cette critique émane d'un acteur ayant une orientation identifiable et doit être présentée comme telle, mais elle recoupe un point technique réel.</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Conséquence pour l'évaluation.</w:t>
      </w:r>
      <w:r w:rsidDel="00000000" w:rsidR="00000000" w:rsidRPr="00000000">
        <w:rPr>
          <w:rtl w:val="0"/>
        </w:rPr>
        <w:t xml:space="preserve"> Le cadre européen lui-même a abandonné le seuil unique au profit d'une analyse par pays. Une fiche qui sanctionnerait une mesure au seul motif qu'elle éloigne des 3 % appliquerait donc une règle que l'Union européenne n'applique plus elle-même sous cette forme. Le critère pertinent est la trajectoire de dépenses nettes et la soutenabilité appréciée dans la durée, pas le franchissement d'un seuil.</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k0emph9sxrvc" w:id="17"/>
      <w:bookmarkEnd w:id="17"/>
      <w:r w:rsidDel="00000000" w:rsidR="00000000" w:rsidRPr="00000000">
        <w:rPr>
          <w:b w:val="1"/>
          <w:bCs w:val="1"/>
          <w:sz w:val="34"/>
          <w:szCs w:val="34"/>
          <w:rtl w:val="0"/>
        </w:rPr>
        <w:t xml:space="preserve">4. Les domaines longtemps sans ancrage</w:t>
      </w:r>
    </w:p>
    <w:p w:rsidR="00000000" w:rsidDel="00000000" w:rsidP="00000000" w:rsidRDefault="00000000" w:rsidRPr="00000000" w14:paraId="00000082">
      <w:pPr>
        <w:spacing w:after="240" w:before="240" w:lineRule="auto"/>
        <w:rPr/>
      </w:pPr>
      <w:r w:rsidDel="00000000" w:rsidR="00000000" w:rsidRPr="00000000">
        <w:rPr>
          <w:rtl w:val="0"/>
        </w:rPr>
        <w:t xml:space="preserve">Les trois domaines identifiés comme lacunaires dans la première version de ce document disposent en réalité d'ancrages, dont deux sont solides. Ils appellent toutefois des précautions particulières.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v87byjfwz5yy" w:id="18"/>
      <w:bookmarkEnd w:id="18"/>
      <w:r w:rsidDel="00000000" w:rsidR="00000000" w:rsidRPr="00000000">
        <w:rPr>
          <w:b w:val="1"/>
          <w:bCs w:val="1"/>
          <w:color w:val="000000"/>
          <w:sz w:val="26"/>
          <w:szCs w:val="26"/>
          <w:rtl w:val="0"/>
        </w:rPr>
        <w:t xml:space="preserve">4.1 Immigration</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Ancrage juridique — le pacte européen sur la migration et l'asile (2024)</w:t>
      </w:r>
    </w:p>
    <w:p w:rsidR="00000000" w:rsidDel="00000000" w:rsidP="00000000" w:rsidRDefault="00000000" w:rsidRPr="00000000" w14:paraId="00000085">
      <w:pPr>
        <w:spacing w:after="240" w:before="240" w:lineRule="auto"/>
        <w:rPr/>
      </w:pPr>
      <w:r w:rsidDel="00000000" w:rsidR="00000000" w:rsidRPr="00000000">
        <w:rPr>
          <w:rtl w:val="0"/>
        </w:rPr>
        <w:t xml:space="preserve">Adopté par le Conseil le 14 mai 2024 après sept années de négociations, le pacte se compose de neuf règlements et d'une directive. Ses dispositions sont applicables depuis le 1er juillet 2026. Le règlement (UE) 2024/1351 relatif à la gestion de l'asile et de la migration en constitue le pilier.</w:t>
      </w:r>
    </w:p>
    <w:p w:rsidR="00000000" w:rsidDel="00000000" w:rsidP="00000000" w:rsidRDefault="00000000" w:rsidRPr="00000000" w14:paraId="00000086">
      <w:pPr>
        <w:spacing w:after="240" w:before="240" w:lineRule="auto"/>
        <w:rPr/>
      </w:pPr>
      <w:r w:rsidDel="00000000" w:rsidR="00000000" w:rsidRPr="00000000">
        <w:rPr>
          <w:rtl w:val="0"/>
        </w:rPr>
        <w:t xml:space="preserve">Les instruments du pacte forment un système intégré traduisant une approche globale et équilibrée de la migration, garante à la fois de la solidarité et de la responsabilité. Ses objectifs combinent des procédures aux frontières plus cohérentes et plus efficaces avec des conditions d'accueil homogènes, et un mécanisme de solidarité destiné à introduire l'équité dans le régime d'asile en tenant compte des situations géographiques différentes.</w:t>
      </w:r>
    </w:p>
    <w:p w:rsidR="00000000" w:rsidDel="00000000" w:rsidP="00000000" w:rsidRDefault="00000000" w:rsidRPr="00000000" w14:paraId="00000087">
      <w:pPr>
        <w:spacing w:after="240" w:before="240" w:lineRule="auto"/>
        <w:rPr/>
      </w:pPr>
      <w:r w:rsidDel="00000000" w:rsidR="00000000" w:rsidRPr="00000000">
        <w:rPr>
          <w:rtl w:val="0"/>
        </w:rPr>
        <w:t xml:space="preserve">Le pacte prévoit également, pour les situations d'instrumentalisation des migrants, un cadre précisant comment les États peuvent agir dans le plein respect du droit de l'Union, des droits fondamentaux et des obligations internationales. La Commission a présenté le 29 janvier 2026 la première stratégie européenne de gestion de l'asile et de la migration, fixant la direction pour 2026-2031.</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Dimensions retenues</w:t>
      </w:r>
    </w:p>
    <w:p w:rsidR="00000000" w:rsidDel="00000000" w:rsidP="00000000" w:rsidRDefault="00000000" w:rsidRPr="00000000" w14:paraId="00000089">
      <w:pPr>
        <w:numPr>
          <w:ilvl w:val="0"/>
          <w:numId w:val="11"/>
        </w:numPr>
        <w:spacing w:after="0" w:afterAutospacing="0" w:before="240" w:lineRule="auto"/>
        <w:ind w:left="720" w:hanging="360"/>
      </w:pPr>
      <w:r w:rsidDel="00000000" w:rsidR="00000000" w:rsidRPr="00000000">
        <w:rPr>
          <w:b w:val="1"/>
          <w:bCs w:val="1"/>
          <w:rtl w:val="0"/>
        </w:rPr>
        <w:t xml:space="preserve">Efficacité de la gestion des frontières extérieures et des procédures</w:t>
      </w:r>
      <w:r w:rsidDel="00000000" w:rsidR="00000000" w:rsidRPr="00000000">
        <w:rPr>
          <w:rtl w:val="0"/>
        </w:rPr>
        <w:t xml:space="preserve">, incluant le traitement des demandes et les retours.</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b w:val="1"/>
          <w:bCs w:val="1"/>
          <w:rtl w:val="0"/>
        </w:rPr>
        <w:t xml:space="preserve">Conditions d'accueil homogènes et respect des droits fondamentaux</w:t>
      </w:r>
      <w:r w:rsidDel="00000000" w:rsidR="00000000" w:rsidRPr="00000000">
        <w:rPr>
          <w:rtl w:val="0"/>
        </w:rPr>
        <w:t xml:space="preserve"> et des obligations internationales.</w:t>
      </w:r>
    </w:p>
    <w:p w:rsidR="00000000" w:rsidDel="00000000" w:rsidP="00000000" w:rsidRDefault="00000000" w:rsidRPr="00000000" w14:paraId="0000008B">
      <w:pPr>
        <w:numPr>
          <w:ilvl w:val="0"/>
          <w:numId w:val="11"/>
        </w:numPr>
        <w:spacing w:after="240" w:before="0" w:beforeAutospacing="0" w:lineRule="auto"/>
        <w:ind w:left="720" w:hanging="360"/>
      </w:pPr>
      <w:r w:rsidDel="00000000" w:rsidR="00000000" w:rsidRPr="00000000">
        <w:rPr>
          <w:b w:val="1"/>
          <w:bCs w:val="1"/>
          <w:rtl w:val="0"/>
        </w:rPr>
        <w:t xml:space="preserve">Solidarité et répartition équitable de la responsabilité</w:t>
      </w:r>
      <w:r w:rsidDel="00000000" w:rsidR="00000000" w:rsidRPr="00000000">
        <w:rPr>
          <w:rtl w:val="0"/>
        </w:rPr>
        <w:t xml:space="preserve"> entre États membres.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Trois précautions, plus lourdes que pour les autres domaines.</w:t>
      </w:r>
    </w:p>
    <w:p w:rsidR="00000000" w:rsidDel="00000000" w:rsidP="00000000" w:rsidRDefault="00000000" w:rsidRPr="00000000" w14:paraId="0000008D">
      <w:pPr>
        <w:spacing w:after="240" w:before="240" w:lineRule="auto"/>
        <w:rPr/>
      </w:pPr>
      <w:r w:rsidDel="00000000" w:rsidR="00000000" w:rsidRPr="00000000">
        <w:rPr>
          <w:rtl w:val="0"/>
        </w:rPr>
        <w:t xml:space="preserve">D'abord, cet ancrage est </w:t>
      </w:r>
      <w:r w:rsidDel="00000000" w:rsidR="00000000" w:rsidRPr="00000000">
        <w:rPr>
          <w:b w:val="1"/>
          <w:bCs w:val="1"/>
          <w:rtl w:val="0"/>
        </w:rPr>
        <w:t xml:space="preserve">contesté par une partie des acteurs concernés</w:t>
      </w:r>
      <w:r w:rsidDel="00000000" w:rsidR="00000000" w:rsidRPr="00000000">
        <w:rPr>
          <w:rtl w:val="0"/>
        </w:rPr>
        <w:t xml:space="preserve"> : de nombreuses organisations non gouvernementales critiquent le pacte et soulèvent des inquiétudes sur les atteintes aux droits humains qui pourraient en résulter. Le présenter comme un objectif de référence consensuel serait inexact.</w:t>
      </w:r>
    </w:p>
    <w:p w:rsidR="00000000" w:rsidDel="00000000" w:rsidP="00000000" w:rsidRDefault="00000000" w:rsidRPr="00000000" w14:paraId="0000008E">
      <w:pPr>
        <w:spacing w:after="240" w:before="240" w:lineRule="auto"/>
        <w:rPr/>
      </w:pPr>
      <w:r w:rsidDel="00000000" w:rsidR="00000000" w:rsidRPr="00000000">
        <w:rPr>
          <w:rtl w:val="0"/>
        </w:rPr>
        <w:t xml:space="preserve">Ensuite, il est </w:t>
      </w:r>
      <w:r w:rsidDel="00000000" w:rsidR="00000000" w:rsidRPr="00000000">
        <w:rPr>
          <w:b w:val="1"/>
          <w:bCs w:val="1"/>
          <w:rtl w:val="0"/>
        </w:rPr>
        <w:t xml:space="preserve">européen et non français</w:t>
      </w:r>
      <w:r w:rsidDel="00000000" w:rsidR="00000000" w:rsidRPr="00000000">
        <w:rPr>
          <w:rtl w:val="0"/>
        </w:rPr>
        <w:t xml:space="preserve">, alors que les autres ancrages du corpus sont nationaux. Cela affaiblit la symétrie de la méthode, et un candidat souverainiste peut légitimement contester qu'un texte européen définisse l'objectif de la politique migratoire française.</w:t>
      </w:r>
    </w:p>
    <w:p w:rsidR="00000000" w:rsidDel="00000000" w:rsidP="00000000" w:rsidRDefault="00000000" w:rsidRPr="00000000" w14:paraId="0000008F">
      <w:pPr>
        <w:spacing w:after="240" w:before="240" w:lineRule="auto"/>
        <w:rPr/>
      </w:pPr>
      <w:r w:rsidDel="00000000" w:rsidR="00000000" w:rsidRPr="00000000">
        <w:rPr>
          <w:rtl w:val="0"/>
        </w:rPr>
        <w:t xml:space="preserve">Enfin, sa formulation reste </w:t>
      </w:r>
      <w:r w:rsidDel="00000000" w:rsidR="00000000" w:rsidRPr="00000000">
        <w:rPr>
          <w:b w:val="1"/>
          <w:bCs w:val="1"/>
          <w:rtl w:val="0"/>
        </w:rPr>
        <w:t xml:space="preserve">plus proche d'un compromis politique que d'un énoncé d'objectifs</w:t>
      </w:r>
      <w:r w:rsidDel="00000000" w:rsidR="00000000" w:rsidRPr="00000000">
        <w:rPr>
          <w:rtl w:val="0"/>
        </w:rPr>
        <w:t xml:space="preserve">. Les dimensions ci-dessus sont reconstruites à partir du dispositif, non citées d'un article unique.</w:t>
      </w:r>
    </w:p>
    <w:p w:rsidR="00000000" w:rsidDel="00000000" w:rsidP="00000000" w:rsidRDefault="00000000" w:rsidRPr="00000000" w14:paraId="00000090">
      <w:pPr>
        <w:spacing w:after="240" w:before="240" w:lineRule="auto"/>
        <w:rPr/>
      </w:pPr>
      <w:r w:rsidDel="00000000" w:rsidR="00000000" w:rsidRPr="00000000">
        <w:rPr>
          <w:rtl w:val="0"/>
        </w:rPr>
        <w:t xml:space="preserve">Recommandation : utiliser cet ancrage en le nommant explicitement comme européen et récent, et signaler dans les limites de chaque fiche immigration que le cadre de référence est lui-même débattu. C'est le domaine où votre page méthodologie doit être la plus explicite.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twlcegbmgk6y" w:id="19"/>
      <w:bookmarkEnd w:id="19"/>
      <w:r w:rsidDel="00000000" w:rsidR="00000000" w:rsidRPr="00000000">
        <w:rPr>
          <w:b w:val="1"/>
          <w:bCs w:val="1"/>
          <w:color w:val="000000"/>
          <w:sz w:val="26"/>
          <w:szCs w:val="26"/>
          <w:rtl w:val="0"/>
        </w:rPr>
        <w:t xml:space="preserve">4.2 Sécurité et justice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Ancrage juridique — la doctrine du Conseil constitutionnel</w:t>
      </w:r>
    </w:p>
    <w:p w:rsidR="00000000" w:rsidDel="00000000" w:rsidP="00000000" w:rsidRDefault="00000000" w:rsidRPr="00000000" w14:paraId="00000093">
      <w:pPr>
        <w:spacing w:after="240" w:before="240" w:lineRule="auto"/>
        <w:rPr/>
      </w:pPr>
      <w:r w:rsidDel="00000000" w:rsidR="00000000" w:rsidRPr="00000000">
        <w:rPr>
          <w:rtl w:val="0"/>
        </w:rPr>
        <w:t xml:space="preserve">L'ancrage existe et il est solide, mais il ne dit pas ce que votre formulation supposait. La norme constitutionnelle n'est pas « augmenter la sécurité » : c'est </w:t>
      </w:r>
      <w:r w:rsidDel="00000000" w:rsidR="00000000" w:rsidRPr="00000000">
        <w:rPr>
          <w:b w:val="1"/>
          <w:bCs w:val="1"/>
          <w:rtl w:val="0"/>
        </w:rPr>
        <w:t xml:space="preserve">l'équilibre entre sécurité et libertés</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La sauvegarde de l'ordre public constitue un objectif de valeur constitutionnelle, catégorie apparue dans la décision du 27 juillet 1982 et consolidée depuis. Le Conseil constitutionnel affirme qu'il appartient au législateur d'assurer la conciliation entre la prévention des atteintes à l'ordre public et l'exercice des libertés garanties par la Constitution, position rappelée notamment dans ses décisions du 13 mars 2003 sur la sécurité intérieure et du 19 janvier 2006 sur la lutte contre le terrorisme.</w:t>
      </w:r>
    </w:p>
    <w:p w:rsidR="00000000" w:rsidDel="00000000" w:rsidP="00000000" w:rsidRDefault="00000000" w:rsidRPr="00000000" w14:paraId="00000095">
      <w:pPr>
        <w:spacing w:after="240" w:before="240" w:lineRule="auto"/>
        <w:rPr/>
      </w:pPr>
      <w:r w:rsidDel="00000000" w:rsidR="00000000" w:rsidRPr="00000000">
        <w:rPr>
          <w:rtl w:val="0"/>
        </w:rPr>
        <w:t xml:space="preserve">Les libertés à concilier sont identifiées : le respect de la vie privée protégé par l'article 2 de la Déclaration de 1789, la liberté d'aller et venir protégée par son article 4, et la liberté individuelle placée par l'article 66 de la Constitution sous la surveillance de l'autorité judiciaire.</w:t>
      </w:r>
    </w:p>
    <w:p w:rsidR="00000000" w:rsidDel="00000000" w:rsidP="00000000" w:rsidRDefault="00000000" w:rsidRPr="00000000" w14:paraId="00000096">
      <w:pPr>
        <w:spacing w:after="240" w:before="240" w:lineRule="auto"/>
        <w:rPr/>
      </w:pPr>
      <w:r w:rsidDel="00000000" w:rsidR="00000000" w:rsidRPr="00000000">
        <w:rPr>
          <w:rtl w:val="0"/>
        </w:rPr>
        <w:t xml:space="preserve">Le contenu de l'ordre public a été précisé par la jurisprudence : outre la sécurité des personnes et des biens et la prévention des atteintes à l'intégrité physique, il comprend d'autres composantes dégagées au fil des décisions. La recherche des auteurs d'infractions constitue un objectif distinct, également de valeur constitutionnelle.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Dimensions retenues</w:t>
      </w:r>
    </w:p>
    <w:p w:rsidR="00000000" w:rsidDel="00000000" w:rsidP="00000000" w:rsidRDefault="00000000" w:rsidRPr="00000000" w14:paraId="00000098">
      <w:pPr>
        <w:numPr>
          <w:ilvl w:val="0"/>
          <w:numId w:val="4"/>
        </w:numPr>
        <w:spacing w:after="0" w:afterAutospacing="0" w:before="240" w:lineRule="auto"/>
        <w:ind w:left="720" w:hanging="360"/>
      </w:pPr>
      <w:r w:rsidDel="00000000" w:rsidR="00000000" w:rsidRPr="00000000">
        <w:rPr>
          <w:b w:val="1"/>
          <w:bCs w:val="1"/>
          <w:rtl w:val="0"/>
        </w:rPr>
        <w:t xml:space="preserve">Prévention des atteintes à l'ordre public</w:t>
      </w:r>
      <w:r w:rsidDel="00000000" w:rsidR="00000000" w:rsidRPr="00000000">
        <w:rPr>
          <w:rtl w:val="0"/>
        </w:rPr>
        <w:t xml:space="preserve">, incluant la sécurité des personnes et des biens.</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b w:val="1"/>
          <w:bCs w:val="1"/>
          <w:rtl w:val="0"/>
        </w:rPr>
        <w:t xml:space="preserve">Recherche des auteurs d'infractions.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b w:val="1"/>
          <w:bCs w:val="1"/>
          <w:rtl w:val="0"/>
        </w:rPr>
        <w:t xml:space="preserve">Exercice des libertés constitutionnellement garanties</w:t>
      </w:r>
      <w:r w:rsidDel="00000000" w:rsidR="00000000" w:rsidRPr="00000000">
        <w:rPr>
          <w:rtl w:val="0"/>
        </w:rPr>
        <w:t xml:space="preserve"> : vie privée, liberté d'aller et venir, liberté individuelle.</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b w:val="1"/>
          <w:bCs w:val="1"/>
          <w:rtl w:val="0"/>
        </w:rPr>
        <w:t xml:space="preserve">Caractère équilibré de la conciliation</w:t>
      </w:r>
      <w:r w:rsidDel="00000000" w:rsidR="00000000" w:rsidRPr="00000000">
        <w:rPr>
          <w:rtl w:val="0"/>
        </w:rPr>
        <w:t xml:space="preserve"> entre les trois précédentes.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Ce que cela change.</w:t>
      </w:r>
      <w:r w:rsidDel="00000000" w:rsidR="00000000" w:rsidRPr="00000000">
        <w:rPr>
          <w:rtl w:val="0"/>
        </w:rPr>
        <w:t xml:space="preserve"> Le Conseil constitutionnel censure régulièrement des dispositions au motif que le législateur n'a pas assuré une conciliation équilibrée entre les objectifs d'ordre public et le droit au respect de la vie privée. La quatrième dimension n'est donc pas une précaution rhétorique : c'est le standard de contrôle effectivement appliqué.</w:t>
      </w:r>
    </w:p>
    <w:p w:rsidR="00000000" w:rsidDel="00000000" w:rsidP="00000000" w:rsidRDefault="00000000" w:rsidRPr="00000000" w14:paraId="0000009D">
      <w:pPr>
        <w:spacing w:after="240" w:before="240" w:lineRule="auto"/>
        <w:rPr/>
      </w:pPr>
      <w:r w:rsidDel="00000000" w:rsidR="00000000" w:rsidRPr="00000000">
        <w:rPr>
          <w:rtl w:val="0"/>
        </w:rPr>
        <w:t xml:space="preserve">Pour votre grille, cela signifie qu'une mesure sécuritaire qui atteint son objectif de prévention en portant une atteinte disproportionnée aux libertés ne doit pas être notée comme efficace avec un effet de bord : elle manque l'objectif de référence lui-même, qui est la conciliation. C'est une différence substantielle avec la formulation « augmentation de la sécurité ».</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3l8yh5kr8uo7" w:id="20"/>
      <w:bookmarkEnd w:id="20"/>
      <w:r w:rsidDel="00000000" w:rsidR="00000000" w:rsidRPr="00000000">
        <w:rPr>
          <w:b w:val="1"/>
          <w:bCs w:val="1"/>
          <w:color w:val="000000"/>
          <w:sz w:val="26"/>
          <w:szCs w:val="26"/>
          <w:rtl w:val="0"/>
        </w:rPr>
        <w:t xml:space="preserve">4.3 Numérique et intelligence artificielle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Ancrage juridique — la décision (UE) 2022/2481 sur la décennie numérique</w:t>
      </w:r>
    </w:p>
    <w:p w:rsidR="00000000" w:rsidDel="00000000" w:rsidP="00000000" w:rsidRDefault="00000000" w:rsidRPr="00000000" w14:paraId="000000A0">
      <w:pPr>
        <w:spacing w:after="240" w:before="240" w:lineRule="auto"/>
        <w:rPr/>
      </w:pPr>
      <w:r w:rsidDel="00000000" w:rsidR="00000000" w:rsidRPr="00000000">
        <w:rPr>
          <w:rtl w:val="0"/>
        </w:rPr>
        <w:t xml:space="preserve">Entrée en vigueur le 9 janvier 2023, cette décision établit le programme d'action pour la décennie numérique à l'horizon 2030. Elle fixe des objectifs communs concrets dans quatre domaines clés : les compétences numériques, l'infrastructure numérique y compris la connectivité, la transformation numérique des entreprises et en particulier des petites et moyennes entreprises, et la numérisation des services publics.</w:t>
      </w:r>
    </w:p>
    <w:p w:rsidR="00000000" w:rsidDel="00000000" w:rsidP="00000000" w:rsidRDefault="00000000" w:rsidRPr="00000000" w14:paraId="000000A1">
      <w:pPr>
        <w:spacing w:after="240" w:before="240" w:lineRule="auto"/>
        <w:rPr/>
      </w:pPr>
      <w:r w:rsidDel="00000000" w:rsidR="00000000" w:rsidRPr="00000000">
        <w:rPr>
          <w:rtl w:val="0"/>
        </w:rPr>
        <w:t xml:space="preserve">La transformation visée est explicitement qualifiée de centrée sur l'être humain, durable et inclusive. Les États et la Commission doivent tenir compte, dans leur coopération, des principes et droits énoncés dans la déclaration européenne sur les droits et principes numériques.</w:t>
      </w:r>
    </w:p>
    <w:p w:rsidR="00000000" w:rsidDel="00000000" w:rsidP="00000000" w:rsidRDefault="00000000" w:rsidRPr="00000000" w14:paraId="000000A2">
      <w:pPr>
        <w:spacing w:after="240" w:before="240" w:lineRule="auto"/>
        <w:rPr/>
      </w:pPr>
      <w:r w:rsidDel="00000000" w:rsidR="00000000" w:rsidRPr="00000000">
        <w:rPr>
          <w:rtl w:val="0"/>
        </w:rPr>
        <w:t xml:space="preserve">Un dispositif de mesure existe : la décision (UE) 2023/1353 définit les indicateurs clés de performance permettant de mesurer les progrès vers les cibles numériques. La France a publié sa feuille de route nationale en mars 2024.</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Dimensions retenues</w:t>
      </w:r>
    </w:p>
    <w:p w:rsidR="00000000" w:rsidDel="00000000" w:rsidP="00000000" w:rsidRDefault="00000000" w:rsidRPr="00000000" w14:paraId="000000A4">
      <w:pPr>
        <w:numPr>
          <w:ilvl w:val="0"/>
          <w:numId w:val="13"/>
        </w:numPr>
        <w:spacing w:after="0" w:afterAutospacing="0" w:before="240" w:lineRule="auto"/>
        <w:ind w:left="720" w:hanging="360"/>
      </w:pPr>
      <w:r w:rsidDel="00000000" w:rsidR="00000000" w:rsidRPr="00000000">
        <w:rPr>
          <w:b w:val="1"/>
          <w:bCs w:val="1"/>
          <w:rtl w:val="0"/>
        </w:rPr>
        <w:t xml:space="preserve">Compétences numériques</w:t>
      </w:r>
      <w:r w:rsidDel="00000000" w:rsidR="00000000" w:rsidRPr="00000000">
        <w:rPr>
          <w:rtl w:val="0"/>
        </w:rPr>
        <w:t xml:space="preserve"> de la population, élémentaires et avancées.</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b w:val="1"/>
          <w:bCs w:val="1"/>
          <w:rtl w:val="0"/>
        </w:rPr>
        <w:t xml:space="preserve">Infrastructures numériques</w:t>
      </w:r>
      <w:r w:rsidDel="00000000" w:rsidR="00000000" w:rsidRPr="00000000">
        <w:rPr>
          <w:rtl w:val="0"/>
        </w:rPr>
        <w:t xml:space="preserve"> : connectivité, microélectronique, capacité de traitement des données.</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b w:val="1"/>
          <w:bCs w:val="1"/>
          <w:rtl w:val="0"/>
        </w:rPr>
        <w:t xml:space="preserve">Transformation numérique des entreprises</w:t>
      </w:r>
      <w:r w:rsidDel="00000000" w:rsidR="00000000" w:rsidRPr="00000000">
        <w:rPr>
          <w:rtl w:val="0"/>
        </w:rPr>
        <w:t xml:space="preserve">, notamment des PME.</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b w:val="1"/>
          <w:bCs w:val="1"/>
          <w:rtl w:val="0"/>
        </w:rPr>
        <w:t xml:space="preserve">Numérisation des services publics</w:t>
      </w:r>
      <w:r w:rsidDel="00000000" w:rsidR="00000000" w:rsidRPr="00000000">
        <w:rPr>
          <w:rtl w:val="0"/>
        </w:rPr>
        <w:t xml:space="preserve"> et accessibilité en ligne.</w:t>
      </w:r>
    </w:p>
    <w:p w:rsidR="00000000" w:rsidDel="00000000" w:rsidP="00000000" w:rsidRDefault="00000000" w:rsidRPr="00000000" w14:paraId="000000A8">
      <w:pPr>
        <w:numPr>
          <w:ilvl w:val="0"/>
          <w:numId w:val="13"/>
        </w:numPr>
        <w:spacing w:after="240" w:before="0" w:beforeAutospacing="0" w:lineRule="auto"/>
        <w:ind w:left="720" w:hanging="360"/>
      </w:pPr>
      <w:r w:rsidDel="00000000" w:rsidR="00000000" w:rsidRPr="00000000">
        <w:rPr>
          <w:b w:val="1"/>
          <w:bCs w:val="1"/>
          <w:rtl w:val="0"/>
        </w:rPr>
        <w:t xml:space="preserve">Respect des droits et principes numériques</w:t>
      </w:r>
      <w:r w:rsidDel="00000000" w:rsidR="00000000" w:rsidRPr="00000000">
        <w:rPr>
          <w:rtl w:val="0"/>
        </w:rPr>
        <w:t xml:space="preserve">, transformation centrée sur l'humain et inclusive.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Complément pour l'intelligence artificielle.</w:t>
      </w:r>
      <w:r w:rsidDel="00000000" w:rsidR="00000000" w:rsidRPr="00000000">
        <w:rPr>
          <w:rtl w:val="0"/>
        </w:rPr>
        <w:t xml:space="preserve"> Le règlement européen sur l'IA articule protection de la santé, de la sécurité et des droits fondamentaux avec le soutien à l'innovation. Cette piste n'a pas été vérifiée dans le cadre de ce document et sa formulation exacte reste à confirmer.</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Avantage particulier de cet ancrage.</w:t>
      </w:r>
      <w:r w:rsidDel="00000000" w:rsidR="00000000" w:rsidRPr="00000000">
        <w:rPr>
          <w:rtl w:val="0"/>
        </w:rPr>
        <w:t xml:space="preserve"> Contrairement aux autres domaines, les cibles numériques sont chiffrées et assorties d'indicateurs officiels, avec un réexamen prévu par la Commission au plus tard le 30 juin 2026. Une mesure peut donc être confrontée à une trajectoire quantifiée, ce qui est rare.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k71guo9ufort" w:id="21"/>
      <w:bookmarkEnd w:id="21"/>
      <w:r w:rsidDel="00000000" w:rsidR="00000000" w:rsidRPr="00000000">
        <w:rPr>
          <w:b w:val="1"/>
          <w:bCs w:val="1"/>
          <w:sz w:val="34"/>
          <w:szCs w:val="34"/>
          <w:rtl w:val="0"/>
        </w:rPr>
        <w:t xml:space="preserve">4 bis. Ce qui reste à vérifier</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Fiscalité — ancrage constitutionnel.</w:t>
      </w:r>
      <w:r w:rsidDel="00000000" w:rsidR="00000000" w:rsidRPr="00000000">
        <w:rPr>
          <w:rtl w:val="0"/>
        </w:rPr>
        <w:t xml:space="preserve"> Les articles 13 et 14 de la Déclaration de 1789 et le principe d'égalité devant les charges publiques dégagé par le Conseil constitutionnel constituent une piste solide, mais leur formulation exacte et la jurisprudence associée n'ont pas été vérifiées sur sources primaires.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Intelligence artificielle — article 1er du règlement européen.</w:t>
      </w:r>
      <w:r w:rsidDel="00000000" w:rsidR="00000000" w:rsidRPr="00000000">
        <w:rPr>
          <w:rtl w:val="0"/>
        </w:rPr>
        <w:t xml:space="preserve"> L'articulation entre protection de la santé, de la sécurité et des droits fondamentaux d'une part, et soutien à l'innovation d'autre part, doit être confirmée sur le texte.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Justice — dimension propre.</w:t>
      </w:r>
      <w:r w:rsidDel="00000000" w:rsidR="00000000" w:rsidRPr="00000000">
        <w:rPr>
          <w:rtl w:val="0"/>
        </w:rPr>
        <w:t xml:space="preserve"> Le présent document traite la sécurité et la justice ensemble, sous la doctrine de conciliation du Conseil constitutionnel. Les objectifs propres au service public de la justice, notamment les délais de jugement et l'accès au droit, mériteraient un ancrage distinct qui n'a pas été recherché ici.</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Règle de repli.</w:t>
      </w:r>
      <w:r w:rsidDel="00000000" w:rsidR="00000000" w:rsidRPr="00000000">
        <w:rPr>
          <w:rtl w:val="0"/>
        </w:rPr>
        <w:t xml:space="preserve"> Pour toute dimension non ancrée, l'analyse doit indiquer explicitement l'absence d'objectif de référence légal, retomber sur l'objectif affiché par le candidat, et le signaler dans les limites de la fiche. Il est préférable d'assumer ce point sur la page méthodologie plutôt que de laisser croire à un ancrage qui n'existe pas.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plu4gb8u9xjk" w:id="22"/>
      <w:bookmarkEnd w:id="22"/>
      <w:r w:rsidDel="00000000" w:rsidR="00000000" w:rsidRPr="00000000">
        <w:rPr>
          <w:b w:val="1"/>
          <w:bCs w:val="1"/>
          <w:sz w:val="34"/>
          <w:szCs w:val="34"/>
          <w:rtl w:val="0"/>
        </w:rPr>
        <w:t xml:space="preserve">5. Limites et précautions d'usage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Un ancrage légal n'est pas une neutralité absolue.</w:t>
      </w:r>
      <w:r w:rsidDel="00000000" w:rsidR="00000000" w:rsidRPr="00000000">
        <w:rPr>
          <w:rtl w:val="0"/>
        </w:rPr>
        <w:t xml:space="preserve"> Les objectifs inscrits dans la loi résultent eux-mêmes de majorités politiques passées. L'article L111-2-1 du code de la sécurité sociale, dans sa rédaction actuelle, porte la marque des réformes de 2014 et de 2023. S'y référer déplace le débat plutôt qu'il ne le supprime : le lecteur en désaccord est en désaccord avec le législateur, non avec l'analyste. C'est une position plus tenable, ce n'est pas une position neutre au sens absolu.</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Les cadres internationaux ont des orientations identifiables.</w:t>
      </w:r>
      <w:r w:rsidDel="00000000" w:rsidR="00000000" w:rsidRPr="00000000">
        <w:rPr>
          <w:rtl w:val="0"/>
        </w:rPr>
        <w:t xml:space="preserve"> L'OCDE, le Conseil mondial de l'énergie et l'Institute for Fiscal Studies produisent des analyses techniques de qualité, mais ne sont pas des institutions sans doctrine. Ils doivent être nommés explicitement dans le texte des fiches, jamais présentés comme des sources anonymes et neutres.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Le test de symétrie reste la protection principale.</w:t>
      </w:r>
      <w:r w:rsidDel="00000000" w:rsidR="00000000" w:rsidRPr="00000000">
        <w:rPr>
          <w:rtl w:val="0"/>
        </w:rPr>
        <w:t xml:space="preserve"> Avant de figer une notation, vérifier que la mesure inverse, portée par un candidat d'orientation opposée, serait évaluée selon la même répartition des dimensions entre Efficacité et Externalités. Une mesure qui vise le niveau de vie et dégrade la pérennité, et une mesure qui vise la pérennité et dégrade le niveau de vie, doivent recevoir un traitement méthodologiquement identique.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Une conséquence à assumer publiquement.</w:t>
      </w:r>
      <w:r w:rsidDel="00000000" w:rsidR="00000000" w:rsidRPr="00000000">
        <w:rPr>
          <w:rtl w:val="0"/>
        </w:rPr>
        <w:t xml:space="preserve"> Le traitement du financement comme dimension bloquante favorise structurellement les mesures qui s'autofinancent. C'est une position défendable, cohérente avec la pratique d'évaluation du Trésor britannique, mais c'en est une. Mieux vaut l'énoncer sur la page méthodologie que la laisser découvrir par un contradicteur.</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Les ancrages européens sont plus fragiles que les ancrages nationaux.</w:t>
      </w:r>
      <w:r w:rsidDel="00000000" w:rsidR="00000000" w:rsidRPr="00000000">
        <w:rPr>
          <w:rtl w:val="0"/>
        </w:rPr>
        <w:t xml:space="preserve"> Trois domaines reposent sur des textes européens plutôt que français : l'immigration, le numérique et la dette. Un candidat qui conteste la légitimité du cadre européen à définir les objectifs de la politique française pourra contester l'ancrage lui-même, ce qui est un argument recevable. Pour ces trois domaines, la fiche doit indiquer explicitement l'origine européenne de l'objectif de référence, et l'analyse gagne à mentionner l'ancrage national correspondant lorsqu'il existe.</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Un ancrage contesté doit être signalé comme tel.</w:t>
      </w:r>
      <w:r w:rsidDel="00000000" w:rsidR="00000000" w:rsidRPr="00000000">
        <w:rPr>
          <w:rtl w:val="0"/>
        </w:rPr>
        <w:t xml:space="preserve"> Le pacte européen sur la migration et l'asile fait l'objet de critiques nourries de la part d'organisations de défense des droits. Le présenter comme un objectif consensuel serait inexact. Cette réserve vaut à un moindre degré pour l'analyse de soutenabilité de la dette, dont les hypothèses de modélisation sont débattues.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kotz8qmq6bn8" w:id="23"/>
      <w:bookmarkEnd w:id="23"/>
      <w:r w:rsidDel="00000000" w:rsidR="00000000" w:rsidRPr="00000000">
        <w:rPr>
          <w:b w:val="1"/>
          <w:bCs w:val="1"/>
          <w:sz w:val="34"/>
          <w:szCs w:val="34"/>
          <w:rtl w:val="0"/>
        </w:rPr>
        <w:t xml:space="preserve">6. Références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Cadres transversaux</w:t>
      </w:r>
    </w:p>
    <w:p w:rsidR="00000000" w:rsidDel="00000000" w:rsidP="00000000" w:rsidRDefault="00000000" w:rsidRPr="00000000" w14:paraId="000000BC">
      <w:pPr>
        <w:numPr>
          <w:ilvl w:val="0"/>
          <w:numId w:val="6"/>
        </w:numPr>
        <w:spacing w:after="0" w:afterAutospacing="0" w:before="240" w:lineRule="auto"/>
        <w:ind w:left="720" w:hanging="360"/>
      </w:pPr>
      <w:r w:rsidDel="00000000" w:rsidR="00000000" w:rsidRPr="00000000">
        <w:rPr>
          <w:rtl w:val="0"/>
        </w:rPr>
        <w:t xml:space="preserve">OCDE (2019), </w:t>
      </w:r>
      <w:r w:rsidDel="00000000" w:rsidR="00000000" w:rsidRPr="00000000">
        <w:rPr>
          <w:i w:val="1"/>
          <w:iCs w:val="1"/>
          <w:rtl w:val="0"/>
        </w:rPr>
        <w:t xml:space="preserve">Better Criteria for Better Evaluation: Revised Evaluation Criteria Definitions and Principles for Use</w:t>
      </w:r>
      <w:r w:rsidDel="00000000" w:rsidR="00000000" w:rsidRPr="00000000">
        <w:rPr>
          <w:rtl w:val="0"/>
        </w:rPr>
        <w:t xml:space="preserve">, Réseau du CAD sur l'évaluation du développement.</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OCDE (2021), </w:t>
      </w:r>
      <w:r w:rsidDel="00000000" w:rsidR="00000000" w:rsidRPr="00000000">
        <w:rPr>
          <w:i w:val="1"/>
          <w:iCs w:val="1"/>
          <w:rtl w:val="0"/>
        </w:rPr>
        <w:t xml:space="preserve">Applying Evaluation Criteria Thoughtfully</w:t>
      </w:r>
      <w:r w:rsidDel="00000000" w:rsidR="00000000" w:rsidRPr="00000000">
        <w:rPr>
          <w:rtl w:val="0"/>
        </w:rPr>
        <w:t xml:space="preserve">, OECD Publishing, Paris.</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HM Treasury, </w:t>
      </w:r>
      <w:r w:rsidDel="00000000" w:rsidR="00000000" w:rsidRPr="00000000">
        <w:rPr>
          <w:i w:val="1"/>
          <w:iCs w:val="1"/>
          <w:rtl w:val="0"/>
        </w:rPr>
        <w:t xml:space="preserve">The Green Book: Central Government Guidance on Appraisal and Evaluation</w:t>
      </w:r>
      <w:r w:rsidDel="00000000" w:rsidR="00000000" w:rsidRPr="00000000">
        <w:rPr>
          <w:rtl w:val="0"/>
        </w:rPr>
        <w:t xml:space="preserve">, éditions 2018, 2020 et 2026.</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DREES, </w:t>
      </w:r>
      <w:r w:rsidDel="00000000" w:rsidR="00000000" w:rsidRPr="00000000">
        <w:rPr>
          <w:i w:val="1"/>
          <w:iCs w:val="1"/>
          <w:rtl w:val="0"/>
        </w:rPr>
        <w:t xml:space="preserve">Méthodes d'évaluation des politiques publiques</w:t>
      </w:r>
      <w:r w:rsidDel="00000000" w:rsidR="00000000" w:rsidRPr="00000000">
        <w:rPr>
          <w:rtl w:val="0"/>
        </w:rPr>
        <w:t xml:space="preserve">, actes du séminaire.</w:t>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Gibert, P. (1980) ; Bouckaert, G. et Pollitt, C. (2004), sur la distinction réalisations / résultats.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Retraites</w:t>
      </w:r>
    </w:p>
    <w:p w:rsidR="00000000" w:rsidDel="00000000" w:rsidP="00000000" w:rsidRDefault="00000000" w:rsidRPr="00000000" w14:paraId="000000C2">
      <w:pPr>
        <w:numPr>
          <w:ilvl w:val="0"/>
          <w:numId w:val="10"/>
        </w:numPr>
        <w:spacing w:after="0" w:afterAutospacing="0" w:before="240" w:lineRule="auto"/>
        <w:ind w:left="720" w:hanging="360"/>
      </w:pPr>
      <w:r w:rsidDel="00000000" w:rsidR="00000000" w:rsidRPr="00000000">
        <w:rPr>
          <w:rtl w:val="0"/>
        </w:rPr>
        <w:t xml:space="preserve">Code de la sécurité sociale, article L111-2-1 (Légifrance).</w:t>
      </w:r>
    </w:p>
    <w:p w:rsidR="00000000" w:rsidDel="00000000" w:rsidP="00000000" w:rsidRDefault="00000000" w:rsidRPr="00000000" w14:paraId="000000C3">
      <w:pPr>
        <w:numPr>
          <w:ilvl w:val="0"/>
          <w:numId w:val="10"/>
        </w:numPr>
        <w:spacing w:after="0" w:afterAutospacing="0" w:before="0" w:beforeAutospacing="0" w:lineRule="auto"/>
        <w:ind w:left="720" w:hanging="360"/>
      </w:pPr>
      <w:r w:rsidDel="00000000" w:rsidR="00000000" w:rsidRPr="00000000">
        <w:rPr>
          <w:rtl w:val="0"/>
        </w:rPr>
        <w:t xml:space="preserve">Décret du 20 juin 2014 fixant les indicateurs de suivi des objectifs du système de retraite.</w:t>
      </w:r>
    </w:p>
    <w:p w:rsidR="00000000" w:rsidDel="00000000" w:rsidP="00000000" w:rsidRDefault="00000000" w:rsidRPr="00000000" w14:paraId="000000C4">
      <w:pPr>
        <w:numPr>
          <w:ilvl w:val="0"/>
          <w:numId w:val="10"/>
        </w:numPr>
        <w:spacing w:after="0" w:afterAutospacing="0" w:before="0" w:beforeAutospacing="0" w:lineRule="auto"/>
        <w:ind w:left="720" w:hanging="360"/>
      </w:pPr>
      <w:r w:rsidDel="00000000" w:rsidR="00000000" w:rsidRPr="00000000">
        <w:rPr>
          <w:rtl w:val="0"/>
        </w:rPr>
        <w:t xml:space="preserve">Comité de suivi des retraites, avis annuels.</w:t>
      </w:r>
    </w:p>
    <w:p w:rsidR="00000000" w:rsidDel="00000000" w:rsidP="00000000" w:rsidRDefault="00000000" w:rsidRPr="00000000" w14:paraId="000000C5">
      <w:pPr>
        <w:numPr>
          <w:ilvl w:val="0"/>
          <w:numId w:val="10"/>
        </w:numPr>
        <w:spacing w:after="0" w:afterAutospacing="0" w:before="0" w:beforeAutospacing="0" w:lineRule="auto"/>
        <w:ind w:left="720" w:hanging="360"/>
      </w:pPr>
      <w:r w:rsidDel="00000000" w:rsidR="00000000" w:rsidRPr="00000000">
        <w:rPr>
          <w:rtl w:val="0"/>
        </w:rPr>
        <w:t xml:space="preserve">OCDE, </w:t>
      </w:r>
      <w:r w:rsidDel="00000000" w:rsidR="00000000" w:rsidRPr="00000000">
        <w:rPr>
          <w:i w:val="1"/>
          <w:iCs w:val="1"/>
          <w:rtl w:val="0"/>
        </w:rPr>
        <w:t xml:space="preserve">Pensions at a Glance</w:t>
      </w:r>
      <w:r w:rsidDel="00000000" w:rsidR="00000000" w:rsidRPr="00000000">
        <w:rPr>
          <w:rtl w:val="0"/>
        </w:rPr>
        <w:t xml:space="preserve">, éditions 2021, 2023 et 2025.</w:t>
      </w:r>
    </w:p>
    <w:p w:rsidR="00000000" w:rsidDel="00000000" w:rsidP="00000000" w:rsidRDefault="00000000" w:rsidRPr="00000000" w14:paraId="000000C6">
      <w:pPr>
        <w:numPr>
          <w:ilvl w:val="0"/>
          <w:numId w:val="10"/>
        </w:numPr>
        <w:spacing w:after="240" w:before="0" w:beforeAutospacing="0" w:lineRule="auto"/>
        <w:ind w:left="720" w:hanging="360"/>
      </w:pPr>
      <w:r w:rsidDel="00000000" w:rsidR="00000000" w:rsidRPr="00000000">
        <w:rPr>
          <w:i w:val="1"/>
          <w:iCs w:val="1"/>
          <w:rtl w:val="0"/>
        </w:rPr>
        <w:t xml:space="preserve">Balancing Sustainability and Well-Being: A Multivariate Analysis of European Pension Regimes</w:t>
      </w:r>
      <w:r w:rsidDel="00000000" w:rsidR="00000000" w:rsidRPr="00000000">
        <w:rPr>
          <w:rtl w:val="0"/>
        </w:rPr>
        <w:t xml:space="preserve">, Administrative Sciences, 2026.</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Santé</w:t>
      </w:r>
    </w:p>
    <w:p w:rsidR="00000000" w:rsidDel="00000000" w:rsidP="00000000" w:rsidRDefault="00000000" w:rsidRPr="00000000" w14:paraId="000000C8">
      <w:pPr>
        <w:numPr>
          <w:ilvl w:val="0"/>
          <w:numId w:val="20"/>
        </w:numPr>
        <w:spacing w:after="0" w:afterAutospacing="0" w:before="240" w:lineRule="auto"/>
        <w:ind w:left="720" w:hanging="360"/>
      </w:pPr>
      <w:r w:rsidDel="00000000" w:rsidR="00000000" w:rsidRPr="00000000">
        <w:rPr>
          <w:rtl w:val="0"/>
        </w:rPr>
        <w:t xml:space="preserve">Code de la sécurité sociale, article L111-2-1, partie I.</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OMS (2000), </w:t>
      </w:r>
      <w:r w:rsidDel="00000000" w:rsidR="00000000" w:rsidRPr="00000000">
        <w:rPr>
          <w:i w:val="1"/>
          <w:iCs w:val="1"/>
          <w:rtl w:val="0"/>
        </w:rPr>
        <w:t xml:space="preserve">Rapport sur la santé dans le monde : pour un système de santé plus performant</w:t>
      </w:r>
      <w:r w:rsidDel="00000000" w:rsidR="00000000" w:rsidRPr="00000000">
        <w:rPr>
          <w:rtl w:val="0"/>
        </w:rPr>
        <w:t xml:space="preserve">.</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tl w:val="0"/>
        </w:rPr>
        <w:t xml:space="preserve">Murray, C. et Frenk, J. (2000), « A framework for assessing the performance of health systems », </w:t>
      </w:r>
      <w:r w:rsidDel="00000000" w:rsidR="00000000" w:rsidRPr="00000000">
        <w:rPr>
          <w:i w:val="1"/>
          <w:iCs w:val="1"/>
          <w:rtl w:val="0"/>
        </w:rPr>
        <w:t xml:space="preserve">Bulletin of the World Health Organization</w:t>
      </w:r>
      <w:r w:rsidDel="00000000" w:rsidR="00000000" w:rsidRPr="00000000">
        <w:rPr>
          <w:rtl w:val="0"/>
        </w:rPr>
        <w:t xml:space="preserve">.</w:t>
      </w:r>
    </w:p>
    <w:p w:rsidR="00000000" w:rsidDel="00000000" w:rsidP="00000000" w:rsidRDefault="00000000" w:rsidRPr="00000000" w14:paraId="000000CB">
      <w:pPr>
        <w:numPr>
          <w:ilvl w:val="0"/>
          <w:numId w:val="20"/>
        </w:numPr>
        <w:spacing w:after="240" w:before="0" w:beforeAutospacing="0" w:lineRule="auto"/>
        <w:ind w:left="720" w:hanging="360"/>
      </w:pPr>
      <w:r w:rsidDel="00000000" w:rsidR="00000000" w:rsidRPr="00000000">
        <w:rPr>
          <w:rtl w:val="0"/>
        </w:rPr>
        <w:t xml:space="preserve">OMS (2022), </w:t>
      </w:r>
      <w:r w:rsidDel="00000000" w:rsidR="00000000" w:rsidRPr="00000000">
        <w:rPr>
          <w:i w:val="1"/>
          <w:iCs w:val="1"/>
          <w:rtl w:val="0"/>
        </w:rPr>
        <w:t xml:space="preserve">Health System Performance Assessment: A Framework for Policy Analysis</w:t>
      </w:r>
      <w:r w:rsidDel="00000000" w:rsidR="00000000" w:rsidRPr="00000000">
        <w:rPr>
          <w:rtl w:val="0"/>
        </w:rPr>
        <w:t xml:space="preserv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Emploi</w:t>
      </w:r>
    </w:p>
    <w:p w:rsidR="00000000" w:rsidDel="00000000" w:rsidP="00000000" w:rsidRDefault="00000000" w:rsidRPr="00000000" w14:paraId="000000CD">
      <w:pPr>
        <w:numPr>
          <w:ilvl w:val="0"/>
          <w:numId w:val="14"/>
        </w:numPr>
        <w:spacing w:after="0" w:afterAutospacing="0" w:before="240" w:lineRule="auto"/>
        <w:ind w:left="720" w:hanging="360"/>
      </w:pPr>
      <w:r w:rsidDel="00000000" w:rsidR="00000000" w:rsidRPr="00000000">
        <w:rPr>
          <w:rtl w:val="0"/>
        </w:rPr>
        <w:t xml:space="preserve">Code de la sécurité sociale, article L111-2-1 (mention du plein emploi).</w:t>
      </w:r>
    </w:p>
    <w:p w:rsidR="00000000" w:rsidDel="00000000" w:rsidP="00000000" w:rsidRDefault="00000000" w:rsidRPr="00000000" w14:paraId="000000CE">
      <w:pPr>
        <w:numPr>
          <w:ilvl w:val="0"/>
          <w:numId w:val="14"/>
        </w:numPr>
        <w:spacing w:after="240" w:before="0" w:beforeAutospacing="0" w:lineRule="auto"/>
        <w:ind w:left="720" w:hanging="360"/>
      </w:pPr>
      <w:r w:rsidDel="00000000" w:rsidR="00000000" w:rsidRPr="00000000">
        <w:rPr>
          <w:rtl w:val="0"/>
        </w:rPr>
        <w:t xml:space="preserve">OCDE (2018), </w:t>
      </w:r>
      <w:r w:rsidDel="00000000" w:rsidR="00000000" w:rsidRPr="00000000">
        <w:rPr>
          <w:i w:val="1"/>
          <w:iCs w:val="1"/>
          <w:rtl w:val="0"/>
        </w:rPr>
        <w:t xml:space="preserve">Good Jobs for All in a Changing World of Work: The OECD Jobs Strategy</w:t>
      </w:r>
      <w:r w:rsidDel="00000000" w:rsidR="00000000" w:rsidRPr="00000000">
        <w:rPr>
          <w:rtl w:val="0"/>
        </w:rPr>
        <w:t xml:space="preserve">, OECD Publishing, Paris.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Éducation</w:t>
      </w:r>
    </w:p>
    <w:p w:rsidR="00000000" w:rsidDel="00000000" w:rsidP="00000000" w:rsidRDefault="00000000" w:rsidRPr="00000000" w14:paraId="000000D0">
      <w:pPr>
        <w:numPr>
          <w:ilvl w:val="0"/>
          <w:numId w:val="19"/>
        </w:numPr>
        <w:spacing w:after="0" w:afterAutospacing="0" w:before="240" w:lineRule="auto"/>
        <w:ind w:left="720" w:hanging="360"/>
      </w:pPr>
      <w:r w:rsidDel="00000000" w:rsidR="00000000" w:rsidRPr="00000000">
        <w:rPr>
          <w:rtl w:val="0"/>
        </w:rPr>
        <w:t xml:space="preserve">Code de l'éducation, article L111-1.</w:t>
      </w:r>
    </w:p>
    <w:p w:rsidR="00000000" w:rsidDel="00000000" w:rsidP="00000000" w:rsidRDefault="00000000" w:rsidRPr="00000000" w14:paraId="000000D1">
      <w:pPr>
        <w:numPr>
          <w:ilvl w:val="0"/>
          <w:numId w:val="19"/>
        </w:numPr>
        <w:spacing w:after="240" w:before="0" w:beforeAutospacing="0" w:lineRule="auto"/>
        <w:ind w:left="720" w:hanging="360"/>
      </w:pPr>
      <w:r w:rsidDel="00000000" w:rsidR="00000000" w:rsidRPr="00000000">
        <w:rPr>
          <w:rtl w:val="0"/>
        </w:rPr>
        <w:t xml:space="preserve">Conseil constitutionnel, « À propos des principes généraux de l'éducation », </w:t>
      </w:r>
      <w:r w:rsidDel="00000000" w:rsidR="00000000" w:rsidRPr="00000000">
        <w:rPr>
          <w:i w:val="1"/>
          <w:iCs w:val="1"/>
          <w:rtl w:val="0"/>
        </w:rPr>
        <w:t xml:space="preserve">Titre VII</w:t>
      </w:r>
      <w:r w:rsidDel="00000000" w:rsidR="00000000" w:rsidRPr="00000000">
        <w:rPr>
          <w:rtl w:val="0"/>
        </w:rPr>
        <w:t xml:space="preserv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Énergie et climat</w:t>
      </w:r>
    </w:p>
    <w:p w:rsidR="00000000" w:rsidDel="00000000" w:rsidP="00000000" w:rsidRDefault="00000000" w:rsidRPr="00000000" w14:paraId="000000D3">
      <w:pPr>
        <w:numPr>
          <w:ilvl w:val="0"/>
          <w:numId w:val="18"/>
        </w:numPr>
        <w:spacing w:after="0" w:afterAutospacing="0" w:before="240" w:lineRule="auto"/>
        <w:ind w:left="720" w:hanging="360"/>
      </w:pPr>
      <w:r w:rsidDel="00000000" w:rsidR="00000000" w:rsidRPr="00000000">
        <w:rPr>
          <w:rtl w:val="0"/>
        </w:rPr>
        <w:t xml:space="preserve">Code de l'énergie, articles L100-1, L100-2 et L100-4.</w:t>
      </w:r>
    </w:p>
    <w:p w:rsidR="00000000" w:rsidDel="00000000" w:rsidP="00000000" w:rsidRDefault="00000000" w:rsidRPr="00000000" w14:paraId="000000D4">
      <w:pPr>
        <w:numPr>
          <w:ilvl w:val="0"/>
          <w:numId w:val="18"/>
        </w:numPr>
        <w:spacing w:after="240" w:before="0" w:beforeAutospacing="0" w:lineRule="auto"/>
        <w:ind w:left="720" w:hanging="360"/>
      </w:pPr>
      <w:r w:rsidDel="00000000" w:rsidR="00000000" w:rsidRPr="00000000">
        <w:rPr>
          <w:rtl w:val="0"/>
        </w:rPr>
        <w:t xml:space="preserve">Conseil mondial de l'énergie, </w:t>
      </w:r>
      <w:r w:rsidDel="00000000" w:rsidR="00000000" w:rsidRPr="00000000">
        <w:rPr>
          <w:i w:val="1"/>
          <w:iCs w:val="1"/>
          <w:rtl w:val="0"/>
        </w:rPr>
        <w:t xml:space="preserve">World Energy Trilemma Index</w:t>
      </w:r>
      <w:r w:rsidDel="00000000" w:rsidR="00000000" w:rsidRPr="00000000">
        <w:rPr>
          <w:rtl w:val="0"/>
        </w:rPr>
        <w:t xml:space="preserve">, éditions annuelles depuis 2010.</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Logement</w:t>
      </w:r>
    </w:p>
    <w:p w:rsidR="00000000" w:rsidDel="00000000" w:rsidP="00000000" w:rsidRDefault="00000000" w:rsidRPr="00000000" w14:paraId="000000D6">
      <w:pPr>
        <w:numPr>
          <w:ilvl w:val="0"/>
          <w:numId w:val="15"/>
        </w:numPr>
        <w:spacing w:after="0" w:afterAutospacing="0" w:before="240" w:lineRule="auto"/>
        <w:ind w:left="720" w:hanging="360"/>
      </w:pPr>
      <w:r w:rsidDel="00000000" w:rsidR="00000000" w:rsidRPr="00000000">
        <w:rPr>
          <w:rtl w:val="0"/>
        </w:rPr>
        <w:t xml:space="preserve">Code de la construction et de l'habitation, article L300-1.</w:t>
      </w:r>
    </w:p>
    <w:p w:rsidR="00000000" w:rsidDel="00000000" w:rsidP="00000000" w:rsidRDefault="00000000" w:rsidRPr="00000000" w14:paraId="000000D7">
      <w:pPr>
        <w:numPr>
          <w:ilvl w:val="0"/>
          <w:numId w:val="15"/>
        </w:numPr>
        <w:spacing w:after="0" w:afterAutospacing="0" w:before="0" w:beforeAutospacing="0" w:lineRule="auto"/>
        <w:ind w:left="720" w:hanging="360"/>
      </w:pPr>
      <w:r w:rsidDel="00000000" w:rsidR="00000000" w:rsidRPr="00000000">
        <w:rPr>
          <w:rtl w:val="0"/>
        </w:rPr>
        <w:t xml:space="preserve">Loi n° 90-449 du 31 mai 1990 visant à la mise en œuvre du droit au logement.</w:t>
      </w:r>
    </w:p>
    <w:p w:rsidR="00000000" w:rsidDel="00000000" w:rsidP="00000000" w:rsidRDefault="00000000" w:rsidRPr="00000000" w14:paraId="000000D8">
      <w:pPr>
        <w:numPr>
          <w:ilvl w:val="0"/>
          <w:numId w:val="15"/>
        </w:numPr>
        <w:spacing w:after="240" w:before="0" w:beforeAutospacing="0" w:lineRule="auto"/>
        <w:ind w:left="720" w:hanging="360"/>
      </w:pPr>
      <w:r w:rsidDel="00000000" w:rsidR="00000000" w:rsidRPr="00000000">
        <w:rPr>
          <w:rtl w:val="0"/>
        </w:rPr>
        <w:t xml:space="preserve">Loi n° 2007-290 du 5 mars 2007 instituant le droit au logement opposable.</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Alimentation et agriculture</w:t>
      </w:r>
    </w:p>
    <w:p w:rsidR="00000000" w:rsidDel="00000000" w:rsidP="00000000" w:rsidRDefault="00000000" w:rsidRPr="00000000" w14:paraId="000000DA">
      <w:pPr>
        <w:numPr>
          <w:ilvl w:val="0"/>
          <w:numId w:val="17"/>
        </w:numPr>
        <w:spacing w:after="0" w:afterAutospacing="0" w:before="240" w:lineRule="auto"/>
        <w:ind w:left="720" w:hanging="360"/>
      </w:pPr>
      <w:r w:rsidDel="00000000" w:rsidR="00000000" w:rsidRPr="00000000">
        <w:rPr>
          <w:rtl w:val="0"/>
        </w:rPr>
        <w:t xml:space="preserve">Code rural et de la pêche maritime, article L1 A.</w:t>
      </w:r>
    </w:p>
    <w:p w:rsidR="00000000" w:rsidDel="00000000" w:rsidP="00000000" w:rsidRDefault="00000000" w:rsidRPr="00000000" w14:paraId="000000DB">
      <w:pPr>
        <w:numPr>
          <w:ilvl w:val="0"/>
          <w:numId w:val="17"/>
        </w:numPr>
        <w:spacing w:after="240" w:before="0" w:beforeAutospacing="0" w:lineRule="auto"/>
        <w:ind w:left="720" w:hanging="360"/>
      </w:pPr>
      <w:r w:rsidDel="00000000" w:rsidR="00000000" w:rsidRPr="00000000">
        <w:rPr>
          <w:rtl w:val="0"/>
        </w:rPr>
        <w:t xml:space="preserve">Loi n° 2025-268 du 24 mars 2025 d'orientation pour la souveraineté alimentaire et le renouvellement des générations en agriculture.</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Fiscalité</w:t>
      </w:r>
    </w:p>
    <w:p w:rsidR="00000000" w:rsidDel="00000000" w:rsidP="00000000" w:rsidRDefault="00000000" w:rsidRPr="00000000" w14:paraId="000000DD">
      <w:pPr>
        <w:numPr>
          <w:ilvl w:val="0"/>
          <w:numId w:val="16"/>
        </w:numPr>
        <w:spacing w:after="0" w:afterAutospacing="0" w:before="240" w:lineRule="auto"/>
        <w:ind w:left="720" w:hanging="360"/>
      </w:pPr>
      <w:r w:rsidDel="00000000" w:rsidR="00000000" w:rsidRPr="00000000">
        <w:rPr>
          <w:rtl w:val="0"/>
        </w:rPr>
        <w:t xml:space="preserve">Institute for Fiscal Studies, </w:t>
      </w:r>
      <w:r w:rsidDel="00000000" w:rsidR="00000000" w:rsidRPr="00000000">
        <w:rPr>
          <w:i w:val="1"/>
          <w:iCs w:val="1"/>
          <w:rtl w:val="0"/>
        </w:rPr>
        <w:t xml:space="preserve">Dimensions of Tax Design: The Mirrlees Review</w:t>
      </w:r>
      <w:r w:rsidDel="00000000" w:rsidR="00000000" w:rsidRPr="00000000">
        <w:rPr>
          <w:rtl w:val="0"/>
        </w:rPr>
        <w:t xml:space="preserve">, Oxford University Press, 2010.</w:t>
      </w:r>
    </w:p>
    <w:p w:rsidR="00000000" w:rsidDel="00000000" w:rsidP="00000000" w:rsidRDefault="00000000" w:rsidRPr="00000000" w14:paraId="000000DE">
      <w:pPr>
        <w:numPr>
          <w:ilvl w:val="0"/>
          <w:numId w:val="16"/>
        </w:numPr>
        <w:spacing w:after="0" w:afterAutospacing="0" w:before="0" w:beforeAutospacing="0" w:lineRule="auto"/>
        <w:ind w:left="720" w:hanging="360"/>
      </w:pPr>
      <w:r w:rsidDel="00000000" w:rsidR="00000000" w:rsidRPr="00000000">
        <w:rPr>
          <w:rtl w:val="0"/>
        </w:rPr>
        <w:t xml:space="preserve">Institute for Fiscal Studies, </w:t>
      </w:r>
      <w:r w:rsidDel="00000000" w:rsidR="00000000" w:rsidRPr="00000000">
        <w:rPr>
          <w:i w:val="1"/>
          <w:iCs w:val="1"/>
          <w:rtl w:val="0"/>
        </w:rPr>
        <w:t xml:space="preserve">Tax by Design: The Mirrlees Review</w:t>
      </w:r>
      <w:r w:rsidDel="00000000" w:rsidR="00000000" w:rsidRPr="00000000">
        <w:rPr>
          <w:rtl w:val="0"/>
        </w:rPr>
        <w:t xml:space="preserve">, Oxford University Press, 2011.</w:t>
      </w:r>
    </w:p>
    <w:p w:rsidR="00000000" w:rsidDel="00000000" w:rsidP="00000000" w:rsidRDefault="00000000" w:rsidRPr="00000000" w14:paraId="000000DF">
      <w:pPr>
        <w:numPr>
          <w:ilvl w:val="0"/>
          <w:numId w:val="16"/>
        </w:numPr>
        <w:spacing w:after="240" w:before="0" w:beforeAutospacing="0" w:lineRule="auto"/>
        <w:ind w:left="720" w:hanging="360"/>
      </w:pPr>
      <w:r w:rsidDel="00000000" w:rsidR="00000000" w:rsidRPr="00000000">
        <w:rPr>
          <w:rtl w:val="0"/>
        </w:rPr>
        <w:t xml:space="preserve">Déclaration des droits de l'homme et du citoyen de 1789, articles 13 et 14 (à vérifier).</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Dette et finances publiques</w:t>
      </w:r>
    </w:p>
    <w:p w:rsidR="00000000" w:rsidDel="00000000" w:rsidP="00000000" w:rsidRDefault="00000000" w:rsidRPr="00000000" w14:paraId="000000E1">
      <w:pPr>
        <w:numPr>
          <w:ilvl w:val="0"/>
          <w:numId w:val="1"/>
        </w:numPr>
        <w:spacing w:after="0" w:afterAutospacing="0" w:before="240" w:lineRule="auto"/>
        <w:ind w:left="720" w:hanging="360"/>
      </w:pPr>
      <w:r w:rsidDel="00000000" w:rsidR="00000000" w:rsidRPr="00000000">
        <w:rPr>
          <w:rtl w:val="0"/>
        </w:rPr>
        <w:t xml:space="preserve">Traité sur le fonctionnement de l'Union européenne, articles 121 et 126.</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Pacte de stabilité et de croissance réformé, cadre révisé entré en vigueur le 30 avril 2024.</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Sénat, exposé des motifs relatif à la réforme du pacte de stabilité et de croissance.</w:t>
      </w:r>
    </w:p>
    <w:p w:rsidR="00000000" w:rsidDel="00000000" w:rsidP="00000000" w:rsidRDefault="00000000" w:rsidRPr="00000000" w14:paraId="000000E4">
      <w:pPr>
        <w:numPr>
          <w:ilvl w:val="0"/>
          <w:numId w:val="1"/>
        </w:numPr>
        <w:spacing w:after="240" w:before="0" w:beforeAutospacing="0" w:lineRule="auto"/>
        <w:ind w:left="720" w:hanging="360"/>
      </w:pPr>
      <w:r w:rsidDel="00000000" w:rsidR="00000000" w:rsidRPr="00000000">
        <w:rPr>
          <w:rtl w:val="0"/>
        </w:rPr>
        <w:t xml:space="preserve">Direction du budget, présentation du programme de stabilité 2024-2027.</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Immigration</w:t>
      </w:r>
    </w:p>
    <w:p w:rsidR="00000000" w:rsidDel="00000000" w:rsidP="00000000" w:rsidRDefault="00000000" w:rsidRPr="00000000" w14:paraId="000000E6">
      <w:pPr>
        <w:numPr>
          <w:ilvl w:val="0"/>
          <w:numId w:val="8"/>
        </w:numPr>
        <w:spacing w:after="0" w:afterAutospacing="0" w:before="240" w:lineRule="auto"/>
        <w:ind w:left="720" w:hanging="360"/>
      </w:pPr>
      <w:r w:rsidDel="00000000" w:rsidR="00000000" w:rsidRPr="00000000">
        <w:rPr>
          <w:rtl w:val="0"/>
        </w:rPr>
        <w:t xml:space="preserve">Pacte européen sur la migration et l'asile, adopté par le Conseil le 14 mai 2024.</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Règlement (UE) 2024/1351 relatif à la gestion de l'asile et de la migration.</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Commission européenne, plan commun de mise en œuvre du pacte, COM(2024) 251, juin 2024.</w:t>
      </w:r>
    </w:p>
    <w:p w:rsidR="00000000" w:rsidDel="00000000" w:rsidP="00000000" w:rsidRDefault="00000000" w:rsidRPr="00000000" w14:paraId="000000E9">
      <w:pPr>
        <w:numPr>
          <w:ilvl w:val="0"/>
          <w:numId w:val="8"/>
        </w:numPr>
        <w:spacing w:after="240" w:before="0" w:beforeAutospacing="0" w:lineRule="auto"/>
        <w:ind w:left="720" w:hanging="360"/>
      </w:pPr>
      <w:r w:rsidDel="00000000" w:rsidR="00000000" w:rsidRPr="00000000">
        <w:rPr>
          <w:rtl w:val="0"/>
        </w:rPr>
        <w:t xml:space="preserve">Commission européenne, première stratégie européenne de gestion de l'asile et de la migration, janvier 2026.</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Sécurité et justice</w:t>
      </w:r>
    </w:p>
    <w:p w:rsidR="00000000" w:rsidDel="00000000" w:rsidP="00000000" w:rsidRDefault="00000000" w:rsidRPr="00000000" w14:paraId="000000EB">
      <w:pPr>
        <w:numPr>
          <w:ilvl w:val="0"/>
          <w:numId w:val="3"/>
        </w:numPr>
        <w:spacing w:after="0" w:afterAutospacing="0" w:before="240" w:lineRule="auto"/>
        <w:ind w:left="720" w:hanging="360"/>
      </w:pPr>
      <w:r w:rsidDel="00000000" w:rsidR="00000000" w:rsidRPr="00000000">
        <w:rPr>
          <w:rtl w:val="0"/>
        </w:rPr>
        <w:t xml:space="preserve">Conseil constitutionnel, décision n° 82-141 DC du 27 juillet 1982 (consécration des objectifs de valeur constitutionnelle).</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Conseil constitutionnel, décisions du 13 mars 2003 (sécurité intérieure) et du 19 janvier 2006 (lutte contre le terrorisme).</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Conseil constitutionnel, « Libertés et ordre public » et « La limitation des droits fondamentaux constitutionnels par l'ordre public », </w:t>
      </w:r>
      <w:r w:rsidDel="00000000" w:rsidR="00000000" w:rsidRPr="00000000">
        <w:rPr>
          <w:i w:val="1"/>
          <w:iCs w:val="1"/>
          <w:rtl w:val="0"/>
        </w:rPr>
        <w:t xml:space="preserve">Nouveaux Cahiers du Conseil constitutionnel</w:t>
      </w:r>
      <w:r w:rsidDel="00000000" w:rsidR="00000000" w:rsidRPr="00000000">
        <w:rPr>
          <w:rtl w:val="0"/>
        </w:rPr>
        <w:t xml:space="preserve">.</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Conseil d'État, « Ordre public et libertés publiques ».</w:t>
      </w:r>
    </w:p>
    <w:p w:rsidR="00000000" w:rsidDel="00000000" w:rsidP="00000000" w:rsidRDefault="00000000" w:rsidRPr="00000000" w14:paraId="000000EF">
      <w:pPr>
        <w:numPr>
          <w:ilvl w:val="0"/>
          <w:numId w:val="3"/>
        </w:numPr>
        <w:spacing w:after="240" w:before="0" w:beforeAutospacing="0" w:lineRule="auto"/>
        <w:ind w:left="720" w:hanging="360"/>
      </w:pPr>
      <w:r w:rsidDel="00000000" w:rsidR="00000000" w:rsidRPr="00000000">
        <w:rPr>
          <w:rtl w:val="0"/>
        </w:rPr>
        <w:t xml:space="preserve">Déclaration des droits de l'homme et du citoyen de 1789, articles 2 et 4 ; Constitution, article 66.</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Numérique</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rtl w:val="0"/>
        </w:rPr>
        <w:t xml:space="preserve">Décision (UE) 2022/2481 du 14 décembre 2022 établissant le programme d'action pour la décennie numérique à l'horizon 2030.</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 xml:space="preserve">Décision (UE) 2023/1353 définissant les indicateurs clés de performance associés.</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rtl w:val="0"/>
        </w:rPr>
        <w:t xml:space="preserve">Déclaration européenne sur les droits et principes numériques pour la décennie numérique.</w:t>
      </w:r>
    </w:p>
    <w:p w:rsidR="00000000" w:rsidDel="00000000" w:rsidP="00000000" w:rsidRDefault="00000000" w:rsidRPr="00000000" w14:paraId="000000F4">
      <w:pPr>
        <w:numPr>
          <w:ilvl w:val="0"/>
          <w:numId w:val="2"/>
        </w:numPr>
        <w:spacing w:after="240" w:before="0" w:beforeAutospacing="0" w:lineRule="auto"/>
        <w:ind w:left="720" w:hanging="360"/>
      </w:pPr>
      <w:r w:rsidDel="00000000" w:rsidR="00000000" w:rsidRPr="00000000">
        <w:rPr>
          <w:rtl w:val="0"/>
        </w:rPr>
        <w:t xml:space="preserve">Gouvernement français, </w:t>
      </w:r>
      <w:r w:rsidDel="00000000" w:rsidR="00000000" w:rsidRPr="00000000">
        <w:rPr>
          <w:i w:val="1"/>
          <w:iCs w:val="1"/>
          <w:rtl w:val="0"/>
        </w:rPr>
        <w:t xml:space="preserve">Feuille de route de la France : la décennie numérique 2024-2030</w:t>
      </w:r>
      <w:r w:rsidDel="00000000" w:rsidR="00000000" w:rsidRPr="00000000">
        <w:rPr>
          <w:rtl w:val="0"/>
        </w:rPr>
        <w:t xml:space="preserve">, mars 2024.</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Document de travail. Les ancrages des sections 3.1 à 3.7, 3.9, 4.1, 4.2 et 4.3 ont été vérifiés sur sources primaires ou institutionnelles. La section 3.8 et les points listés en section 4 bis restent à confirmer.</w:t>
      </w:r>
    </w:p>
    <w:p w:rsidR="00000000" w:rsidDel="00000000" w:rsidP="00000000" w:rsidRDefault="00000000" w:rsidRPr="00000000" w14:paraId="000000F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