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9E0E" w14:textId="77777777" w:rsidR="00F16AFD" w:rsidRPr="00B479AE" w:rsidRDefault="00F16AFD" w:rsidP="00F16AFD">
      <w:pPr>
        <w:spacing w:line="360" w:lineRule="auto"/>
        <w:rPr>
          <w:rFonts w:ascii="Baskerville Old Face" w:hAnsi="Baskerville Old Face"/>
          <w:b/>
          <w:bCs/>
          <w:i/>
          <w:iCs/>
        </w:rPr>
      </w:pPr>
      <w:bookmarkStart w:id="0" w:name="_Hlk219100764"/>
      <w:r w:rsidRPr="00B479AE">
        <w:rPr>
          <w:rFonts w:ascii="Baskerville Old Face" w:hAnsi="Baskerville Old Face"/>
          <w:b/>
          <w:bCs/>
          <w:i/>
          <w:iCs/>
          <w:noProof/>
        </w:rPr>
        <w:drawing>
          <wp:inline distT="0" distB="0" distL="0" distR="0" wp14:anchorId="0DA59A0E" wp14:editId="2513CE39">
            <wp:extent cx="838200" cy="455177"/>
            <wp:effectExtent l="0" t="0" r="0" b="2540"/>
            <wp:docPr id="2061870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8676" cy="471727"/>
                    </a:xfrm>
                    <a:prstGeom prst="rect">
                      <a:avLst/>
                    </a:prstGeom>
                    <a:noFill/>
                    <a:ln>
                      <a:noFill/>
                    </a:ln>
                  </pic:spPr>
                </pic:pic>
              </a:graphicData>
            </a:graphic>
          </wp:inline>
        </w:drawing>
      </w:r>
    </w:p>
    <w:bookmarkEnd w:id="0"/>
    <w:p w14:paraId="5226F1FF" w14:textId="77777777" w:rsidR="00BE069D" w:rsidRPr="00B479AE" w:rsidRDefault="00BE069D" w:rsidP="00BE069D">
      <w:pPr>
        <w:rPr>
          <w:rFonts w:ascii="Baskerville Old Face" w:hAnsi="Baskerville Old Face"/>
          <w:b/>
          <w:bCs/>
          <w:sz w:val="22"/>
          <w:szCs w:val="22"/>
        </w:rPr>
      </w:pPr>
      <w:r w:rsidRPr="00B479AE">
        <w:rPr>
          <w:rFonts w:ascii="Baskerville Old Face" w:hAnsi="Baskerville Old Face"/>
          <w:b/>
          <w:bCs/>
          <w:sz w:val="22"/>
          <w:szCs w:val="22"/>
        </w:rPr>
        <w:t>Work for Nature,</w:t>
      </w:r>
    </w:p>
    <w:p w14:paraId="3B1E948F" w14:textId="77777777" w:rsidR="00BE069D" w:rsidRPr="00B479AE" w:rsidRDefault="00BE069D" w:rsidP="00BE069D">
      <w:pPr>
        <w:rPr>
          <w:rFonts w:ascii="Baskerville Old Face" w:hAnsi="Baskerville Old Face"/>
          <w:b/>
          <w:bCs/>
          <w:sz w:val="22"/>
          <w:szCs w:val="22"/>
        </w:rPr>
      </w:pPr>
      <w:r w:rsidRPr="00B479AE">
        <w:rPr>
          <w:rFonts w:ascii="Baskerville Old Face" w:hAnsi="Baskerville Old Face"/>
          <w:b/>
          <w:bCs/>
          <w:sz w:val="22"/>
          <w:szCs w:val="22"/>
        </w:rPr>
        <w:t xml:space="preserve"> and Nature will work for you</w:t>
      </w:r>
    </w:p>
    <w:p w14:paraId="1F361262" w14:textId="77777777" w:rsidR="00BE069D" w:rsidRPr="00B479AE" w:rsidRDefault="00BE069D" w:rsidP="00BE069D">
      <w:pPr>
        <w:spacing w:line="360" w:lineRule="auto"/>
        <w:jc w:val="center"/>
        <w:rPr>
          <w:rFonts w:ascii="Baskerville Old Face" w:hAnsi="Baskerville Old Face"/>
          <w:b/>
          <w:bCs/>
        </w:rPr>
      </w:pPr>
      <w:r w:rsidRPr="00B479AE">
        <w:rPr>
          <w:rFonts w:ascii="Baskerville Old Face" w:hAnsi="Baskerville Old Face"/>
          <w:b/>
          <w:bCs/>
        </w:rPr>
        <w:t>WHITE PAPER</w:t>
      </w:r>
    </w:p>
    <w:p w14:paraId="786C0AAC" w14:textId="77777777" w:rsidR="00BE069D" w:rsidRPr="00B479AE" w:rsidRDefault="00BE069D" w:rsidP="001C2F0A">
      <w:pPr>
        <w:pStyle w:val="Titolo"/>
        <w:jc w:val="center"/>
        <w:rPr>
          <w:rFonts w:ascii="Baskerville Old Face" w:hAnsi="Baskerville Old Face"/>
          <w:b/>
          <w:bCs/>
          <w:sz w:val="28"/>
          <w:szCs w:val="28"/>
        </w:rPr>
      </w:pPr>
      <w:proofErr w:type="spellStart"/>
      <w:r w:rsidRPr="00B479AE">
        <w:rPr>
          <w:rFonts w:ascii="Baskerville Old Face" w:hAnsi="Baskerville Old Face"/>
          <w:b/>
          <w:bCs/>
          <w:sz w:val="28"/>
          <w:szCs w:val="28"/>
        </w:rPr>
        <w:t>h•eart•h</w:t>
      </w:r>
      <w:proofErr w:type="spellEnd"/>
      <w:r w:rsidRPr="00B479AE">
        <w:rPr>
          <w:rFonts w:ascii="Baskerville Old Face" w:hAnsi="Baskerville Old Face"/>
          <w:b/>
          <w:bCs/>
          <w:sz w:val="28"/>
          <w:szCs w:val="28"/>
        </w:rPr>
        <w:t xml:space="preserve"> Prometheus</w:t>
      </w:r>
    </w:p>
    <w:p w14:paraId="0366B10F" w14:textId="77777777" w:rsidR="00497D3D" w:rsidRPr="00B479AE" w:rsidRDefault="00497D3D" w:rsidP="00497D3D">
      <w:pPr>
        <w:spacing w:line="360" w:lineRule="auto"/>
        <w:jc w:val="center"/>
        <w:rPr>
          <w:rFonts w:ascii="Baskerville Old Face" w:hAnsi="Baskerville Old Face"/>
          <w:b/>
          <w:bCs/>
          <w:i/>
          <w:iCs/>
        </w:rPr>
      </w:pPr>
      <w:r w:rsidRPr="00B479AE">
        <w:rPr>
          <w:rFonts w:ascii="Baskerville Old Face" w:hAnsi="Baskerville Old Face"/>
          <w:b/>
          <w:bCs/>
          <w:i/>
          <w:iCs/>
        </w:rPr>
        <w:t>Verified Regeneration as an Investable Real-World Asset Class</w:t>
      </w:r>
    </w:p>
    <w:p w14:paraId="15A33B6F" w14:textId="77777777" w:rsidR="00497D3D" w:rsidRPr="00B479AE" w:rsidRDefault="00497D3D" w:rsidP="00497D3D">
      <w:pPr>
        <w:spacing w:line="360" w:lineRule="auto"/>
        <w:rPr>
          <w:rFonts w:ascii="Baskerville Old Face" w:hAnsi="Baskerville Old Face"/>
          <w:b/>
          <w:bCs/>
          <w:i/>
          <w:iCs/>
        </w:rPr>
      </w:pPr>
      <w:r w:rsidRPr="00B479AE">
        <w:rPr>
          <w:rFonts w:ascii="Baskerville Old Face" w:hAnsi="Baskerville Old Face"/>
          <w:b/>
          <w:bCs/>
          <w:i/>
          <w:iCs/>
        </w:rPr>
        <w:t>Regenerative Infrastructure for a Living Economy</w:t>
      </w:r>
    </w:p>
    <w:p w14:paraId="28C06BCF" w14:textId="77777777" w:rsidR="001C2F0A" w:rsidRPr="00B479AE" w:rsidRDefault="001C2F0A" w:rsidP="001C2F0A">
      <w:pPr>
        <w:spacing w:line="360" w:lineRule="auto"/>
        <w:rPr>
          <w:rFonts w:ascii="Baskerville Old Face" w:hAnsi="Baskerville Old Face"/>
          <w:b/>
          <w:bCs/>
          <w:i/>
          <w:iCs/>
        </w:rPr>
      </w:pPr>
      <w:r w:rsidRPr="00B479AE">
        <w:rPr>
          <w:rFonts w:ascii="Baskerville Old Face" w:hAnsi="Baskerville Old Face"/>
          <w:b/>
          <w:bCs/>
          <w:i/>
          <w:iCs/>
        </w:rPr>
        <w:t xml:space="preserve">Author: </w:t>
      </w:r>
      <w:proofErr w:type="spellStart"/>
      <w:r w:rsidRPr="00B479AE">
        <w:rPr>
          <w:rFonts w:ascii="Baskerville Old Face" w:hAnsi="Baskerville Old Face"/>
          <w:b/>
          <w:bCs/>
          <w:i/>
          <w:iCs/>
        </w:rPr>
        <w:t>h•eart•h</w:t>
      </w:r>
      <w:proofErr w:type="spellEnd"/>
      <w:r w:rsidRPr="00B479AE">
        <w:rPr>
          <w:rFonts w:ascii="Baskerville Old Face" w:hAnsi="Baskerville Old Face"/>
          <w:b/>
          <w:bCs/>
          <w:i/>
          <w:iCs/>
        </w:rPr>
        <w:t xml:space="preserve"> intelligence initiative</w:t>
      </w:r>
    </w:p>
    <w:p w14:paraId="78F4A934" w14:textId="77777777" w:rsidR="001C2F0A" w:rsidRPr="00B479AE" w:rsidRDefault="001C2F0A" w:rsidP="001C2F0A">
      <w:pPr>
        <w:spacing w:line="360" w:lineRule="auto"/>
        <w:rPr>
          <w:rFonts w:ascii="Baskerville Old Face" w:hAnsi="Baskerville Old Face"/>
          <w:b/>
          <w:bCs/>
          <w:i/>
          <w:iCs/>
        </w:rPr>
      </w:pPr>
      <w:r w:rsidRPr="00B479AE">
        <w:rPr>
          <w:rFonts w:ascii="Baskerville Old Face" w:hAnsi="Baskerville Old Face"/>
          <w:b/>
          <w:bCs/>
          <w:i/>
          <w:iCs/>
        </w:rPr>
        <w:t>Company: Permaculture DAO LLC</w:t>
      </w:r>
    </w:p>
    <w:p w14:paraId="708E8107" w14:textId="193A4CD5" w:rsidR="00497D3D" w:rsidRPr="00B479AE" w:rsidRDefault="00497D3D" w:rsidP="00497D3D">
      <w:pPr>
        <w:spacing w:line="360" w:lineRule="auto"/>
        <w:rPr>
          <w:rFonts w:ascii="Baskerville Old Face" w:hAnsi="Baskerville Old Face"/>
          <w:i/>
          <w:iCs/>
        </w:rPr>
      </w:pPr>
      <w:r w:rsidRPr="00B479AE">
        <w:rPr>
          <w:rFonts w:ascii="Baskerville Old Face" w:hAnsi="Baskerville Old Face"/>
          <w:i/>
          <w:iCs/>
        </w:rPr>
        <w:t>Rivers do not drink their own water.</w:t>
      </w:r>
      <w:r w:rsidRPr="00B479AE">
        <w:rPr>
          <w:rFonts w:ascii="Baskerville Old Face" w:hAnsi="Baskerville Old Face"/>
          <w:i/>
          <w:iCs/>
        </w:rPr>
        <w:br/>
        <w:t>Trees do not eat their own fruit.</w:t>
      </w:r>
      <w:r w:rsidRPr="00B479AE">
        <w:rPr>
          <w:rFonts w:ascii="Baskerville Old Face" w:hAnsi="Baskerville Old Face"/>
          <w:i/>
          <w:iCs/>
        </w:rPr>
        <w:br/>
        <w:t>The sun does not warm itself.</w:t>
      </w:r>
      <w:r w:rsidRPr="00B479AE">
        <w:rPr>
          <w:rFonts w:ascii="Baskerville Old Face" w:hAnsi="Baskerville Old Face"/>
          <w:i/>
          <w:iCs/>
        </w:rPr>
        <w:br/>
        <w:t>Flowers do not release fragrance for their own benefit.</w:t>
      </w:r>
    </w:p>
    <w:p w14:paraId="25F8CD20" w14:textId="77777777" w:rsidR="00497D3D" w:rsidRPr="00B479AE" w:rsidRDefault="00497D3D" w:rsidP="00497D3D">
      <w:pPr>
        <w:spacing w:line="360" w:lineRule="auto"/>
        <w:rPr>
          <w:rFonts w:ascii="Baskerville Old Face" w:hAnsi="Baskerville Old Face"/>
          <w:i/>
          <w:iCs/>
        </w:rPr>
      </w:pPr>
      <w:r w:rsidRPr="00B479AE">
        <w:rPr>
          <w:rFonts w:ascii="Baskerville Old Face" w:hAnsi="Baskerville Old Face"/>
          <w:i/>
          <w:iCs/>
        </w:rPr>
        <w:t>Life flourishes through contribution.</w:t>
      </w:r>
      <w:r w:rsidRPr="00B479AE">
        <w:rPr>
          <w:rFonts w:ascii="Baskerville Old Face" w:hAnsi="Baskerville Old Face"/>
          <w:i/>
          <w:iCs/>
        </w:rPr>
        <w:br/>
        <w:t>The vitality of each element strengthens the whole,</w:t>
      </w:r>
      <w:r w:rsidRPr="00B479AE">
        <w:rPr>
          <w:rFonts w:ascii="Baskerville Old Face" w:hAnsi="Baskerville Old Face"/>
          <w:i/>
          <w:iCs/>
        </w:rPr>
        <w:br/>
        <w:t>and the whole in turn sustains its parts.</w:t>
      </w:r>
    </w:p>
    <w:p w14:paraId="6B4B4882" w14:textId="77777777" w:rsidR="006F3B48" w:rsidRPr="00B479AE" w:rsidRDefault="006F3B48" w:rsidP="00497D3D">
      <w:pPr>
        <w:spacing w:line="360" w:lineRule="auto"/>
        <w:rPr>
          <w:rFonts w:ascii="Baskerville Old Face" w:hAnsi="Baskerville Old Face"/>
          <w:i/>
          <w:iCs/>
        </w:rPr>
      </w:pPr>
    </w:p>
    <w:p w14:paraId="0AB0B0FC" w14:textId="77777777" w:rsidR="009D7859" w:rsidRPr="00B479AE" w:rsidRDefault="009D7859" w:rsidP="00BF7DC2">
      <w:pPr>
        <w:pStyle w:val="Titolo1"/>
        <w:rPr>
          <w:rFonts w:ascii="Baskerville Old Face" w:hAnsi="Baskerville Old Face"/>
          <w:b/>
          <w:bCs/>
          <w:i/>
          <w:iCs/>
          <w:sz w:val="24"/>
          <w:szCs w:val="24"/>
        </w:rPr>
      </w:pPr>
      <w:r w:rsidRPr="00B479AE">
        <w:rPr>
          <w:rFonts w:ascii="Baskerville Old Face" w:hAnsi="Baskerville Old Face"/>
          <w:b/>
          <w:bCs/>
          <w:i/>
          <w:iCs/>
          <w:sz w:val="24"/>
          <w:szCs w:val="24"/>
        </w:rPr>
        <w:t>Release Identity</w:t>
      </w:r>
    </w:p>
    <w:p w14:paraId="1F8D332F"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xml:space="preserve">This White Paper constitutes the current institutional release of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framework.</w:t>
      </w:r>
    </w:p>
    <w:p w14:paraId="06F15E5B"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It consolidates the constitutional, ecological, technological, governance, verification, financial, and capital-market architecture of Prometheus into a single current document.</w:t>
      </w:r>
    </w:p>
    <w:p w14:paraId="74BD7916"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is presented here as a regenerative transformation infrastructure: a system through which living systems, verified evidence, human stewardship, distributed intelligence, and capital formation converge into a new class of real-world regenerative assets.</w:t>
      </w:r>
    </w:p>
    <w:p w14:paraId="23DB2B64"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lastRenderedPageBreak/>
        <w:t xml:space="preserve">This release gives institutional form to the original Prometheus thesis by making explicit the architecture through which regeneration can become observable, measurable, auditable, </w:t>
      </w:r>
      <w:proofErr w:type="spellStart"/>
      <w:r w:rsidRPr="00B479AE">
        <w:rPr>
          <w:rFonts w:ascii="Baskerville Old Face" w:hAnsi="Baskerville Old Face"/>
          <w:i/>
          <w:iCs/>
        </w:rPr>
        <w:t>underwritable</w:t>
      </w:r>
      <w:proofErr w:type="spellEnd"/>
      <w:r w:rsidRPr="00B479AE">
        <w:rPr>
          <w:rFonts w:ascii="Baskerville Old Face" w:hAnsi="Baskerville Old Face"/>
          <w:i/>
          <w:iCs/>
        </w:rPr>
        <w:t>, financeable, and eventually represented through compliant institutional or digital instruments.</w:t>
      </w:r>
    </w:p>
    <w:p w14:paraId="2A1C7279"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should therefore be read through a clear progression:</w:t>
      </w:r>
    </w:p>
    <w:p w14:paraId="206048F3"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from living systems</w:t>
      </w:r>
      <w:r w:rsidRPr="00B479AE">
        <w:rPr>
          <w:rFonts w:ascii="Baskerville Old Face" w:hAnsi="Baskerville Old Face"/>
          <w:i/>
          <w:iCs/>
        </w:rPr>
        <w:br/>
        <w:t>to observable regeneration</w:t>
      </w:r>
      <w:r w:rsidRPr="00B479AE">
        <w:rPr>
          <w:rFonts w:ascii="Baskerville Old Face" w:hAnsi="Baskerville Old Face"/>
          <w:i/>
          <w:iCs/>
        </w:rPr>
        <w:br/>
        <w:t>to verifiable evidence</w:t>
      </w:r>
      <w:r w:rsidRPr="00B479AE">
        <w:rPr>
          <w:rFonts w:ascii="Baskerville Old Face" w:hAnsi="Baskerville Old Face"/>
          <w:i/>
          <w:iCs/>
        </w:rPr>
        <w:br/>
        <w:t>to financially admissible value</w:t>
      </w:r>
      <w:r w:rsidRPr="00B479AE">
        <w:rPr>
          <w:rFonts w:ascii="Baskerville Old Face" w:hAnsi="Baskerville Old Face"/>
          <w:i/>
          <w:iCs/>
        </w:rPr>
        <w:br/>
        <w:t>to capital-ready regenerative infrastructure.</w:t>
      </w:r>
    </w:p>
    <w:p w14:paraId="28DB6693"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The purpose of this release is to define the conditions under which capital can become aligned with the regenerative capacity of living systems.</w:t>
      </w:r>
    </w:p>
    <w:p w14:paraId="03FAD625"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In this framework, capital is not treated as the source of life.</w:t>
      </w:r>
    </w:p>
    <w:p w14:paraId="48F5FA85"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It is treated as a coordination instrument that can support living systems when disciplined by evidence, stewardship, ecological reality, and long-term responsibility.</w:t>
      </w:r>
    </w:p>
    <w:p w14:paraId="1F98992F" w14:textId="77777777" w:rsidR="009D7859" w:rsidRPr="00B479AE" w:rsidRDefault="009D7859" w:rsidP="00BF7DC2">
      <w:pPr>
        <w:pStyle w:val="Titolo1"/>
        <w:rPr>
          <w:rFonts w:ascii="Baskerville Old Face" w:hAnsi="Baskerville Old Face"/>
          <w:b/>
          <w:bCs/>
          <w:i/>
          <w:iCs/>
          <w:sz w:val="24"/>
          <w:szCs w:val="24"/>
        </w:rPr>
      </w:pPr>
      <w:r w:rsidRPr="00B479AE">
        <w:rPr>
          <w:rFonts w:ascii="Baskerville Old Face" w:hAnsi="Baskerville Old Face"/>
          <w:b/>
          <w:bCs/>
          <w:i/>
          <w:iCs/>
          <w:sz w:val="24"/>
          <w:szCs w:val="24"/>
        </w:rPr>
        <w:t>Document Status</w:t>
      </w:r>
    </w:p>
    <w:p w14:paraId="3C3963E3"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xml:space="preserve">This document presents the conceptual, scientific, technological, governance, operational, verification, and financial architecture of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regenerative infrastructure framework.</w:t>
      </w:r>
    </w:p>
    <w:p w14:paraId="5E24560B" w14:textId="6555574A" w:rsidR="003C21DB" w:rsidRPr="00B479AE" w:rsidRDefault="003C21DB" w:rsidP="009D7859">
      <w:pPr>
        <w:spacing w:line="360" w:lineRule="auto"/>
        <w:rPr>
          <w:rFonts w:ascii="Baskerville Old Face" w:hAnsi="Baskerville Old Face"/>
          <w:i/>
          <w:iCs/>
        </w:rPr>
      </w:pPr>
      <w:r w:rsidRPr="00B479AE">
        <w:rPr>
          <w:rFonts w:ascii="Baskerville Old Face" w:hAnsi="Baskerville Old Face"/>
          <w:i/>
          <w:iCs/>
        </w:rPr>
        <w:t>The purpose of this White Paper is to describe a system capable of transforming ecological regeneration into measurable, verifiable, auditable, financeable, and potentially representable through compliant institutional or digital instruments.</w:t>
      </w:r>
    </w:p>
    <w:p w14:paraId="70AF6BBE" w14:textId="1915387A"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proposes a structural transition from extractive economic systems toward regenerative systems aligned with the long-term health of living ecosystems, human communities, and capital allocation mechanisms.</w:t>
      </w:r>
    </w:p>
    <w:p w14:paraId="14C55190"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This document serves multiple functions:</w:t>
      </w:r>
    </w:p>
    <w:p w14:paraId="70D6B1CA"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to articulate the philosophical, scientific, and ecological foundations of the Prometheus framework;</w:t>
      </w:r>
    </w:p>
    <w:p w14:paraId="776F803A"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lastRenderedPageBreak/>
        <w:t>• to describe the technological architecture enabling distributed verification of regenerative processes;</w:t>
      </w:r>
    </w:p>
    <w:p w14:paraId="0B971601"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to define the verification-first discipline through which ecological claims mature into evidence, evidence matures into validated indicators, and validated indicators may become financially admissible value;</w:t>
      </w:r>
    </w:p>
    <w:p w14:paraId="3E33CB40"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to define the economic model through which verified regeneration can become an investable real-world asset class;</w:t>
      </w:r>
    </w:p>
    <w:p w14:paraId="64093A81"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to introduce the One Human Ecosystem (OHE) as the minimum deployable unit of regenerative infrastructure;</w:t>
      </w:r>
    </w:p>
    <w:p w14:paraId="4C58635F" w14:textId="1CD79477" w:rsidR="001C094B" w:rsidRPr="00B479AE" w:rsidRDefault="009D7859" w:rsidP="009D7859">
      <w:pPr>
        <w:spacing w:line="360" w:lineRule="auto"/>
        <w:rPr>
          <w:rFonts w:ascii="Baskerville Old Face" w:hAnsi="Baskerville Old Face"/>
          <w:i/>
          <w:iCs/>
        </w:rPr>
      </w:pPr>
      <w:r w:rsidRPr="00B479AE">
        <w:rPr>
          <w:rFonts w:ascii="Baskerville Old Face" w:hAnsi="Baskerville Old Face"/>
          <w:i/>
          <w:iCs/>
        </w:rPr>
        <w:t>•</w:t>
      </w:r>
      <w:r w:rsidR="001C094B" w:rsidRPr="00B479AE">
        <w:rPr>
          <w:rFonts w:ascii="Baskerville Old Face" w:hAnsi="Baskerville Old Face"/>
          <w:i/>
          <w:iCs/>
        </w:rPr>
        <w:t xml:space="preserve"> to introduce the Prometheus Regenerative Unit (PRU) as the value-analysis interface through which measured ecological performance becomes comparable, reviewable, maturity-classified, and capital-readable;</w:t>
      </w:r>
    </w:p>
    <w:p w14:paraId="5DF0C8BC" w14:textId="7C319B24"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xml:space="preserve">• </w:t>
      </w:r>
      <w:r w:rsidR="008E06FC" w:rsidRPr="00B479AE">
        <w:rPr>
          <w:rFonts w:ascii="Baskerville Old Face" w:hAnsi="Baskerville Old Face"/>
          <w:i/>
          <w:iCs/>
        </w:rPr>
        <w:t>to introduce Regenerative Asset Pools (RAPs) as portfolio structures capable of aggregating verified regenerative units into capital-ready regenerative infrastructure;</w:t>
      </w:r>
    </w:p>
    <w:p w14:paraId="7951B03B" w14:textId="5ECC820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xml:space="preserve">• to clarify the functional separation between PRU,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governance rights, operational flows, investor exposure, and </w:t>
      </w:r>
      <w:r w:rsidR="002A7CA3" w:rsidRPr="00B479AE">
        <w:rPr>
          <w:rFonts w:ascii="Baskerville Old Face" w:hAnsi="Baskerville Old Face"/>
          <w:i/>
          <w:iCs/>
        </w:rPr>
        <w:t>future compliant digital or institutional representations</w:t>
      </w:r>
      <w:r w:rsidRPr="00B479AE">
        <w:rPr>
          <w:rFonts w:ascii="Baskerville Old Face" w:hAnsi="Baskerville Old Face"/>
          <w:i/>
          <w:iCs/>
        </w:rPr>
        <w:t>;</w:t>
      </w:r>
    </w:p>
    <w:p w14:paraId="4DE2C2C4"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to outline the legal, governance, MRV, anti-greenwashing, no-double-counting, and auditability disciplines required for institutional credibility;</w:t>
      </w:r>
    </w:p>
    <w:p w14:paraId="0F56B272"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to provide a roadmap for implementation across pilot sites, territories, bioregions, and future regenerative asset portfolios.</w:t>
      </w:r>
    </w:p>
    <w:p w14:paraId="0C087FB5"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is designed as a capital-ready regenerative transformation infrastructure capable of coordinating regenerative activity across multiple domains, including land stewardship, ecological monitoring, agent-centric digital infrastructure, decentralized governance, value accounting, regenerative finance, and real-world asset formation.</w:t>
      </w:r>
    </w:p>
    <w:p w14:paraId="3D17F063"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recognizes that biological regeneration arises from living systems themselves.</w:t>
      </w:r>
    </w:p>
    <w:p w14:paraId="5A6DD131"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Its role is to create the operational, evidentiary, governance, and capital-allocation conditions through which regeneration can become executable, reviewable, auditable, scalable, and institutionally financeable.</w:t>
      </w:r>
    </w:p>
    <w:p w14:paraId="41FF2CBA"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lastRenderedPageBreak/>
        <w:t>The ideas presented here represent a living architecture intended to evolve through practical experimentation, scientific validation, operational discipline, and distributed collaboration.</w:t>
      </w:r>
    </w:p>
    <w:p w14:paraId="7563B2EF"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At its current stage, Prometheus is being operationalized through a bounded pilot-first stack.</w:t>
      </w:r>
    </w:p>
    <w:p w14:paraId="0CD47316" w14:textId="05939120"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xml:space="preserve">This means that constitutional specification, implementation contract, behavioral expectations, operational discipline, evaluation logic, MRV semantics, </w:t>
      </w:r>
      <w:r w:rsidR="0093113B" w:rsidRPr="00B479AE">
        <w:rPr>
          <w:rFonts w:ascii="Baskerville Old Face" w:hAnsi="Baskerville Old Face"/>
          <w:i/>
          <w:iCs/>
        </w:rPr>
        <w:t>value-analysis interface</w:t>
      </w:r>
      <w:r w:rsidRPr="00B479AE">
        <w:rPr>
          <w:rFonts w:ascii="Baskerville Old Face" w:hAnsi="Baskerville Old Face"/>
          <w:i/>
          <w:iCs/>
        </w:rPr>
        <w:t>, and runtime implementation are intentionally separated across canonical project layers rather than collapsed into a single undifferentiated platform.</w:t>
      </w:r>
    </w:p>
    <w:p w14:paraId="4D4FDAFF" w14:textId="44DD4EC4"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 xml:space="preserve">This separation preserves scope clarity, validation discipline, implementation fidelity, legal readability, capital-market admissibility, and auditability as the system matures through real </w:t>
      </w:r>
      <w:r w:rsidR="00A20718" w:rsidRPr="00B479AE">
        <w:rPr>
          <w:rFonts w:ascii="Baskerville Old Face" w:hAnsi="Baskerville Old Face"/>
          <w:i/>
          <w:iCs/>
        </w:rPr>
        <w:t>site</w:t>
      </w:r>
      <w:r w:rsidRPr="00B479AE">
        <w:rPr>
          <w:rFonts w:ascii="Baskerville Old Face" w:hAnsi="Baskerville Old Face"/>
          <w:i/>
          <w:iCs/>
        </w:rPr>
        <w:t xml:space="preserve"> conditions.</w:t>
      </w:r>
    </w:p>
    <w:p w14:paraId="0B9157D5" w14:textId="77777777" w:rsidR="009D7859" w:rsidRPr="00B479AE" w:rsidRDefault="009D7859" w:rsidP="00BF7DC2">
      <w:pPr>
        <w:pStyle w:val="Titolo1"/>
        <w:rPr>
          <w:rFonts w:ascii="Baskerville Old Face" w:hAnsi="Baskerville Old Face"/>
          <w:b/>
          <w:bCs/>
          <w:i/>
          <w:iCs/>
          <w:sz w:val="24"/>
          <w:szCs w:val="24"/>
        </w:rPr>
      </w:pPr>
      <w:r w:rsidRPr="00B479AE">
        <w:rPr>
          <w:rFonts w:ascii="Baskerville Old Face" w:hAnsi="Baskerville Old Face"/>
          <w:b/>
          <w:bCs/>
          <w:i/>
          <w:iCs/>
          <w:sz w:val="24"/>
          <w:szCs w:val="24"/>
        </w:rPr>
        <w:t>Institutional Boundary</w:t>
      </w:r>
    </w:p>
    <w:p w14:paraId="61E34F22"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This White Paper is an architectural, conceptual, scientific, technological, and strategic document.</w:t>
      </w:r>
    </w:p>
    <w:p w14:paraId="685FB380"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It defines a framework, not a public offering.</w:t>
      </w:r>
    </w:p>
    <w:p w14:paraId="3A7621C6"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Any future financial instrument, tokenized representation, investment vehicle, SPV, fund, note, security, governance mechanism, or market-facing product derived from the Prometheus framework will require appropriate jurisdictional analysis, legal structuring, regulatory review, investor disclosure, compliance procedures, and independent professional assessment.</w:t>
      </w:r>
    </w:p>
    <w:p w14:paraId="60FA6E76"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Financial rights, investor exposure, cash-flow rights, land-related rights, governance rights, operational rights, and tokenized representations are treated as distinct layers of the architecture.</w:t>
      </w:r>
    </w:p>
    <w:p w14:paraId="026C944A"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This separation is essential to preserve clarity, prevent conceptual inflation, and support institutional trust.</w:t>
      </w:r>
    </w:p>
    <w:p w14:paraId="1A81922F" w14:textId="6A84C5C4"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Within this architecture:</w:t>
      </w:r>
      <w:r w:rsidR="00D45977" w:rsidRPr="00B479AE">
        <w:rPr>
          <w:rFonts w:ascii="Baskerville Old Face" w:hAnsi="Baskerville Old Face"/>
          <w:i/>
          <w:iCs/>
        </w:rPr>
        <w:t xml:space="preserve"> </w:t>
      </w:r>
    </w:p>
    <w:p w14:paraId="4C1C2ABD" w14:textId="13F00F4E" w:rsidR="00D45977" w:rsidRPr="00B479AE" w:rsidRDefault="00D45977" w:rsidP="00D45977">
      <w:pPr>
        <w:spacing w:line="360" w:lineRule="auto"/>
        <w:rPr>
          <w:rFonts w:ascii="Baskerville Old Face" w:hAnsi="Baskerville Old Face"/>
          <w:i/>
          <w:iCs/>
        </w:rPr>
      </w:pPr>
      <w:r w:rsidRPr="00B479AE">
        <w:rPr>
          <w:rFonts w:ascii="Baskerville Old Face" w:hAnsi="Baskerville Old Face"/>
          <w:i/>
          <w:iCs/>
        </w:rPr>
        <w:t>PRU represents the analytical interface through which verified regenerative performance may become comparable, reviewable, maturity-classified, and capital-readable.</w:t>
      </w:r>
    </w:p>
    <w:p w14:paraId="78CD3565" w14:textId="7B87DB3B" w:rsidR="00D45977" w:rsidRPr="00B479AE" w:rsidRDefault="00D45977" w:rsidP="00D45977">
      <w:pPr>
        <w:spacing w:line="360" w:lineRule="auto"/>
        <w:rPr>
          <w:rFonts w:ascii="Baskerville Old Face" w:hAnsi="Baskerville Old Face"/>
          <w:i/>
          <w:iCs/>
        </w:rPr>
      </w:pPr>
      <w:r w:rsidRPr="00B479AE">
        <w:rPr>
          <w:rFonts w:ascii="Baskerville Old Face" w:hAnsi="Baskerville Old Face"/>
          <w:i/>
          <w:iCs/>
        </w:rPr>
        <w:t>TRBK represents a governance, coordination, access, or participation layer, subject to its own legal and functional boundaries.</w:t>
      </w:r>
    </w:p>
    <w:p w14:paraId="01ED4565" w14:textId="25F2539B" w:rsidR="00D45977" w:rsidRPr="00B479AE" w:rsidRDefault="00D45977" w:rsidP="00D45977">
      <w:pPr>
        <w:spacing w:line="360" w:lineRule="auto"/>
        <w:rPr>
          <w:rFonts w:ascii="Baskerville Old Face" w:hAnsi="Baskerville Old Face"/>
          <w:i/>
          <w:iCs/>
        </w:rPr>
      </w:pPr>
      <w:proofErr w:type="spellStart"/>
      <w:r w:rsidRPr="00B479AE">
        <w:rPr>
          <w:rFonts w:ascii="Baskerville Old Face" w:hAnsi="Baskerville Old Face"/>
          <w:i/>
          <w:iCs/>
        </w:rPr>
        <w:lastRenderedPageBreak/>
        <w:t>HoloFuel</w:t>
      </w:r>
      <w:proofErr w:type="spellEnd"/>
      <w:r w:rsidRPr="00B479AE">
        <w:rPr>
          <w:rFonts w:ascii="Baskerville Old Face" w:hAnsi="Baskerville Old Face"/>
          <w:i/>
          <w:iCs/>
        </w:rPr>
        <w:t xml:space="preserve"> represents an operational transaction and infrastructure layer within agent-centric digital systems.</w:t>
      </w:r>
    </w:p>
    <w:p w14:paraId="41B71CB5" w14:textId="5C7E2DCF" w:rsidR="00D45977" w:rsidRPr="00B479AE" w:rsidRDefault="00D45977" w:rsidP="00D45977">
      <w:pPr>
        <w:spacing w:line="360" w:lineRule="auto"/>
        <w:rPr>
          <w:rFonts w:ascii="Baskerville Old Face" w:hAnsi="Baskerville Old Face"/>
          <w:i/>
          <w:iCs/>
        </w:rPr>
      </w:pPr>
      <w:r w:rsidRPr="00B479AE">
        <w:rPr>
          <w:rFonts w:ascii="Baskerville Old Face" w:hAnsi="Baskerville Old Face"/>
          <w:i/>
          <w:iCs/>
        </w:rPr>
        <w:t>Future securities, notes, fund interests, compliant digital instruments, or investment products may emerge only through compliant legal wrappers and jurisdiction-specific structuring.</w:t>
      </w:r>
    </w:p>
    <w:p w14:paraId="61AD2C9B" w14:textId="6FB0497E" w:rsidR="00D45977" w:rsidRPr="00B479AE" w:rsidRDefault="00D45977" w:rsidP="00D45977">
      <w:pPr>
        <w:spacing w:line="360" w:lineRule="auto"/>
        <w:rPr>
          <w:rFonts w:ascii="Baskerville Old Face" w:hAnsi="Baskerville Old Face"/>
          <w:i/>
          <w:iCs/>
        </w:rPr>
      </w:pPr>
      <w:r w:rsidRPr="00B479AE">
        <w:rPr>
          <w:rFonts w:ascii="Baskerville Old Face" w:hAnsi="Baskerville Old Face"/>
          <w:i/>
          <w:iCs/>
        </w:rPr>
        <w:t xml:space="preserve">Tokens, where used, function as representations within defined legal, operational, or governance contexts. Their meaning depends on the rights, obligations, and instruments through which they are formally created. </w:t>
      </w:r>
    </w:p>
    <w:p w14:paraId="47418D97" w14:textId="77777777" w:rsidR="009D7859" w:rsidRPr="00B479AE" w:rsidRDefault="009D7859" w:rsidP="00154780">
      <w:pPr>
        <w:pStyle w:val="Titolo1"/>
        <w:rPr>
          <w:rFonts w:ascii="Baskerville Old Face" w:hAnsi="Baskerville Old Face"/>
          <w:b/>
          <w:bCs/>
          <w:i/>
          <w:iCs/>
          <w:sz w:val="24"/>
          <w:szCs w:val="24"/>
        </w:rPr>
      </w:pPr>
      <w:r w:rsidRPr="00B479AE">
        <w:rPr>
          <w:rFonts w:ascii="Baskerville Old Face" w:hAnsi="Baskerville Old Face"/>
          <w:b/>
          <w:bCs/>
          <w:i/>
          <w:iCs/>
          <w:sz w:val="24"/>
          <w:szCs w:val="24"/>
        </w:rPr>
        <w:t>Verification-first Positioning</w:t>
      </w:r>
    </w:p>
    <w:p w14:paraId="38E1C5AE"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treats verification as infrastructure.</w:t>
      </w:r>
    </w:p>
    <w:p w14:paraId="4869664C"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Regeneration becomes financeable when living systems are observed with integrity, measured with discipline, verified with transparency, and structured with responsibility.</w:t>
      </w:r>
    </w:p>
    <w:p w14:paraId="0E865365"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Every claim matures into value only through evidence, provenance, integrity, and admissibility.</w:t>
      </w:r>
    </w:p>
    <w:p w14:paraId="5239FEBD"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The foundational sequence is:</w:t>
      </w:r>
    </w:p>
    <w:p w14:paraId="15EE8994"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claim</w:t>
      </w:r>
      <w:r w:rsidRPr="00B479AE">
        <w:rPr>
          <w:rFonts w:ascii="Baskerville Old Face" w:hAnsi="Baskerville Old Face"/>
          <w:i/>
          <w:iCs/>
        </w:rPr>
        <w:br/>
        <w:t>evidence</w:t>
      </w:r>
      <w:r w:rsidRPr="00B479AE">
        <w:rPr>
          <w:rFonts w:ascii="Baskerville Old Face" w:hAnsi="Baskerville Old Face"/>
          <w:i/>
          <w:iCs/>
        </w:rPr>
        <w:br/>
        <w:t>provenance</w:t>
      </w:r>
      <w:r w:rsidRPr="00B479AE">
        <w:rPr>
          <w:rFonts w:ascii="Baskerville Old Face" w:hAnsi="Baskerville Old Face"/>
          <w:i/>
          <w:iCs/>
        </w:rPr>
        <w:br/>
        <w:t>integrity</w:t>
      </w:r>
      <w:r w:rsidRPr="00B479AE">
        <w:rPr>
          <w:rFonts w:ascii="Baskerville Old Face" w:hAnsi="Baskerville Old Face"/>
          <w:i/>
          <w:iCs/>
        </w:rPr>
        <w:br/>
        <w:t>admissibility</w:t>
      </w:r>
      <w:r w:rsidRPr="00B479AE">
        <w:rPr>
          <w:rFonts w:ascii="Baskerville Old Face" w:hAnsi="Baskerville Old Face"/>
          <w:i/>
          <w:iCs/>
        </w:rPr>
        <w:br/>
        <w:t>value.</w:t>
      </w:r>
    </w:p>
    <w:p w14:paraId="7B20C256"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This sequence protects the system from narrative inflation while allowing verified regeneration to become economically legible.</w:t>
      </w:r>
    </w:p>
    <w:p w14:paraId="32CC59B3"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therefore represents value only when regenerative performance has become observable, traceable, verifiable, and admissible under defined rules.</w:t>
      </w:r>
    </w:p>
    <w:p w14:paraId="6499F6A0"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In this sense, Prometheus is structured first as regenerative infrastructure.</w:t>
      </w:r>
    </w:p>
    <w:p w14:paraId="019746B9"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Digital instruments, financial instruments, and market-facing representations may emerge only as compliant expressions of verified value.</w:t>
      </w:r>
    </w:p>
    <w:p w14:paraId="2380DE95"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lastRenderedPageBreak/>
        <w:t>The central thesis is that value should increase when the living systems that generate value become healthier, more resilient, more productive, and more verifiably regenerative over time.</w:t>
      </w:r>
    </w:p>
    <w:p w14:paraId="21E7B686" w14:textId="77777777" w:rsidR="009D7859" w:rsidRPr="00B479AE" w:rsidRDefault="009D7859" w:rsidP="009D7859">
      <w:pPr>
        <w:spacing w:line="360" w:lineRule="auto"/>
        <w:rPr>
          <w:rFonts w:ascii="Baskerville Old Face" w:hAnsi="Baskerville Old Face"/>
          <w:i/>
          <w:iCs/>
        </w:rPr>
      </w:pPr>
      <w:r w:rsidRPr="00B479AE">
        <w:rPr>
          <w:rFonts w:ascii="Baskerville Old Face" w:hAnsi="Baskerville Old Face"/>
          <w:i/>
          <w:iCs/>
        </w:rPr>
        <w:t>Prometheus is the architecture through which that increase can be observed, protected, measured, governed, and translated into a new form of capital-ready regenerative infrastructure.</w:t>
      </w:r>
    </w:p>
    <w:p w14:paraId="5A90F3D5" w14:textId="303BA0D7" w:rsidR="00324863" w:rsidRPr="00B479AE" w:rsidRDefault="00324863" w:rsidP="006F3B48">
      <w:pPr>
        <w:pStyle w:val="Titolo1"/>
        <w:rPr>
          <w:rFonts w:ascii="Baskerville Old Face" w:hAnsi="Baskerville Old Face"/>
          <w:b/>
          <w:bCs/>
          <w:i/>
          <w:iCs/>
          <w:sz w:val="24"/>
          <w:szCs w:val="24"/>
        </w:rPr>
      </w:pPr>
      <w:r w:rsidRPr="00B479AE">
        <w:rPr>
          <w:rFonts w:ascii="Baskerville Old Face" w:hAnsi="Baskerville Old Face"/>
          <w:b/>
          <w:bCs/>
          <w:i/>
          <w:iCs/>
          <w:sz w:val="24"/>
          <w:szCs w:val="24"/>
        </w:rPr>
        <w:t>Abstract</w:t>
      </w:r>
    </w:p>
    <w:p w14:paraId="05E70840"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Human civilization is entering a period in which economic stability, ecological stability, technological coordination, and human coherence can no longer be treated as separate domains.</w:t>
      </w:r>
    </w:p>
    <w:p w14:paraId="0B3438E0"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The systems that sustain value are the same systems that sustain life: soil, water, biodiversity, climate regulation, biological productivity, human health, community trust, and long-term territorial resilience.</w:t>
      </w:r>
    </w:p>
    <w:p w14:paraId="6D7690A3"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For much of modern economic history, these living foundations have been treated as externalities. Their degradation has often remained invisible within financial accounts until it reappeared as systemic cost: declining soil fertility, water stress, biodiversity loss, chronic disease, supply-chain fragility, disaster exposure, insurance pressure, and social fragmentation.</w:t>
      </w:r>
    </w:p>
    <w:p w14:paraId="78979DF2"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Prometheus begins from a different premise.</w:t>
      </w:r>
    </w:p>
    <w:p w14:paraId="6B9339EF"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Living systems are not background conditions for the economy. They are productive infrastructure.</w:t>
      </w:r>
    </w:p>
    <w:p w14:paraId="0A226AC2"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framework introduces a regenerative infrastructure model through which ecological regeneration, distributed intelligence, human stewardship, verification systems, and capital formation are integrated into a single operational architecture.</w:t>
      </w:r>
    </w:p>
    <w:p w14:paraId="65663B5D"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Its purpose is to make regeneration observable, measurable, verifiable, governable, financeable, and eventually representable through compliant institutional or digital instruments.</w:t>
      </w:r>
    </w:p>
    <w:p w14:paraId="1E00430B"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At the core of this architecture lies the One Human Ecosystem (OHE): a minimum deployable unit of regenerative infrastructure based on syntropic food-forest design, soil restoration, water-cycle stabilization, biodiversity enhancement, nutritional capacity, and measurable ecological performance.</w:t>
      </w:r>
    </w:p>
    <w:p w14:paraId="0B18B1D3"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The OHE functions as the biophysical base layer of Prometheus.</w:t>
      </w:r>
    </w:p>
    <w:p w14:paraId="4D6AA14D"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lastRenderedPageBreak/>
        <w:t>It is the place where regeneration occurs, where evidence is generated, where human stewardship becomes operational, and where living systems begin to produce measurable increases in ecological coherence.</w:t>
      </w:r>
    </w:p>
    <w:p w14:paraId="0EBAE2EA"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Prometheus then translates this biophysical performance through a verification-first architecture.</w:t>
      </w:r>
    </w:p>
    <w:p w14:paraId="329FD99D"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Field sensors, laboratory analyses, satellite data, mobile observations, ecological surveys, operational records, and human audits contribute to an evidence fabric in which claims mature into observations, observations mature into verified indicators, and verified indicators may become financially admissible value.</w:t>
      </w:r>
    </w:p>
    <w:p w14:paraId="396C3520"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This process is essential.</w:t>
      </w:r>
    </w:p>
    <w:p w14:paraId="073EE558"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Regeneration becomes financeable only when it can be observed with integrity, measured with discipline, verified with transparency, and structured with responsibility.</w:t>
      </w:r>
    </w:p>
    <w:p w14:paraId="12F116D8" w14:textId="7E700315"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The Prometheus Regenerative Unit (PRU) is introduced</w:t>
      </w:r>
      <w:r w:rsidR="00144C3A" w:rsidRPr="00B479AE">
        <w:rPr>
          <w:rFonts w:ascii="Baskerville Old Face" w:hAnsi="Baskerville Old Face"/>
          <w:i/>
          <w:iCs/>
        </w:rPr>
        <w:t xml:space="preserve"> as institutional interface between regeneration and capital </w:t>
      </w:r>
      <w:r w:rsidRPr="00B479AE">
        <w:rPr>
          <w:rFonts w:ascii="Baskerville Old Face" w:hAnsi="Baskerville Old Face"/>
          <w:i/>
          <w:iCs/>
        </w:rPr>
        <w:t xml:space="preserve">through which verified regenerative performance becomes comparable, </w:t>
      </w:r>
      <w:proofErr w:type="spellStart"/>
      <w:r w:rsidRPr="00B479AE">
        <w:rPr>
          <w:rFonts w:ascii="Baskerville Old Face" w:hAnsi="Baskerville Old Face"/>
          <w:i/>
          <w:iCs/>
        </w:rPr>
        <w:t>underwritable</w:t>
      </w:r>
      <w:proofErr w:type="spellEnd"/>
      <w:r w:rsidRPr="00B479AE">
        <w:rPr>
          <w:rFonts w:ascii="Baskerville Old Face" w:hAnsi="Baskerville Old Face"/>
          <w:i/>
          <w:iCs/>
        </w:rPr>
        <w:t>, risk-assessable, and capital-admissible.</w:t>
      </w:r>
    </w:p>
    <w:p w14:paraId="460626F3"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PRUs do not replace ecological reality.</w:t>
      </w:r>
    </w:p>
    <w:p w14:paraId="751100E1"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They translate verified ecological performance into a structured form that capital can understand without detaching value from the living systems that generate it.</w:t>
      </w:r>
    </w:p>
    <w:p w14:paraId="285BB851"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Regenerative Asset Pools (RAPs) extend this logic by aggregating verified PRUs into portfolio structures capable of supporting diversification, institutional underwriting, risk analysis, and future compliant financial representation.</w:t>
      </w:r>
    </w:p>
    <w:p w14:paraId="61BAC993"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In this architecture, value formation follows a clear sequence:</w:t>
      </w:r>
    </w:p>
    <w:p w14:paraId="55D3F78C" w14:textId="27AA8CF4"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living system</w:t>
      </w:r>
      <w:r w:rsidRPr="00B479AE">
        <w:rPr>
          <w:rFonts w:ascii="Baskerville Old Face" w:hAnsi="Baskerville Old Face"/>
          <w:i/>
          <w:iCs/>
        </w:rPr>
        <w:br/>
        <w:t>regenerative process</w:t>
      </w:r>
      <w:r w:rsidRPr="00B479AE">
        <w:rPr>
          <w:rFonts w:ascii="Baskerville Old Face" w:hAnsi="Baskerville Old Face"/>
          <w:i/>
          <w:iCs/>
        </w:rPr>
        <w:br/>
        <w:t>measured evidence</w:t>
      </w:r>
      <w:r w:rsidRPr="00B479AE">
        <w:rPr>
          <w:rFonts w:ascii="Baskerville Old Face" w:hAnsi="Baskerville Old Face"/>
          <w:i/>
          <w:iCs/>
        </w:rPr>
        <w:br/>
        <w:t>verified indicator</w:t>
      </w:r>
      <w:r w:rsidRPr="00B479AE">
        <w:rPr>
          <w:rFonts w:ascii="Baskerville Old Face" w:hAnsi="Baskerville Old Face"/>
          <w:i/>
          <w:iCs/>
        </w:rPr>
        <w:br/>
      </w:r>
      <w:r w:rsidR="001C094B" w:rsidRPr="00B479AE">
        <w:rPr>
          <w:rFonts w:ascii="Baskerville Old Face" w:hAnsi="Baskerville Old Face"/>
          <w:i/>
          <w:iCs/>
        </w:rPr>
        <w:t xml:space="preserve">PRU value-analysis layer </w:t>
      </w:r>
      <w:r w:rsidRPr="00B479AE">
        <w:rPr>
          <w:rFonts w:ascii="Baskerville Old Face" w:hAnsi="Baskerville Old Face"/>
          <w:i/>
          <w:iCs/>
        </w:rPr>
        <w:br/>
        <w:t>portfolio structure</w:t>
      </w:r>
      <w:r w:rsidRPr="00B479AE">
        <w:rPr>
          <w:rFonts w:ascii="Baskerville Old Face" w:hAnsi="Baskerville Old Face"/>
          <w:i/>
          <w:iCs/>
        </w:rPr>
        <w:br/>
        <w:t>capital allocation.</w:t>
      </w:r>
    </w:p>
    <w:p w14:paraId="3FCCAC52"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lastRenderedPageBreak/>
        <w:t>This sequence distinguishes Prometheus from sustainability narratives, speculative token systems, and conventional financial abstraction.</w:t>
      </w:r>
    </w:p>
    <w:p w14:paraId="29FBA64C"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Prometheus is structured first as regenerative infrastructure.</w:t>
      </w:r>
    </w:p>
    <w:p w14:paraId="362789A7"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Digital instruments, governance tokens, market interfaces, and financial products may emerge only as expressions of verified value, legal structuring, and institutional discipline.</w:t>
      </w:r>
    </w:p>
    <w:p w14:paraId="25D88F8E"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 xml:space="preserve">The framework also integrates agent-centric digital infrastructure,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accounting, governance protocols, MRV discipline, anti-greenwashing controls, no-double-counting logic, and pilot-first implementation boundaries.</w:t>
      </w:r>
    </w:p>
    <w:p w14:paraId="000803CC"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These layers are intentionally separated in order to preserve semantic clarity, auditability, operational correctness, and capital-market readability as the system evolves.</w:t>
      </w:r>
    </w:p>
    <w:p w14:paraId="4E8647FB"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Prometheus does not claim to create biological intelligence.</w:t>
      </w:r>
    </w:p>
    <w:p w14:paraId="10843BBC"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It creates the conditions through which the intelligence of living systems can become observable, protected, coordinated, verified, and translated into durable forms of economic value.</w:t>
      </w:r>
    </w:p>
    <w:p w14:paraId="50CB6A6E" w14:textId="66CE8CB1" w:rsidR="00954974" w:rsidRPr="00B479AE" w:rsidRDefault="00954974" w:rsidP="00324863">
      <w:pPr>
        <w:spacing w:line="360" w:lineRule="auto"/>
        <w:rPr>
          <w:rFonts w:ascii="Baskerville Old Face" w:hAnsi="Baskerville Old Face"/>
          <w:i/>
          <w:iCs/>
        </w:rPr>
      </w:pPr>
      <w:r w:rsidRPr="00B479AE">
        <w:rPr>
          <w:rFonts w:ascii="Baskerville Old Face" w:hAnsi="Baskerville Old Face"/>
          <w:i/>
          <w:iCs/>
        </w:rPr>
        <w:t>The central thesis of this White Paper is that verified regeneration can become a new real-world asset class when ecological performance is measured, validated, standardized, risk-assessed, legally structured, and connected to disciplined capital formation.</w:t>
      </w:r>
    </w:p>
    <w:p w14:paraId="25D53B3C" w14:textId="21839A83"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In this sense, Prometheus represents a transition from extractive value accounting to regenerative capital architecture.</w:t>
      </w:r>
    </w:p>
    <w:p w14:paraId="004E2CCA"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It proposes a system in which capital is no longer allocated primarily toward the depletion of living foundations, but toward their restoration, stabilization, and long-term productive capacity.</w:t>
      </w:r>
    </w:p>
    <w:p w14:paraId="5218F981"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The future belongs to infrastructures that can heal while they produce.</w:t>
      </w:r>
    </w:p>
    <w:p w14:paraId="2328A594" w14:textId="77777777" w:rsidR="00324863" w:rsidRPr="00B479AE" w:rsidRDefault="00324863" w:rsidP="00324863">
      <w:pPr>
        <w:spacing w:line="360" w:lineRule="auto"/>
        <w:rPr>
          <w:rFonts w:ascii="Baskerville Old Face" w:hAnsi="Baskerville Old Face"/>
          <w:i/>
          <w:iCs/>
        </w:rPr>
      </w:pPr>
      <w:r w:rsidRPr="00B479AE">
        <w:rPr>
          <w:rFonts w:ascii="Baskerville Old Face" w:hAnsi="Baskerville Old Face"/>
          <w:i/>
          <w:iCs/>
        </w:rPr>
        <w:t>Prometheus is designed to become one of them.</w:t>
      </w:r>
    </w:p>
    <w:p w14:paraId="3A90158E" w14:textId="748DFDE6" w:rsidR="006E2BDB" w:rsidRPr="00B479AE" w:rsidRDefault="006E2BDB" w:rsidP="00AA559B">
      <w:pPr>
        <w:pStyle w:val="Titolo1"/>
        <w:rPr>
          <w:rFonts w:ascii="Baskerville Old Face" w:hAnsi="Baskerville Old Face"/>
          <w:b/>
          <w:bCs/>
          <w:i/>
          <w:iCs/>
          <w:sz w:val="24"/>
          <w:szCs w:val="24"/>
        </w:rPr>
      </w:pPr>
      <w:r w:rsidRPr="00B479AE">
        <w:rPr>
          <w:rFonts w:ascii="Baskerville Old Face" w:hAnsi="Baskerville Old Face"/>
          <w:b/>
          <w:bCs/>
          <w:i/>
          <w:iCs/>
          <w:sz w:val="24"/>
          <w:szCs w:val="24"/>
        </w:rPr>
        <w:t>Executive Summary</w:t>
      </w:r>
    </w:p>
    <w:p w14:paraId="4497B31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The structural transition</w:t>
      </w:r>
    </w:p>
    <w:p w14:paraId="0ABD5BC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Human civilization is entering a phase in which the stability of economic systems can no longer be separated from the stability of the living systems that sustain them.</w:t>
      </w:r>
    </w:p>
    <w:p w14:paraId="1D76E1D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Soil fertility, water cycles, biodiversity, climate regulation, biological productivity, nutritional quality, human health, and community coherence are not peripheral conditions. They are the foundational infrastructure beneath every durable economy.</w:t>
      </w:r>
    </w:p>
    <w:p w14:paraId="74C3F62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Modern economic systems have generated extraordinary productive capacity, technological sophistication, and global integration. Yet this expansion has often depended on architectures that convert living systems into extractive inputs while treating their degradation as external cost.</w:t>
      </w:r>
    </w:p>
    <w:p w14:paraId="1CC76E0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result is a growing structural imbalance.</w:t>
      </w:r>
    </w:p>
    <w:p w14:paraId="29D56C3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Capital continues to flow toward downstream mitigation, crisis response, health burdens, insurance losses, supply-chain fragility, and ecological remediation, while upstream regenerative capacity remains undercapitalized.</w:t>
      </w:r>
    </w:p>
    <w:p w14:paraId="7BA674F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is designed to address this imbalance by creating an architecture through which regeneration can become observable, measurable, verifiable, governable, financeable, and institutionally scalable.</w:t>
      </w:r>
    </w:p>
    <w:p w14:paraId="3BE21DE5"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Its purpose is not to place a financial label on nature.</w:t>
      </w:r>
    </w:p>
    <w:p w14:paraId="6CA19EE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Its purpose is to align capital with the regenerative capacity of living systems.</w:t>
      </w:r>
    </w:p>
    <w:p w14:paraId="0F59CD0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A regenerative infrastructure framework</w:t>
      </w:r>
    </w:p>
    <w:p w14:paraId="031C29F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introduces a new category of infrastructure: verified regenerative infrastructure.</w:t>
      </w:r>
    </w:p>
    <w:p w14:paraId="6A83A69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infrastructure is not limited to land restoration, ecological monitoring, digital coordination, or regenerative finance as separate activities. It integrates them into a single architecture capable of transforming living-system performance into evidence-based, financially legible, and institutionally admissible value.</w:t>
      </w:r>
    </w:p>
    <w:p w14:paraId="579A432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Within the Prometheus framework, regeneration is treated as a productive process.</w:t>
      </w:r>
    </w:p>
    <w:p w14:paraId="540FE3C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Regenerative systems can:</w:t>
      </w:r>
    </w:p>
    <w:p w14:paraId="00A2E9C5"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 increase soil fertility and biological productivity;</w:t>
      </w:r>
    </w:p>
    <w:p w14:paraId="04EEEA2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 stabilize hydrological cycles and water availability;</w:t>
      </w:r>
    </w:p>
    <w:p w14:paraId="5C9AC8B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 restore biodiversity and ecosystem resilience;</w:t>
      </w:r>
    </w:p>
    <w:p w14:paraId="3913104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 improve nutritional quality and food-system stability;</w:t>
      </w:r>
    </w:p>
    <w:p w14:paraId="2B64F8D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 reduce exposure to ecological and climatic volatility;</w:t>
      </w:r>
    </w:p>
    <w:p w14:paraId="5BAB4A0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 strengthen community health, trust, and long-term territorial resilience.</w:t>
      </w:r>
    </w:p>
    <w:p w14:paraId="5543433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These outcomes represent forms of value that have historically remained difficult to measure, verify, compare, underwrite, and finance.</w:t>
      </w:r>
    </w:p>
    <w:p w14:paraId="10772F1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addresses this limitation by establishing the technical, governance, verification, and financial conditions through which regenerative processes can become observable, auditable, and capital-admissible.</w:t>
      </w:r>
    </w:p>
    <w:p w14:paraId="4756341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The One Human Ecosystem</w:t>
      </w:r>
    </w:p>
    <w:p w14:paraId="5119FD3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At the foundation of the Prometheus architecture lies the One Human Ecosystem, or OHE.</w:t>
      </w:r>
    </w:p>
    <w:p w14:paraId="6D135DF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OHE is the minimum deployable unit of regenerative infrastructure.</w:t>
      </w:r>
    </w:p>
    <w:p w14:paraId="1B0A02F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is conceived as a syntropic food-forest and ecological production system capable of integrating nutrition, soil regeneration, water retention, biodiversity enhancement, biomass cycling, human stewardship, and measurable ecological performance within a compact territorial unit.</w:t>
      </w:r>
    </w:p>
    <w:p w14:paraId="6A21676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OHE is not merely a productive land parcel.</w:t>
      </w:r>
    </w:p>
    <w:p w14:paraId="1E8966F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is a biophysical unit through which regeneration becomes operational.</w:t>
      </w:r>
    </w:p>
    <w:p w14:paraId="183FC535"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is where ecological processes occur, where data is generated, where stewardship becomes visible, and where living systems begin to produce measurable increases in coherence, resilience, and productive capacity.</w:t>
      </w:r>
    </w:p>
    <w:p w14:paraId="617D53E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When replicated and connected across landscapes, OHE units can form local clusters, bioregional networks, and eventually regenerative infrastructure portfolios.</w:t>
      </w:r>
    </w:p>
    <w:p w14:paraId="2009847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In this sense, the OHE functions as the germ cell of the Prometheus system: small enough to be deployable, rich enough to be measurable, and structured enough to become financeable.</w:t>
      </w:r>
    </w:p>
    <w:p w14:paraId="282C7DA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Verification as infrastructure</w:t>
      </w:r>
    </w:p>
    <w:p w14:paraId="4DDCA1F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treats verification as infrastructure.</w:t>
      </w:r>
    </w:p>
    <w:p w14:paraId="243E731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Regeneration becomes financeable when ecological performance can be observed with integrity, measured with discipline, verified with transparency, and structured with responsibility.</w:t>
      </w:r>
    </w:p>
    <w:p w14:paraId="0AD15A6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system therefore distinguishes between different levels of informational maturity:</w:t>
      </w:r>
    </w:p>
    <w:p w14:paraId="1C86B5C2"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claim;</w:t>
      </w:r>
    </w:p>
    <w:p w14:paraId="76F782C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observation;</w:t>
      </w:r>
    </w:p>
    <w:p w14:paraId="1060178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verified indicator;</w:t>
      </w:r>
    </w:p>
    <w:p w14:paraId="51747CB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financially admissible value.</w:t>
      </w:r>
    </w:p>
    <w:p w14:paraId="7CE1B2C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 statement about regeneration does not become value merely because it is coherent, desirable, or aligned with sustainability language.</w:t>
      </w:r>
    </w:p>
    <w:p w14:paraId="79935F0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becomes value only when it is linked to evidence, provenance, integrity, confidence, and admissibility.</w:t>
      </w:r>
    </w:p>
    <w:p w14:paraId="25B1129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is designed to integrate multiple evidence sources, including field sensors, laboratory analyses, satellite imagery, drone or mobile observations, ecological surveys, climate data, soil data, biodiversity records, operational records, and human or third-party audits.</w:t>
      </w:r>
    </w:p>
    <w:p w14:paraId="1523FC1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No single source is treated as absolute.</w:t>
      </w:r>
    </w:p>
    <w:p w14:paraId="208B874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Value emerges through convergence, validation, confidence scoring, and disciplined interpretation.</w:t>
      </w:r>
    </w:p>
    <w:p w14:paraId="23D2799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verification-first architecture protects the system from narrative inflation while enabling genuine regenerative performance to become economically legible.</w:t>
      </w:r>
    </w:p>
    <w:p w14:paraId="5C8FE09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The Prometheus Regenerative Unit</w:t>
      </w:r>
    </w:p>
    <w:p w14:paraId="27041B9E" w14:textId="0F301222" w:rsidR="00C07BE4" w:rsidRPr="00B479AE" w:rsidRDefault="00C07BE4" w:rsidP="006E2BDB">
      <w:pPr>
        <w:spacing w:line="360" w:lineRule="auto"/>
        <w:rPr>
          <w:rFonts w:ascii="Baskerville Old Face" w:hAnsi="Baskerville Old Face"/>
          <w:i/>
          <w:iCs/>
        </w:rPr>
      </w:pPr>
      <w:r w:rsidRPr="00B479AE">
        <w:rPr>
          <w:rFonts w:ascii="Baskerville Old Face" w:hAnsi="Baskerville Old Face"/>
          <w:i/>
          <w:iCs/>
        </w:rPr>
        <w:t>The Prometheus Regenerative Unit, or PRU, is the value-analysis interface of the system.</w:t>
      </w:r>
    </w:p>
    <w:p w14:paraId="39E14E7C" w14:textId="4203CE0A" w:rsidR="00BA5D3D" w:rsidRPr="00B479AE" w:rsidRDefault="00BA5D3D" w:rsidP="006E2BDB">
      <w:pPr>
        <w:spacing w:line="360" w:lineRule="auto"/>
        <w:rPr>
          <w:rFonts w:ascii="Baskerville Old Face" w:hAnsi="Baskerville Old Face"/>
          <w:i/>
          <w:iCs/>
        </w:rPr>
      </w:pPr>
      <w:r w:rsidRPr="00B479AE">
        <w:rPr>
          <w:rFonts w:ascii="Baskerville Old Face" w:hAnsi="Baskerville Old Face"/>
          <w:i/>
          <w:iCs/>
        </w:rPr>
        <w:t>Its function is to translate verified regenerative performance into a structured unit that can be compared, underwritten, classified by maturity, aggregated, monitored, and connected to capital allocation.</w:t>
      </w:r>
    </w:p>
    <w:p w14:paraId="062F9BA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PRU does not replace ecological reality.</w:t>
      </w:r>
    </w:p>
    <w:p w14:paraId="6B72EE1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does not create value independently from living systems.</w:t>
      </w:r>
    </w:p>
    <w:p w14:paraId="3324F0C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It translates verified ecological performance into a financially interpretable form while preserving the connection between value and the regenerative processes that generate it.</w:t>
      </w:r>
    </w:p>
    <w:p w14:paraId="2B36B97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 PRU may incorporate multiple dimensions of performance, including soil function, hydrological resilience, biodiversity, productive stability, biomass dynamics, input-dependency reduction, MRV integrity, and confidence-adjusted evidence.</w:t>
      </w:r>
    </w:p>
    <w:p w14:paraId="6D7617F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purpose of the PRU is to create a disciplined bridge between regeneration and finance.</w:t>
      </w:r>
    </w:p>
    <w:p w14:paraId="66835E9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Through this bridge, capital can begin to evaluate regenerative infrastructure not as a vague impact claim, but as a measurable and risk-assessable real-world asset.</w:t>
      </w:r>
    </w:p>
    <w:p w14:paraId="58D08F4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Regenerative Asset Pools</w:t>
      </w:r>
    </w:p>
    <w:p w14:paraId="5416BC5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Regenerative Asset Pools, or RAPs, extend the PRU logic from unit-level performance to portfolio-level structuring.</w:t>
      </w:r>
    </w:p>
    <w:p w14:paraId="07442C0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 RAP aggregates verified PRUs across multiple sites, maturity stages, climatic contexts, ecological designs, operators, and revenue profiles.</w:t>
      </w:r>
    </w:p>
    <w:p w14:paraId="5D58C00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aggregation enables diversification, risk distribution, underwriting discipline, investor reporting, and future institutional structuring.</w:t>
      </w:r>
    </w:p>
    <w:p w14:paraId="30CBF06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portfolio logic is central.</w:t>
      </w:r>
    </w:p>
    <w:p w14:paraId="1AD2CF8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Individual regenerative systems may be exposed to site-specific risks such as drought, execution quality, biological maturation delays, operator performance, or local market conditions.</w:t>
      </w:r>
    </w:p>
    <w:p w14:paraId="246F35C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 diversified RAP can reduce concentration risk by distributing exposure across multiple regenerative units and ecological contexts.</w:t>
      </w:r>
    </w:p>
    <w:p w14:paraId="596F93D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In this architecture, the pathway is clear:</w:t>
      </w:r>
    </w:p>
    <w:p w14:paraId="2887C34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OHE generates regenerative performance.</w:t>
      </w:r>
    </w:p>
    <w:p w14:paraId="7B5B2D4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MRV makes that performance observable.</w:t>
      </w:r>
    </w:p>
    <w:p w14:paraId="73E5806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PRU makes verified performance financially interpretable.</w:t>
      </w:r>
    </w:p>
    <w:p w14:paraId="467C718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RAP makes verified PRUs portfolio-grade.</w:t>
      </w:r>
    </w:p>
    <w:p w14:paraId="2F1CD842"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Capital structures may then emerge around the resulting asset base.</w:t>
      </w:r>
    </w:p>
    <w:p w14:paraId="00A1320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A new real-world asset class</w:t>
      </w:r>
    </w:p>
    <w:p w14:paraId="4307CB32"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defines the basis for a new category of real-world assets: regenerative infrastructure assets.</w:t>
      </w:r>
    </w:p>
    <w:p w14:paraId="1D0B028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These assets derive value from the measurable improvement of living systems and from the reduction of risk associated with ecological degradation.</w:t>
      </w:r>
    </w:p>
    <w:p w14:paraId="4A6DA1C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Their value is not based only on land ownership, commodity production, carbon accounting, or sustainability branding.</w:t>
      </w:r>
    </w:p>
    <w:p w14:paraId="6AE539B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is based on verified regenerative performance, productive resilience, ecological coherence, and long-term territorial capacity.</w:t>
      </w:r>
    </w:p>
    <w:p w14:paraId="76E4388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therefore sits at the intersection of several existing asset categories while remaining reducible to none of them:</w:t>
      </w:r>
    </w:p>
    <w:p w14:paraId="2C59C0C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real estate, because it is territorial;</w:t>
      </w:r>
    </w:p>
    <w:p w14:paraId="0A465B02"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infrastructure, because it supports long-duration productive capacity;</w:t>
      </w:r>
    </w:p>
    <w:p w14:paraId="481E09B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agriculture, because it generates biological output;</w:t>
      </w:r>
    </w:p>
    <w:p w14:paraId="4368390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climate and nature finance, because it addresses ecological performance;</w:t>
      </w:r>
    </w:p>
    <w:p w14:paraId="105FAEB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private credit and project finance, because it can support structured capital deployment;</w:t>
      </w:r>
    </w:p>
    <w:p w14:paraId="41BD48D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RWA tokenization, because verified value may eventually be represented through compliant digital instruments.</w:t>
      </w:r>
    </w:p>
    <w:p w14:paraId="159F3A3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Its distinctive contribution is the integration of these dimensions into a verification-first architecture for regenerative value formation.</w:t>
      </w:r>
    </w:p>
    <w:p w14:paraId="188923F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Digital infrastructure and agent-centric coordination</w:t>
      </w:r>
    </w:p>
    <w:p w14:paraId="6035F90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integrates agent-centric digital infrastructure to support distributed verification, data sovereignty, value accounting, and coordination across participants.</w:t>
      </w:r>
    </w:p>
    <w:p w14:paraId="11A0294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Rather than relying solely on centralized registries or opaque intermediaries, the framework is designed to preserve local context, participant agency, and reviewable evidence.</w:t>
      </w:r>
    </w:p>
    <w:p w14:paraId="485CACE3" w14:textId="77777777" w:rsidR="006E2BDB" w:rsidRPr="00B479AE" w:rsidRDefault="006E2BDB" w:rsidP="006E2BDB">
      <w:pPr>
        <w:spacing w:line="360" w:lineRule="auto"/>
        <w:rPr>
          <w:rFonts w:ascii="Baskerville Old Face" w:hAnsi="Baskerville Old Face"/>
          <w:i/>
          <w:iCs/>
        </w:rPr>
      </w:pPr>
      <w:proofErr w:type="spellStart"/>
      <w:r w:rsidRPr="00B479AE">
        <w:rPr>
          <w:rFonts w:ascii="Baskerville Old Face" w:hAnsi="Baskerville Old Face"/>
          <w:i/>
          <w:iCs/>
        </w:rPr>
        <w:lastRenderedPageBreak/>
        <w:t>Holochain</w:t>
      </w:r>
      <w:proofErr w:type="spellEnd"/>
      <w:r w:rsidRPr="00B479AE">
        <w:rPr>
          <w:rFonts w:ascii="Baskerville Old Face" w:hAnsi="Baskerville Old Face"/>
          <w:i/>
          <w:iCs/>
        </w:rPr>
        <w:t xml:space="preserve">-compatible architectures,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 accounting logic, source-chain integrity, peer validation, and structured event records provide the basis for tracing how resources, actions, agents, and outcomes interact within regenerative systems.</w:t>
      </w:r>
    </w:p>
    <w:p w14:paraId="2661525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architecture is not introduced for technological novelty.</w:t>
      </w:r>
    </w:p>
    <w:p w14:paraId="7EA181B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exists because living systems are contextual, distributed, relational, and adaptive.</w:t>
      </w:r>
    </w:p>
    <w:p w14:paraId="14FA31B5"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digital architecture must therefore reflect the logic of the systems it serves.</w:t>
      </w:r>
    </w:p>
    <w:p w14:paraId="5D51B9B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Governance and token architecture</w:t>
      </w:r>
    </w:p>
    <w:p w14:paraId="234E1D2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separates value, governance, infrastructure, and financial exposure into distinct layers.</w:t>
      </w:r>
    </w:p>
    <w:p w14:paraId="06C08D0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separation is essential for institutional credibility.</w:t>
      </w:r>
    </w:p>
    <w:p w14:paraId="46A196D6" w14:textId="77777777" w:rsidR="00504741" w:rsidRPr="00B479AE" w:rsidRDefault="00504741" w:rsidP="006E2BDB">
      <w:pPr>
        <w:spacing w:line="360" w:lineRule="auto"/>
        <w:rPr>
          <w:rFonts w:ascii="Baskerville Old Face" w:hAnsi="Baskerville Old Face"/>
          <w:i/>
          <w:iCs/>
        </w:rPr>
      </w:pPr>
      <w:r w:rsidRPr="00B479AE">
        <w:rPr>
          <w:rFonts w:ascii="Baskerville Old Face" w:hAnsi="Baskerville Old Face"/>
          <w:i/>
          <w:iCs/>
        </w:rPr>
        <w:t xml:space="preserve">PRU represents the analytical interface through which verified regenerative performance may become comparable, reviewable, maturity-classified, and capital-readable. </w:t>
      </w:r>
    </w:p>
    <w:p w14:paraId="21EDE554" w14:textId="70BE1110"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TRBK represents governance, coordination, access, or participation within the Prometheus ecosystem.</w:t>
      </w:r>
    </w:p>
    <w:p w14:paraId="3E837BD1" w14:textId="77777777" w:rsidR="006E2BDB" w:rsidRPr="00B479AE" w:rsidRDefault="006E2BDB" w:rsidP="006E2BDB">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represents operational transaction and infrastructure capacity within agent-centric digital systems.</w:t>
      </w:r>
    </w:p>
    <w:p w14:paraId="5531D28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Stablecoin or fiat rails may support compliant capital entry, settlement, or operational flows.</w:t>
      </w:r>
    </w:p>
    <w:p w14:paraId="7E786A29" w14:textId="0A8A1AB2" w:rsidR="009832F7" w:rsidRPr="00B479AE" w:rsidRDefault="009832F7" w:rsidP="006E2BDB">
      <w:pPr>
        <w:spacing w:line="360" w:lineRule="auto"/>
        <w:rPr>
          <w:rFonts w:ascii="Baskerville Old Face" w:hAnsi="Baskerville Old Face"/>
          <w:i/>
          <w:iCs/>
        </w:rPr>
      </w:pPr>
      <w:r w:rsidRPr="00B479AE">
        <w:rPr>
          <w:rFonts w:ascii="Baskerville Old Face" w:hAnsi="Baskerville Old Face"/>
          <w:i/>
          <w:iCs/>
        </w:rPr>
        <w:t>Future securities, fund interests, notes, or compliant digital instruments may emerge only through appropriate legal wrappers, jurisdictional structuring, and investor disclosure.</w:t>
      </w:r>
    </w:p>
    <w:p w14:paraId="327684C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functional separation preserves clarity.</w:t>
      </w:r>
    </w:p>
    <w:p w14:paraId="07D12B3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prevents governance participation from being confused with financial entitlement, operational tokens from being confused with investor exposure, and regenerative performance from being confused with speculative market value.</w:t>
      </w:r>
    </w:p>
    <w:p w14:paraId="7E7319F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Pilot-first discipline</w:t>
      </w:r>
    </w:p>
    <w:p w14:paraId="20B916A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is developed through a pilot-first discipline.</w:t>
      </w:r>
    </w:p>
    <w:p w14:paraId="77A664AC"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Pilot-first does not mean hesitation.</w:t>
      </w:r>
    </w:p>
    <w:p w14:paraId="4571052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It means fidelity to reality.</w:t>
      </w:r>
    </w:p>
    <w:p w14:paraId="1BE0A8B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framework recognizes that regenerative systems cannot be scaled responsibly through narrative alone. They must be tested through bounded deployments, ecological data, operational discipline, verification protocols, governance constraints, and capital-readiness thresholds.</w:t>
      </w:r>
    </w:p>
    <w:p w14:paraId="14B5BA72" w14:textId="7CEE8102"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 xml:space="preserve">The current implementation logic therefore separates constitutional meaning, implementation contracts, behavioral expectations, operational runbooks, evaluation logic, MRV semantics, </w:t>
      </w:r>
      <w:r w:rsidR="00E02F9C" w:rsidRPr="00B479AE">
        <w:rPr>
          <w:rFonts w:ascii="Baskerville Old Face" w:hAnsi="Baskerville Old Face"/>
          <w:i/>
          <w:iCs/>
        </w:rPr>
        <w:t>value-analysis interface</w:t>
      </w:r>
      <w:r w:rsidRPr="00B479AE">
        <w:rPr>
          <w:rFonts w:ascii="Baskerville Old Face" w:hAnsi="Baskerville Old Face"/>
          <w:i/>
          <w:iCs/>
        </w:rPr>
        <w:t>, and runtime implementation.</w:t>
      </w:r>
    </w:p>
    <w:p w14:paraId="1ABE56D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separation protects the system from premature expansion and semantic drift.</w:t>
      </w:r>
    </w:p>
    <w:p w14:paraId="1316757D"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Maturity is not defined by how broadly a system claims to scale.</w:t>
      </w:r>
    </w:p>
    <w:p w14:paraId="5FA5E7C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is defined by whether it can preserve coherence under expansion.</w:t>
      </w:r>
    </w:p>
    <w:p w14:paraId="7ABA371A" w14:textId="54AD1AE8"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Genesis deployment logic</w:t>
      </w:r>
    </w:p>
    <w:p w14:paraId="54E0D0E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first Prometheus deployments are intended to validate the framework under real conditions.</w:t>
      </w:r>
    </w:p>
    <w:p w14:paraId="4FBB6D3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 Genesis pilot should demonstrate that a regenerative site can:</w:t>
      </w:r>
    </w:p>
    <w:p w14:paraId="6459800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produce measurable ecological improvement;</w:t>
      </w:r>
    </w:p>
    <w:p w14:paraId="5891EE2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generate operational evidence;</w:t>
      </w:r>
    </w:p>
    <w:p w14:paraId="716A24E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support disciplined MRV;</w:t>
      </w:r>
    </w:p>
    <w:p w14:paraId="1017CBB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connect ecological performance to PRU logic;</w:t>
      </w:r>
    </w:p>
    <w:p w14:paraId="7BEE7B0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maintain governance and verification boundaries;</w:t>
      </w:r>
    </w:p>
    <w:p w14:paraId="06F19B33"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generate credible operational or economic outputs;</w:t>
      </w:r>
    </w:p>
    <w:p w14:paraId="7DDBB21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and form the basis for future portfolio aggregation.</w:t>
      </w:r>
    </w:p>
    <w:p w14:paraId="704C0FE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In this sense, the pilot is not merely a demonstration site.</w:t>
      </w:r>
    </w:p>
    <w:p w14:paraId="310AA1A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is the first institutional test of whether verified regeneration can move from concept to asset formation.</w:t>
      </w:r>
    </w:p>
    <w:p w14:paraId="7FE7647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For this reason, the pilot must remain bounded, transparent, reviewable, and conservative in its claims.</w:t>
      </w:r>
    </w:p>
    <w:p w14:paraId="6B0543C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objective is not to prove everything at once.</w:t>
      </w:r>
    </w:p>
    <w:p w14:paraId="4406058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objective is to establish the evidentiary, operational, and financial pathway through which regeneration becomes progressively financeable.</w:t>
      </w:r>
    </w:p>
    <w:p w14:paraId="360EFCF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Strategic timing</w:t>
      </w:r>
    </w:p>
    <w:p w14:paraId="780B38F0"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emergence of Prometheus reflects a convergence of macro-forces.</w:t>
      </w:r>
    </w:p>
    <w:p w14:paraId="61944BA4"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Ecological degradation is increasingly recognized as economic risk.</w:t>
      </w:r>
    </w:p>
    <w:p w14:paraId="1126C78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Climate volatility is affecting agriculture, insurance, infrastructure, water security, and supply chains.</w:t>
      </w:r>
    </w:p>
    <w:p w14:paraId="17C1E7B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Nature-related disclosure frameworks are becoming more relevant to institutional capital.</w:t>
      </w:r>
    </w:p>
    <w:p w14:paraId="04E3A84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RWA tokenization is creating new pathways for representing real-world assets in programmable digital environments.</w:t>
      </w:r>
    </w:p>
    <w:p w14:paraId="2CBC9B1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Investors are searching for assets capable of preserving value under conditions of systemic instability.</w:t>
      </w:r>
    </w:p>
    <w:p w14:paraId="5A96AAA1"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At the same time, advances in sensors, satellite imagery, distributed computing, ecological modeling, AI-assisted analysis, and decentralized coordination make it increasingly possible to observe complex regenerative systems with greater precision.</w:t>
      </w:r>
    </w:p>
    <w:p w14:paraId="611CC431" w14:textId="437AB027" w:rsidR="006E2BDB" w:rsidRDefault="006E2BDB" w:rsidP="006E2BDB">
      <w:pPr>
        <w:spacing w:line="360" w:lineRule="auto"/>
        <w:rPr>
          <w:rFonts w:ascii="Baskerville Old Face" w:hAnsi="Baskerville Old Face"/>
          <w:i/>
          <w:iCs/>
        </w:rPr>
      </w:pPr>
      <w:r w:rsidRPr="00B479AE">
        <w:rPr>
          <w:rFonts w:ascii="Baskerville Old Face" w:hAnsi="Baskerville Old Face"/>
          <w:i/>
          <w:iCs/>
        </w:rPr>
        <w:t>Together, these forces create the conditions for verified regenerative infrastructure to emerge as a new field of capital allocation.</w:t>
      </w:r>
      <w:r w:rsidR="0091645B">
        <w:rPr>
          <w:rFonts w:ascii="Baskerville Old Face" w:hAnsi="Baskerville Old Face"/>
          <w:i/>
          <w:iCs/>
        </w:rPr>
        <w:t xml:space="preserve"> </w:t>
      </w:r>
    </w:p>
    <w:p w14:paraId="31F6B05A"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b/>
          <w:i/>
          <w:iCs/>
        </w:rPr>
        <w:t>Cost of Inaction and the Economics of Fragmentation</w:t>
      </w:r>
    </w:p>
    <w:p w14:paraId="5FD83154"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The economic case for Prometheus is not based only on the potential upside of verified regeneration. It is also based on the cost of inaction.</w:t>
      </w:r>
    </w:p>
    <w:p w14:paraId="03E94C0B"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 xml:space="preserve">For land stewards, small farms, hospitality operators, family communities, counties, municipalities, land communities, investors, family offices, and capital allocators, the alternative to Prometheus is not “doing nothing for free”. The alternative is usually fragmented action: separate consultants, separate studies, separate data systems, separate legal reviews, separate MRV efforts, separate business plans, </w:t>
      </w:r>
      <w:r w:rsidRPr="0091645B">
        <w:rPr>
          <w:rFonts w:ascii="Baskerville Old Face" w:hAnsi="Baskerville Old Face"/>
          <w:i/>
          <w:iCs/>
        </w:rPr>
        <w:lastRenderedPageBreak/>
        <w:t>separate community processes, separate dashboards, separate funding strategies, and separate capital-readiness work.</w:t>
      </w:r>
    </w:p>
    <w:p w14:paraId="28170462"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Fragmentation is expensive.</w:t>
      </w:r>
    </w:p>
    <w:p w14:paraId="160FFAE5"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It delays decisions, duplicates diligence, weakens evidence, increases legal ambiguity, reduces investor confidence, slows community trust, and often causes regenerative projects to remain undercapitalized, unverifiable, or operationally incomplete.</w:t>
      </w:r>
    </w:p>
    <w:p w14:paraId="7E18EE1E"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 xml:space="preserve">Prometheus is designed to reduce this cost of fragmentation by integrating site discovery, regenerative diagnosis, MRV discipline, evidence organization, governance boundaries, </w:t>
      </w:r>
      <w:proofErr w:type="spellStart"/>
      <w:r w:rsidRPr="0091645B">
        <w:rPr>
          <w:rFonts w:ascii="Baskerville Old Face" w:hAnsi="Baskerville Old Face"/>
          <w:i/>
          <w:iCs/>
        </w:rPr>
        <w:t>Holochain</w:t>
      </w:r>
      <w:proofErr w:type="spellEnd"/>
      <w:r w:rsidRPr="0091645B">
        <w:rPr>
          <w:rFonts w:ascii="Baskerville Old Face" w:hAnsi="Baskerville Old Face"/>
          <w:i/>
          <w:iCs/>
        </w:rPr>
        <w:t xml:space="preserve">-compatible records, </w:t>
      </w:r>
      <w:proofErr w:type="spellStart"/>
      <w:r w:rsidRPr="0091645B">
        <w:rPr>
          <w:rFonts w:ascii="Baskerville Old Face" w:hAnsi="Baskerville Old Face"/>
          <w:i/>
          <w:iCs/>
        </w:rPr>
        <w:t>Valueflows</w:t>
      </w:r>
      <w:proofErr w:type="spellEnd"/>
      <w:r w:rsidRPr="0091645B">
        <w:rPr>
          <w:rFonts w:ascii="Baskerville Old Face" w:hAnsi="Baskerville Old Face"/>
          <w:i/>
          <w:iCs/>
        </w:rPr>
        <w:t xml:space="preserve"> semantics, Digital Guarantor workflows, community activation, interoperability logic, and capital-readiness discipline into one coherent architecture.</w:t>
      </w:r>
    </w:p>
    <w:p w14:paraId="1D73E751"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The core formula is:</w:t>
      </w:r>
    </w:p>
    <w:p w14:paraId="027DCFFE" w14:textId="77777777" w:rsidR="0091645B" w:rsidRPr="0091645B" w:rsidRDefault="0091645B" w:rsidP="0091645B">
      <w:pPr>
        <w:spacing w:line="360" w:lineRule="auto"/>
        <w:rPr>
          <w:rFonts w:ascii="Baskerville Old Face" w:hAnsi="Baskerville Old Face"/>
          <w:bCs/>
          <w:i/>
          <w:iCs/>
        </w:rPr>
      </w:pPr>
      <w:r w:rsidRPr="0091645B">
        <w:rPr>
          <w:rFonts w:ascii="Baskerville Old Face" w:hAnsi="Baskerville Old Face"/>
          <w:bCs/>
          <w:i/>
          <w:iCs/>
        </w:rPr>
        <w:t>Cost of Inaction = duplicated diligence + delayed decisions + missed regenerative revenue + unmanaged ecological risk + weak evidence + higher financing friction + lost community trust + capital-readiness failure.</w:t>
      </w:r>
    </w:p>
    <w:p w14:paraId="2FA0F447"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This cost of inaction applies across five primary stakeholder groups.</w:t>
      </w:r>
    </w:p>
    <w:p w14:paraId="4CC819B1"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First, it applies to land stewards, small farms, regenerative custodians, and food-forest builders, who often face the combined cost of design, baseline assessment, soil and water analysis, funding research, legal structuring, documentation, MRV preparation, and market access without an integrated pathway.</w:t>
      </w:r>
    </w:p>
    <w:p w14:paraId="338E7A3C"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 xml:space="preserve">Second, it applies to hospitality assets, B&amp;Bs, STR operators, eco-retreats, </w:t>
      </w:r>
      <w:proofErr w:type="spellStart"/>
      <w:r w:rsidRPr="0091645B">
        <w:rPr>
          <w:rFonts w:ascii="Baskerville Old Face" w:hAnsi="Baskerville Old Face"/>
          <w:i/>
          <w:iCs/>
        </w:rPr>
        <w:t>farmstays</w:t>
      </w:r>
      <w:proofErr w:type="spellEnd"/>
      <w:r w:rsidRPr="0091645B">
        <w:rPr>
          <w:rFonts w:ascii="Baskerville Old Face" w:hAnsi="Baskerville Old Face"/>
          <w:i/>
          <w:iCs/>
        </w:rPr>
        <w:t>, wellness retreats, and hybrid land-based businesses, where the absence of a regenerative intelligence architecture can result in weak differentiation, fragmented repositioning, missed proximity services, unstructured evidence, and delayed transition toward Hybrid Regenerative Hub logic.</w:t>
      </w:r>
    </w:p>
    <w:p w14:paraId="7BF42EF4"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 xml:space="preserve">Third, it applies to family homes, </w:t>
      </w:r>
      <w:proofErr w:type="gramStart"/>
      <w:r w:rsidRPr="0091645B">
        <w:rPr>
          <w:rFonts w:ascii="Baskerville Old Face" w:hAnsi="Baskerville Old Face"/>
          <w:i/>
          <w:iCs/>
        </w:rPr>
        <w:t>homeowners</w:t>
      </w:r>
      <w:proofErr w:type="gramEnd"/>
      <w:r w:rsidRPr="0091645B">
        <w:rPr>
          <w:rFonts w:ascii="Baskerville Old Face" w:hAnsi="Baskerville Old Face"/>
          <w:i/>
          <w:iCs/>
        </w:rPr>
        <w:t xml:space="preserve"> associations, land communities, community land trusts, cohousing projects, and local food communities, where food, water, landscape, education, community resilience, and neighborhood-level ecological value are often managed as disconnected expenses instead of coordinated regenerative infrastructure.</w:t>
      </w:r>
    </w:p>
    <w:p w14:paraId="61BA3AB4"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 xml:space="preserve">Fourth, it applies to counties, municipalities, public agencies, schools, territorial resilience programs, and community development institutions, where separate studies, consultants, dashboards, grant </w:t>
      </w:r>
      <w:r w:rsidRPr="0091645B">
        <w:rPr>
          <w:rFonts w:ascii="Baskerville Old Face" w:hAnsi="Baskerville Old Face"/>
          <w:i/>
          <w:iCs/>
        </w:rPr>
        <w:lastRenderedPageBreak/>
        <w:t>applications, resilience plans, food programs, water strategies, and community initiatives can create high coordination costs without producing a unified evidence and implementation architecture.</w:t>
      </w:r>
    </w:p>
    <w:p w14:paraId="406AF32B"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Fifth, it applies to investors, family offices, capital allocators, impact funds, regenerative finance actors, and future Regenerative Asset Pools, where weak evidence, inconsistent documentation, legal ambiguity, unverified claims, incomplete MRV, and non-comparable projects increase due diligence friction and reduce capital-readiness.</w:t>
      </w:r>
    </w:p>
    <w:p w14:paraId="61FF820D"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For these groups, Prometheus should not be evaluated only as a software, advisory, MRV, governance, or infrastructure cost. It should be evaluated against the larger cost of uncoordinated regeneration.</w:t>
      </w:r>
    </w:p>
    <w:p w14:paraId="222D06DD"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Prometheus does not merely lower the cost of entering regeneration. It lowers the risk of entering regeneration without structure, evidence, governance, interoperability, source-layer discipline, or capital-readiness.</w:t>
      </w:r>
    </w:p>
    <w:p w14:paraId="346D1378"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The operational principle is:</w:t>
      </w:r>
    </w:p>
    <w:p w14:paraId="5790AB7F" w14:textId="77777777" w:rsidR="0091645B" w:rsidRPr="0091645B" w:rsidRDefault="0091645B" w:rsidP="0091645B">
      <w:pPr>
        <w:spacing w:line="360" w:lineRule="auto"/>
        <w:rPr>
          <w:rFonts w:ascii="Baskerville Old Face" w:hAnsi="Baskerville Old Face"/>
          <w:i/>
          <w:iCs/>
        </w:rPr>
      </w:pPr>
      <w:r w:rsidRPr="0091645B">
        <w:rPr>
          <w:rFonts w:ascii="Baskerville Old Face" w:hAnsi="Baskerville Old Face"/>
          <w:i/>
          <w:iCs/>
        </w:rPr>
        <w:t>Prometheus is not the cost of regeneration. It is the cost of avoiding a larger failure of coordination.</w:t>
      </w:r>
    </w:p>
    <w:p w14:paraId="279F869C" w14:textId="69CBA05F"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b/>
          <w:bCs/>
          <w:i/>
          <w:iCs/>
        </w:rPr>
        <w:t>The Prometheus thesis</w:t>
      </w:r>
    </w:p>
    <w:p w14:paraId="2DFBDD59"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is built on a simple thesis:</w:t>
      </w:r>
    </w:p>
    <w:p w14:paraId="32676E8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value should increase when the living systems that generate value become healthier, more resilient, more productive, and more verifiably regenerative over time.</w:t>
      </w:r>
    </w:p>
    <w:p w14:paraId="45083105"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This thesis requires discipline.</w:t>
      </w:r>
    </w:p>
    <w:p w14:paraId="664D6FF2"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requires measurement.</w:t>
      </w:r>
    </w:p>
    <w:p w14:paraId="43CC7CA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requires verification.</w:t>
      </w:r>
    </w:p>
    <w:p w14:paraId="16D7793A"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requires governance.</w:t>
      </w:r>
    </w:p>
    <w:p w14:paraId="63525606"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requires legal clarity.</w:t>
      </w:r>
    </w:p>
    <w:p w14:paraId="68BB079B"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requires humility before living systems and rigor before capital markets.</w:t>
      </w:r>
    </w:p>
    <w:p w14:paraId="6A1FC6EF"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brings these requirements into one architecture.</w:t>
      </w:r>
    </w:p>
    <w:p w14:paraId="601FA1CE"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lastRenderedPageBreak/>
        <w:t>It does not ask capital to believe in regeneration as a moral aspiration.</w:t>
      </w:r>
    </w:p>
    <w:p w14:paraId="388F33A7"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It creates the conditions for capital to recognize regeneration as measurable infrastructure.</w:t>
      </w:r>
    </w:p>
    <w:p w14:paraId="68BD6302"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The future belongs to systems that can heal while they produce.</w:t>
      </w:r>
    </w:p>
    <w:p w14:paraId="448C3FA8" w14:textId="77777777" w:rsidR="006E2BDB" w:rsidRPr="00B479AE" w:rsidRDefault="006E2BDB" w:rsidP="006E2BDB">
      <w:pPr>
        <w:spacing w:line="360" w:lineRule="auto"/>
        <w:rPr>
          <w:rFonts w:ascii="Baskerville Old Face" w:hAnsi="Baskerville Old Face"/>
          <w:i/>
          <w:iCs/>
        </w:rPr>
      </w:pPr>
      <w:r w:rsidRPr="00B479AE">
        <w:rPr>
          <w:rFonts w:ascii="Baskerville Old Face" w:hAnsi="Baskerville Old Face"/>
          <w:i/>
          <w:iCs/>
        </w:rPr>
        <w:t>Prometheus is designed to become one of those systems.</w:t>
      </w:r>
    </w:p>
    <w:p w14:paraId="43968D9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Verification-first Architecture</w:t>
      </w:r>
    </w:p>
    <w:p w14:paraId="01C2342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treats verification as infrastructure.</w:t>
      </w:r>
    </w:p>
    <w:p w14:paraId="1258217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becomes financeable when living systems are observed with integrity, measured with discipline, verified with transparency, and structured with responsibility.</w:t>
      </w:r>
    </w:p>
    <w:p w14:paraId="5A080BB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purpose of the Prometheus verification architecture is to ensure that regenerative value emerges from evidence rather than narrative, from observable processes rather than intention, and from disciplined measurement rather than abstract sustainability language.</w:t>
      </w:r>
    </w:p>
    <w:p w14:paraId="01B6ABF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principle governs the entire system.</w:t>
      </w:r>
    </w:p>
    <w:p w14:paraId="7820DD4D" w14:textId="7FED6699" w:rsidR="00BA5D3D" w:rsidRPr="00B479AE" w:rsidRDefault="00BA5D3D" w:rsidP="00305A28">
      <w:pPr>
        <w:spacing w:line="360" w:lineRule="auto"/>
        <w:rPr>
          <w:rFonts w:ascii="Baskerville Old Face" w:hAnsi="Baskerville Old Face"/>
          <w:i/>
          <w:iCs/>
        </w:rPr>
      </w:pPr>
      <w:r w:rsidRPr="00B479AE">
        <w:rPr>
          <w:rFonts w:ascii="Baskerville Old Face" w:hAnsi="Baskerville Old Face"/>
          <w:i/>
          <w:iCs/>
        </w:rPr>
        <w:t>Ecological performance, human stewardship, operational events, MRV outputs, PRU value analysis, Regenerative Asset Pool construction, investor reporting, and future institutional or digital representations must remain connected to evidence, provenance, integrity, confidence, and admissibility.</w:t>
      </w:r>
    </w:p>
    <w:p w14:paraId="361F327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organizes information through a sequence of maturity.</w:t>
      </w:r>
    </w:p>
    <w:p w14:paraId="65DFF2F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regenerative statement begins as a claim.</w:t>
      </w:r>
    </w:p>
    <w:p w14:paraId="5B79EC7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claim becomes useful when it is connected to an observation.</w:t>
      </w:r>
    </w:p>
    <w:p w14:paraId="6F71642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observation becomes credible when it is supported by provenance.</w:t>
      </w:r>
    </w:p>
    <w:p w14:paraId="6C1CEF1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metric becomes reliable when it is validated through quality controls, consistency checks, and confidence scoring.</w:t>
      </w:r>
    </w:p>
    <w:p w14:paraId="2D0DDA3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verified indicator becomes financially relevant when it satisfies admissibility rules.</w:t>
      </w:r>
    </w:p>
    <w:p w14:paraId="0779501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Value emerges at the end of this sequence, not at the beginning.</w:t>
      </w:r>
    </w:p>
    <w:p w14:paraId="6DA244C7" w14:textId="77777777" w:rsidR="0091645B"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The foundational sequence is:</w:t>
      </w:r>
    </w:p>
    <w:p w14:paraId="1C584B93" w14:textId="611494ED"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claim</w:t>
      </w:r>
      <w:r w:rsidRPr="00B479AE">
        <w:rPr>
          <w:rFonts w:ascii="Baskerville Old Face" w:hAnsi="Baskerville Old Face"/>
          <w:i/>
          <w:iCs/>
        </w:rPr>
        <w:br/>
        <w:t>observation</w:t>
      </w:r>
      <w:r w:rsidRPr="00B479AE">
        <w:rPr>
          <w:rFonts w:ascii="Baskerville Old Face" w:hAnsi="Baskerville Old Face"/>
          <w:i/>
          <w:iCs/>
        </w:rPr>
        <w:br/>
        <w:t>evidence</w:t>
      </w:r>
      <w:r w:rsidRPr="00B479AE">
        <w:rPr>
          <w:rFonts w:ascii="Baskerville Old Face" w:hAnsi="Baskerville Old Face"/>
          <w:i/>
          <w:iCs/>
        </w:rPr>
        <w:br/>
        <w:t>provenance</w:t>
      </w:r>
      <w:r w:rsidRPr="00B479AE">
        <w:rPr>
          <w:rFonts w:ascii="Baskerville Old Face" w:hAnsi="Baskerville Old Face"/>
          <w:i/>
          <w:iCs/>
        </w:rPr>
        <w:br/>
        <w:t>integrity</w:t>
      </w:r>
      <w:r w:rsidRPr="00B479AE">
        <w:rPr>
          <w:rFonts w:ascii="Baskerville Old Face" w:hAnsi="Baskerville Old Face"/>
          <w:i/>
          <w:iCs/>
        </w:rPr>
        <w:br/>
        <w:t>verified indicator</w:t>
      </w:r>
      <w:r w:rsidRPr="00B479AE">
        <w:rPr>
          <w:rFonts w:ascii="Baskerville Old Face" w:hAnsi="Baskerville Old Face"/>
          <w:i/>
          <w:iCs/>
        </w:rPr>
        <w:br/>
        <w:t>admissibility</w:t>
      </w:r>
      <w:r w:rsidRPr="00B479AE">
        <w:rPr>
          <w:rFonts w:ascii="Baskerville Old Face" w:hAnsi="Baskerville Old Face"/>
          <w:i/>
          <w:iCs/>
        </w:rPr>
        <w:br/>
        <w:t>value.</w:t>
      </w:r>
    </w:p>
    <w:p w14:paraId="02580DB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sequence protects Prometheus from narrative inflation while allowing genuine regenerative performance to become economically legible.</w:t>
      </w:r>
    </w:p>
    <w:p w14:paraId="0713BC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maturity of evidence</w:t>
      </w:r>
    </w:p>
    <w:p w14:paraId="1B2578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distinguishes between four levels of informational maturity.</w:t>
      </w:r>
    </w:p>
    <w:p w14:paraId="078F01B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Claim</w:t>
      </w:r>
    </w:p>
    <w:p w14:paraId="1441E38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claim is a statement about regenerative performance.</w:t>
      </w:r>
    </w:p>
    <w:p w14:paraId="3EC153B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may express an intention, expectation, observation, or interpretation.</w:t>
      </w:r>
    </w:p>
    <w:p w14:paraId="19B4999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claim can guide inquiry, but it does not by itself create financial value within the Prometheus architecture.</w:t>
      </w:r>
    </w:p>
    <w:p w14:paraId="4075D1D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Observation</w:t>
      </w:r>
    </w:p>
    <w:p w14:paraId="02FFC24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observation is a measured, recorded, or documented event.</w:t>
      </w:r>
    </w:p>
    <w:p w14:paraId="28CC045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may originate from field sensors, laboratory analysis, satellite imagery, drone imagery, mobile observations, ecological surveys, operational records, human audits, or external datasets.</w:t>
      </w:r>
    </w:p>
    <w:p w14:paraId="35CF577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observation becomes useful when it is associated with time, location, source, method, unit of measurement, calibration status, and data lineage.</w:t>
      </w:r>
    </w:p>
    <w:p w14:paraId="6D25B98B" w14:textId="77777777" w:rsidR="0091645B" w:rsidRDefault="0091645B" w:rsidP="00305A28">
      <w:pPr>
        <w:spacing w:line="360" w:lineRule="auto"/>
        <w:rPr>
          <w:rFonts w:ascii="Baskerville Old Face" w:hAnsi="Baskerville Old Face"/>
          <w:b/>
          <w:bCs/>
          <w:i/>
          <w:iCs/>
        </w:rPr>
      </w:pPr>
    </w:p>
    <w:p w14:paraId="0BC73043" w14:textId="77777777" w:rsidR="0091645B" w:rsidRDefault="0091645B" w:rsidP="00305A28">
      <w:pPr>
        <w:spacing w:line="360" w:lineRule="auto"/>
        <w:rPr>
          <w:rFonts w:ascii="Baskerville Old Face" w:hAnsi="Baskerville Old Face"/>
          <w:b/>
          <w:bCs/>
          <w:i/>
          <w:iCs/>
        </w:rPr>
      </w:pPr>
    </w:p>
    <w:p w14:paraId="6E5A9916" w14:textId="5B4BF372"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lastRenderedPageBreak/>
        <w:t>Verified indicator</w:t>
      </w:r>
    </w:p>
    <w:p w14:paraId="24AFD7A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verified indicator is an observation, metric, or derived signal that has passed defined quality, provenance, consistency, and validation checks.</w:t>
      </w:r>
    </w:p>
    <w:p w14:paraId="08F1FD4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may be supported by multiple evidence sources, such as direct field measurement, laboratory confirmation, remote sensing, historical comparison, operational records, or third-party review.</w:t>
      </w:r>
    </w:p>
    <w:p w14:paraId="468DBF0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verified indicator is data that has matured into reviewable evidence.</w:t>
      </w:r>
    </w:p>
    <w:p w14:paraId="46E5E7D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Admissible value</w:t>
      </w:r>
    </w:p>
    <w:p w14:paraId="1CBFD845" w14:textId="17AC93CA" w:rsidR="00BA5D3D" w:rsidRPr="00B479AE" w:rsidRDefault="00BA5D3D" w:rsidP="00305A28">
      <w:pPr>
        <w:spacing w:line="360" w:lineRule="auto"/>
        <w:rPr>
          <w:rFonts w:ascii="Baskerville Old Face" w:hAnsi="Baskerville Old Face"/>
          <w:i/>
          <w:iCs/>
        </w:rPr>
      </w:pPr>
      <w:r w:rsidRPr="00B479AE">
        <w:rPr>
          <w:rFonts w:ascii="Baskerville Old Face" w:hAnsi="Baskerville Old Face"/>
          <w:i/>
          <w:iCs/>
        </w:rPr>
        <w:t>Admissible value is a verified indicator or evidence bundle that satisfies the thresholds of the Prometheus value-analysis, maturity-classification, and underwriting framework.</w:t>
      </w:r>
    </w:p>
    <w:p w14:paraId="258C7F01" w14:textId="77777777" w:rsidR="003A51B5" w:rsidRPr="00B479AE" w:rsidRDefault="003A51B5" w:rsidP="00305A28">
      <w:pPr>
        <w:spacing w:line="360" w:lineRule="auto"/>
        <w:rPr>
          <w:rFonts w:ascii="Baskerville Old Face" w:hAnsi="Baskerville Old Face"/>
          <w:i/>
          <w:iCs/>
        </w:rPr>
      </w:pPr>
      <w:r w:rsidRPr="00B479AE">
        <w:rPr>
          <w:rFonts w:ascii="Baskerville Old Face" w:hAnsi="Baskerville Old Face"/>
          <w:i/>
          <w:iCs/>
        </w:rPr>
        <w:t xml:space="preserve">Only admissible value may contribute to PRU value analysis, PRU maturity classification, Regenerative Asset Pool construction, investor reporting, or future compliant institutional or digital representation. </w:t>
      </w:r>
    </w:p>
    <w:p w14:paraId="6FA75296" w14:textId="5B59F803"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hierarchy is essential.</w:t>
      </w:r>
    </w:p>
    <w:p w14:paraId="01182B26" w14:textId="61662073"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It preserves a direct relationship between living-system performance and </w:t>
      </w:r>
      <w:r w:rsidR="003A1979" w:rsidRPr="00B479AE">
        <w:rPr>
          <w:rFonts w:ascii="Baskerville Old Face" w:hAnsi="Baskerville Old Face"/>
          <w:i/>
          <w:iCs/>
        </w:rPr>
        <w:t>value-analysis interface</w:t>
      </w:r>
      <w:r w:rsidRPr="00B479AE">
        <w:rPr>
          <w:rFonts w:ascii="Baskerville Old Face" w:hAnsi="Baskerville Old Face"/>
          <w:i/>
          <w:iCs/>
        </w:rPr>
        <w:t>.</w:t>
      </w:r>
    </w:p>
    <w:p w14:paraId="173BFE9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Prometheus Adaptive Verification Fabric</w:t>
      </w:r>
    </w:p>
    <w:p w14:paraId="73A299A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To make verification operational, Prometheus introduces the Prometheus Adaptive Verification Fabric.</w:t>
      </w:r>
    </w:p>
    <w:p w14:paraId="3FEDAD3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Adaptive Verification Fabric is the multi-source, standards-based, self-upgradable evidence architecture through which ecological processes become observable, comparable, auditable, and financially admissible.</w:t>
      </w:r>
    </w:p>
    <w:p w14:paraId="1C1AFDD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integrates multiple evidence streams:</w:t>
      </w:r>
    </w:p>
    <w:p w14:paraId="5289A37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field sensors;</w:t>
      </w:r>
    </w:p>
    <w:p w14:paraId="0550A4B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laboratory analyses;</w:t>
      </w:r>
    </w:p>
    <w:p w14:paraId="01CC82F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soil tests;</w:t>
      </w:r>
    </w:p>
    <w:p w14:paraId="1DC9CA5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water tests;</w:t>
      </w:r>
    </w:p>
    <w:p w14:paraId="616499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 plant tissue and biomass data;</w:t>
      </w:r>
    </w:p>
    <w:p w14:paraId="6B53DEA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satellite imagery;</w:t>
      </w:r>
    </w:p>
    <w:p w14:paraId="0B90BD8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drone and mobile imagery;</w:t>
      </w:r>
    </w:p>
    <w:p w14:paraId="4AC495D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climate and weather datasets;</w:t>
      </w:r>
    </w:p>
    <w:p w14:paraId="72B4A40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biodiversity records;</w:t>
      </w:r>
    </w:p>
    <w:p w14:paraId="1706963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ecological surveys;</w:t>
      </w:r>
    </w:p>
    <w:p w14:paraId="72BD697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operational logs;</w:t>
      </w:r>
    </w:p>
    <w:p w14:paraId="6783B78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human observations;</w:t>
      </w:r>
    </w:p>
    <w:p w14:paraId="432459A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third-party audits;</w:t>
      </w:r>
    </w:p>
    <w:p w14:paraId="648F806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public and institutional environmental datasets;</w:t>
      </w:r>
    </w:p>
    <w:p w14:paraId="703DE67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future API-connected data sources.</w:t>
      </w:r>
    </w:p>
    <w:p w14:paraId="11BFC83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Each source is treated as partial.</w:t>
      </w:r>
    </w:p>
    <w:p w14:paraId="05709D0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No single sensor, model, satellite, laboratory result, or human report is treated as the complete truth of a living system.</w:t>
      </w:r>
    </w:p>
    <w:p w14:paraId="4C45E8F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Truth emerges through convergence.</w:t>
      </w:r>
    </w:p>
    <w:p w14:paraId="3107457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soil sensor may indicate moisture conditions.</w:t>
      </w:r>
    </w:p>
    <w:p w14:paraId="7F01AC9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satellite time series may show vegetation stress.</w:t>
      </w:r>
    </w:p>
    <w:p w14:paraId="7E480BE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laboratory test may confirm soil organic carbon.</w:t>
      </w:r>
    </w:p>
    <w:p w14:paraId="2CFE7DE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field audit may verify management practices.</w:t>
      </w:r>
    </w:p>
    <w:p w14:paraId="3A30FC0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operational log may record irrigation, pruning, biomass return, harvesting, or disturbance.</w:t>
      </w:r>
    </w:p>
    <w:p w14:paraId="0441951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Together, these data streams produce an evidence bundle capable of supporting verified indicators.</w:t>
      </w:r>
    </w:p>
    <w:p w14:paraId="6300CF6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purpose of the Adaptive Verification Fabric is therefore not merely to collect data.</w:t>
      </w:r>
    </w:p>
    <w:p w14:paraId="3121393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Its purpose is to transform fragmented observations into reviewable evidence and reviewable evidence into admissible value.</w:t>
      </w:r>
    </w:p>
    <w:p w14:paraId="629C156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Multi-source verification</w:t>
      </w:r>
    </w:p>
    <w:p w14:paraId="18EDA28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Living systems cannot be understood through a single measurement layer.</w:t>
      </w:r>
    </w:p>
    <w:p w14:paraId="6F81D36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Soil, water, biodiversity, biomass, human stewardship, and ecological resilience are complex, dynamic, and context-dependent.</w:t>
      </w:r>
    </w:p>
    <w:p w14:paraId="62985B5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relies on multi-source verification.</w:t>
      </w:r>
    </w:p>
    <w:p w14:paraId="09F48CD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approach combines direct measurement, remote observation, human verification, historical comparison, and external reference datasets.</w:t>
      </w:r>
    </w:p>
    <w:p w14:paraId="05CC007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value of the system does not depend on perfect measurement of every variable at every moment.</w:t>
      </w:r>
    </w:p>
    <w:p w14:paraId="7E3A2EA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depends on disciplined measurement of relevant variables, transparent disclosure of uncertainty, and confidence-adjusted interpretation.</w:t>
      </w:r>
    </w:p>
    <w:p w14:paraId="191C34E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For this reason, Prometheus assigns different levels of evidentiary strength to different data sources.</w:t>
      </w:r>
    </w:p>
    <w:p w14:paraId="6A25536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Direct field measurements may provide high contextual precision.</w:t>
      </w:r>
    </w:p>
    <w:p w14:paraId="34FDBB6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Laboratory tests may provide high analytical reliability.</w:t>
      </w:r>
    </w:p>
    <w:p w14:paraId="050B83F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Satellite data may provide spatial and temporal continuity.</w:t>
      </w:r>
    </w:p>
    <w:p w14:paraId="25D14B0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Drone or mobile imagery may provide high-resolution local observation.</w:t>
      </w:r>
    </w:p>
    <w:p w14:paraId="6938384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audits may provide contextual and operational verification.</w:t>
      </w:r>
    </w:p>
    <w:p w14:paraId="2CD351A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External datasets may provide background conditions, benchmarks, or regional baselines.</w:t>
      </w:r>
    </w:p>
    <w:p w14:paraId="41F17D4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strongest indicators are those supported by convergence across multiple sources.</w:t>
      </w:r>
    </w:p>
    <w:p w14:paraId="685F799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Sensor and field data layer</w:t>
      </w:r>
    </w:p>
    <w:p w14:paraId="31C942B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Field sensors form the first continuous observation layer of Prometheus.</w:t>
      </w:r>
    </w:p>
    <w:p w14:paraId="1110652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They may measure soil moisture, soil temperature, electrical conductivity, air temperature, humidity, rainfall, wind, water level, water quality, carbon dioxide, volatile organic compounds, or other site-specific indicators.</w:t>
      </w:r>
    </w:p>
    <w:p w14:paraId="3D0575B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These data help the system observe the conditions under which regeneration occurs.</w:t>
      </w:r>
    </w:p>
    <w:p w14:paraId="1582B51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Their role is not to replace ecological judgment.</w:t>
      </w:r>
    </w:p>
    <w:p w14:paraId="52692C1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Their role is to make environmental change visible, time-stamped, locally grounded, and comparable across cycles.</w:t>
      </w:r>
    </w:p>
    <w:p w14:paraId="27CE0D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Each sensor observation should be linked to:</w:t>
      </w:r>
    </w:p>
    <w:p w14:paraId="26E2439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device identity;</w:t>
      </w:r>
    </w:p>
    <w:p w14:paraId="51476C7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location;</w:t>
      </w:r>
    </w:p>
    <w:p w14:paraId="3C18FA0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timestamp;</w:t>
      </w:r>
    </w:p>
    <w:p w14:paraId="253DC95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measured property;</w:t>
      </w:r>
    </w:p>
    <w:p w14:paraId="4E6222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unit of measurement;</w:t>
      </w:r>
    </w:p>
    <w:p w14:paraId="25C48B8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calibration state;</w:t>
      </w:r>
    </w:p>
    <w:p w14:paraId="0028B83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firmware or device version;</w:t>
      </w:r>
    </w:p>
    <w:p w14:paraId="352F11F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data quality status;</w:t>
      </w:r>
    </w:p>
    <w:p w14:paraId="69D0BBE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provenance record.</w:t>
      </w:r>
    </w:p>
    <w:p w14:paraId="07C52AE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enables future reviewers to understand not only the value of a measurement, but how that measurement came into existence.</w:t>
      </w:r>
    </w:p>
    <w:p w14:paraId="320B397B" w14:textId="58534E65"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Laboratory evidence layer</w:t>
      </w:r>
    </w:p>
    <w:p w14:paraId="73A8F68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Laboratory analysis provides a deeper evidentiary layer for variables that cannot be reliably inferred from field sensors alone.</w:t>
      </w:r>
    </w:p>
    <w:p w14:paraId="34077B6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These may include soil organic carbon, organic matter, pH, texture, bulk density, aggregate stability, microbial biomass, nutrient availability, salinity, water quality, plant tissue composition, or other scientifically relevant indicators.</w:t>
      </w:r>
    </w:p>
    <w:p w14:paraId="1E1511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Laboratory evidence is especially important for institutional credibility because it anchors ecological claims in standardized analytical procedures.</w:t>
      </w:r>
    </w:p>
    <w:p w14:paraId="29469C3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treats laboratory results as reference evidence, particularly when linked to consistent sampling protocols, chain of custody, geolocation, sampling depth, methodology, laboratory identity, date, and quality assurance conditions.</w:t>
      </w:r>
    </w:p>
    <w:p w14:paraId="14E45FA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Laboratory results may also serve as calibration anchors for sensor data, satellite interpretation, and predictive models.</w:t>
      </w:r>
    </w:p>
    <w:p w14:paraId="183713F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Remote sensing layer</w:t>
      </w:r>
    </w:p>
    <w:p w14:paraId="1405B35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Satellite, drone, and mobile imagery provide the spatial observation layer of Prometheus.</w:t>
      </w:r>
    </w:p>
    <w:p w14:paraId="39BDC47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Remote sensing can support the analysis of vegetation vigor, canopy evolution, water stress, bare soil exposure, biomass dynamics, land cover change, surface temperature, hydrological patterns, and disturbance events.</w:t>
      </w:r>
    </w:p>
    <w:p w14:paraId="40268AA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For small regenerative units, such as individual OHE deployments, satellite data may not always provide sufficient resolution on its own.</w:t>
      </w:r>
    </w:p>
    <w:p w14:paraId="21A213D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For this reason, Prometheus combines satellite imagery with drone imagery, mobile georeferenced observation, field sensors, laboratory data, and direct audits.</w:t>
      </w:r>
    </w:p>
    <w:p w14:paraId="61DF090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Remote sensing contributes to the evidence fabric by providing continuity, comparability, and independent visual or spectral confirmation of ecological change.</w:t>
      </w:r>
    </w:p>
    <w:p w14:paraId="446A0BB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strongest role is not isolated proof.</w:t>
      </w:r>
    </w:p>
    <w:p w14:paraId="334F36F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strongest role is pattern confirmation over time.</w:t>
      </w:r>
    </w:p>
    <w:p w14:paraId="00FCFF1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Human observation and audit layer</w:t>
      </w:r>
    </w:p>
    <w:p w14:paraId="04D21EB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observation remains essential.</w:t>
      </w:r>
    </w:p>
    <w:p w14:paraId="0BF24AA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Regenerative systems involve management, timing, interpretation, local knowledge, and stewardship decisions that cannot be fully captured by automated systems alone.</w:t>
      </w:r>
    </w:p>
    <w:p w14:paraId="692594C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treats human observation as a formal evidence source when it is structured, time-stamped, georeferenced, documented, and linked to defined protocols.</w:t>
      </w:r>
    </w:p>
    <w:p w14:paraId="61CA71A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observations may include:</w:t>
      </w:r>
    </w:p>
    <w:p w14:paraId="2E76859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planting records;</w:t>
      </w:r>
    </w:p>
    <w:p w14:paraId="13EF794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pruning events;</w:t>
      </w:r>
    </w:p>
    <w:p w14:paraId="650C4B9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biomass return;</w:t>
      </w:r>
    </w:p>
    <w:p w14:paraId="23BCE5E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compost or biochar application;</w:t>
      </w:r>
    </w:p>
    <w:p w14:paraId="20CCA70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irrigation events;</w:t>
      </w:r>
    </w:p>
    <w:p w14:paraId="6630CF1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pest or disease observations;</w:t>
      </w:r>
    </w:p>
    <w:p w14:paraId="7986C3B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biodiversity sightings;</w:t>
      </w:r>
    </w:p>
    <w:p w14:paraId="420EE2B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management interventions;</w:t>
      </w:r>
    </w:p>
    <w:p w14:paraId="501CC9A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disturbance records;</w:t>
      </w:r>
    </w:p>
    <w:p w14:paraId="7B7185A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field photographs;</w:t>
      </w:r>
    </w:p>
    <w:p w14:paraId="4D20498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audit reports.</w:t>
      </w:r>
    </w:p>
    <w:p w14:paraId="6AB1AA5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These observations become stronger when supported by photographic evidence, sensor context, satellite comparison, laboratory confirmation, or third-party review.</w:t>
      </w:r>
    </w:p>
    <w:p w14:paraId="3CE1A85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human role is not excluded from verification.</w:t>
      </w:r>
    </w:p>
    <w:p w14:paraId="3803394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disciplined by structure.</w:t>
      </w:r>
    </w:p>
    <w:p w14:paraId="6EB8B99F" w14:textId="26BAC834"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Provenance and integrity</w:t>
      </w:r>
    </w:p>
    <w:p w14:paraId="3FB5F36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Every evidence stream in Prometheus must preserve provenance.</w:t>
      </w:r>
    </w:p>
    <w:p w14:paraId="4246E2B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Provenance describes how data came into existence, who or what generated it, when it was generated, where it was generated, what method was used, how it was transformed, and which version of a model or methodology interpreted it.</w:t>
      </w:r>
    </w:p>
    <w:p w14:paraId="3474B12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Integrity requires that evidence remains traceable from raw observation to final indicator.</w:t>
      </w:r>
    </w:p>
    <w:p w14:paraId="7BBD8FE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means that every PRU-relevant metric should be linked to its underlying evidence chain.</w:t>
      </w:r>
    </w:p>
    <w:p w14:paraId="3247074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system should be able to answer:</w:t>
      </w:r>
    </w:p>
    <w:p w14:paraId="69EF37F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where did this value come from;</w:t>
      </w:r>
    </w:p>
    <w:p w14:paraId="1943AEC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data produced it;</w:t>
      </w:r>
    </w:p>
    <w:p w14:paraId="549558F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method transformed it;</w:t>
      </w:r>
    </w:p>
    <w:p w14:paraId="0082F6E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actor or device generated it;</w:t>
      </w:r>
    </w:p>
    <w:p w14:paraId="3B473A2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version of the methodology was applied;</w:t>
      </w:r>
    </w:p>
    <w:p w14:paraId="368F17D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confidence score was assigned;</w:t>
      </w:r>
    </w:p>
    <w:p w14:paraId="2A92ED2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validation checks were passed;</w:t>
      </w:r>
    </w:p>
    <w:p w14:paraId="61A0944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which limitations remain.</w:t>
      </w:r>
    </w:p>
    <w:p w14:paraId="68667BC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the basis of auditability.</w:t>
      </w:r>
    </w:p>
    <w:p w14:paraId="3EA8774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allows Prometheus to move from trust based on assertion to trust based on traceable evidence.</w:t>
      </w:r>
    </w:p>
    <w:p w14:paraId="5FF40E9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Confidence scoring</w:t>
      </w:r>
    </w:p>
    <w:p w14:paraId="30E1B5F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recognizes that not all evidence has the same strength.</w:t>
      </w:r>
    </w:p>
    <w:p w14:paraId="5E0E942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Each indicator should therefore receive a confidence score.</w:t>
      </w:r>
    </w:p>
    <w:p w14:paraId="70568AA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Confidence scoring may consider:</w:t>
      </w:r>
    </w:p>
    <w:p w14:paraId="431358B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measurement quality;</w:t>
      </w:r>
    </w:p>
    <w:p w14:paraId="583ED86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sampling frequency;</w:t>
      </w:r>
    </w:p>
    <w:p w14:paraId="7E01515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 spatial resolution;</w:t>
      </w:r>
    </w:p>
    <w:p w14:paraId="139A79F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temporal resolution;</w:t>
      </w:r>
    </w:p>
    <w:p w14:paraId="28456F8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calibration status;</w:t>
      </w:r>
    </w:p>
    <w:p w14:paraId="0AD3E7A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source reliability;</w:t>
      </w:r>
    </w:p>
    <w:p w14:paraId="7E6BD80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replication;</w:t>
      </w:r>
    </w:p>
    <w:p w14:paraId="0A4C3C6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cross-source consistency;</w:t>
      </w:r>
    </w:p>
    <w:p w14:paraId="29B5C83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uncertainty;</w:t>
      </w:r>
    </w:p>
    <w:p w14:paraId="3DCF5B9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human review;</w:t>
      </w:r>
    </w:p>
    <w:p w14:paraId="56F9C01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third-party verification;</w:t>
      </w:r>
    </w:p>
    <w:p w14:paraId="464B257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methodology maturity.</w:t>
      </w:r>
    </w:p>
    <w:p w14:paraId="4BE8604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prevents weak evidence from being treated as strong evidence.</w:t>
      </w:r>
    </w:p>
    <w:p w14:paraId="2CC16F4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also allows partial information to be used responsibly.</w:t>
      </w:r>
    </w:p>
    <w:p w14:paraId="13D71CE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system can begin with limited evidence, but its financial admissibility should increase only as the strength, continuity, and reliability of evidence improve.</w:t>
      </w:r>
    </w:p>
    <w:p w14:paraId="3E7CE4D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Confidence scoring is therefore a bridge between ecological reality and capital-market discipline.</w:t>
      </w:r>
    </w:p>
    <w:p w14:paraId="58650AC3" w14:textId="4CC373E6"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Standards-based interoperability</w:t>
      </w:r>
    </w:p>
    <w:p w14:paraId="375ACD2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is designed to remain interoperable as technology evolves.</w:t>
      </w:r>
    </w:p>
    <w:p w14:paraId="317E3E9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verification architecture should be able to integrate sensors, APIs, laboratories, satellite providers, drone systems, mobile devices, ecological datasets, and future data services without becoming dependent on a single vendor or proprietary format.</w:t>
      </w:r>
    </w:p>
    <w:p w14:paraId="533421B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For this reason, the system should adopt open and widely recognized standards wherever appropriate.</w:t>
      </w:r>
    </w:p>
    <w:p w14:paraId="11FF254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Sensor observations may be structured through standards such as OGC </w:t>
      </w:r>
      <w:proofErr w:type="spellStart"/>
      <w:r w:rsidRPr="00B479AE">
        <w:rPr>
          <w:rFonts w:ascii="Baskerville Old Face" w:hAnsi="Baskerville Old Face"/>
          <w:i/>
          <w:iCs/>
        </w:rPr>
        <w:t>SensorThings</w:t>
      </w:r>
      <w:proofErr w:type="spellEnd"/>
      <w:r w:rsidRPr="00B479AE">
        <w:rPr>
          <w:rFonts w:ascii="Baskerville Old Face" w:hAnsi="Baskerville Old Face"/>
          <w:i/>
          <w:iCs/>
        </w:rPr>
        <w:t xml:space="preserve"> API.</w:t>
      </w:r>
    </w:p>
    <w:p w14:paraId="0446EC6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Environmental data retrieval may align with OGC API Environmental Data Retrieval.</w:t>
      </w:r>
    </w:p>
    <w:p w14:paraId="2FE8787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Geospatial and satellite assets may be catalogued through STAC-compatible logic.</w:t>
      </w:r>
    </w:p>
    <w:p w14:paraId="04637FC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Raster geospatial data may be stored or exchanged through cloud-native formats such as Cloud Optimized </w:t>
      </w:r>
      <w:proofErr w:type="spellStart"/>
      <w:r w:rsidRPr="00B479AE">
        <w:rPr>
          <w:rFonts w:ascii="Baskerville Old Face" w:hAnsi="Baskerville Old Face"/>
          <w:i/>
          <w:iCs/>
        </w:rPr>
        <w:t>GeoTIFF</w:t>
      </w:r>
      <w:proofErr w:type="spellEnd"/>
      <w:r w:rsidRPr="00B479AE">
        <w:rPr>
          <w:rFonts w:ascii="Baskerville Old Face" w:hAnsi="Baskerville Old Face"/>
          <w:i/>
          <w:iCs/>
        </w:rPr>
        <w:t>.</w:t>
      </w:r>
    </w:p>
    <w:p w14:paraId="7828938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Provenance may be represented through W3C PROV-compatible logic.</w:t>
      </w:r>
    </w:p>
    <w:p w14:paraId="47B0BDB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Device metadata may be described through Web of Things-compatible descriptions.</w:t>
      </w:r>
    </w:p>
    <w:p w14:paraId="626C0D3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Supply-chain and product events may be represented through EPCIS-compatible logic where appropriate.</w:t>
      </w:r>
    </w:p>
    <w:p w14:paraId="664500F4" w14:textId="77777777" w:rsidR="00305A28" w:rsidRPr="00B479AE" w:rsidRDefault="00305A28" w:rsidP="00305A28">
      <w:pPr>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and REA-compatible accounting may structure the relationship between resources, events, agents, and economic or ecological transformations.</w:t>
      </w:r>
    </w:p>
    <w:p w14:paraId="00426D0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standards-based approach allows Prometheus to evolve without losing semantic continuity.</w:t>
      </w:r>
    </w:p>
    <w:p w14:paraId="0F5D7DF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Auto-upgrade architecture</w:t>
      </w:r>
    </w:p>
    <w:p w14:paraId="10B606B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must remain capable of integrating better tools as they emerge.</w:t>
      </w:r>
    </w:p>
    <w:p w14:paraId="322D1D4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sensors will appear.</w:t>
      </w:r>
    </w:p>
    <w:p w14:paraId="07C883D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satellite products will become available.</w:t>
      </w:r>
    </w:p>
    <w:p w14:paraId="3277904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laboratory methods will improve.</w:t>
      </w:r>
    </w:p>
    <w:p w14:paraId="2FE5AE5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biodiversity datasets will expand.</w:t>
      </w:r>
    </w:p>
    <w:p w14:paraId="195EC15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AI models will become more capable.</w:t>
      </w:r>
    </w:p>
    <w:p w14:paraId="632CBA4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MRV standards will mature.</w:t>
      </w:r>
    </w:p>
    <w:p w14:paraId="45F2A65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New climate and nature-related reporting frameworks will evolve.</w:t>
      </w:r>
    </w:p>
    <w:p w14:paraId="08E4E13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Prometheus verification architecture is therefore designed as an auto-upgradable system.</w:t>
      </w:r>
    </w:p>
    <w:p w14:paraId="4FA144B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does not mean uncontrolled change.</w:t>
      </w:r>
    </w:p>
    <w:p w14:paraId="78D4ECE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means controlled evolution.</w:t>
      </w:r>
    </w:p>
    <w:p w14:paraId="1B903E8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Every new connector, API, sensor, data source, algorithm, model, calibration procedure, or methodology should pass through a defined lifecycle:</w:t>
      </w:r>
    </w:p>
    <w:p w14:paraId="07BB329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proposal;</w:t>
      </w:r>
    </w:p>
    <w:p w14:paraId="339055C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sandbox testing;</w:t>
      </w:r>
    </w:p>
    <w:p w14:paraId="43383A8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validation;</w:t>
      </w:r>
    </w:p>
    <w:p w14:paraId="5F29B7C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confidence calibration;</w:t>
      </w:r>
    </w:p>
    <w:p w14:paraId="5E7B9D9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governance review;</w:t>
      </w:r>
    </w:p>
    <w:p w14:paraId="4758827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production deployment;</w:t>
      </w:r>
    </w:p>
    <w:p w14:paraId="2991F15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monitoring;</w:t>
      </w:r>
    </w:p>
    <w:p w14:paraId="5EE35AF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rollback if required.</w:t>
      </w:r>
    </w:p>
    <w:p w14:paraId="532655F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lifecycle allows Prometheus to absorb technological progress while preserving auditability and methodological discipline.</w:t>
      </w:r>
    </w:p>
    <w:p w14:paraId="00BD4F4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system can evolve without silently changing the meaning of verified regeneration.</w:t>
      </w:r>
    </w:p>
    <w:p w14:paraId="79965EF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Connector registry</w:t>
      </w:r>
    </w:p>
    <w:p w14:paraId="18C6B26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connector registry governs the relationship between Prometheus and external data sources.</w:t>
      </w:r>
    </w:p>
    <w:p w14:paraId="19B6078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Each connector should define:</w:t>
      </w:r>
    </w:p>
    <w:p w14:paraId="774BD38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source identity;</w:t>
      </w:r>
    </w:p>
    <w:p w14:paraId="32FDF9A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source type;</w:t>
      </w:r>
    </w:p>
    <w:p w14:paraId="545FEE0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data variables;</w:t>
      </w:r>
    </w:p>
    <w:p w14:paraId="7F3CA69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endpoint or access method;</w:t>
      </w:r>
    </w:p>
    <w:p w14:paraId="54CFD3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authentication method;</w:t>
      </w:r>
    </w:p>
    <w:p w14:paraId="43EB540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license conditions;</w:t>
      </w:r>
    </w:p>
    <w:p w14:paraId="360426F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 update frequency;</w:t>
      </w:r>
    </w:p>
    <w:p w14:paraId="58581DC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schema version;</w:t>
      </w:r>
    </w:p>
    <w:p w14:paraId="477A8C9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units of measurement;</w:t>
      </w:r>
    </w:p>
    <w:p w14:paraId="43716DE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quality profile;</w:t>
      </w:r>
    </w:p>
    <w:p w14:paraId="71911A7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last successful synchronization;</w:t>
      </w:r>
    </w:p>
    <w:p w14:paraId="66B13D3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failure status;</w:t>
      </w:r>
    </w:p>
    <w:p w14:paraId="388750A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replacement pathway;</w:t>
      </w:r>
    </w:p>
    <w:p w14:paraId="3A2E34C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maintainer responsibility.</w:t>
      </w:r>
    </w:p>
    <w:p w14:paraId="19AB271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makes API integration reviewable and resilient.</w:t>
      </w:r>
    </w:p>
    <w:p w14:paraId="56072F5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If an external source changes, fails, becomes obsolete, or is replaced, the system can preserve continuity by documenting the transition.</w:t>
      </w:r>
    </w:p>
    <w:p w14:paraId="6CAFE6D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purpose is not only technical reliability.</w:t>
      </w:r>
    </w:p>
    <w:p w14:paraId="33385FF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purpose is institutional trust.</w:t>
      </w:r>
    </w:p>
    <w:p w14:paraId="14C72D4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AI-assisted verification</w:t>
      </w:r>
    </w:p>
    <w:p w14:paraId="3820B16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Artificial intelligence may support Prometheus by helping interpret complex evidence.</w:t>
      </w:r>
    </w:p>
    <w:p w14:paraId="594236C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AI may assist with anomaly detection, pattern recognition, image classification, data fusion, scenario modeling, early-warning systems, ecological recommendations, and operational decision support.</w:t>
      </w:r>
    </w:p>
    <w:p w14:paraId="5C3D186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role is assistive, not sovereign.</w:t>
      </w:r>
    </w:p>
    <w:p w14:paraId="2EDE47F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AI-derived outputs remain linked to evidence, model versioning, confidence scores, validation rules, and human or institutional review where required.</w:t>
      </w:r>
    </w:p>
    <w:p w14:paraId="207C98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Within the Prometheus architecture, AI strengthens interpretation but does not independently create admissible value.</w:t>
      </w:r>
    </w:p>
    <w:p w14:paraId="66F5BC7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Admissibility remains governed by evidence, methodology, confidence, and institutional review.</w:t>
      </w:r>
    </w:p>
    <w:p w14:paraId="7C4C914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This preserves the difference between intelligence and authority.</w:t>
      </w:r>
    </w:p>
    <w:p w14:paraId="206F0FE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From verification to value</w:t>
      </w:r>
    </w:p>
    <w:p w14:paraId="5FC24ED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verification architecture is the bridge between living systems and regenerative finance.</w:t>
      </w:r>
    </w:p>
    <w:p w14:paraId="3C58395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Without verification, regeneration remains a claim.</w:t>
      </w:r>
    </w:p>
    <w:p w14:paraId="1F9DB71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 verification, regeneration becomes evidence.</w:t>
      </w:r>
    </w:p>
    <w:p w14:paraId="0086F04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 disciplined evidence, ecological performance becomes comparable.</w:t>
      </w:r>
    </w:p>
    <w:p w14:paraId="53BCFA0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With comparability, performance becomes </w:t>
      </w:r>
      <w:proofErr w:type="spellStart"/>
      <w:r w:rsidRPr="00B479AE">
        <w:rPr>
          <w:rFonts w:ascii="Baskerville Old Face" w:hAnsi="Baskerville Old Face"/>
          <w:i/>
          <w:iCs/>
        </w:rPr>
        <w:t>underwritable</w:t>
      </w:r>
      <w:proofErr w:type="spellEnd"/>
      <w:r w:rsidRPr="00B479AE">
        <w:rPr>
          <w:rFonts w:ascii="Baskerville Old Face" w:hAnsi="Baskerville Old Face"/>
          <w:i/>
          <w:iCs/>
        </w:rPr>
        <w:t>.</w:t>
      </w:r>
    </w:p>
    <w:p w14:paraId="13D1ED9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 underwriting, regenerative systems can become financeable.</w:t>
      </w:r>
    </w:p>
    <w:p w14:paraId="77956F0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 appropriate legal structuring, financeable regenerative systems may become investable real-world assets.</w:t>
      </w:r>
    </w:p>
    <w:p w14:paraId="3AD08AC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the Prometheus transformation pathway.</w:t>
      </w:r>
    </w:p>
    <w:p w14:paraId="6D69A3A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sequence is not merely technical.</w:t>
      </w:r>
    </w:p>
    <w:p w14:paraId="08B90F7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constitutional.</w:t>
      </w:r>
    </w:p>
    <w:p w14:paraId="3E925BF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is built on the recognition that living systems already generate value.</w:t>
      </w:r>
    </w:p>
    <w:p w14:paraId="0FDEB42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task is to observe that value without distorting it, measure it without reducing it, verify it without centralizing it, and structure it without extracting it from its source.</w:t>
      </w:r>
    </w:p>
    <w:p w14:paraId="6DB1F01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Verification is therefore not an accessory to Prometheus.</w:t>
      </w:r>
    </w:p>
    <w:p w14:paraId="5E549DD6" w14:textId="03DD26D3" w:rsidR="00305A28" w:rsidRDefault="00305A28" w:rsidP="00305A28">
      <w:pPr>
        <w:spacing w:line="360" w:lineRule="auto"/>
        <w:rPr>
          <w:rFonts w:ascii="Baskerville Old Face" w:hAnsi="Baskerville Old Face"/>
          <w:i/>
          <w:iCs/>
        </w:rPr>
      </w:pPr>
      <w:r w:rsidRPr="00B479AE">
        <w:rPr>
          <w:rFonts w:ascii="Baskerville Old Face" w:hAnsi="Baskerville Old Face"/>
          <w:i/>
          <w:iCs/>
        </w:rPr>
        <w:t>Verification is the infrastructure through which regeneration becomes visible to capital while remaining accountable to life.</w:t>
      </w:r>
      <w:r w:rsidR="007E454C">
        <w:rPr>
          <w:rFonts w:ascii="Baskerville Old Face" w:hAnsi="Baskerville Old Face"/>
          <w:i/>
          <w:iCs/>
        </w:rPr>
        <w:t xml:space="preserve"> </w:t>
      </w:r>
    </w:p>
    <w:p w14:paraId="3350C2F5" w14:textId="77777777" w:rsidR="007E454C" w:rsidRDefault="007E454C" w:rsidP="00305A28">
      <w:pPr>
        <w:spacing w:line="360" w:lineRule="auto"/>
        <w:rPr>
          <w:rFonts w:ascii="Baskerville Old Face" w:hAnsi="Baskerville Old Face"/>
          <w:i/>
          <w:iCs/>
        </w:rPr>
      </w:pPr>
    </w:p>
    <w:p w14:paraId="080F97FE" w14:textId="5001DABC" w:rsidR="00305A28" w:rsidRPr="00B479AE" w:rsidRDefault="00305A28" w:rsidP="002B4800">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I</w:t>
      </w:r>
      <w:r w:rsidR="002B4800"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The Structural Case for Regenerative Infrastructure</w:t>
      </w:r>
    </w:p>
    <w:p w14:paraId="5946A7F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Civilizational context</w:t>
      </w:r>
    </w:p>
    <w:p w14:paraId="06A6990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societies are living through a moment of structural transition.</w:t>
      </w:r>
    </w:p>
    <w:p w14:paraId="40490E5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Technological progress has accelerated at unprecedented speed. Artificial intelligence, biotechnology, distributed computing, satellite observation, ecological sensing, and advanced materials are expanding the frontier of what human systems can design, measure, and coordinate.</w:t>
      </w:r>
    </w:p>
    <w:p w14:paraId="4DB8CC7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At the same time, the living systems that sustain civilization are experiencing growing pressure.</w:t>
      </w:r>
    </w:p>
    <w:p w14:paraId="4587EFE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Soils are losing fertility.</w:t>
      </w:r>
    </w:p>
    <w:p w14:paraId="0B0B5D7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Water cycles are becoming unstable.</w:t>
      </w:r>
    </w:p>
    <w:p w14:paraId="4E0E65D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Biodiversity is declining.</w:t>
      </w:r>
    </w:p>
    <w:p w14:paraId="1964E1D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Food systems are increasingly disconnected from nutritional and ecological integrity.</w:t>
      </w:r>
    </w:p>
    <w:p w14:paraId="4E39941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Health systems are absorbing the downstream consequences of environmental, metabolic, and social fragmentation.</w:t>
      </w:r>
    </w:p>
    <w:p w14:paraId="11F2B7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Financial systems continue to allocate capital toward assets whose apparent value often depends on the degradation of the foundations that make long-term value possible.</w:t>
      </w:r>
    </w:p>
    <w:p w14:paraId="276FF93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the central contradiction of the current economic era.</w:t>
      </w:r>
    </w:p>
    <w:p w14:paraId="0DB89BC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civilization has developed immense technological capacity, yet many of its operating systems remain misaligned with the regenerative logic of life.</w:t>
      </w:r>
    </w:p>
    <w:p w14:paraId="7E3E0C1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emerges from this contradiction.</w:t>
      </w:r>
    </w:p>
    <w:p w14:paraId="2D62E1E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designed to translate the intelligence of living systems into operational, verifiable, and financeable infrastructure.</w:t>
      </w:r>
    </w:p>
    <w:p w14:paraId="4580B45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purpose is not to reject technological progress or financial innovation.</w:t>
      </w:r>
    </w:p>
    <w:p w14:paraId="7592E5C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purpose is to align them with the conditions that allow life, health, productivity, and resilience to compound over time.</w:t>
      </w:r>
    </w:p>
    <w:p w14:paraId="1F873A9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structural misalignment</w:t>
      </w:r>
    </w:p>
    <w:p w14:paraId="21DFD7E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Modern economic systems have achieved extraordinary scale by increasing extraction, specialization, leverage, and throughput.</w:t>
      </w:r>
    </w:p>
    <w:p w14:paraId="236B587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This architecture has produced major advances in production, communication, logistics, medicine, computation, and global coordination.</w:t>
      </w:r>
    </w:p>
    <w:p w14:paraId="682EB8D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Yet it has also externalized many of the costs that living systems cannot ignore.</w:t>
      </w:r>
    </w:p>
    <w:p w14:paraId="637696A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Soil depletion appears later as lower productivity, higher input dependency, erosion, desertification, and food-system fragility.</w:t>
      </w:r>
    </w:p>
    <w:p w14:paraId="577E707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Water mismanagement appears later as drought exposure, flooding, infrastructure stress, crop loss, and geopolitical pressure.</w:t>
      </w:r>
    </w:p>
    <w:p w14:paraId="28AE53D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Biodiversity loss appears later as ecological instability, pollination decline, pest pressure, and reduced resilience.</w:t>
      </w:r>
    </w:p>
    <w:p w14:paraId="42D400B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Poor nutrition appears later as metabolic disease, chronic inflammation, healthcare burden, and reduced human vitality.</w:t>
      </w:r>
    </w:p>
    <w:p w14:paraId="5A2BD4C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Social fragmentation appears later as institutional distrust, governance instability, and reduced collective problem-solving capacity.</w:t>
      </w:r>
    </w:p>
    <w:p w14:paraId="5E8FAD6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pattern is consistent.</w:t>
      </w:r>
    </w:p>
    <w:p w14:paraId="48FBA4E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When economic systems treat living foundations as externalities, the costs do not disappear.</w:t>
      </w:r>
    </w:p>
    <w:p w14:paraId="78F2080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return as systemic liabilities.</w:t>
      </w:r>
    </w:p>
    <w:p w14:paraId="782A299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result is a structural inefficiency: large amounts of capital are allocated downstream to manage damage after it has materialized, while upstream regenerative capacity remains undercapitalized.</w:t>
      </w:r>
    </w:p>
    <w:p w14:paraId="048B53A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addresses this inefficiency by shifting the investment question.</w:t>
      </w:r>
    </w:p>
    <w:p w14:paraId="70155C5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question is no longer only:</w:t>
      </w:r>
    </w:p>
    <w:p w14:paraId="7E83C57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How can damage be mitigated?</w:t>
      </w:r>
    </w:p>
    <w:p w14:paraId="203CA85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deeper question is:</w:t>
      </w:r>
    </w:p>
    <w:p w14:paraId="5212567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How can capital be routed toward infrastructures that reduce the production of damage at the source?</w:t>
      </w:r>
    </w:p>
    <w:p w14:paraId="248CC73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the basis of regenerative infrastructure.</w:t>
      </w:r>
    </w:p>
    <w:p w14:paraId="47C244B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lastRenderedPageBreak/>
        <w:t>Nature as foundational infrastructure</w:t>
      </w:r>
    </w:p>
    <w:p w14:paraId="02D411B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Nature is not the background of the economy.</w:t>
      </w:r>
    </w:p>
    <w:p w14:paraId="1CB8EB3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the metabolism beneath all accounts.</w:t>
      </w:r>
    </w:p>
    <w:p w14:paraId="02B1FFD9" w14:textId="77777777" w:rsidR="00D8085B" w:rsidRPr="00B479AE" w:rsidRDefault="00D8085B" w:rsidP="00D8085B">
      <w:pPr>
        <w:spacing w:line="360" w:lineRule="auto"/>
        <w:rPr>
          <w:rFonts w:ascii="Baskerville Old Face" w:hAnsi="Baskerville Old Face"/>
          <w:i/>
          <w:iCs/>
        </w:rPr>
      </w:pPr>
      <w:r w:rsidRPr="00B479AE">
        <w:rPr>
          <w:rFonts w:ascii="Baskerville Old Face" w:hAnsi="Baskerville Old Face"/>
          <w:b/>
          <w:bCs/>
          <w:i/>
          <w:iCs/>
        </w:rPr>
        <w:t>Economic dependence on living systems</w:t>
      </w:r>
    </w:p>
    <w:p w14:paraId="11423866"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The dependence of economic value on living systems is not metaphorical.</w:t>
      </w:r>
    </w:p>
    <w:p w14:paraId="347A51AF"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It is physiological, territorial, and infrastructural.</w:t>
      </w:r>
    </w:p>
    <w:p w14:paraId="539C7BFE"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No financial system can remain stable if the biological systems that sustain food, water, health, climate regulation, and human vitality are degrading.</w:t>
      </w:r>
    </w:p>
    <w:p w14:paraId="354D9BD0"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As Guy McPherson sharply observed:</w:t>
      </w:r>
    </w:p>
    <w:p w14:paraId="7D5F3A8C"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“If you truly think the environment is less important than the economy, try holding your breath while you count your money.”</w:t>
      </w:r>
    </w:p>
    <w:p w14:paraId="495611B5"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Within Prometheus, this statement is not used as rhetorical provocation.</w:t>
      </w:r>
    </w:p>
    <w:p w14:paraId="05F2288C"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It expresses a structural dependency: capital is downstream from life.</w:t>
      </w:r>
    </w:p>
    <w:p w14:paraId="360A2387"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The economy does not float above the biosphere.</w:t>
      </w:r>
    </w:p>
    <w:p w14:paraId="3E01D360" w14:textId="77777777" w:rsidR="00BE7242" w:rsidRPr="00B479AE" w:rsidRDefault="00BE7242" w:rsidP="00BE7242">
      <w:pPr>
        <w:spacing w:line="360" w:lineRule="auto"/>
        <w:rPr>
          <w:rFonts w:ascii="Baskerville Old Face" w:hAnsi="Baskerville Old Face"/>
          <w:i/>
          <w:iCs/>
        </w:rPr>
      </w:pPr>
      <w:r w:rsidRPr="00B479AE">
        <w:rPr>
          <w:rFonts w:ascii="Baskerville Old Face" w:hAnsi="Baskerville Old Face"/>
          <w:i/>
          <w:iCs/>
        </w:rPr>
        <w:t>It metabolizes within it.</w:t>
      </w:r>
    </w:p>
    <w:p w14:paraId="7D24138A" w14:textId="4C5F4D60"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Every durable economic system depends on functions that living systems provide before markets can price them: fertile soil, stable water cycles, breathable air, pollination, climate regulation, biological productivity, nutrient density, disease resistance, and human vitality.</w:t>
      </w:r>
    </w:p>
    <w:p w14:paraId="6C0E8A5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These functions are not decorative.</w:t>
      </w:r>
    </w:p>
    <w:p w14:paraId="04DD48E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are infrastructural.</w:t>
      </w:r>
    </w:p>
    <w:p w14:paraId="38437D8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bridge becomes economically relevant because it allows movement.</w:t>
      </w:r>
    </w:p>
    <w:p w14:paraId="1034285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electrical grid becomes economically relevant because it allows energy distribution.</w:t>
      </w:r>
    </w:p>
    <w:p w14:paraId="3BFC928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A water system becomes economically relevant because it allows life, production, hygiene, and settlement.</w:t>
      </w:r>
    </w:p>
    <w:p w14:paraId="638F42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Living systems perform infrastructural functions at deeper levels.</w:t>
      </w:r>
    </w:p>
    <w:p w14:paraId="09F9FE5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Soil transforms minerals, organic matter, microorganisms, water, roots, and energy into fertility.</w:t>
      </w:r>
    </w:p>
    <w:p w14:paraId="569DEEA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Forests regulate water, carbon, temperature, habitat, and local climate.</w:t>
      </w:r>
    </w:p>
    <w:p w14:paraId="03DA0B6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Biodiversity distributes ecological functions across many species, reducing fragility.</w:t>
      </w:r>
    </w:p>
    <w:p w14:paraId="5EF392B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Healthy food systems transform sunlight, water, soil, and biological relationships into human metabolic capacity.</w:t>
      </w:r>
    </w:p>
    <w:p w14:paraId="414FF70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Communities transform trust, knowledge, care, and cooperation into social resilience.</w:t>
      </w:r>
    </w:p>
    <w:p w14:paraId="33C3C59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These are not soft variables.</w:t>
      </w:r>
    </w:p>
    <w:p w14:paraId="7881199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are the foundations of long-duration value.</w:t>
      </w:r>
    </w:p>
    <w:p w14:paraId="0BBF6B8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treats these foundations as measurable and governable infrastructure.</w:t>
      </w:r>
    </w:p>
    <w:p w14:paraId="498C0FCD" w14:textId="15E1F969"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symphony of life</w:t>
      </w:r>
    </w:p>
    <w:p w14:paraId="1D47007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Living systems do not operate as isolated components.</w:t>
      </w:r>
    </w:p>
    <w:p w14:paraId="47E8C8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operate as relationships.</w:t>
      </w:r>
    </w:p>
    <w:p w14:paraId="4852E5C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Soil microorganisms regulate nutrient availability.</w:t>
      </w:r>
    </w:p>
    <w:p w14:paraId="2F4678F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Plants exchange signals and resources through root systems, fungal networks, and biochemical communication.</w:t>
      </w:r>
    </w:p>
    <w:p w14:paraId="3D9C260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Water flows across landscapes, linking vegetation, topography, atmosphere, soil structure, and biological metabolism.</w:t>
      </w:r>
    </w:p>
    <w:p w14:paraId="2A6BA32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Pollinators, predators, fungi, bacteria, animals, and plants participate in distributed networks of mutual influence.</w:t>
      </w:r>
    </w:p>
    <w:p w14:paraId="7E5EC30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stability of an ecosystem does not arise from centralized control.</w:t>
      </w:r>
    </w:p>
    <w:p w14:paraId="146C64F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It emerges from the quality, diversity, redundancy, and adaptability of relationships.</w:t>
      </w:r>
    </w:p>
    <w:p w14:paraId="1D6A42F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this sense, living systems resemble an orchestra.</w:t>
      </w:r>
    </w:p>
    <w:p w14:paraId="109761B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Each organism, process, and ecological function contributes to the coherence of the whole.</w:t>
      </w:r>
    </w:p>
    <w:p w14:paraId="1A8C392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When relationships are intact, fertility increases, water cycles stabilize, biodiversity strengthens resilience, and productivity becomes more durable.</w:t>
      </w:r>
    </w:p>
    <w:p w14:paraId="1078F27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When relationships are broken, the system loses coherence.</w:t>
      </w:r>
    </w:p>
    <w:p w14:paraId="0AFBB28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is the restoration and enhancement of these relationships.</w:t>
      </w:r>
    </w:p>
    <w:p w14:paraId="74FBB37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not merely the addition of plants, carbon, or isolated ecological metrics.</w:t>
      </w:r>
    </w:p>
    <w:p w14:paraId="7720A35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the increase of systemic coherence across soil, water, biodiversity, biomass, human stewardship, and time.</w:t>
      </w:r>
    </w:p>
    <w:p w14:paraId="3A27029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is built on this principle.</w:t>
      </w:r>
    </w:p>
    <w:p w14:paraId="059C424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Value emerges not only from outputs, but from the increasing coherence of the living system that generates those outputs.</w:t>
      </w:r>
    </w:p>
    <w:p w14:paraId="56A7D105" w14:textId="3501479A"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economic model of living systems</w:t>
      </w:r>
    </w:p>
    <w:p w14:paraId="7F0A993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Nature operates through circulation before accumulation.</w:t>
      </w:r>
    </w:p>
    <w:p w14:paraId="54A58CA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Rivers distribute water across landscapes before reaching the sea.</w:t>
      </w:r>
    </w:p>
    <w:p w14:paraId="6E10E3D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Trees transform sunlight into fruits, biomass, shade, habitat, oxygen, and soil contribution.</w:t>
      </w:r>
    </w:p>
    <w:p w14:paraId="19008EE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Leaves fall, decompose, and return nutrients to the soil.</w:t>
      </w:r>
    </w:p>
    <w:p w14:paraId="45774D4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Microorganisms convert organic matter into fertility.</w:t>
      </w:r>
    </w:p>
    <w:p w14:paraId="0CDD2F7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Mycorrhizal networks redistribute nutrients and signals.</w:t>
      </w:r>
    </w:p>
    <w:p w14:paraId="1C73577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Water infiltrates, evaporates, condenses, and returns through cycles.</w:t>
      </w:r>
    </w:p>
    <w:p w14:paraId="0FEFBC5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Life maintains itself through generative circulation.</w:t>
      </w:r>
    </w:p>
    <w:p w14:paraId="7B1900F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When circulation is healthy, ecosystems tend to increase fertility, complexity, and resilience over time.</w:t>
      </w:r>
    </w:p>
    <w:p w14:paraId="0947CA4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When circulation is interrupted, systems degrade.</w:t>
      </w:r>
    </w:p>
    <w:p w14:paraId="2227835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offers a radically different economic model from linear extraction.</w:t>
      </w:r>
    </w:p>
    <w:p w14:paraId="60E5BAD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extractive systems, value is generated by removing resources from their context, converting them into products, and externalizing the costs of depletion.</w:t>
      </w:r>
    </w:p>
    <w:p w14:paraId="683E23C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regenerative systems, value increases when the conditions that generate value become healthier.</w:t>
      </w:r>
    </w:p>
    <w:p w14:paraId="54FD9C00" w14:textId="77777777" w:rsidR="004E337A"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economic model of nature can be summarized as follows:</w:t>
      </w:r>
      <w:r w:rsidR="004E337A" w:rsidRPr="00B479AE">
        <w:rPr>
          <w:rFonts w:ascii="Baskerville Old Face" w:hAnsi="Baskerville Old Face"/>
          <w:i/>
          <w:iCs/>
        </w:rPr>
        <w:t xml:space="preserve"> </w:t>
      </w:r>
    </w:p>
    <w:p w14:paraId="1D0F995B" w14:textId="3C10363D"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circulation creates continuity;</w:t>
      </w:r>
    </w:p>
    <w:p w14:paraId="7A7AF93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diversity creates resilience;</w:t>
      </w:r>
    </w:p>
    <w:p w14:paraId="5AB8C0C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cooperation creates surplus;</w:t>
      </w:r>
    </w:p>
    <w:p w14:paraId="7CC8528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feedback creates adaptation;</w:t>
      </w:r>
    </w:p>
    <w:p w14:paraId="2C12124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creates future capacity.</w:t>
      </w:r>
    </w:p>
    <w:p w14:paraId="3CC0322D" w14:textId="6C53F7B2" w:rsidR="004E337A" w:rsidRPr="00B479AE" w:rsidRDefault="004E337A" w:rsidP="004E337A">
      <w:pPr>
        <w:spacing w:line="360" w:lineRule="auto"/>
        <w:rPr>
          <w:rFonts w:ascii="Baskerville Old Face" w:hAnsi="Baskerville Old Face"/>
          <w:b/>
          <w:bCs/>
          <w:i/>
          <w:iCs/>
        </w:rPr>
      </w:pPr>
      <w:r w:rsidRPr="00B479AE">
        <w:rPr>
          <w:rFonts w:ascii="Baskerville Old Face" w:hAnsi="Baskerville Old Face"/>
          <w:b/>
          <w:bCs/>
          <w:i/>
          <w:iCs/>
        </w:rPr>
        <w:t>Ecological-Economic Translation Matrix</w:t>
      </w:r>
    </w:p>
    <w:p w14:paraId="3BE4DAFF" w14:textId="1CC73958" w:rsidR="004E337A" w:rsidRDefault="004E337A" w:rsidP="004E337A">
      <w:pPr>
        <w:spacing w:line="360" w:lineRule="auto"/>
        <w:rPr>
          <w:rFonts w:ascii="Baskerville Old Face" w:hAnsi="Baskerville Old Face"/>
          <w:i/>
          <w:iCs/>
        </w:rPr>
      </w:pPr>
      <w:r w:rsidRPr="00B479AE">
        <w:rPr>
          <w:rFonts w:ascii="Baskerville Old Face" w:hAnsi="Baskerville Old Face"/>
          <w:i/>
          <w:iCs/>
        </w:rPr>
        <w:t>Living systems and regenerative economic systems follow analogous structural principles. This does not mean that ecosystems and economies are identical. It means that durable economic architectures can learn from the organizing logic of living systems: circulation, diversity, cooperation, feedback, redundancy, adaptation, and increasing regenerative capacity.</w:t>
      </w:r>
      <w:r w:rsidR="007E454C">
        <w:rPr>
          <w:rFonts w:ascii="Baskerville Old Face" w:hAnsi="Baskerville Old Face"/>
          <w:i/>
          <w:iCs/>
        </w:rPr>
        <w:t xml:space="preserve"> </w:t>
      </w:r>
    </w:p>
    <w:p w14:paraId="034A35F7" w14:textId="77777777" w:rsidR="007E454C" w:rsidRDefault="007E454C" w:rsidP="004E337A">
      <w:pPr>
        <w:spacing w:line="360" w:lineRule="auto"/>
        <w:rPr>
          <w:rFonts w:ascii="Baskerville Old Face" w:hAnsi="Baskerville Old Face"/>
          <w:i/>
          <w:iCs/>
        </w:rPr>
      </w:pPr>
    </w:p>
    <w:p w14:paraId="45B5E64F" w14:textId="77777777" w:rsidR="007E454C" w:rsidRDefault="007E454C" w:rsidP="004E337A">
      <w:pPr>
        <w:spacing w:line="360" w:lineRule="auto"/>
        <w:rPr>
          <w:rFonts w:ascii="Baskerville Old Face" w:hAnsi="Baskerville Old Face"/>
          <w:i/>
          <w:iCs/>
        </w:rPr>
      </w:pPr>
    </w:p>
    <w:p w14:paraId="3E156317" w14:textId="77777777" w:rsidR="007E454C" w:rsidRDefault="007E454C" w:rsidP="004E337A">
      <w:pPr>
        <w:spacing w:line="360" w:lineRule="auto"/>
        <w:rPr>
          <w:rFonts w:ascii="Baskerville Old Face" w:hAnsi="Baskerville Old Face"/>
          <w:i/>
          <w:iCs/>
        </w:rPr>
      </w:pPr>
    </w:p>
    <w:p w14:paraId="3FA2B86D" w14:textId="77777777" w:rsidR="007E454C" w:rsidRPr="00B479AE" w:rsidRDefault="007E454C" w:rsidP="004E337A">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3418"/>
      </w:tblGrid>
      <w:tr w:rsidR="004E337A" w:rsidRPr="00B479AE" w14:paraId="1AEEF171" w14:textId="77777777" w:rsidTr="004E337A">
        <w:trPr>
          <w:tblHeader/>
          <w:tblCellSpacing w:w="15" w:type="dxa"/>
        </w:trPr>
        <w:tc>
          <w:tcPr>
            <w:tcW w:w="0" w:type="auto"/>
            <w:vAlign w:val="center"/>
            <w:hideMark/>
          </w:tcPr>
          <w:p w14:paraId="7423CCF2" w14:textId="77777777" w:rsidR="004E337A" w:rsidRPr="00B479AE" w:rsidRDefault="004E337A" w:rsidP="004E337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Natural systems</w:t>
            </w:r>
          </w:p>
        </w:tc>
        <w:tc>
          <w:tcPr>
            <w:tcW w:w="0" w:type="auto"/>
            <w:vAlign w:val="center"/>
            <w:hideMark/>
          </w:tcPr>
          <w:p w14:paraId="1C7A4D29" w14:textId="77777777" w:rsidR="004E337A" w:rsidRPr="00B479AE" w:rsidRDefault="004E337A" w:rsidP="004E337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Regenerative economic systems</w:t>
            </w:r>
          </w:p>
        </w:tc>
      </w:tr>
      <w:tr w:rsidR="004E337A" w:rsidRPr="00B479AE" w14:paraId="794CA13D" w14:textId="77777777" w:rsidTr="004E337A">
        <w:trPr>
          <w:tblCellSpacing w:w="15" w:type="dxa"/>
        </w:trPr>
        <w:tc>
          <w:tcPr>
            <w:tcW w:w="0" w:type="auto"/>
            <w:vAlign w:val="center"/>
            <w:hideMark/>
          </w:tcPr>
          <w:p w14:paraId="5BB143D5"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Circulation of nutrients</w:t>
            </w:r>
          </w:p>
        </w:tc>
        <w:tc>
          <w:tcPr>
            <w:tcW w:w="0" w:type="auto"/>
            <w:vAlign w:val="center"/>
            <w:hideMark/>
          </w:tcPr>
          <w:p w14:paraId="3A841CAB"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Circulation of capital</w:t>
            </w:r>
          </w:p>
        </w:tc>
      </w:tr>
      <w:tr w:rsidR="004E337A" w:rsidRPr="00B479AE" w14:paraId="1851CC81" w14:textId="77777777" w:rsidTr="004E337A">
        <w:trPr>
          <w:tblCellSpacing w:w="15" w:type="dxa"/>
        </w:trPr>
        <w:tc>
          <w:tcPr>
            <w:tcW w:w="0" w:type="auto"/>
            <w:vAlign w:val="center"/>
            <w:hideMark/>
          </w:tcPr>
          <w:p w14:paraId="0BD28831"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Biodiversity</w:t>
            </w:r>
          </w:p>
        </w:tc>
        <w:tc>
          <w:tcPr>
            <w:tcW w:w="0" w:type="auto"/>
            <w:vAlign w:val="center"/>
            <w:hideMark/>
          </w:tcPr>
          <w:p w14:paraId="26BF69FD"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Economic diversification</w:t>
            </w:r>
          </w:p>
        </w:tc>
      </w:tr>
      <w:tr w:rsidR="004E337A" w:rsidRPr="00B479AE" w14:paraId="487AAAE8" w14:textId="77777777" w:rsidTr="004E337A">
        <w:trPr>
          <w:tblCellSpacing w:w="15" w:type="dxa"/>
        </w:trPr>
        <w:tc>
          <w:tcPr>
            <w:tcW w:w="0" w:type="auto"/>
            <w:vAlign w:val="center"/>
            <w:hideMark/>
          </w:tcPr>
          <w:p w14:paraId="151F302E"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Symbiosis</w:t>
            </w:r>
          </w:p>
        </w:tc>
        <w:tc>
          <w:tcPr>
            <w:tcW w:w="0" w:type="auto"/>
            <w:vAlign w:val="center"/>
            <w:hideMark/>
          </w:tcPr>
          <w:p w14:paraId="68881AD7"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Cooperative relationships</w:t>
            </w:r>
          </w:p>
        </w:tc>
      </w:tr>
      <w:tr w:rsidR="004E337A" w:rsidRPr="00B479AE" w14:paraId="431FC8C4" w14:textId="77777777" w:rsidTr="004E337A">
        <w:trPr>
          <w:tblCellSpacing w:w="15" w:type="dxa"/>
        </w:trPr>
        <w:tc>
          <w:tcPr>
            <w:tcW w:w="0" w:type="auto"/>
            <w:vAlign w:val="center"/>
            <w:hideMark/>
          </w:tcPr>
          <w:p w14:paraId="24FB6957"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Closed ecological cycles</w:t>
            </w:r>
          </w:p>
        </w:tc>
        <w:tc>
          <w:tcPr>
            <w:tcW w:w="0" w:type="auto"/>
            <w:vAlign w:val="center"/>
            <w:hideMark/>
          </w:tcPr>
          <w:p w14:paraId="5C04E706"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Circular economy</w:t>
            </w:r>
          </w:p>
        </w:tc>
      </w:tr>
      <w:tr w:rsidR="004E337A" w:rsidRPr="00B479AE" w14:paraId="31DEDB32" w14:textId="77777777" w:rsidTr="004E337A">
        <w:trPr>
          <w:tblCellSpacing w:w="15" w:type="dxa"/>
        </w:trPr>
        <w:tc>
          <w:tcPr>
            <w:tcW w:w="0" w:type="auto"/>
            <w:vAlign w:val="center"/>
            <w:hideMark/>
          </w:tcPr>
          <w:p w14:paraId="3565DD26"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Increasing fertility</w:t>
            </w:r>
          </w:p>
        </w:tc>
        <w:tc>
          <w:tcPr>
            <w:tcW w:w="0" w:type="auto"/>
            <w:vAlign w:val="center"/>
            <w:hideMark/>
          </w:tcPr>
          <w:p w14:paraId="1FE1BB65"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Regenerative value creation</w:t>
            </w:r>
          </w:p>
        </w:tc>
      </w:tr>
      <w:tr w:rsidR="004E337A" w:rsidRPr="00B479AE" w14:paraId="29A5C90E" w14:textId="77777777" w:rsidTr="004E337A">
        <w:trPr>
          <w:tblCellSpacing w:w="15" w:type="dxa"/>
        </w:trPr>
        <w:tc>
          <w:tcPr>
            <w:tcW w:w="0" w:type="auto"/>
            <w:vAlign w:val="center"/>
            <w:hideMark/>
          </w:tcPr>
          <w:p w14:paraId="4D8BEE45"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Distributed feedback</w:t>
            </w:r>
          </w:p>
        </w:tc>
        <w:tc>
          <w:tcPr>
            <w:tcW w:w="0" w:type="auto"/>
            <w:vAlign w:val="center"/>
            <w:hideMark/>
          </w:tcPr>
          <w:p w14:paraId="0C40B67E"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Distributed governance</w:t>
            </w:r>
          </w:p>
        </w:tc>
      </w:tr>
      <w:tr w:rsidR="004E337A" w:rsidRPr="00B479AE" w14:paraId="17F2E6DC" w14:textId="77777777" w:rsidTr="004E337A">
        <w:trPr>
          <w:tblCellSpacing w:w="15" w:type="dxa"/>
        </w:trPr>
        <w:tc>
          <w:tcPr>
            <w:tcW w:w="0" w:type="auto"/>
            <w:vAlign w:val="center"/>
            <w:hideMark/>
          </w:tcPr>
          <w:p w14:paraId="581EEA49"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Ecological redundancy</w:t>
            </w:r>
          </w:p>
        </w:tc>
        <w:tc>
          <w:tcPr>
            <w:tcW w:w="0" w:type="auto"/>
            <w:vAlign w:val="center"/>
            <w:hideMark/>
          </w:tcPr>
          <w:p w14:paraId="350EE84F"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Portfolio resilience</w:t>
            </w:r>
          </w:p>
        </w:tc>
      </w:tr>
      <w:tr w:rsidR="004E337A" w:rsidRPr="00B479AE" w14:paraId="677BF671" w14:textId="77777777" w:rsidTr="004E337A">
        <w:trPr>
          <w:tblCellSpacing w:w="15" w:type="dxa"/>
        </w:trPr>
        <w:tc>
          <w:tcPr>
            <w:tcW w:w="0" w:type="auto"/>
            <w:vAlign w:val="center"/>
            <w:hideMark/>
          </w:tcPr>
          <w:p w14:paraId="5C8F3653"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Successional maturity</w:t>
            </w:r>
          </w:p>
        </w:tc>
        <w:tc>
          <w:tcPr>
            <w:tcW w:w="0" w:type="auto"/>
            <w:vAlign w:val="center"/>
            <w:hideMark/>
          </w:tcPr>
          <w:p w14:paraId="7D23F507"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Institutional maturity</w:t>
            </w:r>
          </w:p>
        </w:tc>
      </w:tr>
      <w:tr w:rsidR="004E337A" w:rsidRPr="00B479AE" w14:paraId="0D0E4946" w14:textId="77777777" w:rsidTr="004E337A">
        <w:trPr>
          <w:tblCellSpacing w:w="15" w:type="dxa"/>
        </w:trPr>
        <w:tc>
          <w:tcPr>
            <w:tcW w:w="0" w:type="auto"/>
            <w:vAlign w:val="center"/>
            <w:hideMark/>
          </w:tcPr>
          <w:p w14:paraId="19AA3248"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Soil regeneration</w:t>
            </w:r>
          </w:p>
        </w:tc>
        <w:tc>
          <w:tcPr>
            <w:tcW w:w="0" w:type="auto"/>
            <w:vAlign w:val="center"/>
            <w:hideMark/>
          </w:tcPr>
          <w:p w14:paraId="3157B6D8"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Productive capacity formation</w:t>
            </w:r>
          </w:p>
        </w:tc>
      </w:tr>
      <w:tr w:rsidR="004E337A" w:rsidRPr="00B479AE" w14:paraId="64211FEF" w14:textId="77777777" w:rsidTr="004E337A">
        <w:trPr>
          <w:tblCellSpacing w:w="15" w:type="dxa"/>
        </w:trPr>
        <w:tc>
          <w:tcPr>
            <w:tcW w:w="0" w:type="auto"/>
            <w:vAlign w:val="center"/>
            <w:hideMark/>
          </w:tcPr>
          <w:p w14:paraId="781DBCDF"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Water retention</w:t>
            </w:r>
          </w:p>
        </w:tc>
        <w:tc>
          <w:tcPr>
            <w:tcW w:w="0" w:type="auto"/>
            <w:vAlign w:val="center"/>
            <w:hideMark/>
          </w:tcPr>
          <w:p w14:paraId="27E3AAED"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Risk buffering and continuity</w:t>
            </w:r>
          </w:p>
        </w:tc>
      </w:tr>
      <w:tr w:rsidR="004E337A" w:rsidRPr="00B479AE" w14:paraId="3E965B4A" w14:textId="77777777" w:rsidTr="004E337A">
        <w:trPr>
          <w:tblCellSpacing w:w="15" w:type="dxa"/>
        </w:trPr>
        <w:tc>
          <w:tcPr>
            <w:tcW w:w="0" w:type="auto"/>
            <w:vAlign w:val="center"/>
            <w:hideMark/>
          </w:tcPr>
          <w:p w14:paraId="65D30BDB"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Mycorrhizal cooperation</w:t>
            </w:r>
          </w:p>
        </w:tc>
        <w:tc>
          <w:tcPr>
            <w:tcW w:w="0" w:type="auto"/>
            <w:vAlign w:val="center"/>
            <w:hideMark/>
          </w:tcPr>
          <w:p w14:paraId="6C7AD04F"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Distributed value coordination</w:t>
            </w:r>
          </w:p>
        </w:tc>
      </w:tr>
      <w:tr w:rsidR="004E337A" w:rsidRPr="00B479AE" w14:paraId="34B226AF" w14:textId="77777777" w:rsidTr="004E337A">
        <w:trPr>
          <w:tblCellSpacing w:w="15" w:type="dxa"/>
        </w:trPr>
        <w:tc>
          <w:tcPr>
            <w:tcW w:w="0" w:type="auto"/>
            <w:vAlign w:val="center"/>
            <w:hideMark/>
          </w:tcPr>
          <w:p w14:paraId="2938F1A3"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Biomass cycling</w:t>
            </w:r>
          </w:p>
        </w:tc>
        <w:tc>
          <w:tcPr>
            <w:tcW w:w="0" w:type="auto"/>
            <w:vAlign w:val="center"/>
            <w:hideMark/>
          </w:tcPr>
          <w:p w14:paraId="089AC632"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Reinvestment into productive capacity</w:t>
            </w:r>
          </w:p>
        </w:tc>
      </w:tr>
      <w:tr w:rsidR="004E337A" w:rsidRPr="00B479AE" w14:paraId="00916CDE" w14:textId="77777777" w:rsidTr="004E337A">
        <w:trPr>
          <w:tblCellSpacing w:w="15" w:type="dxa"/>
        </w:trPr>
        <w:tc>
          <w:tcPr>
            <w:tcW w:w="0" w:type="auto"/>
            <w:vAlign w:val="center"/>
            <w:hideMark/>
          </w:tcPr>
          <w:p w14:paraId="3182DC18"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Ecosystem resilience</w:t>
            </w:r>
          </w:p>
        </w:tc>
        <w:tc>
          <w:tcPr>
            <w:tcW w:w="0" w:type="auto"/>
            <w:vAlign w:val="center"/>
            <w:hideMark/>
          </w:tcPr>
          <w:p w14:paraId="04425A5E"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Long-term capital resilience</w:t>
            </w:r>
          </w:p>
        </w:tc>
      </w:tr>
      <w:tr w:rsidR="004E337A" w:rsidRPr="00B479AE" w14:paraId="5CBFF93E" w14:textId="77777777" w:rsidTr="004E337A">
        <w:trPr>
          <w:tblCellSpacing w:w="15" w:type="dxa"/>
        </w:trPr>
        <w:tc>
          <w:tcPr>
            <w:tcW w:w="0" w:type="auto"/>
            <w:vAlign w:val="center"/>
            <w:hideMark/>
          </w:tcPr>
          <w:p w14:paraId="660A3446"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Ecological succession</w:t>
            </w:r>
          </w:p>
        </w:tc>
        <w:tc>
          <w:tcPr>
            <w:tcW w:w="0" w:type="auto"/>
            <w:vAlign w:val="center"/>
            <w:hideMark/>
          </w:tcPr>
          <w:p w14:paraId="3084410A"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Staged asset maturation</w:t>
            </w:r>
          </w:p>
        </w:tc>
      </w:tr>
      <w:tr w:rsidR="004E337A" w:rsidRPr="00B479AE" w14:paraId="6A3E2B77" w14:textId="77777777" w:rsidTr="004E337A">
        <w:trPr>
          <w:tblCellSpacing w:w="15" w:type="dxa"/>
        </w:trPr>
        <w:tc>
          <w:tcPr>
            <w:tcW w:w="0" w:type="auto"/>
            <w:vAlign w:val="center"/>
            <w:hideMark/>
          </w:tcPr>
          <w:p w14:paraId="4BC9ACD8"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Regenerative carrying capacity</w:t>
            </w:r>
          </w:p>
        </w:tc>
        <w:tc>
          <w:tcPr>
            <w:tcW w:w="0" w:type="auto"/>
            <w:vAlign w:val="center"/>
            <w:hideMark/>
          </w:tcPr>
          <w:p w14:paraId="12F8B4D6" w14:textId="77777777" w:rsidR="004E337A" w:rsidRPr="00B479AE" w:rsidRDefault="004E337A" w:rsidP="004E337A">
            <w:pPr>
              <w:spacing w:line="360" w:lineRule="auto"/>
              <w:rPr>
                <w:rFonts w:ascii="Baskerville Old Face" w:hAnsi="Baskerville Old Face"/>
                <w:i/>
                <w:iCs/>
                <w:sz w:val="22"/>
                <w:szCs w:val="22"/>
              </w:rPr>
            </w:pPr>
            <w:r w:rsidRPr="00B479AE">
              <w:rPr>
                <w:rFonts w:ascii="Baskerville Old Face" w:hAnsi="Baskerville Old Face"/>
                <w:i/>
                <w:iCs/>
                <w:sz w:val="22"/>
                <w:szCs w:val="22"/>
              </w:rPr>
              <w:t>Sustainable capital absorption capacity</w:t>
            </w:r>
          </w:p>
        </w:tc>
      </w:tr>
    </w:tbl>
    <w:p w14:paraId="3CDB57E6" w14:textId="77777777" w:rsidR="0092737A" w:rsidRPr="00B479AE" w:rsidRDefault="0092737A" w:rsidP="0092737A">
      <w:pPr>
        <w:spacing w:line="360" w:lineRule="auto"/>
        <w:rPr>
          <w:rFonts w:ascii="Baskerville Old Face" w:hAnsi="Baskerville Old Face"/>
          <w:i/>
          <w:iCs/>
        </w:rPr>
      </w:pPr>
      <w:r w:rsidRPr="00B479AE">
        <w:rPr>
          <w:rFonts w:ascii="Baskerville Old Face" w:hAnsi="Baskerville Old Face"/>
          <w:i/>
          <w:iCs/>
        </w:rPr>
        <w:t>The purpose of this matrix is not to reduce ecology to economics.</w:t>
      </w:r>
    </w:p>
    <w:p w14:paraId="45C7F503" w14:textId="77777777" w:rsidR="0092737A" w:rsidRPr="00B479AE" w:rsidRDefault="0092737A" w:rsidP="0092737A">
      <w:pPr>
        <w:spacing w:line="360" w:lineRule="auto"/>
        <w:rPr>
          <w:rFonts w:ascii="Baskerville Old Face" w:hAnsi="Baskerville Old Face"/>
          <w:i/>
          <w:iCs/>
        </w:rPr>
      </w:pPr>
      <w:r w:rsidRPr="00B479AE">
        <w:rPr>
          <w:rFonts w:ascii="Baskerville Old Face" w:hAnsi="Baskerville Old Face"/>
          <w:i/>
          <w:iCs/>
        </w:rPr>
        <w:t>Its purpose is to show that long-duration value emerges when systems circulate resources, preserve diversity, support cooperation, learn through feedback, and regenerate the conditions that make future value possible.</w:t>
      </w:r>
    </w:p>
    <w:p w14:paraId="230F417E" w14:textId="77777777" w:rsidR="0092737A" w:rsidRPr="00B479AE" w:rsidRDefault="0092737A" w:rsidP="0092737A">
      <w:pPr>
        <w:spacing w:line="360" w:lineRule="auto"/>
        <w:rPr>
          <w:rFonts w:ascii="Baskerville Old Face" w:hAnsi="Baskerville Old Face"/>
          <w:i/>
          <w:iCs/>
        </w:rPr>
      </w:pPr>
      <w:r w:rsidRPr="00B479AE">
        <w:rPr>
          <w:rFonts w:ascii="Baskerville Old Face" w:hAnsi="Baskerville Old Face"/>
          <w:i/>
          <w:iCs/>
        </w:rPr>
        <w:lastRenderedPageBreak/>
        <w:t>Prometheus uses this translation logic to design capital systems that behave less like extraction machines and more like living infrastructures.</w:t>
      </w:r>
    </w:p>
    <w:p w14:paraId="313A34ED" w14:textId="2DDCB874" w:rsidR="00CF458B" w:rsidRPr="00B479AE" w:rsidRDefault="00CF458B" w:rsidP="00CF458B">
      <w:pPr>
        <w:spacing w:line="360" w:lineRule="auto"/>
        <w:rPr>
          <w:rFonts w:ascii="Baskerville Old Face" w:hAnsi="Baskerville Old Face"/>
          <w:i/>
          <w:iCs/>
        </w:rPr>
      </w:pPr>
      <w:r w:rsidRPr="00B479AE">
        <w:rPr>
          <w:rFonts w:ascii="Baskerville Old Face" w:hAnsi="Baskerville Old Face"/>
          <w:i/>
          <w:iCs/>
        </w:rPr>
        <w:t>Prometheus translates this logic into infrastructure</w:t>
      </w:r>
      <w:r w:rsidR="001069F8" w:rsidRPr="00B479AE">
        <w:rPr>
          <w:rFonts w:ascii="Baskerville Old Face" w:hAnsi="Baskerville Old Face"/>
          <w:i/>
          <w:iCs/>
        </w:rPr>
        <w:t>.</w:t>
      </w:r>
    </w:p>
    <w:p w14:paraId="1EF24054" w14:textId="11BC077D" w:rsidR="00CF458B" w:rsidRPr="00B479AE" w:rsidRDefault="00CF458B" w:rsidP="00CF458B">
      <w:pPr>
        <w:spacing w:line="360" w:lineRule="auto"/>
        <w:rPr>
          <w:rFonts w:ascii="Baskerville Old Face" w:hAnsi="Baskerville Old Face"/>
          <w:i/>
          <w:iCs/>
        </w:rPr>
      </w:pPr>
      <w:r w:rsidRPr="00B479AE">
        <w:rPr>
          <w:rFonts w:ascii="Baskerville Old Face" w:hAnsi="Baskerville Old Face"/>
          <w:i/>
          <w:iCs/>
        </w:rPr>
        <w:t>It asks how capital, governance, technology, and measurement can be designed to support the regenerative circulation of value rather than the extraction of value from living systems.</w:t>
      </w:r>
    </w:p>
    <w:p w14:paraId="0DD68C43" w14:textId="06661A3D"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From extraction to regenerative capacity</w:t>
      </w:r>
    </w:p>
    <w:p w14:paraId="7ACFA67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central economic shift proposed by Prometheus is the movement from extraction-based value to regenerative capacity.</w:t>
      </w:r>
    </w:p>
    <w:p w14:paraId="0B3282B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Extraction-based systems ask how much value can be removed.</w:t>
      </w:r>
    </w:p>
    <w:p w14:paraId="2BCE869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Regenerative systems ask how much capacity can be increased.</w:t>
      </w:r>
    </w:p>
    <w:p w14:paraId="2D0D56D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distinction changes the meaning of productivity.</w:t>
      </w:r>
    </w:p>
    <w:p w14:paraId="73C890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a regenerative system, productivity is not measured only by immediate output.</w:t>
      </w:r>
    </w:p>
    <w:p w14:paraId="705F52E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measured by the ability of a system to produce while strengthening the conditions that allow future production.</w:t>
      </w:r>
    </w:p>
    <w:p w14:paraId="13FB8F2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syntropic food forest, for example, does not derive value only from fruit, biomass, herbs, or marketable yield.</w:t>
      </w:r>
    </w:p>
    <w:p w14:paraId="34AEB58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also derives value from increasing soil organic matter, improving water retention, enhancing biodiversity, reducing external input dependency, stabilizing microclimate, and distributing ecological risk across multiple species and layers.</w:t>
      </w:r>
    </w:p>
    <w:p w14:paraId="2D772CB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system becomes more valuable as it becomes more alive, more coherent, more resilient, and more capable of self-renewal.</w:t>
      </w:r>
    </w:p>
    <w:p w14:paraId="4FFB9AE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seeks to make this value visible, measurable, verifiable, and financially legible.</w:t>
      </w:r>
    </w:p>
    <w:p w14:paraId="0271BC9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That is the transition from ecological restoration as cost to regeneration as infrastructure.</w:t>
      </w:r>
    </w:p>
    <w:p w14:paraId="27FC0001" w14:textId="77777777" w:rsidR="007E454C" w:rsidRDefault="007E454C" w:rsidP="00C537B9">
      <w:pPr>
        <w:spacing w:line="360" w:lineRule="auto"/>
        <w:rPr>
          <w:rFonts w:ascii="Baskerville Old Face" w:hAnsi="Baskerville Old Face"/>
          <w:b/>
          <w:bCs/>
          <w:i/>
          <w:iCs/>
        </w:rPr>
      </w:pPr>
    </w:p>
    <w:p w14:paraId="48965704" w14:textId="77777777" w:rsidR="007E454C" w:rsidRDefault="007E454C" w:rsidP="00C537B9">
      <w:pPr>
        <w:spacing w:line="360" w:lineRule="auto"/>
        <w:rPr>
          <w:rFonts w:ascii="Baskerville Old Face" w:hAnsi="Baskerville Old Face"/>
          <w:b/>
          <w:bCs/>
          <w:i/>
          <w:iCs/>
        </w:rPr>
      </w:pPr>
    </w:p>
    <w:p w14:paraId="2F180AE0" w14:textId="0998DE57" w:rsidR="00C537B9" w:rsidRPr="00B479AE" w:rsidRDefault="00C537B9" w:rsidP="00C537B9">
      <w:pPr>
        <w:spacing w:line="360" w:lineRule="auto"/>
        <w:rPr>
          <w:rFonts w:ascii="Baskerville Old Face" w:hAnsi="Baskerville Old Face"/>
          <w:b/>
          <w:bCs/>
          <w:i/>
          <w:iCs/>
        </w:rPr>
      </w:pPr>
      <w:r w:rsidRPr="00B479AE">
        <w:rPr>
          <w:rFonts w:ascii="Baskerville Old Face" w:hAnsi="Baskerville Old Face"/>
          <w:b/>
          <w:bCs/>
          <w:i/>
          <w:iCs/>
        </w:rPr>
        <w:lastRenderedPageBreak/>
        <w:t>Ecological Alignment Condition</w:t>
      </w:r>
    </w:p>
    <w:p w14:paraId="4865F4A3" w14:textId="77777777" w:rsidR="00C537B9" w:rsidRPr="007E454C" w:rsidRDefault="00C537B9" w:rsidP="00C537B9">
      <w:pPr>
        <w:spacing w:line="360" w:lineRule="auto"/>
        <w:rPr>
          <w:rFonts w:ascii="Baskerville Old Face" w:hAnsi="Baskerville Old Face"/>
          <w:i/>
          <w:iCs/>
        </w:rPr>
      </w:pPr>
      <w:r w:rsidRPr="00B479AE">
        <w:rPr>
          <w:rFonts w:ascii="Baskerville Old Face" w:hAnsi="Baskerville Old Face"/>
          <w:i/>
          <w:iCs/>
        </w:rPr>
        <w:t>The fundamental economic distinction between extractive and regenerative systems can be expressed through a simple ecological alignment condition:</w:t>
      </w:r>
    </w:p>
    <w:p w14:paraId="0A66F313" w14:textId="77777777" w:rsidR="00C537B9" w:rsidRPr="007E454C" w:rsidRDefault="00C537B9" w:rsidP="00C537B9">
      <w:pPr>
        <w:spacing w:line="360" w:lineRule="auto"/>
        <w:rPr>
          <w:rFonts w:ascii="Baskerville Old Face" w:hAnsi="Baskerville Old Face"/>
          <w:i/>
          <w:iCs/>
        </w:rPr>
      </w:pPr>
      <w:r w:rsidRPr="007E454C">
        <w:rPr>
          <w:rFonts w:ascii="Baskerville Old Face" w:hAnsi="Baskerville Old Face"/>
          <w:i/>
          <w:iCs/>
        </w:rPr>
        <w:t>regeneration ≥ extraction</w:t>
      </w:r>
    </w:p>
    <w:p w14:paraId="2A87DBEC"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This expression does not operate as an automatic enforcement rule.</w:t>
      </w:r>
    </w:p>
    <w:p w14:paraId="390CB32B"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does not trigger token issuance.</w:t>
      </w:r>
    </w:p>
    <w:p w14:paraId="37424892"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does not activate governance penalties.</w:t>
      </w:r>
    </w:p>
    <w:p w14:paraId="04E6DB9D"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does not create financial rights.</w:t>
      </w:r>
    </w:p>
    <w:p w14:paraId="2783CFF5"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does not replace MRV.</w:t>
      </w:r>
    </w:p>
    <w:p w14:paraId="06CDAD25"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does not replace legal review.</w:t>
      </w:r>
    </w:p>
    <w:p w14:paraId="1B780E54"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defines a constitutional direction of travel.</w:t>
      </w:r>
    </w:p>
    <w:p w14:paraId="67CA7498"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A system becomes regenerative only when the living capacity it restores, maintains, circulates, or increases is equal to or greater than the capacity it consumes, extracts, depletes, or externalizes over time.</w:t>
      </w:r>
    </w:p>
    <w:p w14:paraId="5CE7E161"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This condition reframes productivity.</w:t>
      </w:r>
    </w:p>
    <w:p w14:paraId="46BE313C"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In extractive systems, output may increase while the underlying life-support system declines.</w:t>
      </w:r>
    </w:p>
    <w:p w14:paraId="0973B353" w14:textId="77777777" w:rsidR="00C537B9" w:rsidRPr="007E454C" w:rsidRDefault="00C537B9" w:rsidP="00C537B9">
      <w:pPr>
        <w:spacing w:line="360" w:lineRule="auto"/>
        <w:rPr>
          <w:rFonts w:ascii="Baskerville Old Face" w:hAnsi="Baskerville Old Face"/>
          <w:i/>
          <w:iCs/>
        </w:rPr>
      </w:pPr>
      <w:r w:rsidRPr="00B479AE">
        <w:rPr>
          <w:rFonts w:ascii="Baskerville Old Face" w:hAnsi="Baskerville Old Face"/>
          <w:i/>
          <w:iCs/>
        </w:rPr>
        <w:t>In regenerative systems, output must be evaluated together with the condition of the living infrastructure that makes output possible.</w:t>
      </w:r>
    </w:p>
    <w:p w14:paraId="36B3398A" w14:textId="77777777" w:rsidR="00C537B9" w:rsidRPr="007E454C" w:rsidRDefault="00C537B9" w:rsidP="00C537B9">
      <w:pPr>
        <w:spacing w:line="360" w:lineRule="auto"/>
        <w:rPr>
          <w:rFonts w:ascii="Baskerville Old Face" w:hAnsi="Baskerville Old Face"/>
          <w:i/>
          <w:iCs/>
        </w:rPr>
      </w:pPr>
      <w:r w:rsidRPr="007E454C">
        <w:rPr>
          <w:rFonts w:ascii="Baskerville Old Face" w:hAnsi="Baskerville Old Face"/>
          <w:i/>
          <w:iCs/>
        </w:rPr>
        <w:t>The relevant question is therefore not only:</w:t>
      </w:r>
    </w:p>
    <w:p w14:paraId="14B33A6D" w14:textId="77777777" w:rsidR="00C537B9" w:rsidRPr="007E454C" w:rsidRDefault="00C537B9" w:rsidP="00C537B9">
      <w:pPr>
        <w:spacing w:line="360" w:lineRule="auto"/>
        <w:rPr>
          <w:rFonts w:ascii="Baskerville Old Face" w:hAnsi="Baskerville Old Face"/>
          <w:i/>
          <w:iCs/>
        </w:rPr>
      </w:pPr>
      <w:r w:rsidRPr="007E454C">
        <w:rPr>
          <w:rFonts w:ascii="Baskerville Old Face" w:hAnsi="Baskerville Old Face"/>
          <w:i/>
          <w:iCs/>
        </w:rPr>
        <w:t>What does the system produce?</w:t>
      </w:r>
    </w:p>
    <w:p w14:paraId="3AD53287" w14:textId="77777777" w:rsidR="00C537B9" w:rsidRPr="007E454C" w:rsidRDefault="00C537B9" w:rsidP="00C537B9">
      <w:pPr>
        <w:spacing w:line="360" w:lineRule="auto"/>
        <w:rPr>
          <w:rFonts w:ascii="Baskerville Old Face" w:hAnsi="Baskerville Old Face"/>
          <w:i/>
          <w:iCs/>
        </w:rPr>
      </w:pPr>
      <w:r w:rsidRPr="007E454C">
        <w:rPr>
          <w:rFonts w:ascii="Baskerville Old Face" w:hAnsi="Baskerville Old Face"/>
          <w:i/>
          <w:iCs/>
        </w:rPr>
        <w:t>The deeper question is:</w:t>
      </w:r>
    </w:p>
    <w:p w14:paraId="20003119" w14:textId="77777777" w:rsidR="00C537B9" w:rsidRPr="007E454C" w:rsidRDefault="00C537B9" w:rsidP="00C537B9">
      <w:pPr>
        <w:spacing w:line="360" w:lineRule="auto"/>
        <w:rPr>
          <w:rFonts w:ascii="Baskerville Old Face" w:hAnsi="Baskerville Old Face"/>
          <w:i/>
          <w:iCs/>
        </w:rPr>
      </w:pPr>
      <w:r w:rsidRPr="007E454C">
        <w:rPr>
          <w:rFonts w:ascii="Baskerville Old Face" w:hAnsi="Baskerville Old Face"/>
          <w:i/>
          <w:iCs/>
        </w:rPr>
        <w:t>What does the system leave more alive, more fertile, more resilient, more coherent, or more capable after producing?</w:t>
      </w:r>
    </w:p>
    <w:p w14:paraId="42684D92"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lastRenderedPageBreak/>
        <w:t>Within Prometheus, the ecological alignment condition is interpreted through evidence.</w:t>
      </w:r>
    </w:p>
    <w:p w14:paraId="3674AA70"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Regeneration must be observed.</w:t>
      </w:r>
    </w:p>
    <w:p w14:paraId="34BB60B5"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Extraction must be identified.</w:t>
      </w:r>
    </w:p>
    <w:p w14:paraId="1379C750"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Trade-offs must be disclosed.</w:t>
      </w:r>
    </w:p>
    <w:p w14:paraId="41E00D72"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Ecological improvement must be measured.</w:t>
      </w:r>
    </w:p>
    <w:p w14:paraId="4B70AFE5"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Confidence must be assigned.</w:t>
      </w:r>
    </w:p>
    <w:p w14:paraId="3D18CA18"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Admissibility must be reviewed.</w:t>
      </w:r>
    </w:p>
    <w:p w14:paraId="7B0DD5C1"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Only then can the system determine whether a project, OHE, PRU-relevant unit, or portfolio is genuinely moving toward regenerative alignment.</w:t>
      </w:r>
    </w:p>
    <w:p w14:paraId="5CCE418D"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The operative pathway is:</w:t>
      </w:r>
    </w:p>
    <w:p w14:paraId="6FB5A28D" w14:textId="77777777" w:rsidR="00C537B9" w:rsidRPr="007E454C" w:rsidRDefault="00C537B9" w:rsidP="00C537B9">
      <w:pPr>
        <w:spacing w:line="360" w:lineRule="auto"/>
        <w:rPr>
          <w:rFonts w:ascii="Baskerville Old Face" w:hAnsi="Baskerville Old Face"/>
          <w:i/>
          <w:iCs/>
        </w:rPr>
      </w:pPr>
      <w:r w:rsidRPr="007E454C">
        <w:rPr>
          <w:rFonts w:ascii="Baskerville Old Face" w:hAnsi="Baskerville Old Face"/>
          <w:i/>
          <w:iCs/>
        </w:rPr>
        <w:t xml:space="preserve">ecological alignment </w:t>
      </w:r>
      <w:r w:rsidRPr="007E454C">
        <w:rPr>
          <w:rFonts w:ascii="Times New Roman" w:hAnsi="Times New Roman" w:cs="Times New Roman"/>
          <w:i/>
          <w:iCs/>
        </w:rPr>
        <w:t>→</w:t>
      </w:r>
      <w:r w:rsidRPr="007E454C">
        <w:rPr>
          <w:rFonts w:ascii="Baskerville Old Face" w:hAnsi="Baskerville Old Face"/>
          <w:i/>
          <w:iCs/>
        </w:rPr>
        <w:t xml:space="preserve"> measured indicators </w:t>
      </w:r>
      <w:r w:rsidRPr="007E454C">
        <w:rPr>
          <w:rFonts w:ascii="Times New Roman" w:hAnsi="Times New Roman" w:cs="Times New Roman"/>
          <w:i/>
          <w:iCs/>
        </w:rPr>
        <w:t>→</w:t>
      </w:r>
      <w:r w:rsidRPr="007E454C">
        <w:rPr>
          <w:rFonts w:ascii="Baskerville Old Face" w:hAnsi="Baskerville Old Face"/>
          <w:i/>
          <w:iCs/>
        </w:rPr>
        <w:t xml:space="preserve"> MRV verification </w:t>
      </w:r>
      <w:r w:rsidRPr="007E454C">
        <w:rPr>
          <w:rFonts w:ascii="Times New Roman" w:hAnsi="Times New Roman" w:cs="Times New Roman"/>
          <w:i/>
          <w:iCs/>
        </w:rPr>
        <w:t>→</w:t>
      </w:r>
      <w:r w:rsidRPr="007E454C">
        <w:rPr>
          <w:rFonts w:ascii="Baskerville Old Face" w:hAnsi="Baskerville Old Face"/>
          <w:i/>
          <w:iCs/>
        </w:rPr>
        <w:t xml:space="preserve"> admissibility review </w:t>
      </w:r>
      <w:r w:rsidRPr="007E454C">
        <w:rPr>
          <w:rFonts w:ascii="Times New Roman" w:hAnsi="Times New Roman" w:cs="Times New Roman"/>
          <w:i/>
          <w:iCs/>
        </w:rPr>
        <w:t>→</w:t>
      </w:r>
      <w:r w:rsidRPr="007E454C">
        <w:rPr>
          <w:rFonts w:ascii="Baskerville Old Face" w:hAnsi="Baskerville Old Face"/>
          <w:i/>
          <w:iCs/>
        </w:rPr>
        <w:t xml:space="preserve"> value relevance</w:t>
      </w:r>
    </w:p>
    <w:p w14:paraId="2629DD61"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This protects Prometheus from superficial regeneration language.</w:t>
      </w:r>
    </w:p>
    <w:p w14:paraId="2F1EAA48"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A system cannot claim regenerative status merely because it plants trees, stores data, uses ecological branding, or speaks the language of impact.</w:t>
      </w:r>
    </w:p>
    <w:p w14:paraId="4677500B"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It must demonstrate, through evidence, that it is increasing living-system capacity relative to what it consumes.</w:t>
      </w:r>
    </w:p>
    <w:p w14:paraId="6A467F33"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The ecological alignment condition therefore serves as a constitutional compass:</w:t>
      </w:r>
    </w:p>
    <w:p w14:paraId="2D8AB320"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regeneration must meet or exceed extraction;</w:t>
      </w:r>
      <w:r w:rsidRPr="00B479AE">
        <w:rPr>
          <w:rFonts w:ascii="Baskerville Old Face" w:hAnsi="Baskerville Old Face"/>
          <w:i/>
          <w:iCs/>
        </w:rPr>
        <w:br/>
        <w:t>restoration must meet or exceed depletion;</w:t>
      </w:r>
      <w:r w:rsidRPr="00B479AE">
        <w:rPr>
          <w:rFonts w:ascii="Baskerville Old Face" w:hAnsi="Baskerville Old Face"/>
          <w:i/>
          <w:iCs/>
        </w:rPr>
        <w:br/>
        <w:t>living capacity must meet or exceed consumption;</w:t>
      </w:r>
      <w:r w:rsidRPr="00B479AE">
        <w:rPr>
          <w:rFonts w:ascii="Baskerville Old Face" w:hAnsi="Baskerville Old Face"/>
          <w:i/>
          <w:iCs/>
        </w:rPr>
        <w:br/>
        <w:t>future fertility must meet or exceed present use.</w:t>
      </w:r>
    </w:p>
    <w:p w14:paraId="3D06A62C" w14:textId="77777777" w:rsidR="00C537B9" w:rsidRPr="00B479AE" w:rsidRDefault="00C537B9" w:rsidP="00C537B9">
      <w:pPr>
        <w:spacing w:line="360" w:lineRule="auto"/>
        <w:rPr>
          <w:rFonts w:ascii="Baskerville Old Face" w:hAnsi="Baskerville Old Face"/>
          <w:i/>
          <w:iCs/>
        </w:rPr>
      </w:pPr>
      <w:r w:rsidRPr="00B479AE">
        <w:rPr>
          <w:rFonts w:ascii="Baskerville Old Face" w:hAnsi="Baskerville Old Face"/>
          <w:i/>
          <w:iCs/>
        </w:rPr>
        <w:t>This is the minimum threshold for a living economy.</w:t>
      </w:r>
    </w:p>
    <w:p w14:paraId="21270881" w14:textId="77777777" w:rsidR="00C537B9" w:rsidRPr="00B479AE" w:rsidRDefault="00C537B9" w:rsidP="00305A28">
      <w:pPr>
        <w:spacing w:line="360" w:lineRule="auto"/>
        <w:rPr>
          <w:rFonts w:ascii="Baskerville Old Face" w:hAnsi="Baskerville Old Face"/>
          <w:b/>
          <w:bCs/>
          <w:i/>
          <w:iCs/>
        </w:rPr>
      </w:pPr>
    </w:p>
    <w:p w14:paraId="605D1405" w14:textId="3A426B9C"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lastRenderedPageBreak/>
        <w:t>The principle of requisite variety</w:t>
      </w:r>
    </w:p>
    <w:p w14:paraId="6DD5E6D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Complex systems cannot be governed well through single-dimensional representations.</w:t>
      </w:r>
    </w:p>
    <w:p w14:paraId="4206EEC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living system contains many forms of value: ecological, biological, hydrological, nutritional, social, relational, operational, and financial.</w:t>
      </w:r>
    </w:p>
    <w:p w14:paraId="1F03F6A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When all of these dimensions are reduced to a single metric, the system loses necessary information.</w:t>
      </w:r>
    </w:p>
    <w:p w14:paraId="7619554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violates a fundamental insight from cybernetics and systems theory: the principle of requisite variety.</w:t>
      </w:r>
    </w:p>
    <w:p w14:paraId="44E8857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system can remain stable only if its internal variety is sufficient to respond to the variety of the environment in which it operates.</w:t>
      </w:r>
    </w:p>
    <w:p w14:paraId="2755F56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Modern financial systems often attempt to coordinate complex socio-ecological realities through monetary value alone.</w:t>
      </w:r>
    </w:p>
    <w:p w14:paraId="27B39CC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creates value compression.</w:t>
      </w:r>
    </w:p>
    <w:p w14:paraId="3093230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Ecological degradation becomes invisible until it appears as cost.</w:t>
      </w:r>
    </w:p>
    <w:p w14:paraId="17B403D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Social fragility becomes invisible until it appears as instability.</w:t>
      </w:r>
    </w:p>
    <w:p w14:paraId="7002F97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Health deterioration becomes invisible until it appears as medical expenditure.</w:t>
      </w:r>
    </w:p>
    <w:p w14:paraId="3D29E95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Water stress becomes invisible until it appears as crisis.</w:t>
      </w:r>
    </w:p>
    <w:p w14:paraId="0BEA23B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adopts a different approach.</w:t>
      </w:r>
    </w:p>
    <w:p w14:paraId="3068432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uses a multi-dimensional value architecture in which distinct layers of value remain distinguishable while becoming interoperable.</w:t>
      </w:r>
    </w:p>
    <w:p w14:paraId="2AE3E5D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Ecological value is observed through MRV.</w:t>
      </w:r>
    </w:p>
    <w:p w14:paraId="03F519F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Operational value is observed through production and activity.</w:t>
      </w:r>
    </w:p>
    <w:p w14:paraId="6CF1B65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Financial value is abstracted through PRU.</w:t>
      </w:r>
    </w:p>
    <w:p w14:paraId="0FEC84B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Governance and participation value are coordinated through TRBK and related mechanisms.</w:t>
      </w:r>
    </w:p>
    <w:p w14:paraId="7FAB3B8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Infrastructure value is supported through agent-centric digital systems.</w:t>
      </w:r>
    </w:p>
    <w:p w14:paraId="6718E52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These layers interact, but they are not collapsed into a single reductive unit.</w:t>
      </w:r>
    </w:p>
    <w:p w14:paraId="411C852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essential.</w:t>
      </w:r>
    </w:p>
    <w:p w14:paraId="7E2CFD8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regenerative economy must represent the complexity of life without reducing life to one number.</w:t>
      </w:r>
    </w:p>
    <w:p w14:paraId="1F075ED7" w14:textId="77777777" w:rsidR="00305A28" w:rsidRPr="00B479AE" w:rsidRDefault="00305A28" w:rsidP="00305A28">
      <w:pPr>
        <w:spacing w:line="360" w:lineRule="auto"/>
        <w:rPr>
          <w:rFonts w:ascii="Baskerville Old Face" w:hAnsi="Baskerville Old Face"/>
          <w:i/>
          <w:iCs/>
        </w:rPr>
      </w:pPr>
      <w:proofErr w:type="spellStart"/>
      <w:r w:rsidRPr="00B479AE">
        <w:rPr>
          <w:rFonts w:ascii="Baskerville Old Face" w:hAnsi="Baskerville Old Face"/>
          <w:b/>
          <w:bCs/>
          <w:i/>
          <w:iCs/>
        </w:rPr>
        <w:t>h•eart•h</w:t>
      </w:r>
      <w:proofErr w:type="spellEnd"/>
      <w:r w:rsidRPr="00B479AE">
        <w:rPr>
          <w:rFonts w:ascii="Baskerville Old Face" w:hAnsi="Baskerville Old Face"/>
          <w:b/>
          <w:bCs/>
          <w:i/>
          <w:iCs/>
        </w:rPr>
        <w:t xml:space="preserve"> intelligence</w:t>
      </w:r>
    </w:p>
    <w:p w14:paraId="78CE317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The concept of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intelligence arises from a simple question:</w:t>
      </w:r>
    </w:p>
    <w:p w14:paraId="194DDBB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What would happen if human systems were designed to reflect the organizing principles of living ecosystems?</w:t>
      </w:r>
    </w:p>
    <w:p w14:paraId="5AF29149" w14:textId="77777777" w:rsidR="00305A28" w:rsidRPr="00B479AE" w:rsidRDefault="00305A28" w:rsidP="00305A28">
      <w:pPr>
        <w:spacing w:line="360" w:lineRule="auto"/>
        <w:rPr>
          <w:rFonts w:ascii="Baskerville Old Face" w:hAnsi="Baskerville Old Face"/>
          <w:i/>
          <w:iCs/>
        </w:rPr>
      </w:pP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intelligence is not intelligence separated from Earth.</w:t>
      </w:r>
    </w:p>
    <w:p w14:paraId="26BC71E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intelligence rooted in the relationship between human awareness, ecological reality, technological coordination, and long-term responsibility.</w:t>
      </w:r>
    </w:p>
    <w:p w14:paraId="2669FF8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recognizes that human beings are not external observers of the biosphere.</w:t>
      </w:r>
    </w:p>
    <w:p w14:paraId="4B7CFE1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are participants within it.</w:t>
      </w:r>
    </w:p>
    <w:p w14:paraId="152C919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has practical consequences.</w:t>
      </w:r>
    </w:p>
    <w:p w14:paraId="69DA5AD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financial system that ignores soil will misprice food.</w:t>
      </w:r>
    </w:p>
    <w:p w14:paraId="78DCF10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governance system that ignores human coherence will misread participation.</w:t>
      </w:r>
    </w:p>
    <w:p w14:paraId="4F16A4F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technological system that centralizes truth will struggle to represent distributed ecological reality.</w:t>
      </w:r>
    </w:p>
    <w:p w14:paraId="32C30C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investment system that rewards extraction faster than regeneration will eventually undermine its own collateral base.</w:t>
      </w:r>
    </w:p>
    <w:p w14:paraId="7FC5EE0A" w14:textId="77777777" w:rsidR="00305A28" w:rsidRPr="00B479AE" w:rsidRDefault="00305A28" w:rsidP="00305A28">
      <w:pPr>
        <w:spacing w:line="360" w:lineRule="auto"/>
        <w:rPr>
          <w:rFonts w:ascii="Baskerville Old Face" w:hAnsi="Baskerville Old Face"/>
          <w:i/>
          <w:iCs/>
        </w:rPr>
      </w:pP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intelligence integrates analytical reasoning, ecological literacy, ethical responsibility, and distributed coordination.</w:t>
      </w:r>
    </w:p>
    <w:p w14:paraId="6749EDE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Within Prometheus, this becomes operational.</w:t>
      </w:r>
    </w:p>
    <w:p w14:paraId="1A38323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Human stewardship, ecological regeneration, agent-centric infrastructure, verification systems, and capital allocation are designed as complementary layers of one architecture.</w:t>
      </w:r>
    </w:p>
    <w:p w14:paraId="78EA975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Technology does not replace living systems.</w:t>
      </w:r>
    </w:p>
    <w:p w14:paraId="5ABD6D2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helps observe, coordinate, protect, and translate their regenerative performance.</w:t>
      </w:r>
    </w:p>
    <w:p w14:paraId="30123F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Capital does not command life.</w:t>
      </w:r>
    </w:p>
    <w:p w14:paraId="471DB74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becomes more intelligent when guided by the evidence of life’s regeneration.</w:t>
      </w:r>
    </w:p>
    <w:p w14:paraId="5A0D06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From ESG narratives to verified regenerative assets</w:t>
      </w:r>
    </w:p>
    <w:p w14:paraId="40C1D87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Many contemporary sustainability systems remain trapped between narrative and reporting.</w:t>
      </w:r>
    </w:p>
    <w:p w14:paraId="679A4DB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describe intentions, risks, commitments, disclosures, or offsets, but often struggle to connect ecological performance to verifiable, operational, and financeable value.</w:t>
      </w:r>
    </w:p>
    <w:p w14:paraId="25A4EC7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gap creates three problems.</w:t>
      </w:r>
    </w:p>
    <w:p w14:paraId="4310F39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First, sustainability language can become detached from measurable outcomes.</w:t>
      </w:r>
    </w:p>
    <w:p w14:paraId="7C5DB7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Second, ecological benefits can be counted without sufficient provenance or confidence.</w:t>
      </w:r>
    </w:p>
    <w:p w14:paraId="32588CC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Third, capital may be allocated based on symbolic alignment rather than verified regenerative performance.</w:t>
      </w:r>
    </w:p>
    <w:p w14:paraId="0A1E347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responds by moving from narrative to evidence.</w:t>
      </w:r>
    </w:p>
    <w:p w14:paraId="43CFA8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regenerative asset within Prometheus is not defined by branding, intention, or abstract environmental alignment.</w:t>
      </w:r>
    </w:p>
    <w:p w14:paraId="1082E61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defined by measurable improvement in living-system performance, supported by evidence, provenance, verification, confidence scoring, and admissibility rules.</w:t>
      </w:r>
    </w:p>
    <w:p w14:paraId="08C206A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creates a new standard of value formation.</w:t>
      </w:r>
    </w:p>
    <w:p w14:paraId="1685152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Regenerative value becomes credible when it is:</w:t>
      </w:r>
    </w:p>
    <w:p w14:paraId="0A89114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observable in the field;</w:t>
      </w:r>
    </w:p>
    <w:p w14:paraId="476956D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measurable through disciplined methods;</w:t>
      </w:r>
    </w:p>
    <w:p w14:paraId="2F3471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verified across evidence streams;</w:t>
      </w:r>
    </w:p>
    <w:p w14:paraId="09ECA8D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linked to its source process;</w:t>
      </w:r>
    </w:p>
    <w:p w14:paraId="571512B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protected from double counting;</w:t>
      </w:r>
    </w:p>
    <w:p w14:paraId="5E7C10E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translated into PRU logic;</w:t>
      </w:r>
    </w:p>
    <w:p w14:paraId="58A17BF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and structured through appropriate governance and legal boundaries.</w:t>
      </w:r>
    </w:p>
    <w:p w14:paraId="461E350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the transition from ESG language to verified regenerative infrastructure.</w:t>
      </w:r>
    </w:p>
    <w:p w14:paraId="0FE46BF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Strategic timing</w:t>
      </w:r>
    </w:p>
    <w:p w14:paraId="490F8FB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emergence of Prometheus reflects a convergence of structural forces.</w:t>
      </w:r>
    </w:p>
    <w:p w14:paraId="7509524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Ecological degradation is increasingly recognized as economic risk.</w:t>
      </w:r>
    </w:p>
    <w:p w14:paraId="01A6056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Climate volatility is affecting agriculture, infrastructure, insurance, water security, food supply chains, and territorial resilience.</w:t>
      </w:r>
    </w:p>
    <w:p w14:paraId="5929D5E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Health systems are absorbing the downstream effects of degraded food environments, chronic stress, sedentary lifestyles, and disconnection from living systems.</w:t>
      </w:r>
    </w:p>
    <w:p w14:paraId="35009D9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Capital markets are searching for real assets capable of preserving value under conditions of systemic instability.</w:t>
      </w:r>
    </w:p>
    <w:p w14:paraId="73AAB3D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Nature-related disclosure and target-setting frameworks are increasing the need for reliable ecological data.</w:t>
      </w:r>
    </w:p>
    <w:p w14:paraId="76C3622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RWA tokenization is creating new pathways for representing real-world assets through programmable digital infrastructure.</w:t>
      </w:r>
    </w:p>
    <w:p w14:paraId="409A556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At the same time, technology now allows more precise observation of regenerative systems.</w:t>
      </w:r>
    </w:p>
    <w:p w14:paraId="7BCB306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Sensors can measure field conditions.</w:t>
      </w:r>
    </w:p>
    <w:p w14:paraId="3D0CAD0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Laboratories can analyze soil, water, tissue, and biological indicators.</w:t>
      </w:r>
    </w:p>
    <w:p w14:paraId="2A575FB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Satellite and drone imagery can track vegetation, canopy, water stress, and land-cover dynamics.</w:t>
      </w:r>
    </w:p>
    <w:p w14:paraId="75004F8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AI can assist pattern recognition, anomaly detection, and decision support.</w:t>
      </w:r>
    </w:p>
    <w:p w14:paraId="27F758D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Distributed systems can preserve provenance, participant agency, and contextual validation.</w:t>
      </w:r>
    </w:p>
    <w:p w14:paraId="5717FA8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Together, these forces create a new possibility.</w:t>
      </w:r>
    </w:p>
    <w:p w14:paraId="4DF2353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can move from moral aspiration to investable infrastructure.</w:t>
      </w:r>
    </w:p>
    <w:p w14:paraId="5FF0D06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is designed for this moment.</w:t>
      </w:r>
    </w:p>
    <w:p w14:paraId="3477F38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capital reallocation thesis</w:t>
      </w:r>
    </w:p>
    <w:p w14:paraId="78C77D4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does not depend primarily on creating entirely new categories of spending.</w:t>
      </w:r>
    </w:p>
    <w:p w14:paraId="181D0B5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proposes a higher-quality destination for spending that already exists.</w:t>
      </w:r>
    </w:p>
    <w:p w14:paraId="2D48011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Large volumes of capital are already allocated to healthcare burdens, food-system dysfunction, environmental mitigation, disaster response, insurance losses, degraded infrastructure, social fragility, and downstream crisis management.</w:t>
      </w:r>
    </w:p>
    <w:p w14:paraId="3E5D861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opportunity is to redirect part of this expenditure upstream.</w:t>
      </w:r>
    </w:p>
    <w:p w14:paraId="24EE4B4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Instead of financing the consequences of degradation, capital can support infrastructures that reduce the production of degradation.</w:t>
      </w:r>
    </w:p>
    <w:p w14:paraId="64CA55E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One Human Ecosystems, regenerative land systems, verification infrastructure, distributed governance, and PRU-based underwriting create a pathway through which upstream regenerative capacity can become investable.</w:t>
      </w:r>
    </w:p>
    <w:p w14:paraId="414E75D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the core reallocation thesis:</w:t>
      </w:r>
    </w:p>
    <w:p w14:paraId="7A0B29F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capital should move toward systems that increase the future capacity of life to sustain value.</w:t>
      </w:r>
    </w:p>
    <w:p w14:paraId="1955F4C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smallest operational expression of this thesis is the OHE.</w:t>
      </w:r>
    </w:p>
    <w:p w14:paraId="119C16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financial translation layer is the PRU.</w:t>
      </w:r>
    </w:p>
    <w:p w14:paraId="2C0A1E2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portfolio layer is the RAP.</w:t>
      </w:r>
    </w:p>
    <w:p w14:paraId="1B326A33" w14:textId="543027F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The institutional pathway is regenerative infrastructure.</w:t>
      </w:r>
      <w:r w:rsidR="002819DC" w:rsidRPr="00B479AE">
        <w:rPr>
          <w:rFonts w:ascii="Baskerville Old Face" w:hAnsi="Baskerville Old Face"/>
          <w:i/>
          <w:iCs/>
        </w:rPr>
        <w:t xml:space="preserve"> </w:t>
      </w:r>
    </w:p>
    <w:p w14:paraId="3838DA2C"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b/>
          <w:bCs/>
          <w:i/>
          <w:iCs/>
        </w:rPr>
        <w:t>From systemic cost to regenerative capital</w:t>
      </w:r>
    </w:p>
    <w:p w14:paraId="78168A6B"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Prometheus does not assume that society lacks capital.</w:t>
      </w:r>
    </w:p>
    <w:p w14:paraId="13C9332B"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It assumes that too much capital is allocated too late.</w:t>
      </w:r>
    </w:p>
    <w:p w14:paraId="28BCBBAF"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Modern systems spend enormous resources downstream: healthcare burdens, emergency assistance, ecological remediation, crisis response, food insecurity, insurance losses, and social fragility.</w:t>
      </w:r>
    </w:p>
    <w:p w14:paraId="6B78F1DA"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These expenditures often address the consequences of degradation rather than the infrastructures that could prevent degradation at the source.</w:t>
      </w:r>
    </w:p>
    <w:p w14:paraId="19E32AC3"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This is the paradox of assistance.</w:t>
      </w:r>
    </w:p>
    <w:p w14:paraId="3AEC4A57"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A society may spend heavily on hunger without rebuilding local food capacity.</w:t>
      </w:r>
    </w:p>
    <w:p w14:paraId="15ECBABC"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It may spend heavily on disease without rebuilding metabolic health.</w:t>
      </w:r>
    </w:p>
    <w:p w14:paraId="35C46A95"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It may spend heavily on disaster response without restoring soil, water, vegetation, and territorial resilience.</w:t>
      </w:r>
    </w:p>
    <w:p w14:paraId="4B399704"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Prometheus proposes a structural inversion.</w:t>
      </w:r>
    </w:p>
    <w:p w14:paraId="7B6359D4"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A portion of downstream expenditure can be redirected upstream into regenerative infrastructure capable of producing measurable ecological, nutritional, health, and resilience outcomes.</w:t>
      </w:r>
    </w:p>
    <w:p w14:paraId="2D7A1101"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The strategic question is therefore not only how to fund regeneration.</w:t>
      </w:r>
    </w:p>
    <w:p w14:paraId="3EEB17EC"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It is how to convert recurring systemic cost into durable regenerative capital.</w:t>
      </w:r>
    </w:p>
    <w:p w14:paraId="5C019A4A" w14:textId="77777777" w:rsidR="002819DC" w:rsidRPr="00B479AE" w:rsidRDefault="002819DC" w:rsidP="002819DC">
      <w:pPr>
        <w:spacing w:line="360" w:lineRule="auto"/>
        <w:rPr>
          <w:rFonts w:ascii="Baskerville Old Face" w:hAnsi="Baskerville Old Face"/>
          <w:i/>
          <w:iCs/>
        </w:rPr>
      </w:pPr>
      <w:r w:rsidRPr="00B479AE">
        <w:rPr>
          <w:rFonts w:ascii="Baskerville Old Face" w:hAnsi="Baskerville Old Face"/>
          <w:i/>
          <w:iCs/>
        </w:rPr>
        <w:t>The One Human Ecosystem is the smallest operational unit through which this reallocation thesis becomes concrete.</w:t>
      </w:r>
    </w:p>
    <w:p w14:paraId="7820DF5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Transition to the next part</w:t>
      </w:r>
    </w:p>
    <w:p w14:paraId="202440D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structural case for Prometheus begins with a simple recognition:</w:t>
      </w:r>
    </w:p>
    <w:p w14:paraId="29D8D2F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economic systems cannot remain stable while the living systems beneath them degrade.</w:t>
      </w:r>
    </w:p>
    <w:p w14:paraId="7E2263E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The next part of this White Paper develops the human dimension of this transition.</w:t>
      </w:r>
    </w:p>
    <w:p w14:paraId="085ED59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If regeneration is to become infrastructure, it must involve not only land, sensors, capital, and digital systems, but also the human beings who design, govern, steward, and participate in them.</w:t>
      </w:r>
    </w:p>
    <w:p w14:paraId="393562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transformation of external systems requires a corresponding transformation of human infrastructure.</w:t>
      </w:r>
    </w:p>
    <w:p w14:paraId="6BDD2848" w14:textId="59A30DBA" w:rsidR="00305A28" w:rsidRPr="00B479AE" w:rsidRDefault="00305A28" w:rsidP="00305A28">
      <w:pPr>
        <w:spacing w:line="360" w:lineRule="auto"/>
        <w:rPr>
          <w:rFonts w:ascii="Baskerville Old Face" w:hAnsi="Baskerville Old Face"/>
          <w:i/>
          <w:iCs/>
        </w:rPr>
      </w:pPr>
    </w:p>
    <w:p w14:paraId="45B45589" w14:textId="1159A871" w:rsidR="00305A28" w:rsidRPr="00B479AE" w:rsidRDefault="00305A28" w:rsidP="002B4800">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II</w:t>
      </w:r>
      <w:r w:rsidR="002B4800"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Human Infrastructure</w:t>
      </w:r>
    </w:p>
    <w:p w14:paraId="32424FD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human dimension of regeneration</w:t>
      </w:r>
    </w:p>
    <w:p w14:paraId="34FEF57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is not only a land-management strategy.</w:t>
      </w:r>
    </w:p>
    <w:p w14:paraId="341B3C0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a civilizational capacity.</w:t>
      </w:r>
    </w:p>
    <w:p w14:paraId="13D9DC8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system can deploy sensors, satellites, dashboards, financial instruments, tokens, governance frameworks, and ecological models, but its long-term coherence still depends on the quality of the human beings and communities that operate it.</w:t>
      </w:r>
    </w:p>
    <w:p w14:paraId="27EE5C5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Every infrastructure ultimately rests on human infrastructure.</w:t>
      </w:r>
    </w:p>
    <w:p w14:paraId="7E5A71D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Transport systems require responsible operators.</w:t>
      </w:r>
    </w:p>
    <w:p w14:paraId="6ECF24D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Financial systems require trustworthy institutions.</w:t>
      </w:r>
    </w:p>
    <w:p w14:paraId="1BC457B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Digital systems require accountable developers and validators.</w:t>
      </w:r>
    </w:p>
    <w:p w14:paraId="5666EA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Regenerative systems require stewards capable of observing, learning, adapting, cooperating, and protecting the living systems upon which their own prosperity depends.</w:t>
      </w:r>
    </w:p>
    <w:p w14:paraId="45418EA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treats human infrastructure as a foundational layer of regenerative transformation.</w:t>
      </w:r>
    </w:p>
    <w:p w14:paraId="7F0A453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infrastructure includes the cognitive, physiological, relational, ethical, governance, and institutional capacities through which people become able to participate in long-duration regenerative systems.</w:t>
      </w:r>
    </w:p>
    <w:p w14:paraId="480DBFF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does not mean that human states replace ecological evidence.</w:t>
      </w:r>
    </w:p>
    <w:p w14:paraId="528B66E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It means that ecological regeneration, governance quality, and capital allocation are influenced by the coherence of the human systems that guide them.</w:t>
      </w:r>
    </w:p>
    <w:p w14:paraId="48F6F6B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transition toward regenerative infrastructure therefore requires both external and internal alignment.</w:t>
      </w:r>
    </w:p>
    <w:p w14:paraId="4563CC0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External alignment concerns land, water, soil, biodiversity, sensors, MRV, legal wrappers, and capital structures.</w:t>
      </w:r>
    </w:p>
    <w:p w14:paraId="20972AE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Internal alignment concerns perception, responsibility, participation, decision quality, stewardship, trust, and long-term coherence.</w:t>
      </w:r>
    </w:p>
    <w:p w14:paraId="6256554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integrates both.</w:t>
      </w:r>
    </w:p>
    <w:p w14:paraId="25138CA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first living infrastructure</w:t>
      </w:r>
    </w:p>
    <w:p w14:paraId="7A08553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first living infrastructure is the human organism.</w:t>
      </w:r>
    </w:p>
    <w:p w14:paraId="2CB9D1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Before a human being designs a landscape, allocates capital, validates a dataset, votes in governance, or operates a regenerative system, that person perceives, interprets, decides, and acts through a living body.</w:t>
      </w:r>
    </w:p>
    <w:p w14:paraId="6FA0861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quality of those decisions is influenced by attention, stress, emotional regulation, physiological coherence, social trust, and the ability to perceive long-term consequences.</w:t>
      </w:r>
    </w:p>
    <w:p w14:paraId="7C45F76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insight has practical relevance.</w:t>
      </w:r>
    </w:p>
    <w:p w14:paraId="23300CF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Regenerative systems operate over time.</w:t>
      </w:r>
    </w:p>
    <w:p w14:paraId="056F548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require patience, observation, delayed gratification, adaptive learning, and the capacity to remain aligned with living processes that do not obey the speed of speculative markets.</w:t>
      </w:r>
    </w:p>
    <w:p w14:paraId="1B097F6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degraded human decision environment can damage regenerative systems as surely as degraded soil can damage crops.</w:t>
      </w:r>
    </w:p>
    <w:p w14:paraId="56686DA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For this reason, Prometheus recognizes the human organism as part of the infrastructure of stewardship.</w:t>
      </w:r>
    </w:p>
    <w:p w14:paraId="7F43691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coherence is not treated as a mystical abstraction.</w:t>
      </w:r>
    </w:p>
    <w:p w14:paraId="5823BE3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It is treated as a practical condition that can improve decision quality, governance maturity, collaboration, and long-term system reliability.</w:t>
      </w:r>
    </w:p>
    <w:p w14:paraId="6E4557F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Heart, brain, and decision coherence</w:t>
      </w:r>
    </w:p>
    <w:p w14:paraId="754C6E9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cognition is not confined to abstract reasoning alone.</w:t>
      </w:r>
    </w:p>
    <w:p w14:paraId="103BFC1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human organism operates through integrated neurological, physiological, emotional, and relational systems.</w:t>
      </w:r>
    </w:p>
    <w:p w14:paraId="6841BDD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brain processes analytical information.</w:t>
      </w:r>
    </w:p>
    <w:p w14:paraId="3D1DAF2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nervous system regulates stress, attention, and readiness.</w:t>
      </w:r>
    </w:p>
    <w:p w14:paraId="36D4A21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heart participates in autonomic regulation and continuously interacts with the brain through physiological feedback loops.</w:t>
      </w:r>
    </w:p>
    <w:p w14:paraId="165C088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Research in </w:t>
      </w:r>
      <w:proofErr w:type="spellStart"/>
      <w:r w:rsidRPr="00B479AE">
        <w:rPr>
          <w:rFonts w:ascii="Baskerville Old Face" w:hAnsi="Baskerville Old Face"/>
          <w:i/>
          <w:iCs/>
        </w:rPr>
        <w:t>neurocardiology</w:t>
      </w:r>
      <w:proofErr w:type="spellEnd"/>
      <w:r w:rsidRPr="00B479AE">
        <w:rPr>
          <w:rFonts w:ascii="Baskerville Old Face" w:hAnsi="Baskerville Old Face"/>
          <w:i/>
          <w:iCs/>
        </w:rPr>
        <w:t xml:space="preserve"> and heart-rate variability suggests that coherent physiological states may be associated with improved emotional regulation, clearer perception, and more stable decision-making.</w:t>
      </w:r>
    </w:p>
    <w:p w14:paraId="63C0F7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Within Prometheus, this insight is treated conservatively and operationally.</w:t>
      </w:r>
    </w:p>
    <w:p w14:paraId="7CD60BD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coherence is not used as a substitute for scientific validation, MRV data, legal structuring, or governance rules.</w:t>
      </w:r>
    </w:p>
    <w:p w14:paraId="3A907F2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treated as a supportive layer that may enhance the quality of participation.</w:t>
      </w:r>
    </w:p>
    <w:p w14:paraId="546A215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coherent steward may observe more carefully.</w:t>
      </w:r>
    </w:p>
    <w:p w14:paraId="068D758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coherent governance circle may deliberate more responsibly.</w:t>
      </w:r>
    </w:p>
    <w:p w14:paraId="7BE25FA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coherent community may resolve conflict with greater maturity.</w:t>
      </w:r>
    </w:p>
    <w:p w14:paraId="367BAE6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coherent investor may understand long-term value more clearly than a purely extractive or short-term actor.</w:t>
      </w:r>
    </w:p>
    <w:p w14:paraId="41DE9CA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value of this layer lies in its contribution to stewardship quality, not in replacing measurable ecological performance.</w:t>
      </w:r>
    </w:p>
    <w:p w14:paraId="3D2D0A96" w14:textId="77777777" w:rsidR="00DF35AF" w:rsidRPr="00B479AE" w:rsidRDefault="00DF35AF" w:rsidP="00305A28">
      <w:pPr>
        <w:spacing w:line="360" w:lineRule="auto"/>
        <w:rPr>
          <w:rFonts w:ascii="Baskerville Old Face" w:hAnsi="Baskerville Old Face"/>
          <w:b/>
          <w:bCs/>
          <w:i/>
          <w:iCs/>
        </w:rPr>
      </w:pPr>
    </w:p>
    <w:p w14:paraId="142BA5F5" w14:textId="581F2075"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lastRenderedPageBreak/>
        <w:t>The Human State Interface</w:t>
      </w:r>
    </w:p>
    <w:p w14:paraId="698A56D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may incorporate a voluntary Human State Interface, or HSI, as an optional human-coherence augmentation layer.</w:t>
      </w:r>
    </w:p>
    <w:p w14:paraId="7B32175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HSI is designed to represent human-state outputs in a structured, privacy-aware, interoperable, and non-intrusive manner.</w:t>
      </w:r>
    </w:p>
    <w:p w14:paraId="4BB78A3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purpose is not to control participants.</w:t>
      </w:r>
    </w:p>
    <w:p w14:paraId="5B3EB08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purpose is to support self-awareness, reflective governance, and better decision contexts.</w:t>
      </w:r>
    </w:p>
    <w:p w14:paraId="0F06321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mature HSI architecture should follow several principles:</w:t>
      </w:r>
    </w:p>
    <w:p w14:paraId="7BBD2F9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voluntary participation;</w:t>
      </w:r>
    </w:p>
    <w:p w14:paraId="23D6ADE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privacy-first design;</w:t>
      </w:r>
    </w:p>
    <w:p w14:paraId="7DD999A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no personally identifiable information by default;</w:t>
      </w:r>
    </w:p>
    <w:p w14:paraId="1FE7B03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explicit consent;</w:t>
      </w:r>
    </w:p>
    <w:p w14:paraId="1660429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time-bounded readings;</w:t>
      </w:r>
    </w:p>
    <w:p w14:paraId="05E66F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confidence scoring;</w:t>
      </w:r>
    </w:p>
    <w:p w14:paraId="7453050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strict validation;</w:t>
      </w:r>
    </w:p>
    <w:p w14:paraId="2FF511A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interoperability across devices and producers;</w:t>
      </w:r>
    </w:p>
    <w:p w14:paraId="67B3C06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separation from coercive scoring systems;</w:t>
      </w:r>
    </w:p>
    <w:p w14:paraId="75EA511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clear limits on use in governance or financial contexts.</w:t>
      </w:r>
    </w:p>
    <w:p w14:paraId="3934E4D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Prometheus, HSI-related data may support self-regulation, reflective participation, community coherence, and research into governance quality.</w:t>
      </w:r>
    </w:p>
    <w:p w14:paraId="3D3C336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does not authorize financial value.</w:t>
      </w:r>
    </w:p>
    <w:p w14:paraId="498D80D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does not replace MRV.</w:t>
      </w:r>
    </w:p>
    <w:p w14:paraId="549574D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does not determine ecological validity.</w:t>
      </w:r>
    </w:p>
    <w:p w14:paraId="04AFBAF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It does not become a gate of exclusion.</w:t>
      </w:r>
    </w:p>
    <w:p w14:paraId="64A54AC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role is developmental.</w:t>
      </w:r>
    </w:p>
    <w:p w14:paraId="3433CB4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supports the maturation of participants and communities without confusing human state data with ecological performance data.</w:t>
      </w:r>
    </w:p>
    <w:p w14:paraId="79CD8F9E" w14:textId="76C817C6" w:rsidR="00596183" w:rsidRPr="00B479AE" w:rsidRDefault="00596183" w:rsidP="00596183">
      <w:pPr>
        <w:spacing w:line="360" w:lineRule="auto"/>
        <w:rPr>
          <w:rFonts w:ascii="Baskerville Old Face" w:hAnsi="Baskerville Old Face"/>
          <w:b/>
          <w:bCs/>
          <w:i/>
          <w:iCs/>
        </w:rPr>
      </w:pPr>
      <w:r w:rsidRPr="00B479AE">
        <w:rPr>
          <w:rFonts w:ascii="Baskerville Old Face" w:hAnsi="Baskerville Old Face"/>
          <w:b/>
          <w:bCs/>
          <w:i/>
          <w:iCs/>
        </w:rPr>
        <w:t>Human Dignity Boundary Function</w:t>
      </w:r>
    </w:p>
    <w:p w14:paraId="5E0BAAF0"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Prometheus may observe human-state context.</w:t>
      </w:r>
    </w:p>
    <w:p w14:paraId="00A9B3D9"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Prometheus may support self-awareness.</w:t>
      </w:r>
    </w:p>
    <w:p w14:paraId="09654C93"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Prometheus may support reflective governance.</w:t>
      </w:r>
    </w:p>
    <w:p w14:paraId="0E37547C"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Prometheus may support stewardship training.</w:t>
      </w:r>
    </w:p>
    <w:p w14:paraId="7BB0D70C"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Prometheus may study the relationship between human state, decision quality, cooperation, and regenerative stewardship.</w:t>
      </w:r>
    </w:p>
    <w:p w14:paraId="4A36E02E"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But Prometheus must never reduce human dignity to a metric.</w:t>
      </w:r>
    </w:p>
    <w:p w14:paraId="36432DD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 human dignity boundary may be expressed as:</w:t>
      </w:r>
    </w:p>
    <w:p w14:paraId="4A423E83" w14:textId="77777777" w:rsidR="00596183" w:rsidRPr="00B479AE" w:rsidRDefault="00596183" w:rsidP="00596183">
      <w:pPr>
        <w:spacing w:line="360" w:lineRule="auto"/>
        <w:rPr>
          <w:rFonts w:ascii="Baskerville Old Face" w:hAnsi="Baskerville Old Face"/>
          <w:i/>
          <w:iCs/>
        </w:rPr>
      </w:pPr>
      <w:proofErr w:type="spellStart"/>
      <w:r w:rsidRPr="00B479AE">
        <w:rPr>
          <w:rFonts w:ascii="Baskerville Old Face" w:hAnsi="Baskerville Old Face"/>
          <w:i/>
          <w:iCs/>
        </w:rPr>
        <w:t>D_human</w:t>
      </w:r>
      <w:proofErr w:type="spellEnd"/>
      <w:r w:rsidRPr="00B479AE">
        <w:rPr>
          <w:rFonts w:ascii="Baskerville Old Face" w:hAnsi="Baskerville Old Face"/>
          <w:i/>
          <w:iCs/>
        </w:rPr>
        <w:t xml:space="preserve"> &gt; </w:t>
      </w:r>
      <w:proofErr w:type="spellStart"/>
      <w:r w:rsidRPr="00B479AE">
        <w:rPr>
          <w:rFonts w:ascii="Baskerville Old Face" w:hAnsi="Baskerville Old Face"/>
          <w:i/>
          <w:iCs/>
        </w:rPr>
        <w:t>Score_human</w:t>
      </w:r>
      <w:proofErr w:type="spellEnd"/>
    </w:p>
    <w:p w14:paraId="6A65044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This means that human dignity is always greater than any score, signal, credential, token record, governance record, physiological reading, AI interpretation, reputation signal, or behavioral trace.</w:t>
      </w:r>
    </w:p>
    <w:p w14:paraId="4061E5B8"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No measurement of a human state may become the measure of a human being.</w:t>
      </w:r>
    </w:p>
    <w:p w14:paraId="06B69A17"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A more complete boundary condition may be expressed as:</w:t>
      </w:r>
    </w:p>
    <w:p w14:paraId="26421A75"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 xml:space="preserve">Human Dignity ≠ </w:t>
      </w:r>
      <w:proofErr w:type="gramStart"/>
      <w:r w:rsidRPr="00B479AE">
        <w:rPr>
          <w:rFonts w:ascii="Baskerville Old Face" w:hAnsi="Baskerville Old Face"/>
          <w:i/>
          <w:iCs/>
        </w:rPr>
        <w:t>f(</w:t>
      </w:r>
      <w:proofErr w:type="gramEnd"/>
      <w:r w:rsidRPr="00B479AE">
        <w:rPr>
          <w:rFonts w:ascii="Baskerville Old Face" w:hAnsi="Baskerville Old Face"/>
          <w:i/>
          <w:iCs/>
        </w:rPr>
        <w:t>HSI, SCI, wallet history, governance participation, token holdings, reputation, AI classification)</w:t>
      </w:r>
    </w:p>
    <w:p w14:paraId="50FDB38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These signals may provide limited context in defined, consented, privacy-preserving, and review-bound settings.</w:t>
      </w:r>
    </w:p>
    <w:p w14:paraId="2FDCFE49"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define human worth.</w:t>
      </w:r>
    </w:p>
    <w:p w14:paraId="4C1411DB"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lastRenderedPageBreak/>
        <w:t>They may not determine basic belonging.</w:t>
      </w:r>
    </w:p>
    <w:p w14:paraId="38FDE882"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create social credit.</w:t>
      </w:r>
    </w:p>
    <w:p w14:paraId="7FCD96EB"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create automatic exclusion.</w:t>
      </w:r>
    </w:p>
    <w:p w14:paraId="0D23B175"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determine financial eligibility.</w:t>
      </w:r>
    </w:p>
    <w:p w14:paraId="2D5B8130"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determine PRU value.</w:t>
      </w:r>
    </w:p>
    <w:p w14:paraId="2A77E44F"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determine MRV validity.</w:t>
      </w:r>
    </w:p>
    <w:p w14:paraId="547E6451"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determine ecological truth.</w:t>
      </w:r>
    </w:p>
    <w:p w14:paraId="0FDB6B6B"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create investor rights.</w:t>
      </w:r>
    </w:p>
    <w:p w14:paraId="6FB4A23D"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create token rights.</w:t>
      </w:r>
    </w:p>
    <w:p w14:paraId="7FC0EB1A"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may not create constitutional authority.</w:t>
      </w:r>
    </w:p>
    <w:p w14:paraId="270848D8"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 HSI boundary may therefore be expressed as:</w:t>
      </w:r>
    </w:p>
    <w:p w14:paraId="03DF5ED0" w14:textId="77777777" w:rsidR="00596183" w:rsidRPr="00B479AE" w:rsidRDefault="00596183" w:rsidP="00596183">
      <w:pPr>
        <w:spacing w:line="360" w:lineRule="auto"/>
        <w:rPr>
          <w:rFonts w:ascii="Baskerville Old Face" w:hAnsi="Baskerville Old Face"/>
          <w:i/>
          <w:iCs/>
        </w:rPr>
      </w:pPr>
      <w:proofErr w:type="spellStart"/>
      <w:r w:rsidRPr="00B479AE">
        <w:rPr>
          <w:rFonts w:ascii="Baskerville Old Face" w:hAnsi="Baskerville Old Face"/>
          <w:i/>
          <w:iCs/>
        </w:rPr>
        <w:t>HSI_context</w:t>
      </w:r>
      <w:proofErr w:type="spellEnd"/>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self-reflection / stewardship training / governance learning / research</w:t>
      </w:r>
    </w:p>
    <w:p w14:paraId="2B450AF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not:</w:t>
      </w:r>
    </w:p>
    <w:p w14:paraId="12C23817" w14:textId="77777777" w:rsidR="00596183" w:rsidRPr="00B479AE" w:rsidRDefault="00596183" w:rsidP="00596183">
      <w:pPr>
        <w:spacing w:line="360" w:lineRule="auto"/>
        <w:rPr>
          <w:rFonts w:ascii="Baskerville Old Face" w:hAnsi="Baskerville Old Face"/>
          <w:i/>
          <w:iCs/>
        </w:rPr>
      </w:pPr>
      <w:proofErr w:type="spellStart"/>
      <w:r w:rsidRPr="00B479AE">
        <w:rPr>
          <w:rFonts w:ascii="Baskerville Old Face" w:hAnsi="Baskerville Old Face"/>
          <w:i/>
          <w:iCs/>
        </w:rPr>
        <w:t>HSI_context</w:t>
      </w:r>
      <w:proofErr w:type="spellEnd"/>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ranking / exclusion / financial modulation / governance authority / PRU value</w:t>
      </w:r>
    </w:p>
    <w:p w14:paraId="3FEE9117"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This distinction is non-negotiable.</w:t>
      </w:r>
    </w:p>
    <w:p w14:paraId="3E40E4D0"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Human-state data may inform participation context.</w:t>
      </w:r>
    </w:p>
    <w:p w14:paraId="5A96E803"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Participation context may inform reflective governance.</w:t>
      </w:r>
    </w:p>
    <w:p w14:paraId="6A4F9CDE"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Reflective governance may support stewardship quality.</w:t>
      </w:r>
    </w:p>
    <w:p w14:paraId="0B41F26E"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Only verified ecological evidence may support regenerative asset value.</w:t>
      </w:r>
    </w:p>
    <w:p w14:paraId="7BFE0A2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 operational rule is:</w:t>
      </w:r>
    </w:p>
    <w:p w14:paraId="5BD849BE"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measure states;</w:t>
      </w:r>
      <w:r w:rsidRPr="00B479AE">
        <w:rPr>
          <w:rFonts w:ascii="Baskerville Old Face" w:hAnsi="Baskerville Old Face"/>
          <w:i/>
          <w:iCs/>
        </w:rPr>
        <w:br/>
        <w:t>never measure worth.</w:t>
      </w:r>
    </w:p>
    <w:p w14:paraId="1391D445"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lastRenderedPageBreak/>
        <w:t>Prometheus recognizes the human being as a participant in the living field, not as an object to be optimized, ranked, priced, scored, or governed by biometric inference.</w:t>
      </w:r>
    </w:p>
    <w:p w14:paraId="5C89112A"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This protects Prometheus from becoming a social-credit system, behavioral extraction machine, biometric governance layer, or AI-administered hierarchy.</w:t>
      </w:r>
    </w:p>
    <w:p w14:paraId="116457A5"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 dignity-preservation condition may be expressed as:</w:t>
      </w:r>
    </w:p>
    <w:p w14:paraId="5183112F" w14:textId="77777777" w:rsidR="00596183" w:rsidRPr="00B479AE" w:rsidRDefault="00596183" w:rsidP="00596183">
      <w:pPr>
        <w:spacing w:line="360" w:lineRule="auto"/>
        <w:rPr>
          <w:rFonts w:ascii="Baskerville Old Face" w:hAnsi="Baskerville Old Face"/>
          <w:i/>
          <w:iCs/>
        </w:rPr>
      </w:pPr>
      <w:proofErr w:type="spellStart"/>
      <w:r w:rsidRPr="00B479AE">
        <w:rPr>
          <w:rFonts w:ascii="Baskerville Old Face" w:hAnsi="Baskerville Old Face"/>
          <w:i/>
          <w:iCs/>
        </w:rPr>
        <w:t>D_preserved</w:t>
      </w:r>
      <w:proofErr w:type="spellEnd"/>
      <w:r w:rsidRPr="00B479AE">
        <w:rPr>
          <w:rFonts w:ascii="Baskerville Old Face" w:hAnsi="Baskerville Old Face"/>
          <w:i/>
          <w:iCs/>
        </w:rPr>
        <w:t xml:space="preserve"> = Consent </w:t>
      </w:r>
      <w:r w:rsidRPr="00B479AE">
        <w:rPr>
          <w:rFonts w:ascii="Cambria" w:hAnsi="Cambria" w:cs="Cambria"/>
          <w:i/>
          <w:iCs/>
        </w:rPr>
        <w:t>·</w:t>
      </w:r>
      <w:r w:rsidRPr="00B479AE">
        <w:rPr>
          <w:rFonts w:ascii="Baskerville Old Face" w:hAnsi="Baskerville Old Face"/>
          <w:i/>
          <w:iCs/>
        </w:rPr>
        <w:t xml:space="preserve"> Privacy </w:t>
      </w:r>
      <w:r w:rsidRPr="00B479AE">
        <w:rPr>
          <w:rFonts w:ascii="Cambria" w:hAnsi="Cambria" w:cs="Cambria"/>
          <w:i/>
          <w:iCs/>
        </w:rPr>
        <w:t>·</w:t>
      </w:r>
      <w:r w:rsidRPr="00B479AE">
        <w:rPr>
          <w:rFonts w:ascii="Baskerville Old Face" w:hAnsi="Baskerville Old Face"/>
          <w:i/>
          <w:iCs/>
        </w:rPr>
        <w:t xml:space="preserve"> Purpose limitation </w:t>
      </w:r>
      <w:r w:rsidRPr="00B479AE">
        <w:rPr>
          <w:rFonts w:ascii="Cambria" w:hAnsi="Cambria" w:cs="Cambria"/>
          <w:i/>
          <w:iCs/>
        </w:rPr>
        <w:t>·</w:t>
      </w:r>
      <w:r w:rsidRPr="00B479AE">
        <w:rPr>
          <w:rFonts w:ascii="Baskerville Old Face" w:hAnsi="Baskerville Old Face"/>
          <w:i/>
          <w:iCs/>
        </w:rPr>
        <w:t xml:space="preserve"> Non-coercion </w:t>
      </w:r>
      <w:r w:rsidRPr="00B479AE">
        <w:rPr>
          <w:rFonts w:ascii="Cambria" w:hAnsi="Cambria" w:cs="Cambria"/>
          <w:i/>
          <w:iCs/>
        </w:rPr>
        <w:t>·</w:t>
      </w:r>
      <w:r w:rsidRPr="00B479AE">
        <w:rPr>
          <w:rFonts w:ascii="Baskerville Old Face" w:hAnsi="Baskerville Old Face"/>
          <w:i/>
          <w:iCs/>
        </w:rPr>
        <w:t xml:space="preserve"> Non-ranking </w:t>
      </w:r>
      <w:r w:rsidRPr="00B479AE">
        <w:rPr>
          <w:rFonts w:ascii="Cambria" w:hAnsi="Cambria" w:cs="Cambria"/>
          <w:i/>
          <w:iCs/>
        </w:rPr>
        <w:t>·</w:t>
      </w:r>
      <w:r w:rsidRPr="00B479AE">
        <w:rPr>
          <w:rFonts w:ascii="Baskerville Old Face" w:hAnsi="Baskerville Old Face"/>
          <w:i/>
          <w:iCs/>
        </w:rPr>
        <w:t xml:space="preserve"> Reviewability</w:t>
      </w:r>
    </w:p>
    <w:p w14:paraId="2C37136A"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If any of these conditions fails, human-state data should not be used in Prometheus workflows.</w:t>
      </w:r>
    </w:p>
    <w:p w14:paraId="57F08D18"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Where HSI, SCI, reputation, contribution history, or governance records are used, they must remain:</w:t>
      </w:r>
    </w:p>
    <w:p w14:paraId="4261A56A"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voluntary where human-state data is involved;</w:t>
      </w:r>
      <w:r w:rsidRPr="00B479AE">
        <w:rPr>
          <w:rFonts w:ascii="Baskerville Old Face" w:hAnsi="Baskerville Old Face"/>
          <w:i/>
          <w:iCs/>
        </w:rPr>
        <w:br/>
        <w:t>privacy-first;</w:t>
      </w:r>
      <w:r w:rsidRPr="00B479AE">
        <w:rPr>
          <w:rFonts w:ascii="Baskerville Old Face" w:hAnsi="Baskerville Old Face"/>
          <w:i/>
          <w:iCs/>
        </w:rPr>
        <w:br/>
        <w:t>purpose-limited;</w:t>
      </w:r>
      <w:r w:rsidRPr="00B479AE">
        <w:rPr>
          <w:rFonts w:ascii="Baskerville Old Face" w:hAnsi="Baskerville Old Face"/>
          <w:i/>
          <w:iCs/>
        </w:rPr>
        <w:br/>
        <w:t>explainable;</w:t>
      </w:r>
      <w:r w:rsidRPr="00B479AE">
        <w:rPr>
          <w:rFonts w:ascii="Baskerville Old Face" w:hAnsi="Baskerville Old Face"/>
          <w:i/>
          <w:iCs/>
        </w:rPr>
        <w:br/>
        <w:t>reviewable;</w:t>
      </w:r>
      <w:r w:rsidRPr="00B479AE">
        <w:rPr>
          <w:rFonts w:ascii="Baskerville Old Face" w:hAnsi="Baskerville Old Face"/>
          <w:i/>
          <w:iCs/>
        </w:rPr>
        <w:br/>
        <w:t>appealable where material;</w:t>
      </w:r>
      <w:r w:rsidRPr="00B479AE">
        <w:rPr>
          <w:rFonts w:ascii="Baskerville Old Face" w:hAnsi="Baskerville Old Face"/>
          <w:i/>
          <w:iCs/>
        </w:rPr>
        <w:br/>
        <w:t>separate from ecological value;</w:t>
      </w:r>
      <w:r w:rsidRPr="00B479AE">
        <w:rPr>
          <w:rFonts w:ascii="Baskerville Old Face" w:hAnsi="Baskerville Old Face"/>
          <w:i/>
          <w:iCs/>
        </w:rPr>
        <w:br/>
        <w:t>separate from investor rights;</w:t>
      </w:r>
      <w:r w:rsidRPr="00B479AE">
        <w:rPr>
          <w:rFonts w:ascii="Baskerville Old Face" w:hAnsi="Baskerville Old Face"/>
          <w:i/>
          <w:iCs/>
        </w:rPr>
        <w:br/>
        <w:t>separate from automatic governance authority;</w:t>
      </w:r>
      <w:r w:rsidRPr="00B479AE">
        <w:rPr>
          <w:rFonts w:ascii="Baskerville Old Face" w:hAnsi="Baskerville Old Face"/>
          <w:i/>
          <w:iCs/>
        </w:rPr>
        <w:br/>
        <w:t>separate from human worth.</w:t>
      </w:r>
    </w:p>
    <w:p w14:paraId="3713A93A"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This is the ethical and institutional floor of Prometheus.</w:t>
      </w:r>
    </w:p>
    <w:p w14:paraId="084FE81F"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Regeneration cannot be built by degrading the dignity of the people who participate in it.</w:t>
      </w:r>
    </w:p>
    <w:p w14:paraId="7C889CC3"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A living economy must protect life at every scale: soil, water, biodiversity, community, and person.</w:t>
      </w:r>
    </w:p>
    <w:p w14:paraId="45355E23" w14:textId="77777777" w:rsidR="00596183" w:rsidRPr="00B479AE" w:rsidRDefault="00596183" w:rsidP="00596183">
      <w:pPr>
        <w:spacing w:line="360" w:lineRule="auto"/>
        <w:rPr>
          <w:rFonts w:ascii="Baskerville Old Face" w:hAnsi="Baskerville Old Face"/>
          <w:b/>
          <w:bCs/>
          <w:i/>
          <w:iCs/>
        </w:rPr>
      </w:pPr>
      <w:r w:rsidRPr="00B479AE">
        <w:rPr>
          <w:rFonts w:ascii="Baskerville Old Face" w:hAnsi="Baskerville Old Face"/>
          <w:b/>
          <w:bCs/>
          <w:i/>
          <w:iCs/>
        </w:rPr>
        <w:t>Formula boundary</w:t>
      </w:r>
    </w:p>
    <w:p w14:paraId="2B694C6B" w14:textId="77777777" w:rsidR="00596183" w:rsidRPr="00B479AE" w:rsidRDefault="00596183" w:rsidP="00596183">
      <w:pPr>
        <w:spacing w:line="360" w:lineRule="auto"/>
        <w:rPr>
          <w:rFonts w:ascii="Baskerville Old Face" w:hAnsi="Baskerville Old Face"/>
          <w:i/>
          <w:iCs/>
        </w:rPr>
      </w:pPr>
      <w:proofErr w:type="spellStart"/>
      <w:r w:rsidRPr="00B479AE">
        <w:rPr>
          <w:rFonts w:ascii="Baskerville Old Face" w:hAnsi="Baskerville Old Face"/>
          <w:i/>
          <w:iCs/>
        </w:rPr>
        <w:t>D_human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HSI_context</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D_preserved</w:t>
      </w:r>
      <w:proofErr w:type="spellEnd"/>
      <w:r w:rsidRPr="00B479AE">
        <w:rPr>
          <w:rFonts w:ascii="Baskerville Old Face" w:hAnsi="Baskerville Old Face"/>
          <w:i/>
          <w:iCs/>
        </w:rPr>
        <w:t xml:space="preserve"> are constitutional and methodological boundary expressions.</w:t>
      </w:r>
    </w:p>
    <w:p w14:paraId="01A5675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They do not create automatic legal rights, medical claims, employment rights, governance authority, or institutional enforcement by themselves.</w:t>
      </w:r>
    </w:p>
    <w:p w14:paraId="417A0624"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lastRenderedPageBreak/>
        <w:t>They define the Prometheus internal boundary for human-state data, reputation signals, governance records, AI classifications, and participation context.</w:t>
      </w:r>
    </w:p>
    <w:p w14:paraId="014A59E4"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Formal consequences require the relevant governance, legal, ethical, technical, or constitutional review pathway.</w:t>
      </w:r>
    </w:p>
    <w:p w14:paraId="3DDD4C5F" w14:textId="77777777" w:rsidR="00596183" w:rsidRPr="00B479AE" w:rsidRDefault="00596183" w:rsidP="00596183">
      <w:pPr>
        <w:spacing w:line="360" w:lineRule="auto"/>
        <w:rPr>
          <w:rFonts w:ascii="Baskerville Old Face" w:hAnsi="Baskerville Old Face"/>
          <w:b/>
          <w:bCs/>
          <w:i/>
          <w:iCs/>
        </w:rPr>
      </w:pPr>
      <w:r w:rsidRPr="00B479AE">
        <w:rPr>
          <w:rFonts w:ascii="Baskerville Old Face" w:hAnsi="Baskerville Old Face"/>
          <w:b/>
          <w:bCs/>
          <w:i/>
          <w:iCs/>
        </w:rPr>
        <w:t>Operational rule</w:t>
      </w:r>
    </w:p>
    <w:p w14:paraId="6DC7B575"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The operational rule is:</w:t>
      </w:r>
    </w:p>
    <w:p w14:paraId="2189430A"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human-state data may support reflection;</w:t>
      </w:r>
      <w:r w:rsidRPr="00B479AE">
        <w:rPr>
          <w:rFonts w:ascii="Baskerville Old Face" w:hAnsi="Baskerville Old Face"/>
          <w:i/>
          <w:iCs/>
        </w:rPr>
        <w:br/>
        <w:t>it may not become domination.</w:t>
      </w:r>
    </w:p>
    <w:p w14:paraId="29DDA21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Prometheus may help humans become more coherent.</w:t>
      </w:r>
    </w:p>
    <w:p w14:paraId="369FFC76"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It may not use coherence to decide who is more human.</w:t>
      </w:r>
    </w:p>
    <w:p w14:paraId="32A505DF" w14:textId="77777777" w:rsidR="00596183" w:rsidRPr="00B479AE" w:rsidRDefault="00596183" w:rsidP="00596183">
      <w:pPr>
        <w:spacing w:line="360" w:lineRule="auto"/>
        <w:rPr>
          <w:rFonts w:ascii="Baskerville Old Face" w:hAnsi="Baskerville Old Face"/>
          <w:i/>
          <w:iCs/>
        </w:rPr>
      </w:pPr>
      <w:r w:rsidRPr="00B479AE">
        <w:rPr>
          <w:rFonts w:ascii="Baskerville Old Face" w:hAnsi="Baskerville Old Face"/>
          <w:i/>
          <w:iCs/>
        </w:rPr>
        <w:t>This is the human dignity firewall.</w:t>
      </w:r>
    </w:p>
    <w:p w14:paraId="1DB8A3A2" w14:textId="66FC665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Technical Note — Human State Interface Contract</w:t>
      </w:r>
    </w:p>
    <w:p w14:paraId="4F6A3825"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Human State Interface, or HSI, is the voluntary, privacy-first interface through which human-state data may be represented within Prometheus without becoming coercive, deterministic, or financially authoritative.</w:t>
      </w:r>
    </w:p>
    <w:p w14:paraId="38F8C96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Its purpose is not to measure human worth.</w:t>
      </w:r>
    </w:p>
    <w:p w14:paraId="3B53EFE1"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Its purpose is not to rank participants.</w:t>
      </w:r>
    </w:p>
    <w:p w14:paraId="1E2654B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Its purpose is not to create a social-credit layer.</w:t>
      </w:r>
    </w:p>
    <w:p w14:paraId="3F8BEED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Its purpose is to create a structured, interoperable, and privacy-preserving contract for representing limited human-state outputs when participants voluntarily choose to use them for self-awareness, reflective governance, stewardship training, or research into decision quality.</w:t>
      </w:r>
    </w:p>
    <w:p w14:paraId="76571841"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The need for a canonical human-state contract</w:t>
      </w:r>
    </w:p>
    <w:p w14:paraId="064A678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Modern systems increasingly attempt to model aspects of human state: attention, stress, affect, engagement, coherence, fatigue, circadian rhythm, and decision readiness.</w:t>
      </w:r>
    </w:p>
    <w:p w14:paraId="6F719D4C"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These signals may be generated through different devices, applications, models, and methods.</w:t>
      </w:r>
    </w:p>
    <w:p w14:paraId="74AC59DA"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lastRenderedPageBreak/>
        <w:t>Without a shared interface, human-state systems become fragmented, vendor-specific, and difficult to compare.</w:t>
      </w:r>
    </w:p>
    <w:p w14:paraId="12FFFA1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They may also become dangerous if privacy, consent, confidence, and time boundaries are not explicit.</w:t>
      </w:r>
    </w:p>
    <w:p w14:paraId="012AA5A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HSI addresses this problem by defining a canonical, language-agnostic contract for representing human-state outputs.</w:t>
      </w:r>
    </w:p>
    <w:p w14:paraId="5C224C03"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HSI does not prescribe which sensors must be used.</w:t>
      </w:r>
    </w:p>
    <w:p w14:paraId="2ACB067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prescribe which inference algorithm must be used.</w:t>
      </w:r>
    </w:p>
    <w:p w14:paraId="49C35CA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prescribe a single device, model, SDK, or vendor.</w:t>
      </w:r>
    </w:p>
    <w:p w14:paraId="66C5EAE0"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defines the representation layer.</w:t>
      </w:r>
    </w:p>
    <w:p w14:paraId="51D07169"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This allows independent systems to produce, consume, validate, and combine human-state data without collapsing Prometheus into one biometric platform.</w:t>
      </w:r>
    </w:p>
    <w:p w14:paraId="449BA169"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Design principles</w:t>
      </w:r>
    </w:p>
    <w:p w14:paraId="218C11F0"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HSI is governed by several principles.</w:t>
      </w:r>
    </w:p>
    <w:p w14:paraId="1598E108"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Contract-only by design.</w:t>
      </w:r>
      <w:r w:rsidRPr="00B479AE">
        <w:rPr>
          <w:rFonts w:ascii="Baskerville Old Face" w:hAnsi="Baskerville Old Face"/>
          <w:i/>
          <w:iCs/>
        </w:rPr>
        <w:br/>
        <w:t>HSI defines the interface, not the inference model. Innovation in wearables, HRV analysis, physiological modeling, psychological state modeling, or coherence training can evolve independently without breaking compatibility.</w:t>
      </w:r>
    </w:p>
    <w:p w14:paraId="24FDB64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Time as a first-class concept.</w:t>
      </w:r>
      <w:r w:rsidRPr="00B479AE">
        <w:rPr>
          <w:rFonts w:ascii="Baskerville Old Face" w:hAnsi="Baskerville Old Face"/>
          <w:i/>
          <w:iCs/>
        </w:rPr>
        <w:br/>
        <w:t>Each reading must be scoped to a defined time window. This prevents ambiguity between instantaneous states, short intervals, and aggregated conditions.</w:t>
      </w:r>
    </w:p>
    <w:p w14:paraId="344617AF"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Confidence as a required signal.</w:t>
      </w:r>
      <w:r w:rsidRPr="00B479AE">
        <w:rPr>
          <w:rFonts w:ascii="Baskerville Old Face" w:hAnsi="Baskerville Old Face"/>
          <w:i/>
          <w:iCs/>
        </w:rPr>
        <w:br/>
        <w:t>Each reading should include a confidence value. This allows the system to distinguish between strong, weak, partial, noisy, or uncertain signals.</w:t>
      </w:r>
    </w:p>
    <w:p w14:paraId="00076B45"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Privacy-first defaults.</w:t>
      </w:r>
      <w:r w:rsidRPr="00B479AE">
        <w:rPr>
          <w:rFonts w:ascii="Baskerville Old Face" w:hAnsi="Baskerville Old Face"/>
          <w:i/>
          <w:iCs/>
        </w:rPr>
        <w:br/>
        <w:t xml:space="preserve">HSI should avoid personally identifiable information by default. Human-state data must be treated as </w:t>
      </w:r>
      <w:r w:rsidRPr="00B479AE">
        <w:rPr>
          <w:rFonts w:ascii="Baskerville Old Face" w:hAnsi="Baskerville Old Face"/>
          <w:i/>
          <w:iCs/>
        </w:rPr>
        <w:lastRenderedPageBreak/>
        <w:t>sensitive. Aggregation, minimization, consent, and privacy boundaries should be built into the data structure.</w:t>
      </w:r>
    </w:p>
    <w:p w14:paraId="37AAEF9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Strict validation.</w:t>
      </w:r>
      <w:r w:rsidRPr="00B479AE">
        <w:rPr>
          <w:rFonts w:ascii="Baskerville Old Face" w:hAnsi="Baskerville Old Face"/>
          <w:i/>
          <w:iCs/>
        </w:rPr>
        <w:br/>
        <w:t>Malformed, incomplete, non-consented, or non-compliant payloads should not be silently accepted. Human-state data must pass explicit validation before being used in any Prometheus context.</w:t>
      </w:r>
    </w:p>
    <w:p w14:paraId="33B720B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Separation from financial authority.</w:t>
      </w:r>
      <w:r w:rsidRPr="00B479AE">
        <w:rPr>
          <w:rFonts w:ascii="Baskerville Old Face" w:hAnsi="Baskerville Old Face"/>
          <w:i/>
          <w:iCs/>
        </w:rPr>
        <w:br/>
        <w:t>HSI data must not determine PRU value, ecological validity, investor entitlement, land rights, token rights, or human worth.</w:t>
      </w:r>
    </w:p>
    <w:p w14:paraId="136E18C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Voluntary participation.</w:t>
      </w:r>
      <w:r w:rsidRPr="00B479AE">
        <w:rPr>
          <w:rFonts w:ascii="Baskerville Old Face" w:hAnsi="Baskerville Old Face"/>
          <w:i/>
          <w:iCs/>
        </w:rPr>
        <w:br/>
        <w:t>No participant should be forced to provide HSI data as a condition of basic belonging, dignity, or access to ordinary participation.</w:t>
      </w:r>
    </w:p>
    <w:p w14:paraId="01B9EC35" w14:textId="1E8830D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Integration with the Prometheus kernel</w:t>
      </w:r>
    </w:p>
    <w:p w14:paraId="54A7532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Within Prometheus, HSI may serve as a human biolayer: a structured bridge between voluntary human-state signals and the wider governance, stewardship, and learning architecture.</w:t>
      </w:r>
    </w:p>
    <w:p w14:paraId="322E6F0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Potentially relevant data may include:</w:t>
      </w:r>
    </w:p>
    <w:p w14:paraId="3A65C77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HRV-related coherence indicators;</w:t>
      </w:r>
      <w:r w:rsidRPr="00B479AE">
        <w:rPr>
          <w:rFonts w:ascii="Baskerville Old Face" w:hAnsi="Baskerville Old Face"/>
          <w:i/>
          <w:iCs/>
        </w:rPr>
        <w:br/>
        <w:t>• stress or recovery indicators;</w:t>
      </w:r>
      <w:r w:rsidRPr="00B479AE">
        <w:rPr>
          <w:rFonts w:ascii="Baskerville Old Face" w:hAnsi="Baskerville Old Face"/>
          <w:i/>
          <w:iCs/>
        </w:rPr>
        <w:br/>
        <w:t>• attentional state indicators;</w:t>
      </w:r>
      <w:r w:rsidRPr="00B479AE">
        <w:rPr>
          <w:rFonts w:ascii="Baskerville Old Face" w:hAnsi="Baskerville Old Face"/>
          <w:i/>
          <w:iCs/>
        </w:rPr>
        <w:br/>
        <w:t>• circadian or fatigue context;</w:t>
      </w:r>
      <w:r w:rsidRPr="00B479AE">
        <w:rPr>
          <w:rFonts w:ascii="Baskerville Old Face" w:hAnsi="Baskerville Old Face"/>
          <w:i/>
          <w:iCs/>
        </w:rPr>
        <w:br/>
        <w:t>• reflective self-reporting;</w:t>
      </w:r>
      <w:r w:rsidRPr="00B479AE">
        <w:rPr>
          <w:rFonts w:ascii="Baskerville Old Face" w:hAnsi="Baskerville Old Face"/>
          <w:i/>
          <w:iCs/>
        </w:rPr>
        <w:br/>
        <w:t>• consented training or stewardship readiness signals;</w:t>
      </w:r>
      <w:r w:rsidRPr="00B479AE">
        <w:rPr>
          <w:rFonts w:ascii="Baskerville Old Face" w:hAnsi="Baskerville Old Face"/>
          <w:i/>
          <w:iCs/>
        </w:rPr>
        <w:br/>
        <w:t>• aggregated group-coherence indicators for research or governance reflection.</w:t>
      </w:r>
    </w:p>
    <w:p w14:paraId="6DA2FAD9"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This data may support:</w:t>
      </w:r>
    </w:p>
    <w:p w14:paraId="207E3B03"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self-regulation;</w:t>
      </w:r>
      <w:r w:rsidRPr="00B479AE">
        <w:rPr>
          <w:rFonts w:ascii="Baskerville Old Face" w:hAnsi="Baskerville Old Face"/>
          <w:i/>
          <w:iCs/>
        </w:rPr>
        <w:br/>
        <w:t>• coherence training;</w:t>
      </w:r>
      <w:r w:rsidRPr="00B479AE">
        <w:rPr>
          <w:rFonts w:ascii="Baskerville Old Face" w:hAnsi="Baskerville Old Face"/>
          <w:i/>
          <w:iCs/>
        </w:rPr>
        <w:br/>
        <w:t>• stewardship preparation;</w:t>
      </w:r>
      <w:r w:rsidRPr="00B479AE">
        <w:rPr>
          <w:rFonts w:ascii="Baskerville Old Face" w:hAnsi="Baskerville Old Face"/>
          <w:i/>
          <w:iCs/>
        </w:rPr>
        <w:br/>
        <w:t>• reflective governance;</w:t>
      </w:r>
      <w:r w:rsidRPr="00B479AE">
        <w:rPr>
          <w:rFonts w:ascii="Baskerville Old Face" w:hAnsi="Baskerville Old Face"/>
          <w:i/>
          <w:iCs/>
        </w:rPr>
        <w:br/>
        <w:t>• conflict-awareness processes;</w:t>
      </w:r>
      <w:r w:rsidRPr="00B479AE">
        <w:rPr>
          <w:rFonts w:ascii="Baskerville Old Face" w:hAnsi="Baskerville Old Face"/>
          <w:i/>
          <w:iCs/>
        </w:rPr>
        <w:br/>
      </w:r>
      <w:r w:rsidRPr="00B479AE">
        <w:rPr>
          <w:rFonts w:ascii="Baskerville Old Face" w:hAnsi="Baskerville Old Face"/>
          <w:i/>
          <w:iCs/>
        </w:rPr>
        <w:lastRenderedPageBreak/>
        <w:t>• research into the relationship between human state and decision quality;</w:t>
      </w:r>
      <w:r w:rsidRPr="00B479AE">
        <w:rPr>
          <w:rFonts w:ascii="Baskerville Old Face" w:hAnsi="Baskerville Old Face"/>
          <w:i/>
          <w:iCs/>
        </w:rPr>
        <w:br/>
        <w:t>• non-coercive community learning.</w:t>
      </w:r>
    </w:p>
    <w:p w14:paraId="25AAB663"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must not support:</w:t>
      </w:r>
    </w:p>
    <w:p w14:paraId="2123B4B5" w14:textId="24EC83DD"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human ranking;</w:t>
      </w:r>
      <w:r w:rsidRPr="00B479AE">
        <w:rPr>
          <w:rFonts w:ascii="Baskerville Old Face" w:hAnsi="Baskerville Old Face"/>
          <w:i/>
          <w:iCs/>
        </w:rPr>
        <w:br/>
        <w:t>• coercive scoring;</w:t>
      </w:r>
      <w:r w:rsidRPr="00B479AE">
        <w:rPr>
          <w:rFonts w:ascii="Baskerville Old Face" w:hAnsi="Baskerville Old Face"/>
          <w:i/>
          <w:iCs/>
        </w:rPr>
        <w:br/>
        <w:t>• exclusion by biometric profile;</w:t>
      </w:r>
      <w:r w:rsidRPr="00B479AE">
        <w:rPr>
          <w:rFonts w:ascii="Baskerville Old Face" w:hAnsi="Baskerville Old Face"/>
          <w:i/>
          <w:iCs/>
        </w:rPr>
        <w:br/>
        <w:t>• automatic governance authority;</w:t>
      </w:r>
      <w:r w:rsidRPr="00B479AE">
        <w:rPr>
          <w:rFonts w:ascii="Baskerville Old Face" w:hAnsi="Baskerville Old Face"/>
          <w:i/>
          <w:iCs/>
        </w:rPr>
        <w:br/>
        <w:t>• financial value attribution;</w:t>
      </w:r>
      <w:r w:rsidRPr="00B479AE">
        <w:rPr>
          <w:rFonts w:ascii="Baskerville Old Face" w:hAnsi="Baskerville Old Face"/>
          <w:i/>
          <w:iCs/>
        </w:rPr>
        <w:br/>
        <w:t xml:space="preserve">• </w:t>
      </w:r>
      <w:r w:rsidR="00BF1A97" w:rsidRPr="00B479AE">
        <w:rPr>
          <w:rFonts w:ascii="Baskerville Old Face" w:hAnsi="Baskerville Old Face"/>
          <w:i/>
          <w:iCs/>
        </w:rPr>
        <w:t>PRU value analysis</w:t>
      </w:r>
      <w:r w:rsidRPr="00B479AE">
        <w:rPr>
          <w:rFonts w:ascii="Baskerville Old Face" w:hAnsi="Baskerville Old Face"/>
          <w:i/>
          <w:iCs/>
        </w:rPr>
        <w:t>;</w:t>
      </w:r>
      <w:r w:rsidRPr="00B479AE">
        <w:rPr>
          <w:rFonts w:ascii="Baskerville Old Face" w:hAnsi="Baskerville Old Face"/>
          <w:i/>
          <w:iCs/>
        </w:rPr>
        <w:br/>
        <w:t>• investor rights;</w:t>
      </w:r>
      <w:r w:rsidRPr="00B479AE">
        <w:rPr>
          <w:rFonts w:ascii="Baskerville Old Face" w:hAnsi="Baskerville Old Face"/>
          <w:i/>
          <w:iCs/>
        </w:rPr>
        <w:br/>
        <w:t>• ecological claim validation.</w:t>
      </w:r>
    </w:p>
    <w:p w14:paraId="71D834D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boundary is simple:</w:t>
      </w:r>
    </w:p>
    <w:p w14:paraId="0E6FA83F"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measurable physiology may inform participation context;</w:t>
      </w:r>
    </w:p>
    <w:p w14:paraId="6C963CD8"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participation context may inform governance reflection;</w:t>
      </w:r>
    </w:p>
    <w:p w14:paraId="5AA92101"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governance reflection may support system maturity;</w:t>
      </w:r>
    </w:p>
    <w:p w14:paraId="25640AF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only verified ecological evidence may support regenerative asset value.</w:t>
      </w:r>
    </w:p>
    <w:p w14:paraId="0A066DC5"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Simplified HSI payload structure</w:t>
      </w:r>
    </w:p>
    <w:p w14:paraId="33ADDA96"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A simplified HSI payload may include:</w:t>
      </w:r>
    </w:p>
    <w:p w14:paraId="2FA772E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w:t>
      </w:r>
    </w:p>
    <w:p w14:paraId="45F0BE0C"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observed</w:t>
      </w:r>
      <w:proofErr w:type="gramEnd"/>
      <w:r w:rsidRPr="00B479AE">
        <w:rPr>
          <w:rFonts w:ascii="Baskerville Old Face" w:hAnsi="Baskerville Old Face"/>
          <w:i/>
          <w:iCs/>
        </w:rPr>
        <w:t>_at_utc</w:t>
      </w:r>
      <w:proofErr w:type="spellEnd"/>
      <w:r w:rsidRPr="00B479AE">
        <w:rPr>
          <w:rFonts w:ascii="Baskerville Old Face" w:hAnsi="Baskerville Old Face"/>
          <w:i/>
          <w:iCs/>
        </w:rPr>
        <w:t>": "2026-02-13T10:00:00Z",</w:t>
      </w:r>
    </w:p>
    <w:p w14:paraId="3FB7A4E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"window": {</w:t>
      </w:r>
    </w:p>
    <w:p w14:paraId="033F1EBF"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start</w:t>
      </w:r>
      <w:proofErr w:type="gramEnd"/>
      <w:r w:rsidRPr="00B479AE">
        <w:rPr>
          <w:rFonts w:ascii="Baskerville Old Face" w:hAnsi="Baskerville Old Face"/>
          <w:i/>
          <w:iCs/>
        </w:rPr>
        <w:t>_utc</w:t>
      </w:r>
      <w:proofErr w:type="spellEnd"/>
      <w:r w:rsidRPr="00B479AE">
        <w:rPr>
          <w:rFonts w:ascii="Baskerville Old Face" w:hAnsi="Baskerville Old Face"/>
          <w:i/>
          <w:iCs/>
        </w:rPr>
        <w:t>": "2026-02-13T09:45:00Z",</w:t>
      </w:r>
    </w:p>
    <w:p w14:paraId="278B4886"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end</w:t>
      </w:r>
      <w:proofErr w:type="gramEnd"/>
      <w:r w:rsidRPr="00B479AE">
        <w:rPr>
          <w:rFonts w:ascii="Baskerville Old Face" w:hAnsi="Baskerville Old Face"/>
          <w:i/>
          <w:iCs/>
        </w:rPr>
        <w:t>_utc</w:t>
      </w:r>
      <w:proofErr w:type="spellEnd"/>
      <w:r w:rsidRPr="00B479AE">
        <w:rPr>
          <w:rFonts w:ascii="Baskerville Old Face" w:hAnsi="Baskerville Old Face"/>
          <w:i/>
          <w:iCs/>
        </w:rPr>
        <w:t>": "2026-02-13T10:00:00Z"</w:t>
      </w:r>
    </w:p>
    <w:p w14:paraId="256A0CEF"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
    <w:p w14:paraId="707EE58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"source": {</w:t>
      </w:r>
    </w:p>
    <w:p w14:paraId="4F38F297"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proofErr w:type="gramStart"/>
      <w:r w:rsidRPr="00B479AE">
        <w:rPr>
          <w:rFonts w:ascii="Baskerville Old Face" w:hAnsi="Baskerville Old Face"/>
          <w:i/>
          <w:iCs/>
        </w:rPr>
        <w:t>producer</w:t>
      </w:r>
      <w:proofErr w:type="gramEnd"/>
      <w:r w:rsidRPr="00B479AE">
        <w:rPr>
          <w:rFonts w:ascii="Baskerville Old Face" w:hAnsi="Baskerville Old Face"/>
          <w:i/>
          <w:iCs/>
        </w:rPr>
        <w:t>_type</w:t>
      </w:r>
      <w:proofErr w:type="spellEnd"/>
      <w:r w:rsidRPr="00B479AE">
        <w:rPr>
          <w:rFonts w:ascii="Baskerville Old Face" w:hAnsi="Baskerville Old Face"/>
          <w:i/>
          <w:iCs/>
        </w:rPr>
        <w:t>": "</w:t>
      </w:r>
      <w:proofErr w:type="spellStart"/>
      <w:r w:rsidRPr="00B479AE">
        <w:rPr>
          <w:rFonts w:ascii="Baskerville Old Face" w:hAnsi="Baskerville Old Face"/>
          <w:i/>
          <w:iCs/>
        </w:rPr>
        <w:t>wearable_or_app</w:t>
      </w:r>
      <w:proofErr w:type="spellEnd"/>
      <w:r w:rsidRPr="00B479AE">
        <w:rPr>
          <w:rFonts w:ascii="Baskerville Old Face" w:hAnsi="Baskerville Old Face"/>
          <w:i/>
          <w:iCs/>
        </w:rPr>
        <w:t>",</w:t>
      </w:r>
    </w:p>
    <w:p w14:paraId="56BF76A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method</w:t>
      </w:r>
      <w:proofErr w:type="gramEnd"/>
      <w:r w:rsidRPr="00B479AE">
        <w:rPr>
          <w:rFonts w:ascii="Baskerville Old Face" w:hAnsi="Baskerville Old Face"/>
          <w:i/>
          <w:iCs/>
        </w:rPr>
        <w:t>_version</w:t>
      </w:r>
      <w:proofErr w:type="spellEnd"/>
      <w:r w:rsidRPr="00B479AE">
        <w:rPr>
          <w:rFonts w:ascii="Baskerville Old Face" w:hAnsi="Baskerville Old Face"/>
          <w:i/>
          <w:iCs/>
        </w:rPr>
        <w:t>": "v1.0"</w:t>
      </w:r>
    </w:p>
    <w:p w14:paraId="0A38B34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
    <w:p w14:paraId="3C434C6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"axes": {</w:t>
      </w:r>
    </w:p>
    <w:p w14:paraId="7CD673B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"coherence": {</w:t>
      </w:r>
    </w:p>
    <w:p w14:paraId="4A230A9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hrv</w:t>
      </w:r>
      <w:proofErr w:type="gramEnd"/>
      <w:r w:rsidRPr="00B479AE">
        <w:rPr>
          <w:rFonts w:ascii="Baskerville Old Face" w:hAnsi="Baskerville Old Face"/>
          <w:i/>
          <w:iCs/>
        </w:rPr>
        <w:t>_coherence</w:t>
      </w:r>
      <w:proofErr w:type="spellEnd"/>
      <w:r w:rsidRPr="00B479AE">
        <w:rPr>
          <w:rFonts w:ascii="Baskerville Old Face" w:hAnsi="Baskerville Old Face"/>
          <w:i/>
          <w:iCs/>
        </w:rPr>
        <w:t>": {</w:t>
      </w:r>
    </w:p>
    <w:p w14:paraId="3D599F6A"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"value": 72,</w:t>
      </w:r>
    </w:p>
    <w:p w14:paraId="3245829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"confidence": 0.90</w:t>
      </w:r>
    </w:p>
    <w:p w14:paraId="2FAEE57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
    <w:p w14:paraId="63A5080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
    <w:p w14:paraId="4D32B90F"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
    <w:p w14:paraId="2DF2423A"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"privacy": {</w:t>
      </w:r>
    </w:p>
    <w:p w14:paraId="41E37360"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no</w:t>
      </w:r>
      <w:proofErr w:type="gramEnd"/>
      <w:r w:rsidRPr="00B479AE">
        <w:rPr>
          <w:rFonts w:ascii="Baskerville Old Face" w:hAnsi="Baskerville Old Face"/>
          <w:i/>
          <w:iCs/>
        </w:rPr>
        <w:t>_pii</w:t>
      </w:r>
      <w:proofErr w:type="spellEnd"/>
      <w:r w:rsidRPr="00B479AE">
        <w:rPr>
          <w:rFonts w:ascii="Baskerville Old Face" w:hAnsi="Baskerville Old Face"/>
          <w:i/>
          <w:iCs/>
        </w:rPr>
        <w:t>": true,</w:t>
      </w:r>
    </w:p>
    <w:p w14:paraId="4DCE0E9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consent</w:t>
      </w:r>
      <w:proofErr w:type="gramEnd"/>
      <w:r w:rsidRPr="00B479AE">
        <w:rPr>
          <w:rFonts w:ascii="Baskerville Old Face" w:hAnsi="Baskerville Old Face"/>
          <w:i/>
          <w:iCs/>
        </w:rPr>
        <w:t>_scope</w:t>
      </w:r>
      <w:proofErr w:type="spellEnd"/>
      <w:r w:rsidRPr="00B479AE">
        <w:rPr>
          <w:rFonts w:ascii="Baskerville Old Face" w:hAnsi="Baskerville Old Face"/>
          <w:i/>
          <w:iCs/>
        </w:rPr>
        <w:t>": "</w:t>
      </w:r>
      <w:proofErr w:type="spellStart"/>
      <w:r w:rsidRPr="00B479AE">
        <w:rPr>
          <w:rFonts w:ascii="Baskerville Old Face" w:hAnsi="Baskerville Old Face"/>
          <w:i/>
          <w:iCs/>
        </w:rPr>
        <w:t>self_reflection_and_governance_research</w:t>
      </w:r>
      <w:proofErr w:type="spellEnd"/>
      <w:r w:rsidRPr="00B479AE">
        <w:rPr>
          <w:rFonts w:ascii="Baskerville Old Face" w:hAnsi="Baskerville Old Face"/>
          <w:i/>
          <w:iCs/>
        </w:rPr>
        <w:t>",</w:t>
      </w:r>
    </w:p>
    <w:p w14:paraId="75122266"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retention</w:t>
      </w:r>
      <w:proofErr w:type="gramEnd"/>
      <w:r w:rsidRPr="00B479AE">
        <w:rPr>
          <w:rFonts w:ascii="Baskerville Old Face" w:hAnsi="Baskerville Old Face"/>
          <w:i/>
          <w:iCs/>
        </w:rPr>
        <w:t>_policy</w:t>
      </w:r>
      <w:proofErr w:type="spellEnd"/>
      <w:r w:rsidRPr="00B479AE">
        <w:rPr>
          <w:rFonts w:ascii="Baskerville Old Face" w:hAnsi="Baskerville Old Face"/>
          <w:i/>
          <w:iCs/>
        </w:rPr>
        <w:t>": "</w:t>
      </w:r>
      <w:proofErr w:type="spellStart"/>
      <w:r w:rsidRPr="00B479AE">
        <w:rPr>
          <w:rFonts w:ascii="Baskerville Old Face" w:hAnsi="Baskerville Old Face"/>
          <w:i/>
          <w:iCs/>
        </w:rPr>
        <w:t>time_limited</w:t>
      </w:r>
      <w:proofErr w:type="spellEnd"/>
      <w:r w:rsidRPr="00B479AE">
        <w:rPr>
          <w:rFonts w:ascii="Baskerville Old Face" w:hAnsi="Baskerville Old Face"/>
          <w:i/>
          <w:iCs/>
        </w:rPr>
        <w:t>"</w:t>
      </w:r>
    </w:p>
    <w:p w14:paraId="53BE8CB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  }</w:t>
      </w:r>
    </w:p>
    <w:p w14:paraId="5028B3BA"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w:t>
      </w:r>
    </w:p>
    <w:p w14:paraId="4483B459"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This structure is intentionally minimal.</w:t>
      </w:r>
    </w:p>
    <w:p w14:paraId="0BAA82A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point is not to over-specify the human being.</w:t>
      </w:r>
    </w:p>
    <w:p w14:paraId="27628BEC"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point is to define enough structure to preserve consent, time, confidence, privacy, and interoperability.</w:t>
      </w:r>
    </w:p>
    <w:p w14:paraId="0A9E950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The heart as cognitive and physiological infrastructure</w:t>
      </w:r>
    </w:p>
    <w:p w14:paraId="00C7310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lastRenderedPageBreak/>
        <w:t>Prometheus treats the heart not as a mystical authority, but as a physiological signal generator within an integrated human organism.</w:t>
      </w:r>
    </w:p>
    <w:p w14:paraId="74B01E46"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heart, nervous system, brain, breath, endocrine system, and emotional state participate in dynamic feedback.</w:t>
      </w:r>
    </w:p>
    <w:p w14:paraId="238649A3"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Research on heart-rate variability, </w:t>
      </w:r>
      <w:proofErr w:type="spellStart"/>
      <w:r w:rsidRPr="00B479AE">
        <w:rPr>
          <w:rFonts w:ascii="Baskerville Old Face" w:hAnsi="Baskerville Old Face"/>
          <w:i/>
          <w:iCs/>
        </w:rPr>
        <w:t>neurocardiology</w:t>
      </w:r>
      <w:proofErr w:type="spellEnd"/>
      <w:r w:rsidRPr="00B479AE">
        <w:rPr>
          <w:rFonts w:ascii="Baskerville Old Face" w:hAnsi="Baskerville Old Face"/>
          <w:i/>
          <w:iCs/>
        </w:rPr>
        <w:t>, psychophysiological coherence, and autonomic regulation suggests that physiological coherence may be associated with improved emotional regulation, attention, stress recovery, and decision conditions.</w:t>
      </w:r>
    </w:p>
    <w:p w14:paraId="71C3A7F0"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Within Prometheus, this insight is used conservatively.</w:t>
      </w:r>
    </w:p>
    <w:p w14:paraId="7A0E8517"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Physiological coherence may support better participation conditions, including attention, emotional regulation, and deliberative quality.</w:t>
      </w:r>
    </w:p>
    <w:p w14:paraId="1A14BA9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convert coherence into financial authority.</w:t>
      </w:r>
    </w:p>
    <w:p w14:paraId="28462638"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make a person more worthy.</w:t>
      </w:r>
    </w:p>
    <w:p w14:paraId="2634E825"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create investor ranking.</w:t>
      </w:r>
    </w:p>
    <w:p w14:paraId="56BA96F3"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replace governance rules.</w:t>
      </w:r>
    </w:p>
    <w:p w14:paraId="4F3DDB5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replace ecological verification.</w:t>
      </w:r>
    </w:p>
    <w:p w14:paraId="13157EF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allows HSI data, where voluntarily provided and properly validated, to support reflective governance, stewardship training, and research into the relationship between human state and decision quality.</w:t>
      </w:r>
    </w:p>
    <w:p w14:paraId="3AB58195"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b/>
          <w:bCs/>
          <w:i/>
          <w:iCs/>
        </w:rPr>
        <w:t>Electromagnetic Analogy and Scientific Boundary</w:t>
      </w:r>
    </w:p>
    <w:p w14:paraId="60390A8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Human State Interface may also be framed through a conservative electromagnetic analogy.</w:t>
      </w:r>
    </w:p>
    <w:p w14:paraId="07555E8C"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In physics, the Zeeman effect shows that magnetic fields can alter the measurable spectral structure of atomic systems.</w:t>
      </w:r>
    </w:p>
    <w:p w14:paraId="7118C63F"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Stark effect shows that electric fields can alter the measurable spectral structure of atomic systems.</w:t>
      </w:r>
    </w:p>
    <w:p w14:paraId="5E7A513A"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lastRenderedPageBreak/>
        <w:t>These effects demonstrate a general scientific principle: fields can interact with matter in ways that become observable through disciplined measurement.</w:t>
      </w:r>
    </w:p>
    <w:p w14:paraId="158AFF1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Prometheus does not extend this principle into an unsupported claim that human cardiac fields determine ecological value, financial value, governance rights, investor rights, or interpersonal outcomes.</w:t>
      </w:r>
    </w:p>
    <w:p w14:paraId="10696AE8"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The analogy is used only to clarify why measurable physiological fields, rhythms, and coherence patterns may deserve structured observation within a voluntary human-state interface.</w:t>
      </w:r>
    </w:p>
    <w:p w14:paraId="3736ED5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Within Prometheus, the heart is therefore not treated as an oracle.</w:t>
      </w:r>
    </w:p>
    <w:p w14:paraId="513B2E9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is treated as one important physiological source of signals that may provide useful information about stress, coherence, attention, emotional regulation, and participation quality.</w:t>
      </w:r>
    </w:p>
    <w:p w14:paraId="66783658"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 xml:space="preserve">Research on HRV, </w:t>
      </w:r>
      <w:proofErr w:type="spellStart"/>
      <w:r w:rsidRPr="00B479AE">
        <w:rPr>
          <w:rFonts w:ascii="Baskerville Old Face" w:hAnsi="Baskerville Old Face"/>
          <w:i/>
          <w:iCs/>
        </w:rPr>
        <w:t>neurocardiology</w:t>
      </w:r>
      <w:proofErr w:type="spellEnd"/>
      <w:r w:rsidRPr="00B479AE">
        <w:rPr>
          <w:rFonts w:ascii="Baskerville Old Face" w:hAnsi="Baskerville Old Face"/>
          <w:i/>
          <w:iCs/>
        </w:rPr>
        <w:t>, psychophysiological coherence, and cardio-electromagnetic communication may inform the design of HSI as an optional research and governance-support layer.</w:t>
      </w:r>
    </w:p>
    <w:p w14:paraId="2CC9AABB"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However, HSI data remains strictly bounded.</w:t>
      </w:r>
    </w:p>
    <w:p w14:paraId="4FA79CD4"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determine ecological validity.</w:t>
      </w:r>
    </w:p>
    <w:p w14:paraId="6C384322"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authorize PRU value.</w:t>
      </w:r>
    </w:p>
    <w:p w14:paraId="4574728D"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create investor entitlement.</w:t>
      </w:r>
    </w:p>
    <w:p w14:paraId="1F5B6729"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replace MRV.</w:t>
      </w:r>
    </w:p>
    <w:p w14:paraId="109164DE"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rank human worth.</w:t>
      </w:r>
    </w:p>
    <w:p w14:paraId="34D74B60"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 does not operate as a social-credit system.</w:t>
      </w:r>
    </w:p>
    <w:p w14:paraId="42737A97"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Its function is to support reflective participation, coherence training, governance maturity, and research into the relationship between human state, decision quality, and stewardship behavior.</w:t>
      </w:r>
    </w:p>
    <w:p w14:paraId="6332CF17" w14:textId="77777777" w:rsidR="0059048F" w:rsidRPr="00B479AE" w:rsidRDefault="0059048F" w:rsidP="0059048F">
      <w:pPr>
        <w:spacing w:line="360" w:lineRule="auto"/>
        <w:rPr>
          <w:rFonts w:ascii="Baskerville Old Face" w:hAnsi="Baskerville Old Face"/>
          <w:i/>
          <w:iCs/>
        </w:rPr>
      </w:pPr>
      <w:r w:rsidRPr="00B479AE">
        <w:rPr>
          <w:rFonts w:ascii="Baskerville Old Face" w:hAnsi="Baskerville Old Face"/>
          <w:i/>
          <w:iCs/>
        </w:rPr>
        <w:t>This boundary allows Prometheus to remain open to frontier science without allowing frontier hypotheses to contaminate financial admissibility.</w:t>
      </w:r>
    </w:p>
    <w:p w14:paraId="567140F7" w14:textId="77777777" w:rsidR="007E454C" w:rsidRDefault="007E454C" w:rsidP="00305A28">
      <w:pPr>
        <w:spacing w:line="360" w:lineRule="auto"/>
        <w:rPr>
          <w:rFonts w:ascii="Baskerville Old Face" w:hAnsi="Baskerville Old Face"/>
          <w:b/>
          <w:bCs/>
          <w:i/>
          <w:iCs/>
        </w:rPr>
      </w:pPr>
    </w:p>
    <w:p w14:paraId="1EF13370" w14:textId="77777777" w:rsidR="007E454C" w:rsidRDefault="007E454C" w:rsidP="00305A28">
      <w:pPr>
        <w:spacing w:line="360" w:lineRule="auto"/>
        <w:rPr>
          <w:rFonts w:ascii="Baskerville Old Face" w:hAnsi="Baskerville Old Face"/>
          <w:b/>
          <w:bCs/>
          <w:i/>
          <w:iCs/>
        </w:rPr>
      </w:pPr>
    </w:p>
    <w:p w14:paraId="420B3C96" w14:textId="51D6225D"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lastRenderedPageBreak/>
        <w:t>From aspiration to architecture</w:t>
      </w:r>
    </w:p>
    <w:p w14:paraId="44202AB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Throughout history, freedom, responsibility, cooperation, and stewardship have often been described as ideals.</w:t>
      </w:r>
    </w:p>
    <w:p w14:paraId="2114BC9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have been invoked in spiritual traditions, political systems, ethical philosophies, and constitutional frameworks.</w:t>
      </w:r>
    </w:p>
    <w:p w14:paraId="33932F6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Yet ideals remain fragile when they are not supported by infrastructure.</w:t>
      </w:r>
    </w:p>
    <w:p w14:paraId="308ED17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Freedom without responsibility can become extraction.</w:t>
      </w:r>
    </w:p>
    <w:p w14:paraId="7205D76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Responsibility without freedom can become submission.</w:t>
      </w:r>
    </w:p>
    <w:p w14:paraId="6524A3B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Technology without ethics can become control.</w:t>
      </w:r>
    </w:p>
    <w:p w14:paraId="49A8961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Capital without ecological limits can become depletion.</w:t>
      </w:r>
    </w:p>
    <w:p w14:paraId="6392D38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Governance without transparency can become capture.</w:t>
      </w:r>
    </w:p>
    <w:p w14:paraId="12CB01A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requires a third path: voluntary alignment with living systems, supported by structures that make coherent behavior easier to sustain over time.</w:t>
      </w:r>
    </w:p>
    <w:p w14:paraId="110BEC7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translates aspiration into architecture.</w:t>
      </w:r>
    </w:p>
    <w:p w14:paraId="117B67E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does not rely only on goodwill.</w:t>
      </w:r>
    </w:p>
    <w:p w14:paraId="464EA8A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creates structures that support evidence, feedback, stewardship, governance maturity, and accountability.</w:t>
      </w:r>
    </w:p>
    <w:p w14:paraId="52A8889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includes:</w:t>
      </w:r>
    </w:p>
    <w:p w14:paraId="268D3A7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constitutional constraints;</w:t>
      </w:r>
    </w:p>
    <w:p w14:paraId="1307A0E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verification-first processes;</w:t>
      </w:r>
    </w:p>
    <w:p w14:paraId="26B4529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agent-centric data sovereignty;</w:t>
      </w:r>
    </w:p>
    <w:p w14:paraId="6ED1968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transparent value accounting;</w:t>
      </w:r>
    </w:p>
    <w:p w14:paraId="7988251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multi-stakeholder governance;</w:t>
      </w:r>
    </w:p>
    <w:p w14:paraId="7704976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 bounded pilot implementation;</w:t>
      </w:r>
    </w:p>
    <w:p w14:paraId="0630805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reviewable evidence chains;</w:t>
      </w:r>
    </w:p>
    <w:p w14:paraId="0DB764B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capital structures linked to verified performance.</w:t>
      </w:r>
    </w:p>
    <w:p w14:paraId="4F9E95C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this architecture, freedom becomes more than an abstract right.</w:t>
      </w:r>
    </w:p>
    <w:p w14:paraId="11E56F2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becomes the capacity to participate in systems that do not force human beings to choose between survival and ecological integrity.</w:t>
      </w:r>
    </w:p>
    <w:p w14:paraId="29E50B6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Structural sovereignty</w:t>
      </w:r>
    </w:p>
    <w:p w14:paraId="52F3FE2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Structural sovereignty refers to the degree to which individuals and communities possess meaningful participation in the infrastructures upon which they depend.</w:t>
      </w:r>
    </w:p>
    <w:p w14:paraId="756B23A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includes access to land, data, identity, governance, productive resources, and digital coordination systems.</w:t>
      </w:r>
    </w:p>
    <w:p w14:paraId="2A43513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When these infrastructures are centralized, opaque, or extractive, participants may appear free while remaining dependent on systems they cannot understand, influence, or exit.</w:t>
      </w:r>
    </w:p>
    <w:p w14:paraId="738FE14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strengthens structural sovereignty through agent-centric digital infrastructure, distributed validation, local stewardship, and governance models that preserve participant agency.</w:t>
      </w:r>
    </w:p>
    <w:p w14:paraId="71C25E5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objective is not isolation.</w:t>
      </w:r>
    </w:p>
    <w:p w14:paraId="48AB4CD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objective is participation without capture.</w:t>
      </w:r>
    </w:p>
    <w:p w14:paraId="6EAF7DF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regenerative system requires people and communities to remain connected to the sources of their own value: land, food, water, data, relationships, and decision processes.</w:t>
      </w:r>
    </w:p>
    <w:p w14:paraId="5D81415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Decision sovereignty</w:t>
      </w:r>
    </w:p>
    <w:p w14:paraId="42B5100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Decision sovereignty concerns alignment between declared values and actual behavior.</w:t>
      </w:r>
    </w:p>
    <w:p w14:paraId="3733EF4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Many systems declare sustainability while financing depletion.</w:t>
      </w:r>
    </w:p>
    <w:p w14:paraId="5E7016E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Many institutions declare care while externalizing harm.</w:t>
      </w:r>
    </w:p>
    <w:p w14:paraId="0D2B125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Many individuals declare ecological responsibility while remaining trapped in infrastructures that reward the opposite.</w:t>
      </w:r>
    </w:p>
    <w:p w14:paraId="486AF0C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Decision sovereignty therefore asks whether choices are aligned with the principles that a system claims to serve.</w:t>
      </w:r>
    </w:p>
    <w:p w14:paraId="49A3574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Prometheus, decision sovereignty is supported through visibility, feedback, and governance discipline.</w:t>
      </w:r>
    </w:p>
    <w:p w14:paraId="1A585B5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Participants are not merely asked to believe in regeneration.</w:t>
      </w:r>
    </w:p>
    <w:p w14:paraId="4AB41D6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are invited to observe whether their actions contribute to it.</w:t>
      </w:r>
    </w:p>
    <w:p w14:paraId="7AD9A0C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turns governance from ideological assertion into developmental feedback.</w:t>
      </w:r>
    </w:p>
    <w:p w14:paraId="09F91B3B" w14:textId="0E597EB1"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Resilience sovereignty</w:t>
      </w:r>
    </w:p>
    <w:p w14:paraId="3496578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Resilience sovereignty refers to the capacity of individuals, communities, and territories to reorganize under stress without losing coherence.</w:t>
      </w:r>
    </w:p>
    <w:p w14:paraId="06A8157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includes ecological resilience, economic diversification, social trust, adaptive governance, and the capacity to learn from disturbance.</w:t>
      </w:r>
    </w:p>
    <w:p w14:paraId="794BED5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community with high resilience sovereignty can face drought, market shifts, supply disruptions, governance tensions, or operational difficulties without collapsing into extraction or fragmentation.</w:t>
      </w:r>
    </w:p>
    <w:p w14:paraId="70DBFEA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supports resilience sovereignty through diversified regenerative units, local production, distributed infrastructure, MRV feedback, and portfolio logic.</w:t>
      </w:r>
    </w:p>
    <w:p w14:paraId="42C5891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Resilience is not treated as a slogan.</w:t>
      </w:r>
    </w:p>
    <w:p w14:paraId="2F29F0C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becomes observable through system behavior over time.</w:t>
      </w:r>
    </w:p>
    <w:p w14:paraId="7706FAE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Relational sovereignty</w:t>
      </w:r>
    </w:p>
    <w:p w14:paraId="61D540D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Relational sovereignty reflects the quality of relationships within and between communities.</w:t>
      </w:r>
    </w:p>
    <w:p w14:paraId="4D267EB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Living systems demonstrate that resilience depends on cooperation, mutualism, redundancy, trust, and distributed contribution.</w:t>
      </w:r>
    </w:p>
    <w:p w14:paraId="58D7BB7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systems follow the same pattern.</w:t>
      </w:r>
    </w:p>
    <w:p w14:paraId="673FE30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A regenerative economy cannot be sustained by isolated actors maximizing private extraction.</w:t>
      </w:r>
    </w:p>
    <w:p w14:paraId="18F4733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requires relational fields capable of sharing knowledge, coordinating action, resolving conflict, protecting common resources, and circulating value.</w:t>
      </w:r>
    </w:p>
    <w:p w14:paraId="74F57E6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supports relational sovereignty through Stewardship Circles, participant governance, transparent value flows, and contribution-based coordination.</w:t>
      </w:r>
    </w:p>
    <w:p w14:paraId="08FF9C8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goal is not centralized harmony.</w:t>
      </w:r>
    </w:p>
    <w:p w14:paraId="512394D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goal is resilient cooperation.</w:t>
      </w:r>
    </w:p>
    <w:p w14:paraId="5D12F598" w14:textId="24CDF416"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Sovereignty Coherence Index</w:t>
      </w:r>
    </w:p>
    <w:p w14:paraId="3B64A61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Sovereignty Coherence Index, or SCI, is introduced as a diagnostic instrument within the Prometheus framework.</w:t>
      </w:r>
    </w:p>
    <w:p w14:paraId="1F45242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purpose is to help individuals, communities, and governance structures observe the alignment between behavior, infrastructure, participation, and regenerative responsibility.</w:t>
      </w:r>
    </w:p>
    <w:p w14:paraId="3A8833B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SCI is not a mechanism of domination.</w:t>
      </w:r>
    </w:p>
    <w:p w14:paraId="163608D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not a social-credit system.</w:t>
      </w:r>
    </w:p>
    <w:p w14:paraId="31FE13D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not a financial collateral substitute.</w:t>
      </w:r>
    </w:p>
    <w:p w14:paraId="7B4D1DD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not a centralized authority assigning moral worth.</w:t>
      </w:r>
    </w:p>
    <w:p w14:paraId="587E940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functions as a reflective map of coherence.</w:t>
      </w:r>
    </w:p>
    <w:p w14:paraId="0B02939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SCI may observe dimensions such as:</w:t>
      </w:r>
    </w:p>
    <w:p w14:paraId="7CE3B0C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structural sovereignty;</w:t>
      </w:r>
    </w:p>
    <w:p w14:paraId="4602E99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decision sovereignty;</w:t>
      </w:r>
    </w:p>
    <w:p w14:paraId="78C7169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resilience sovereignty;</w:t>
      </w:r>
    </w:p>
    <w:p w14:paraId="08BACAE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relational sovereignty;</w:t>
      </w:r>
    </w:p>
    <w:p w14:paraId="0106687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governance participation;</w:t>
      </w:r>
    </w:p>
    <w:p w14:paraId="6DE27CB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 contribution quality;</w:t>
      </w:r>
    </w:p>
    <w:p w14:paraId="24D6558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consistency between declared values and system actions;</w:t>
      </w:r>
    </w:p>
    <w:p w14:paraId="4D9B656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capacity to preserve coherence under stress.</w:t>
      </w:r>
    </w:p>
    <w:p w14:paraId="5D8EAA1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Its function is developmental rather than punitive.</w:t>
      </w:r>
    </w:p>
    <w:p w14:paraId="4520F81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Participants and communities can use SCI-related insights to understand where alignment is strong, where fragility exists, and where governance maturity can improve.</w:t>
      </w:r>
    </w:p>
    <w:p w14:paraId="1CDB921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institutional terms, SCI may support governance eligibility, incentive modulation, risk awareness, and system maturity tracking.</w:t>
      </w:r>
    </w:p>
    <w:p w14:paraId="2E7FFAC9" w14:textId="1BC524AE"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 xml:space="preserve">It should remain distinct from MRV integrity, </w:t>
      </w:r>
      <w:r w:rsidR="00BF1A97" w:rsidRPr="00B479AE">
        <w:rPr>
          <w:rFonts w:ascii="Baskerville Old Face" w:hAnsi="Baskerville Old Face"/>
          <w:i/>
          <w:iCs/>
        </w:rPr>
        <w:t>PRU value analysis</w:t>
      </w:r>
      <w:r w:rsidRPr="00B479AE">
        <w:rPr>
          <w:rFonts w:ascii="Baskerville Old Face" w:hAnsi="Baskerville Old Face"/>
          <w:i/>
          <w:iCs/>
        </w:rPr>
        <w:t>, legal rights, and direct financial entitlement.</w:t>
      </w:r>
    </w:p>
    <w:p w14:paraId="7EC4AB9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separation preserves credibility.</w:t>
      </w:r>
    </w:p>
    <w:p w14:paraId="59F8818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coherence can inform governance.</w:t>
      </w:r>
    </w:p>
    <w:p w14:paraId="2D8DC34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Ecological evidence must govern ecological value.</w:t>
      </w:r>
    </w:p>
    <w:p w14:paraId="32894D3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Maturity before power</w:t>
      </w:r>
    </w:p>
    <w:p w14:paraId="5864095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Regenerative governance requires maturity before power.</w:t>
      </w:r>
    </w:p>
    <w:p w14:paraId="10C6A6E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Power without maturity destabilizes systems.</w:t>
      </w:r>
    </w:p>
    <w:p w14:paraId="2FFD6EB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Capital without restraint extracts.</w:t>
      </w:r>
    </w:p>
    <w:p w14:paraId="288C4B6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Governance without self-awareness captures.</w:t>
      </w:r>
    </w:p>
    <w:p w14:paraId="2936673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Technology without responsibility centralizes.</w:t>
      </w:r>
    </w:p>
    <w:p w14:paraId="27239CC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treats participation as a process of maturation.</w:t>
      </w:r>
    </w:p>
    <w:p w14:paraId="1C423D4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does not mean exclusion from the system.</w:t>
      </w:r>
    </w:p>
    <w:p w14:paraId="3436D05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means that responsibility expands as coherence, contribution, and demonstrated stewardship mature.</w:t>
      </w:r>
    </w:p>
    <w:p w14:paraId="35E2C4B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Living systems follow a similar pattern.</w:t>
      </w:r>
    </w:p>
    <w:p w14:paraId="57A15BA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forest does not become complex in one season.</w:t>
      </w:r>
    </w:p>
    <w:p w14:paraId="6446C25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Soil does not become fertile by declaration.</w:t>
      </w:r>
    </w:p>
    <w:p w14:paraId="099AF3F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Mycorrhizal networks do not appear because a plan demands them.</w:t>
      </w:r>
    </w:p>
    <w:p w14:paraId="188E8C4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emerge through time, relationship, feedback, and conditions that allow complexity to stabilize.</w:t>
      </w:r>
    </w:p>
    <w:p w14:paraId="2FA813B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governance in Prometheus follows the same logic.</w:t>
      </w:r>
    </w:p>
    <w:p w14:paraId="5E09862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Authority should grow with coherence.</w:t>
      </w:r>
    </w:p>
    <w:p w14:paraId="2E6D9B1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Influence should grow with contribution.</w:t>
      </w:r>
    </w:p>
    <w:p w14:paraId="3DE33E9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Rights should be linked to responsibility.</w:t>
      </w:r>
    </w:p>
    <w:p w14:paraId="51E4BEA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Participation should deepen through practice.</w:t>
      </w:r>
    </w:p>
    <w:p w14:paraId="4F74104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Cooperation as evolutionary strategy</w:t>
      </w:r>
    </w:p>
    <w:p w14:paraId="32A118F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Biological systems demonstrate that cooperation is not sentimental.</w:t>
      </w:r>
    </w:p>
    <w:p w14:paraId="69474C7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strategic.</w:t>
      </w:r>
    </w:p>
    <w:p w14:paraId="6F4C51E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Mutualistic relationships between plants and fungi, flowers and pollinators, soil organisms and roots, predators and prey, and diverse species within ecosystems all contribute to resilience.</w:t>
      </w:r>
    </w:p>
    <w:p w14:paraId="5DF0113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Competition exists in nature, but it is embedded within larger webs of interdependence.</w:t>
      </w:r>
    </w:p>
    <w:p w14:paraId="5DD171A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Systems dominated only by extraction and competition become fragile.</w:t>
      </w:r>
    </w:p>
    <w:p w14:paraId="4700F0A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Systems capable of cooperation, reciprocity, and feedback can generate surplus without degrading their own foundations.</w:t>
      </w:r>
    </w:p>
    <w:p w14:paraId="0A1BFA6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systems mirror this pattern.</w:t>
      </w:r>
    </w:p>
    <w:p w14:paraId="6E60FCF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Trust, listening, mutual care, shared learning, and cooperative governance are not soft values outside the economy.</w:t>
      </w:r>
    </w:p>
    <w:p w14:paraId="19D512CE"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They are infrastructure for long-term coordination.</w:t>
      </w:r>
    </w:p>
    <w:p w14:paraId="1E3F2D8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Prometheus therefore treats cooperation as a design principle.</w:t>
      </w:r>
    </w:p>
    <w:p w14:paraId="78C31CF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Not imposed cooperation.</w:t>
      </w:r>
    </w:p>
    <w:p w14:paraId="703BFA8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Not naïve harmony.</w:t>
      </w:r>
    </w:p>
    <w:p w14:paraId="480757E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But structured, verifiable, role-based cooperation aligned with living-system performance.</w:t>
      </w:r>
    </w:p>
    <w:p w14:paraId="5CC2FAD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ethical roots of Prometheus</w:t>
      </w:r>
    </w:p>
    <w:p w14:paraId="3F1D514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is grounded in a simple ethical recognition:</w:t>
      </w:r>
    </w:p>
    <w:p w14:paraId="62C529A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life does not flourish in isolation.</w:t>
      </w:r>
    </w:p>
    <w:p w14:paraId="40DCB3D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river moves water beyond itself.</w:t>
      </w:r>
    </w:p>
    <w:p w14:paraId="6DECA28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tree gives fruit and shade beyond itself.</w:t>
      </w:r>
    </w:p>
    <w:p w14:paraId="2A236025"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soil feeds life by receiving what falls back into it.</w:t>
      </w:r>
    </w:p>
    <w:p w14:paraId="2A2C3C4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sun radiates without possession.</w:t>
      </w:r>
    </w:p>
    <w:p w14:paraId="7E11BC5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Living systems reveal a law of generative circulation.</w:t>
      </w:r>
    </w:p>
    <w:p w14:paraId="0973778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Value circulates before it accumulates.</w:t>
      </w:r>
    </w:p>
    <w:p w14:paraId="2DBD3DC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Regeneration begins when human systems learn to participate in that circulation without interrupting it.</w:t>
      </w:r>
    </w:p>
    <w:p w14:paraId="4FF6C21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ethical root gives Prometheus its direction.</w:t>
      </w:r>
    </w:p>
    <w:p w14:paraId="488005C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framework is not built to maximize extraction under a green label.</w:t>
      </w:r>
    </w:p>
    <w:p w14:paraId="726A89F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built to support a sacred pact with Earth, future generations, children, families, communities, and all beings capable of participating in life-enhancing systems.</w:t>
      </w:r>
    </w:p>
    <w:p w14:paraId="7C3ADCE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pact becomes operational when it is translated into rules, governance, MRV, capital discipline, and implementation boundaries.</w:t>
      </w:r>
    </w:p>
    <w:p w14:paraId="7939A1F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Ethics become infrastructure when they shape what the system is allowed to do.</w:t>
      </w:r>
    </w:p>
    <w:p w14:paraId="3306AFE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Human infrastructure as capital-market discipline</w:t>
      </w:r>
    </w:p>
    <w:p w14:paraId="22964B6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At first glance, human infrastructure may appear distant from capital markets.</w:t>
      </w:r>
    </w:p>
    <w:p w14:paraId="7AD7107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 reality, it is central to long-duration investment.</w:t>
      </w:r>
    </w:p>
    <w:p w14:paraId="279ECC7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Institutional capital depends on governance quality, operational discipline, execution reliability, trust, transparency, and the capacity to manage complexity over time.</w:t>
      </w:r>
    </w:p>
    <w:p w14:paraId="1215DB9A"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All of these are human infrastructure variables.</w:t>
      </w:r>
    </w:p>
    <w:p w14:paraId="6B966089"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regenerative asset can fail if stewardship is weak.</w:t>
      </w:r>
    </w:p>
    <w:p w14:paraId="03024D7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PRU methodology can lose credibility if governance becomes inflated.</w:t>
      </w:r>
    </w:p>
    <w:p w14:paraId="0A61FAF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token layer can become speculative if participants lack discipline.</w:t>
      </w:r>
    </w:p>
    <w:p w14:paraId="6BE676F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OHE can underperform if management quality is poor.</w:t>
      </w:r>
    </w:p>
    <w:p w14:paraId="036E649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An SPV can become fragile if incentives are misaligned.</w:t>
      </w:r>
    </w:p>
    <w:p w14:paraId="3D14FBFF"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verification system can lose trust if human review is weak.</w:t>
      </w:r>
    </w:p>
    <w:p w14:paraId="6914400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therefore integrates human infrastructure into its risk architecture.</w:t>
      </w:r>
    </w:p>
    <w:p w14:paraId="48E81C16"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recognizes that the quality of human participation affects ecological outcomes, governance reliability, operational continuity, and investor confidence.</w:t>
      </w:r>
    </w:p>
    <w:p w14:paraId="0B8A5AE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This is not a spiritual aside.</w:t>
      </w:r>
    </w:p>
    <w:p w14:paraId="55CDFA6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a capital-readiness condition.</w:t>
      </w:r>
    </w:p>
    <w:p w14:paraId="5A0C1AE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The human role in verified regeneration</w:t>
      </w:r>
    </w:p>
    <w:p w14:paraId="1D70254C"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Prometheus does not remove the human being from regeneration.</w:t>
      </w:r>
    </w:p>
    <w:p w14:paraId="72539C3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restores the human being to a responsible position within it.</w:t>
      </w:r>
    </w:p>
    <w:p w14:paraId="0C9DC2E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Technology observes.</w:t>
      </w:r>
    </w:p>
    <w:p w14:paraId="1B49E8D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Sensors measure.</w:t>
      </w:r>
    </w:p>
    <w:p w14:paraId="7D753A71"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Satellites reveal patterns.</w:t>
      </w:r>
    </w:p>
    <w:p w14:paraId="154FFAD0"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lastRenderedPageBreak/>
        <w:t>AI assists interpretation.</w:t>
      </w:r>
    </w:p>
    <w:p w14:paraId="3855B77C" w14:textId="77777777" w:rsidR="00305A28" w:rsidRPr="00B479AE" w:rsidRDefault="00305A28" w:rsidP="00305A28">
      <w:p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preserves agent-centric coordination.</w:t>
      </w:r>
    </w:p>
    <w:p w14:paraId="4B6CD32F" w14:textId="77777777" w:rsidR="00305A28" w:rsidRPr="00B479AE" w:rsidRDefault="00305A28" w:rsidP="00305A28">
      <w:pPr>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structures events.</w:t>
      </w:r>
    </w:p>
    <w:p w14:paraId="28EE8253"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PRU translates verified performance.</w:t>
      </w:r>
    </w:p>
    <w:p w14:paraId="610A723B"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Capital allocates resources.</w:t>
      </w:r>
    </w:p>
    <w:p w14:paraId="68CD379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Yet human beings still steward land, interpret context, resolve conflict, make commitments, and choose whether to align with living systems or extract from them.</w:t>
      </w:r>
    </w:p>
    <w:p w14:paraId="23DAAD38"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human role is therefore not replaced.</w:t>
      </w:r>
    </w:p>
    <w:p w14:paraId="1733FF8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It is clarified.</w:t>
      </w:r>
    </w:p>
    <w:p w14:paraId="40DDE09D"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A regenerative civilization requires human beings capable of acting as stewards rather than consumers, participants rather than spectators, and co-creators rather than extractors.</w:t>
      </w:r>
    </w:p>
    <w:p w14:paraId="1AFEBE5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b/>
          <w:bCs/>
          <w:i/>
          <w:iCs/>
        </w:rPr>
        <w:t>Transition to the next part</w:t>
      </w:r>
    </w:p>
    <w:p w14:paraId="39D86772"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Human infrastructure establishes the internal and governance conditions for regeneration.</w:t>
      </w:r>
    </w:p>
    <w:p w14:paraId="3E054C77"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The next part turns to the biophysical foundation.</w:t>
      </w:r>
    </w:p>
    <w:p w14:paraId="6C535914" w14:textId="77777777" w:rsidR="00305A28" w:rsidRPr="00B479AE" w:rsidRDefault="00305A28" w:rsidP="00305A28">
      <w:pPr>
        <w:spacing w:line="360" w:lineRule="auto"/>
        <w:rPr>
          <w:rFonts w:ascii="Baskerville Old Face" w:hAnsi="Baskerville Old Face"/>
          <w:i/>
          <w:iCs/>
        </w:rPr>
      </w:pPr>
      <w:r w:rsidRPr="00B479AE">
        <w:rPr>
          <w:rFonts w:ascii="Baskerville Old Face" w:hAnsi="Baskerville Old Face"/>
          <w:i/>
          <w:iCs/>
        </w:rPr>
        <w:t>If human coherence provides stewardship capacity, ecological science provides the measurable basis of regeneration itself.</w:t>
      </w:r>
    </w:p>
    <w:p w14:paraId="548D4B07" w14:textId="77777777" w:rsidR="00305A28" w:rsidRDefault="00305A28" w:rsidP="00305A28">
      <w:pPr>
        <w:spacing w:line="360" w:lineRule="auto"/>
        <w:rPr>
          <w:rFonts w:ascii="Baskerville Old Face" w:hAnsi="Baskerville Old Face"/>
          <w:i/>
          <w:iCs/>
        </w:rPr>
      </w:pPr>
      <w:r w:rsidRPr="00B479AE">
        <w:rPr>
          <w:rFonts w:ascii="Baskerville Old Face" w:hAnsi="Baskerville Old Face"/>
          <w:i/>
          <w:iCs/>
        </w:rPr>
        <w:t>The following section develops the scientific foundations of Prometheus: soil, water, biodiversity, syntropic succession, ecological relationships, and the measurable dynamics through which living systems regenerate.</w:t>
      </w:r>
    </w:p>
    <w:p w14:paraId="48AE23C2" w14:textId="77777777" w:rsidR="007E454C" w:rsidRPr="00B479AE" w:rsidRDefault="007E454C" w:rsidP="00305A28">
      <w:pPr>
        <w:spacing w:line="360" w:lineRule="auto"/>
        <w:rPr>
          <w:rFonts w:ascii="Baskerville Old Face" w:hAnsi="Baskerville Old Face"/>
          <w:i/>
          <w:iCs/>
        </w:rPr>
      </w:pPr>
    </w:p>
    <w:p w14:paraId="2F85A002" w14:textId="5C15C48B" w:rsidR="00EE4728" w:rsidRPr="00B479AE" w:rsidRDefault="00EE4728" w:rsidP="002B4800">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III</w:t>
      </w:r>
      <w:r w:rsidR="002B4800"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Biophysical Foundation of Regeneration</w:t>
      </w:r>
    </w:p>
    <w:p w14:paraId="34582E2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Regeneration as measurable life-process</w:t>
      </w:r>
    </w:p>
    <w:p w14:paraId="28C1295E" w14:textId="6F56B2D2"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Regeneration is not a metaphor.</w:t>
      </w:r>
      <w:r w:rsidR="007E454C">
        <w:rPr>
          <w:rFonts w:ascii="Baskerville Old Face" w:hAnsi="Baskerville Old Face"/>
          <w:i/>
          <w:iCs/>
        </w:rPr>
        <w:t xml:space="preserve"> </w:t>
      </w:r>
      <w:r w:rsidRPr="00B479AE">
        <w:rPr>
          <w:rFonts w:ascii="Baskerville Old Face" w:hAnsi="Baskerville Old Face"/>
          <w:i/>
          <w:iCs/>
        </w:rPr>
        <w:t>It is a measurable property of living systems.</w:t>
      </w:r>
    </w:p>
    <w:p w14:paraId="155CC25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A living system regenerates when its capacity to support life, organize energy, circulate nutrients, retain water, host biodiversity, produce biomass, and adapt to stress increases over time.</w:t>
      </w:r>
    </w:p>
    <w:p w14:paraId="2297FFC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ecological terms, regeneration can be observed through changes in soil structure, organic matter, microbial activity, water infiltration, vegetation complexity, biodiversity, biomass cycling, productive stability, and resilience under disturbance.</w:t>
      </w:r>
    </w:p>
    <w:p w14:paraId="6F86DF15" w14:textId="77E4D9A8" w:rsidR="0020351E" w:rsidRPr="00B479AE" w:rsidRDefault="0020351E" w:rsidP="0020351E">
      <w:pPr>
        <w:spacing w:line="360" w:lineRule="auto"/>
        <w:rPr>
          <w:rFonts w:ascii="Baskerville Old Face" w:hAnsi="Baskerville Old Face"/>
          <w:b/>
          <w:bCs/>
          <w:i/>
          <w:iCs/>
        </w:rPr>
      </w:pPr>
      <w:r w:rsidRPr="00B479AE">
        <w:rPr>
          <w:rFonts w:ascii="Baskerville Old Face" w:hAnsi="Baskerville Old Face"/>
          <w:b/>
          <w:bCs/>
          <w:i/>
          <w:iCs/>
        </w:rPr>
        <w:t>Regenerative Performance Function</w:t>
      </w:r>
    </w:p>
    <w:p w14:paraId="24290F0F"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Regeneration is not a single-variable outcome.</w:t>
      </w:r>
    </w:p>
    <w:p w14:paraId="5633719D"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It emerges from the interaction among soil, water, biodiversity, management, time, succession, stratification, and ecological context.</w:t>
      </w:r>
    </w:p>
    <w:p w14:paraId="0E9A7299"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A simplified regenerative performance function may be expressed as:</w:t>
      </w:r>
    </w:p>
    <w:p w14:paraId="562B13E6"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b/>
          <w:bCs/>
          <w:i/>
          <w:iCs/>
        </w:rPr>
        <w:t xml:space="preserve">Regeneration = </w:t>
      </w:r>
      <w:proofErr w:type="gramStart"/>
      <w:r w:rsidRPr="00B479AE">
        <w:rPr>
          <w:rFonts w:ascii="Baskerville Old Face" w:hAnsi="Baskerville Old Face"/>
          <w:b/>
          <w:bCs/>
          <w:i/>
          <w:iCs/>
        </w:rPr>
        <w:t>f(</w:t>
      </w:r>
      <w:proofErr w:type="gramEnd"/>
      <w:r w:rsidRPr="00B479AE">
        <w:rPr>
          <w:rFonts w:ascii="Baskerville Old Face" w:hAnsi="Baskerville Old Face"/>
          <w:b/>
          <w:bCs/>
          <w:i/>
          <w:iCs/>
        </w:rPr>
        <w:t>soil, water, biodiversity, management, time, succession, stratification)</w:t>
      </w:r>
    </w:p>
    <w:p w14:paraId="4DA740DC"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This formulation is not intended to reduce regeneration to a mechanical equation.</w:t>
      </w:r>
    </w:p>
    <w:p w14:paraId="24701DC0"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It is a conceptual and methodological expression.</w:t>
      </w:r>
    </w:p>
    <w:p w14:paraId="7C3222D1"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It clarifies that regenerative performance depends on multiple interacting dimensions:</w:t>
      </w:r>
    </w:p>
    <w:p w14:paraId="2A6EA47D"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soil function;</w:t>
      </w:r>
      <w:r w:rsidRPr="00B479AE">
        <w:rPr>
          <w:rFonts w:ascii="Baskerville Old Face" w:hAnsi="Baskerville Old Face"/>
          <w:i/>
          <w:iCs/>
        </w:rPr>
        <w:br/>
        <w:t>water retention and circulation;</w:t>
      </w:r>
      <w:r w:rsidRPr="00B479AE">
        <w:rPr>
          <w:rFonts w:ascii="Baskerville Old Face" w:hAnsi="Baskerville Old Face"/>
          <w:i/>
          <w:iCs/>
        </w:rPr>
        <w:br/>
        <w:t>biodiversity and functional diversity;</w:t>
      </w:r>
      <w:r w:rsidRPr="00B479AE">
        <w:rPr>
          <w:rFonts w:ascii="Baskerville Old Face" w:hAnsi="Baskerville Old Face"/>
          <w:i/>
          <w:iCs/>
        </w:rPr>
        <w:br/>
        <w:t>management quality;</w:t>
      </w:r>
      <w:r w:rsidRPr="00B479AE">
        <w:rPr>
          <w:rFonts w:ascii="Baskerville Old Face" w:hAnsi="Baskerville Old Face"/>
          <w:i/>
          <w:iCs/>
        </w:rPr>
        <w:br/>
        <w:t>time and biological maturation;</w:t>
      </w:r>
      <w:r w:rsidRPr="00B479AE">
        <w:rPr>
          <w:rFonts w:ascii="Baskerville Old Face" w:hAnsi="Baskerville Old Face"/>
          <w:i/>
          <w:iCs/>
        </w:rPr>
        <w:br/>
        <w:t>successional dynamics;</w:t>
      </w:r>
      <w:r w:rsidRPr="00B479AE">
        <w:rPr>
          <w:rFonts w:ascii="Baskerville Old Face" w:hAnsi="Baskerville Old Face"/>
          <w:i/>
          <w:iCs/>
        </w:rPr>
        <w:br/>
        <w:t>stratified photosynthetic architecture.</w:t>
      </w:r>
    </w:p>
    <w:p w14:paraId="71A90CEC"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A regenerative system should therefore not be evaluated only by immediate yield.</w:t>
      </w:r>
    </w:p>
    <w:p w14:paraId="7D61BECE"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It should be evaluated by the degree to which it increases the future capacity of the living system to remain fertile, productive, resilient, diverse, and adaptive over time.</w:t>
      </w:r>
    </w:p>
    <w:p w14:paraId="29E1D574"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The boundary condition is:</w:t>
      </w:r>
    </w:p>
    <w:p w14:paraId="57C69D47" w14:textId="77777777" w:rsidR="0020351E" w:rsidRPr="007E454C" w:rsidRDefault="0020351E" w:rsidP="0020351E">
      <w:pPr>
        <w:spacing w:line="360" w:lineRule="auto"/>
        <w:rPr>
          <w:rFonts w:ascii="Baskerville Old Face" w:hAnsi="Baskerville Old Face"/>
          <w:i/>
          <w:iCs/>
        </w:rPr>
      </w:pPr>
      <w:r w:rsidRPr="007E454C">
        <w:rPr>
          <w:rFonts w:ascii="Baskerville Old Face" w:hAnsi="Baskerville Old Face"/>
          <w:i/>
          <w:iCs/>
        </w:rPr>
        <w:t xml:space="preserve">Regenerative performance </w:t>
      </w:r>
      <w:r w:rsidRPr="007E454C">
        <w:rPr>
          <w:rFonts w:ascii="Cambria Math" w:hAnsi="Cambria Math" w:cs="Cambria Math"/>
          <w:i/>
          <w:iCs/>
        </w:rPr>
        <w:t>∝</w:t>
      </w:r>
      <w:r w:rsidRPr="007E454C">
        <w:rPr>
          <w:rFonts w:ascii="Baskerville Old Face" w:hAnsi="Baskerville Old Face"/>
          <w:i/>
          <w:iCs/>
        </w:rPr>
        <w:t xml:space="preserve"> design </w:t>
      </w:r>
      <w:r w:rsidRPr="007E454C">
        <w:rPr>
          <w:rFonts w:ascii="Baskerville Old Face" w:hAnsi="Baskerville Old Face" w:cs="Baskerville Old Face"/>
          <w:i/>
          <w:iCs/>
        </w:rPr>
        <w:t>×</w:t>
      </w:r>
      <w:r w:rsidRPr="007E454C">
        <w:rPr>
          <w:rFonts w:ascii="Baskerville Old Face" w:hAnsi="Baskerville Old Face"/>
          <w:i/>
          <w:iCs/>
        </w:rPr>
        <w:t xml:space="preserve"> management </w:t>
      </w:r>
      <w:r w:rsidRPr="007E454C">
        <w:rPr>
          <w:rFonts w:ascii="Baskerville Old Face" w:hAnsi="Baskerville Old Face" w:cs="Baskerville Old Face"/>
          <w:i/>
          <w:iCs/>
        </w:rPr>
        <w:t>×</w:t>
      </w:r>
      <w:r w:rsidRPr="007E454C">
        <w:rPr>
          <w:rFonts w:ascii="Baskerville Old Face" w:hAnsi="Baskerville Old Face"/>
          <w:i/>
          <w:iCs/>
        </w:rPr>
        <w:t xml:space="preserve"> context</w:t>
      </w:r>
    </w:p>
    <w:p w14:paraId="798C9A56"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lastRenderedPageBreak/>
        <w:t>This means that regeneration is not automatic.</w:t>
      </w:r>
    </w:p>
    <w:p w14:paraId="2209C483"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A system does not become regenerative merely because it uses regenerative language, diverse planting, syntropic terminology, or ecological intention.</w:t>
      </w:r>
    </w:p>
    <w:p w14:paraId="6BC4A563"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Its performance depends on the quality of design, the continuity of stewardship, the suitability of species selection, the hydrological context, the soil baseline, the climatic conditions, the maturity of the system, and the feedback discipline through which it is managed.</w:t>
      </w:r>
    </w:p>
    <w:p w14:paraId="7209B1F6"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This is essential for Prometheus.</w:t>
      </w:r>
    </w:p>
    <w:p w14:paraId="78FD12E4"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The One Human Ecosystem is not treated as a decorative ecological unit.</w:t>
      </w:r>
    </w:p>
    <w:p w14:paraId="3B0EEE01" w14:textId="123AE9C4"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It is treated as a living infrastructure whose performance must be observed, measured, verified, and improved through time.</w:t>
      </w:r>
      <w:r w:rsidR="007E454C">
        <w:rPr>
          <w:rFonts w:ascii="Baskerville Old Face" w:hAnsi="Baskerville Old Face"/>
          <w:i/>
          <w:iCs/>
        </w:rPr>
        <w:t xml:space="preserve"> </w:t>
      </w:r>
      <w:r w:rsidRPr="00B479AE">
        <w:rPr>
          <w:rFonts w:ascii="Baskerville Old Face" w:hAnsi="Baskerville Old Face"/>
          <w:i/>
          <w:iCs/>
        </w:rPr>
        <w:t>The operational implication is clear:</w:t>
      </w:r>
    </w:p>
    <w:p w14:paraId="46CD6A24"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design creates potential;</w:t>
      </w:r>
      <w:r w:rsidRPr="00B479AE">
        <w:rPr>
          <w:rFonts w:ascii="Baskerville Old Face" w:hAnsi="Baskerville Old Face"/>
          <w:i/>
          <w:iCs/>
        </w:rPr>
        <w:br/>
        <w:t>management activates potential;</w:t>
      </w:r>
      <w:r w:rsidRPr="00B479AE">
        <w:rPr>
          <w:rFonts w:ascii="Baskerville Old Face" w:hAnsi="Baskerville Old Face"/>
          <w:i/>
          <w:iCs/>
        </w:rPr>
        <w:br/>
        <w:t>context conditions potential;</w:t>
      </w:r>
      <w:r w:rsidRPr="00B479AE">
        <w:rPr>
          <w:rFonts w:ascii="Baskerville Old Face" w:hAnsi="Baskerville Old Face"/>
          <w:i/>
          <w:iCs/>
        </w:rPr>
        <w:br/>
        <w:t>time tests potential;</w:t>
      </w:r>
      <w:r w:rsidRPr="00B479AE">
        <w:rPr>
          <w:rFonts w:ascii="Baskerville Old Face" w:hAnsi="Baskerville Old Face"/>
          <w:i/>
          <w:iCs/>
        </w:rPr>
        <w:br/>
        <w:t>MRV verifies performance.</w:t>
      </w:r>
    </w:p>
    <w:p w14:paraId="516DAF62" w14:textId="77777777" w:rsidR="0020351E" w:rsidRPr="00B479AE" w:rsidRDefault="0020351E" w:rsidP="0020351E">
      <w:pPr>
        <w:spacing w:line="360" w:lineRule="auto"/>
        <w:rPr>
          <w:rFonts w:ascii="Baskerville Old Face" w:hAnsi="Baskerville Old Face"/>
          <w:i/>
          <w:iCs/>
        </w:rPr>
      </w:pPr>
      <w:r w:rsidRPr="00B479AE">
        <w:rPr>
          <w:rFonts w:ascii="Baskerville Old Face" w:hAnsi="Baskerville Old Face"/>
          <w:i/>
          <w:iCs/>
        </w:rPr>
        <w:t>Only verified performance may become relevant to PRU logic.</w:t>
      </w:r>
    </w:p>
    <w:p w14:paraId="3C3C91B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economic terms, regeneration becomes relevant when these changes increase the long-term productive capacity of a territory while reducing fragility, dependency, and systemic risk.</w:t>
      </w:r>
    </w:p>
    <w:p w14:paraId="7AB00A0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begins from this biophysical reality.</w:t>
      </w:r>
    </w:p>
    <w:p w14:paraId="4E7E815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framework does not treat regeneration as a decorative sustainability label.</w:t>
      </w:r>
    </w:p>
    <w:p w14:paraId="6635DBA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treats regeneration as the increase of living-system coherence.</w:t>
      </w:r>
    </w:p>
    <w:p w14:paraId="3B393E3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coherence can be observed, measured, interpreted, verified, and progressively translated into capital-admissible value.</w:t>
      </w:r>
    </w:p>
    <w:p w14:paraId="1E155B1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Scientific evidence hierarchy</w:t>
      </w:r>
    </w:p>
    <w:p w14:paraId="34544C4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adopts an explicit hierarchy of evidence.</w:t>
      </w:r>
    </w:p>
    <w:p w14:paraId="20FF589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This hierarchy is necessary because regenerative systems operate across multiple domains: soil science, agroecology, hydrology, biodiversity, nutrition, human health, complexity science, distributed systems, and finance.</w:t>
      </w:r>
    </w:p>
    <w:p w14:paraId="7EF5C0E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Some domains are well established.</w:t>
      </w:r>
    </w:p>
    <w:p w14:paraId="34F5BB3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Others are emerging.</w:t>
      </w:r>
    </w:p>
    <w:p w14:paraId="521C762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Some remain exploratory and must be treated as research directions rather than as core underwriting assumptions.</w:t>
      </w:r>
    </w:p>
    <w:p w14:paraId="28EDF7C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Prometheus framework therefore distinguishes three levels of scientific evidence.</w:t>
      </w:r>
    </w:p>
    <w:p w14:paraId="090979C9" w14:textId="3F37B6E8" w:rsidR="00DD592F" w:rsidRPr="00B479AE" w:rsidRDefault="00DD592F" w:rsidP="00DD592F">
      <w:pPr>
        <w:spacing w:line="360" w:lineRule="auto"/>
        <w:rPr>
          <w:rFonts w:ascii="Baskerville Old Face" w:hAnsi="Baskerville Old Face"/>
          <w:b/>
          <w:bCs/>
          <w:i/>
          <w:iCs/>
        </w:rPr>
      </w:pPr>
      <w:r w:rsidRPr="00B479AE">
        <w:rPr>
          <w:rFonts w:ascii="Baskerville Old Face" w:hAnsi="Baskerville Old Face"/>
          <w:b/>
          <w:bCs/>
          <w:i/>
          <w:iCs/>
        </w:rPr>
        <w:t>Scientific Evidence Hierarchy</w:t>
      </w:r>
    </w:p>
    <w:p w14:paraId="4B91B849" w14:textId="77777777" w:rsidR="00DD592F" w:rsidRPr="00B479AE" w:rsidRDefault="00DD592F" w:rsidP="00DD592F">
      <w:pPr>
        <w:spacing w:line="360" w:lineRule="auto"/>
        <w:rPr>
          <w:rFonts w:ascii="Baskerville Old Face" w:hAnsi="Baskerville Old Face"/>
          <w:i/>
          <w:iCs/>
        </w:rPr>
      </w:pPr>
      <w:r w:rsidRPr="00B479AE">
        <w:rPr>
          <w:rFonts w:ascii="Baskerville Old Face" w:hAnsi="Baskerville Old Face"/>
          <w:i/>
          <w:iCs/>
        </w:rPr>
        <w:t>Prometheus classifies scientific claims according to evidence maturity.</w:t>
      </w:r>
    </w:p>
    <w:p w14:paraId="30579F10" w14:textId="77777777" w:rsidR="00DD592F" w:rsidRPr="00B479AE" w:rsidRDefault="00DD592F" w:rsidP="00DD592F">
      <w:pPr>
        <w:spacing w:line="360" w:lineRule="auto"/>
        <w:rPr>
          <w:rFonts w:ascii="Baskerville Old Face" w:hAnsi="Baskerville Old Face"/>
          <w:i/>
          <w:iCs/>
        </w:rPr>
      </w:pPr>
      <w:r w:rsidRPr="00B479AE">
        <w:rPr>
          <w:rFonts w:ascii="Baskerville Old Face" w:hAnsi="Baskerville Old Face"/>
          <w:i/>
          <w:iCs/>
        </w:rPr>
        <w:t>This protects the system from overclaiming while allowing it to remain open to emerging science.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2588"/>
        <w:gridCol w:w="3452"/>
        <w:gridCol w:w="2148"/>
      </w:tblGrid>
      <w:tr w:rsidR="00DD592F" w:rsidRPr="00B479AE" w14:paraId="4C30D81D" w14:textId="77777777" w:rsidTr="00DD592F">
        <w:trPr>
          <w:tblHeader/>
          <w:tblCellSpacing w:w="15" w:type="dxa"/>
        </w:trPr>
        <w:tc>
          <w:tcPr>
            <w:tcW w:w="0" w:type="auto"/>
            <w:vAlign w:val="center"/>
            <w:hideMark/>
          </w:tcPr>
          <w:p w14:paraId="2AC085F1" w14:textId="77777777" w:rsidR="00DD592F" w:rsidRPr="00B479AE" w:rsidRDefault="00DD592F" w:rsidP="00DD592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Evidence tier</w:t>
            </w:r>
          </w:p>
        </w:tc>
        <w:tc>
          <w:tcPr>
            <w:tcW w:w="0" w:type="auto"/>
            <w:vAlign w:val="center"/>
            <w:hideMark/>
          </w:tcPr>
          <w:p w14:paraId="36DF31B0" w14:textId="77777777" w:rsidR="00DD592F" w:rsidRPr="00B479AE" w:rsidRDefault="00DD592F" w:rsidP="00DD592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2B81FD30" w14:textId="77777777" w:rsidR="00DD592F" w:rsidRPr="00B479AE" w:rsidRDefault="00DD592F" w:rsidP="00DD592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Examples</w:t>
            </w:r>
          </w:p>
        </w:tc>
        <w:tc>
          <w:tcPr>
            <w:tcW w:w="0" w:type="auto"/>
            <w:vAlign w:val="center"/>
            <w:hideMark/>
          </w:tcPr>
          <w:p w14:paraId="34DAE285" w14:textId="77777777" w:rsidR="00DD592F" w:rsidRPr="00B479AE" w:rsidRDefault="00DD592F" w:rsidP="00DD592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 inside Prometheus</w:t>
            </w:r>
          </w:p>
        </w:tc>
      </w:tr>
      <w:tr w:rsidR="00DD592F" w:rsidRPr="00B479AE" w14:paraId="465BAE93" w14:textId="77777777" w:rsidTr="00DD592F">
        <w:trPr>
          <w:tblCellSpacing w:w="15" w:type="dxa"/>
        </w:trPr>
        <w:tc>
          <w:tcPr>
            <w:tcW w:w="0" w:type="auto"/>
            <w:vAlign w:val="center"/>
            <w:hideMark/>
          </w:tcPr>
          <w:p w14:paraId="08DFBB89"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Tier 1 — Established science</w:t>
            </w:r>
          </w:p>
        </w:tc>
        <w:tc>
          <w:tcPr>
            <w:tcW w:w="0" w:type="auto"/>
            <w:vAlign w:val="center"/>
            <w:hideMark/>
          </w:tcPr>
          <w:p w14:paraId="0A2A38EF"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Domains supported by strong empirical evidence, broad scientific acceptance, and repeated practical validation</w:t>
            </w:r>
          </w:p>
        </w:tc>
        <w:tc>
          <w:tcPr>
            <w:tcW w:w="0" w:type="auto"/>
            <w:vAlign w:val="center"/>
            <w:hideMark/>
          </w:tcPr>
          <w:p w14:paraId="10D6EB37"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Soil organic matter, soil organic carbon, soil biology, infiltration, hydrology, agroforestry resilience, biodiversity-resilience relationships, MRV discipline</w:t>
            </w:r>
          </w:p>
        </w:tc>
        <w:tc>
          <w:tcPr>
            <w:tcW w:w="0" w:type="auto"/>
            <w:vAlign w:val="center"/>
            <w:hideMark/>
          </w:tcPr>
          <w:p w14:paraId="200A4DE9"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Core methodology, operational design, conservative underwriting logic</w:t>
            </w:r>
          </w:p>
        </w:tc>
      </w:tr>
      <w:tr w:rsidR="00DD592F" w:rsidRPr="00B479AE" w14:paraId="5E3B6E6B" w14:textId="77777777" w:rsidTr="00DD592F">
        <w:trPr>
          <w:tblCellSpacing w:w="15" w:type="dxa"/>
        </w:trPr>
        <w:tc>
          <w:tcPr>
            <w:tcW w:w="0" w:type="auto"/>
            <w:vAlign w:val="center"/>
            <w:hideMark/>
          </w:tcPr>
          <w:p w14:paraId="46450974"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Tier 2 — Emerging science</w:t>
            </w:r>
          </w:p>
        </w:tc>
        <w:tc>
          <w:tcPr>
            <w:tcW w:w="0" w:type="auto"/>
            <w:vAlign w:val="center"/>
            <w:hideMark/>
          </w:tcPr>
          <w:p w14:paraId="61888EFD"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Domains supported by converging evidence, active research, and growing practical validation</w:t>
            </w:r>
          </w:p>
        </w:tc>
        <w:tc>
          <w:tcPr>
            <w:tcW w:w="0" w:type="auto"/>
            <w:vAlign w:val="center"/>
            <w:hideMark/>
          </w:tcPr>
          <w:p w14:paraId="4EE276AC"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Syntropic agroforestry, common mycorrhizal networks, plant biochemical signaling, regenerative nutrition, distributed MRV, agent-centric verification</w:t>
            </w:r>
          </w:p>
        </w:tc>
        <w:tc>
          <w:tcPr>
            <w:tcW w:w="0" w:type="auto"/>
            <w:vAlign w:val="center"/>
            <w:hideMark/>
          </w:tcPr>
          <w:p w14:paraId="60EF7A80"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Pilot learning, indicator development, confidence-scored modeling</w:t>
            </w:r>
          </w:p>
        </w:tc>
      </w:tr>
      <w:tr w:rsidR="00DD592F" w:rsidRPr="00B479AE" w14:paraId="79D68678" w14:textId="77777777" w:rsidTr="00DD592F">
        <w:trPr>
          <w:tblCellSpacing w:w="15" w:type="dxa"/>
        </w:trPr>
        <w:tc>
          <w:tcPr>
            <w:tcW w:w="0" w:type="auto"/>
            <w:vAlign w:val="center"/>
            <w:hideMark/>
          </w:tcPr>
          <w:p w14:paraId="2907EA9F"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Tier 3 — Exploratory hypotheses</w:t>
            </w:r>
          </w:p>
        </w:tc>
        <w:tc>
          <w:tcPr>
            <w:tcW w:w="0" w:type="auto"/>
            <w:vAlign w:val="center"/>
            <w:hideMark/>
          </w:tcPr>
          <w:p w14:paraId="2FC090E2"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Concepts that may be meaningful or promising but are not required for operational validity</w:t>
            </w:r>
          </w:p>
        </w:tc>
        <w:tc>
          <w:tcPr>
            <w:tcW w:w="0" w:type="auto"/>
            <w:vAlign w:val="center"/>
            <w:hideMark/>
          </w:tcPr>
          <w:p w14:paraId="0982EDA5"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Structured water, subtle field hypotheses, frontier biofield interpretations, early-stage coherence models</w:t>
            </w:r>
          </w:p>
        </w:tc>
        <w:tc>
          <w:tcPr>
            <w:tcW w:w="0" w:type="auto"/>
            <w:vAlign w:val="center"/>
            <w:hideMark/>
          </w:tcPr>
          <w:p w14:paraId="7EE3879D" w14:textId="77777777" w:rsidR="00DD592F" w:rsidRPr="00B479AE" w:rsidRDefault="00DD592F" w:rsidP="00DD592F">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only, appendix parking, no core financial admissibility</w:t>
            </w:r>
          </w:p>
        </w:tc>
      </w:tr>
    </w:tbl>
    <w:p w14:paraId="6190A4AC" w14:textId="77777777" w:rsidR="006821AE" w:rsidRPr="00B479AE" w:rsidRDefault="006821AE" w:rsidP="006821AE">
      <w:pPr>
        <w:spacing w:line="360" w:lineRule="auto"/>
        <w:rPr>
          <w:rFonts w:ascii="Baskerville Old Face" w:hAnsi="Baskerville Old Face"/>
          <w:i/>
          <w:iCs/>
        </w:rPr>
      </w:pPr>
      <w:r w:rsidRPr="00B479AE">
        <w:rPr>
          <w:rFonts w:ascii="Baskerville Old Face" w:hAnsi="Baskerville Old Face"/>
          <w:i/>
          <w:iCs/>
        </w:rPr>
        <w:t>The operational rule is:</w:t>
      </w:r>
    </w:p>
    <w:p w14:paraId="050A5033" w14:textId="77777777" w:rsidR="006821AE" w:rsidRPr="00B479AE" w:rsidRDefault="006821AE" w:rsidP="006821AE">
      <w:pPr>
        <w:spacing w:line="360" w:lineRule="auto"/>
        <w:rPr>
          <w:rFonts w:ascii="Baskerville Old Face" w:hAnsi="Baskerville Old Face"/>
          <w:i/>
          <w:iCs/>
        </w:rPr>
      </w:pPr>
      <w:r w:rsidRPr="00B479AE">
        <w:rPr>
          <w:rFonts w:ascii="Baskerville Old Face" w:hAnsi="Baskerville Old Face"/>
          <w:i/>
          <w:iCs/>
        </w:rPr>
        <w:lastRenderedPageBreak/>
        <w:t>Tier 1 grounds the system.</w:t>
      </w:r>
    </w:p>
    <w:p w14:paraId="77B375B6" w14:textId="77777777" w:rsidR="006821AE" w:rsidRPr="00B479AE" w:rsidRDefault="006821AE" w:rsidP="006821AE">
      <w:pPr>
        <w:spacing w:line="360" w:lineRule="auto"/>
        <w:rPr>
          <w:rFonts w:ascii="Baskerville Old Face" w:hAnsi="Baskerville Old Face"/>
          <w:i/>
          <w:iCs/>
        </w:rPr>
      </w:pPr>
      <w:r w:rsidRPr="00B479AE">
        <w:rPr>
          <w:rFonts w:ascii="Baskerville Old Face" w:hAnsi="Baskerville Old Face"/>
          <w:i/>
          <w:iCs/>
        </w:rPr>
        <w:t>Tier 2 informs design and pilot learning.</w:t>
      </w:r>
    </w:p>
    <w:p w14:paraId="3AB7C85F" w14:textId="77777777" w:rsidR="006821AE" w:rsidRPr="00B479AE" w:rsidRDefault="006821AE" w:rsidP="006821AE">
      <w:pPr>
        <w:spacing w:line="360" w:lineRule="auto"/>
        <w:rPr>
          <w:rFonts w:ascii="Baskerville Old Face" w:hAnsi="Baskerville Old Face"/>
          <w:i/>
          <w:iCs/>
        </w:rPr>
      </w:pPr>
      <w:r w:rsidRPr="00B479AE">
        <w:rPr>
          <w:rFonts w:ascii="Baskerville Old Face" w:hAnsi="Baskerville Old Face"/>
          <w:i/>
          <w:iCs/>
        </w:rPr>
        <w:t>Tier 3 may inspire research.</w:t>
      </w:r>
    </w:p>
    <w:p w14:paraId="378EA4BA" w14:textId="77777777" w:rsidR="006821AE" w:rsidRPr="00B479AE" w:rsidRDefault="006821AE" w:rsidP="006821AE">
      <w:pPr>
        <w:spacing w:line="360" w:lineRule="auto"/>
        <w:rPr>
          <w:rFonts w:ascii="Baskerville Old Face" w:hAnsi="Baskerville Old Face"/>
          <w:i/>
          <w:iCs/>
        </w:rPr>
      </w:pPr>
      <w:r w:rsidRPr="00B479AE">
        <w:rPr>
          <w:rFonts w:ascii="Baskerville Old Face" w:hAnsi="Baskerville Old Face"/>
          <w:i/>
          <w:iCs/>
        </w:rPr>
        <w:t>Only evidence that satisfies MRV, confidence, methodology, and admissibility may enter PRU value logic.</w:t>
      </w:r>
    </w:p>
    <w:p w14:paraId="4C479B48" w14:textId="17F8C309"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Tier 1 — Established science</w:t>
      </w:r>
    </w:p>
    <w:p w14:paraId="721CFB0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Tier 1 includes domains supported by strong empirical evidence, broad scientific acceptance, and repeated practical validation.</w:t>
      </w:r>
    </w:p>
    <w:p w14:paraId="5CD6847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These domains form the non-negotiable scientific foundation of Prometheus.</w:t>
      </w:r>
    </w:p>
    <w:p w14:paraId="2CA4DC7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They include:</w:t>
      </w:r>
    </w:p>
    <w:p w14:paraId="4BAA982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soil organic matter and soil organic carbon as indicators of fertility, structure, and long-term soil function;</w:t>
      </w:r>
    </w:p>
    <w:p w14:paraId="6A9BB84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the role of soil biology in nutrient cycling, aggregation, water infiltration, and productivity;</w:t>
      </w:r>
    </w:p>
    <w:p w14:paraId="72F8764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biodiversity as a contributor to ecosystem resilience;</w:t>
      </w:r>
    </w:p>
    <w:p w14:paraId="40DE1B0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agroforestry as a productive and resilient land-use model;</w:t>
      </w:r>
    </w:p>
    <w:p w14:paraId="23C0571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water infiltration, retention, and landscape hydrology as critical determinants of ecological productivity;</w:t>
      </w:r>
    </w:p>
    <w:p w14:paraId="24D96B3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the relationship between diversified food systems, nutritional quality, and public-health resilience;</w:t>
      </w:r>
    </w:p>
    <w:p w14:paraId="43F1F0D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the relevance of monitoring, reporting, and verification for credible environmental claims.</w:t>
      </w:r>
    </w:p>
    <w:p w14:paraId="33B26C1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Tier 1 evidence supports the operational core of Prometheus.</w:t>
      </w:r>
    </w:p>
    <w:p w14:paraId="5EE94FF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system must remain valid even under conservative evaluation criteria grounded only in these domains.</w:t>
      </w:r>
    </w:p>
    <w:p w14:paraId="5E19579B" w14:textId="77777777" w:rsidR="007E454C" w:rsidRDefault="007E454C" w:rsidP="00EE4728">
      <w:pPr>
        <w:spacing w:line="360" w:lineRule="auto"/>
        <w:rPr>
          <w:rFonts w:ascii="Baskerville Old Face" w:hAnsi="Baskerville Old Face"/>
          <w:b/>
          <w:bCs/>
          <w:i/>
          <w:iCs/>
        </w:rPr>
      </w:pPr>
    </w:p>
    <w:p w14:paraId="37AED8D5" w14:textId="7926BC79"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lastRenderedPageBreak/>
        <w:t>Tier 2 — Emerging science</w:t>
      </w:r>
    </w:p>
    <w:p w14:paraId="49C12C2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Tier 2 includes domains supported by converging evidence, active research, and growing practical validation, but still requiring continued observation across contexts.</w:t>
      </w:r>
    </w:p>
    <w:p w14:paraId="12C6FC8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These domains inform system design and pilot learning.</w:t>
      </w:r>
    </w:p>
    <w:p w14:paraId="76D1A6C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They include:</w:t>
      </w:r>
    </w:p>
    <w:p w14:paraId="63F7BF7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syntropic agroforestry and accelerated ecological succession;</w:t>
      </w:r>
    </w:p>
    <w:p w14:paraId="3279014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common mycorrhizal networks and plant-fungal resource exchange;</w:t>
      </w:r>
    </w:p>
    <w:p w14:paraId="67332B2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secondary metabolites, volatile organic compounds, and biochemical signaling in plant communities;</w:t>
      </w:r>
    </w:p>
    <w:p w14:paraId="310C5F8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regenerative agriculture impacts on nutritional density;</w:t>
      </w:r>
    </w:p>
    <w:p w14:paraId="42B8788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complex adaptive systems applied to socio-ecological and financial architectures;</w:t>
      </w:r>
    </w:p>
    <w:p w14:paraId="39F4DAB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distributed MRV and agent-centric verification systems;</w:t>
      </w:r>
    </w:p>
    <w:p w14:paraId="01785CA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AI-assisted ecological interpretation and decision support.</w:t>
      </w:r>
    </w:p>
    <w:p w14:paraId="0186496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Tier 2 evidence can guide design, modeling, and indicator development.</w:t>
      </w:r>
    </w:p>
    <w:p w14:paraId="17BAE81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should be used with confidence scoring, explicit uncertainty, and progressive validation through pilot data.</w:t>
      </w:r>
    </w:p>
    <w:p w14:paraId="78674A8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Tier 3 — Exploratory hypotheses</w:t>
      </w:r>
    </w:p>
    <w:p w14:paraId="2DA3121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Tier 3 includes concepts that may be scientifically interesting, philosophically meaningful, or practically inspiring, but are not required for the operational validity of Prometheus.</w:t>
      </w:r>
    </w:p>
    <w:p w14:paraId="63FAEEE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These may include speculative or early-stage interpretations of water structure, biofield dynamics, subtle coherence effects, or other frontier hypotheses.</w:t>
      </w:r>
    </w:p>
    <w:p w14:paraId="2CAAE96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can observe and research these areas without allowing them to govern core financial claims.</w:t>
      </w:r>
    </w:p>
    <w:p w14:paraId="33C81E8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boundary is essential.</w:t>
      </w:r>
    </w:p>
    <w:p w14:paraId="1F49122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The credibility of Prometheus depends on the ability to distinguish between established evidence, emerging evidence, and exploratory inquiry.</w:t>
      </w:r>
    </w:p>
    <w:p w14:paraId="5149BFC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What is not yet verified may inspire research.</w:t>
      </w:r>
    </w:p>
    <w:p w14:paraId="154F00D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What is verified may enter methodology.</w:t>
      </w:r>
    </w:p>
    <w:p w14:paraId="12DF55B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What satisfies admissibility may enter value.</w:t>
      </w:r>
    </w:p>
    <w:p w14:paraId="1CE8877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Epistemic discipline</w:t>
      </w:r>
    </w:p>
    <w:p w14:paraId="1FA1408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Prometheus scientific position is simple:</w:t>
      </w:r>
    </w:p>
    <w:p w14:paraId="0835A7F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life is complex, but complexity is not an excuse for vagueness.</w:t>
      </w:r>
    </w:p>
    <w:p w14:paraId="0D7A045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Regeneration involves nonlinear interactions, emergent properties, and context-specific outcomes.</w:t>
      </w:r>
    </w:p>
    <w:p w14:paraId="1D05C51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makes measurement difficult, but not impossible.</w:t>
      </w:r>
    </w:p>
    <w:p w14:paraId="0165E4E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therefore adopts epistemic discipline.</w:t>
      </w:r>
    </w:p>
    <w:p w14:paraId="3D0A856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Each claim must be associated with an evidence tier.</w:t>
      </w:r>
    </w:p>
    <w:p w14:paraId="57AD597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Each indicator must be associated with method, provenance, uncertainty, and confidence.</w:t>
      </w:r>
    </w:p>
    <w:p w14:paraId="304E691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Each value translation must remain constrained by admissibility rules.</w:t>
      </w:r>
    </w:p>
    <w:p w14:paraId="4B21C9E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allows the system to remain open to frontier science without becoming dependent on unverified assumptions.</w:t>
      </w:r>
    </w:p>
    <w:p w14:paraId="6A4A9D9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regenerative infrastructure system must be visionary enough to recognize emerging patterns and rigorous enough to survive institutional scrutiny.</w:t>
      </w:r>
    </w:p>
    <w:p w14:paraId="4B8DB14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is built for both.</w:t>
      </w:r>
    </w:p>
    <w:p w14:paraId="15D6ECC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The relational architecture of living systems</w:t>
      </w:r>
    </w:p>
    <w:p w14:paraId="71473F8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Living systems are defined by relationships.</w:t>
      </w:r>
    </w:p>
    <w:p w14:paraId="555DDE3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forest is not merely a collection of trees.</w:t>
      </w:r>
    </w:p>
    <w:p w14:paraId="0D229D4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soil is not merely a mineral substrate.</w:t>
      </w:r>
    </w:p>
    <w:p w14:paraId="03F96B1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A farm is not merely an arrangement of crops.</w:t>
      </w:r>
    </w:p>
    <w:p w14:paraId="128E1C3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An ecosystem is a network of exchanges, constraints, signals, feedback loops, organisms, flows, and temporal patterns.</w:t>
      </w:r>
    </w:p>
    <w:p w14:paraId="70DD08B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Plants interact with fungi, bacteria, insects, birds, animals, water, minerals, sunlight, wind, and human stewardship.</w:t>
      </w:r>
    </w:p>
    <w:p w14:paraId="6AA3A6F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Microorganisms decompose organic matter and release nutrients.</w:t>
      </w:r>
    </w:p>
    <w:p w14:paraId="234A7B1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Mycorrhizal fungi extend root systems and mediate exchanges.</w:t>
      </w:r>
    </w:p>
    <w:p w14:paraId="7B614E9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Pollinators support reproduction.</w:t>
      </w:r>
    </w:p>
    <w:p w14:paraId="5F10CEE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Predators regulate populations.</w:t>
      </w:r>
    </w:p>
    <w:p w14:paraId="22DE118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Diversity distributes ecological functions across many actors.</w:t>
      </w:r>
    </w:p>
    <w:p w14:paraId="3C52C52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Water connects atmosphere, soil, plants, organisms, and climate.</w:t>
      </w:r>
    </w:p>
    <w:p w14:paraId="4E61441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Regeneration occurs when these relationships become more coherent.</w:t>
      </w:r>
    </w:p>
    <w:p w14:paraId="047E6D5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coherence can be expressed through several properties:</w:t>
      </w:r>
    </w:p>
    <w:p w14:paraId="0136736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increased circulation of nutrients;</w:t>
      </w:r>
    </w:p>
    <w:p w14:paraId="20F648D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increased biological diversity;</w:t>
      </w:r>
    </w:p>
    <w:p w14:paraId="2354C40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increased redundancy of ecological functions;</w:t>
      </w:r>
    </w:p>
    <w:p w14:paraId="05F061A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increased water retention;</w:t>
      </w:r>
    </w:p>
    <w:p w14:paraId="71DEE22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increased biomass cycling;</w:t>
      </w:r>
    </w:p>
    <w:p w14:paraId="0E95CC6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increased productive stability;</w:t>
      </w:r>
    </w:p>
    <w:p w14:paraId="23CEE3A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reduced external input dependency;</w:t>
      </w:r>
    </w:p>
    <w:p w14:paraId="52FF866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reduced vulnerability to disturbance.</w:t>
      </w:r>
    </w:p>
    <w:p w14:paraId="2FD330D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treats these properties as measurable expressions of living-system intelligence.</w:t>
      </w:r>
    </w:p>
    <w:p w14:paraId="5405C71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lastRenderedPageBreak/>
        <w:t>Syntropic succession</w:t>
      </w:r>
    </w:p>
    <w:p w14:paraId="7CB41B3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Syntropic systems are based on the principle that life tends toward increasing complexity, organization, and cooperation when conditions support succession.</w:t>
      </w:r>
    </w:p>
    <w:p w14:paraId="248506F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natural ecosystems, succession describes the temporal process through which plant communities evolve from pioneer stages toward more complex and stable ecological structures.</w:t>
      </w:r>
    </w:p>
    <w:p w14:paraId="1E69007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Syntropic design uses this principle intentionally.</w:t>
      </w:r>
    </w:p>
    <w:p w14:paraId="3D4444D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introduces species across multiple successional stages, organizes them through stratification, and manages biomass to accelerate ecological development.</w:t>
      </w:r>
    </w:p>
    <w:p w14:paraId="7F1234A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result is not a static plantation.</w:t>
      </w:r>
    </w:p>
    <w:p w14:paraId="787C277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is a dynamic living system.</w:t>
      </w:r>
    </w:p>
    <w:p w14:paraId="4E01FC4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Syntropic systems use:</w:t>
      </w:r>
    </w:p>
    <w:p w14:paraId="3D38351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pioneer species to prepare soil and microclimate;</w:t>
      </w:r>
    </w:p>
    <w:p w14:paraId="3059928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secondary species to increase structure and production;</w:t>
      </w:r>
    </w:p>
    <w:p w14:paraId="77569FA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longer-cycle species to build canopy, biomass, and stability;</w:t>
      </w:r>
    </w:p>
    <w:p w14:paraId="5137B15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ground cover to protect soil;</w:t>
      </w:r>
    </w:p>
    <w:p w14:paraId="609C4BF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pruning to stimulate growth and return organic matter;</w:t>
      </w:r>
    </w:p>
    <w:p w14:paraId="671B6DB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diversity to distribute risk;</w:t>
      </w:r>
    </w:p>
    <w:p w14:paraId="224CF2A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stratification to increase photosynthetic efficiency.</w:t>
      </w:r>
    </w:p>
    <w:p w14:paraId="7D05BD1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this architecture, productivity emerges from ecological succession rather than from input intensification alone.</w:t>
      </w:r>
    </w:p>
    <w:p w14:paraId="6034260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syntropic system becomes more productive because relationships mature.</w:t>
      </w:r>
    </w:p>
    <w:p w14:paraId="4BA47C9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Soil improves.</w:t>
      </w:r>
    </w:p>
    <w:p w14:paraId="004C8BB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Water retention increases.</w:t>
      </w:r>
    </w:p>
    <w:p w14:paraId="1398C3A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Biomass cycling accelerates.</w:t>
      </w:r>
    </w:p>
    <w:p w14:paraId="66976F4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Microclimates stabilize.</w:t>
      </w:r>
    </w:p>
    <w:p w14:paraId="5A95F90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Root networks deepen.</w:t>
      </w:r>
    </w:p>
    <w:p w14:paraId="467F70F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Species interactions become more functional.</w:t>
      </w:r>
    </w:p>
    <w:p w14:paraId="221D6B0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uses syntropic succession as one of the biophysical foundations of the One Human Ecosystem.</w:t>
      </w:r>
    </w:p>
    <w:p w14:paraId="08EE23E3" w14:textId="24CD46DC" w:rsidR="00DF18AE" w:rsidRPr="00B479AE" w:rsidRDefault="00DF18AE" w:rsidP="00DF18AE">
      <w:pPr>
        <w:spacing w:line="360" w:lineRule="auto"/>
        <w:rPr>
          <w:rFonts w:ascii="Baskerville Old Face" w:hAnsi="Baskerville Old Face"/>
          <w:b/>
          <w:bCs/>
          <w:i/>
          <w:iCs/>
        </w:rPr>
      </w:pPr>
      <w:r w:rsidRPr="00B479AE">
        <w:rPr>
          <w:rFonts w:ascii="Baskerville Old Face" w:hAnsi="Baskerville Old Face"/>
          <w:b/>
          <w:bCs/>
          <w:i/>
          <w:iCs/>
        </w:rPr>
        <w:t>Comparative Production Dynamics: Conventional and Syntropic Systems</w:t>
      </w:r>
    </w:p>
    <w:p w14:paraId="32E36E0B" w14:textId="77777777" w:rsidR="00DF18AE" w:rsidRPr="00B479AE" w:rsidRDefault="00DF18AE" w:rsidP="00DF18AE">
      <w:pPr>
        <w:spacing w:line="360" w:lineRule="auto"/>
        <w:rPr>
          <w:rFonts w:ascii="Baskerville Old Face" w:hAnsi="Baskerville Old Face"/>
          <w:i/>
          <w:iCs/>
        </w:rPr>
      </w:pPr>
      <w:r w:rsidRPr="00B479AE">
        <w:rPr>
          <w:rFonts w:ascii="Baskerville Old Face" w:hAnsi="Baskerville Old Face"/>
          <w:i/>
          <w:iCs/>
        </w:rPr>
        <w:t>Syntropic systems differ from conventional agriculture not only in technique, but in production logic.</w:t>
      </w:r>
    </w:p>
    <w:p w14:paraId="5A0166C6" w14:textId="77777777" w:rsidR="00DF18AE" w:rsidRPr="00B479AE" w:rsidRDefault="00DF18AE" w:rsidP="00DF18AE">
      <w:pPr>
        <w:spacing w:line="360" w:lineRule="auto"/>
        <w:rPr>
          <w:rFonts w:ascii="Baskerville Old Face" w:hAnsi="Baskerville Old Face"/>
          <w:i/>
          <w:iCs/>
        </w:rPr>
      </w:pPr>
      <w:r w:rsidRPr="00B479AE">
        <w:rPr>
          <w:rFonts w:ascii="Baskerville Old Face" w:hAnsi="Baskerville Old Face"/>
          <w:i/>
          <w:iCs/>
        </w:rPr>
        <w:t>Conventional systems tend to rely on external input intensification.</w:t>
      </w:r>
    </w:p>
    <w:p w14:paraId="02D09E6A" w14:textId="0D42B3A6" w:rsidR="00DF18AE" w:rsidRDefault="00DF18AE" w:rsidP="00DF18AE">
      <w:pPr>
        <w:spacing w:line="360" w:lineRule="auto"/>
        <w:rPr>
          <w:rFonts w:ascii="Baskerville Old Face" w:hAnsi="Baskerville Old Face"/>
          <w:i/>
          <w:iCs/>
        </w:rPr>
      </w:pPr>
      <w:r w:rsidRPr="00B479AE">
        <w:rPr>
          <w:rFonts w:ascii="Baskerville Old Face" w:hAnsi="Baskerville Old Face"/>
          <w:i/>
          <w:iCs/>
        </w:rPr>
        <w:t>Syntropic systems seek to increase productivity through succession, stratification, biomass cycling, soil regeneration, water retention, biodiversity, and ecological cooperation.</w:t>
      </w:r>
      <w:r w:rsidR="007E454C">
        <w:rPr>
          <w:rFonts w:ascii="Baskerville Old Face" w:hAnsi="Baskerville Old Face"/>
          <w:i/>
          <w:iCs/>
        </w:rPr>
        <w:t xml:space="preserve"> </w:t>
      </w:r>
    </w:p>
    <w:p w14:paraId="3E59F126" w14:textId="77777777" w:rsidR="007E454C" w:rsidRDefault="007E454C" w:rsidP="00DF18AE">
      <w:pPr>
        <w:spacing w:line="360" w:lineRule="auto"/>
        <w:rPr>
          <w:rFonts w:ascii="Baskerville Old Face" w:hAnsi="Baskerville Old Face"/>
          <w:i/>
          <w:iCs/>
        </w:rPr>
      </w:pPr>
    </w:p>
    <w:p w14:paraId="5DB010DC" w14:textId="77777777" w:rsidR="007E454C" w:rsidRDefault="007E454C" w:rsidP="00DF18AE">
      <w:pPr>
        <w:spacing w:line="360" w:lineRule="auto"/>
        <w:rPr>
          <w:rFonts w:ascii="Baskerville Old Face" w:hAnsi="Baskerville Old Face"/>
          <w:i/>
          <w:iCs/>
        </w:rPr>
      </w:pPr>
    </w:p>
    <w:p w14:paraId="45400C39" w14:textId="77777777" w:rsidR="007E454C" w:rsidRDefault="007E454C" w:rsidP="00DF18AE">
      <w:pPr>
        <w:spacing w:line="360" w:lineRule="auto"/>
        <w:rPr>
          <w:rFonts w:ascii="Baskerville Old Face" w:hAnsi="Baskerville Old Face"/>
          <w:i/>
          <w:iCs/>
        </w:rPr>
      </w:pPr>
    </w:p>
    <w:p w14:paraId="3CBED731" w14:textId="77777777" w:rsidR="007E454C" w:rsidRDefault="007E454C" w:rsidP="00DF18AE">
      <w:pPr>
        <w:spacing w:line="360" w:lineRule="auto"/>
        <w:rPr>
          <w:rFonts w:ascii="Baskerville Old Face" w:hAnsi="Baskerville Old Face"/>
          <w:i/>
          <w:iCs/>
        </w:rPr>
      </w:pPr>
    </w:p>
    <w:p w14:paraId="71D70FCA" w14:textId="77777777" w:rsidR="007E454C" w:rsidRDefault="007E454C" w:rsidP="00DF18AE">
      <w:pPr>
        <w:spacing w:line="360" w:lineRule="auto"/>
        <w:rPr>
          <w:rFonts w:ascii="Baskerville Old Face" w:hAnsi="Baskerville Old Face"/>
          <w:i/>
          <w:iCs/>
        </w:rPr>
      </w:pPr>
    </w:p>
    <w:p w14:paraId="3C133490" w14:textId="77777777" w:rsidR="007E454C" w:rsidRDefault="007E454C" w:rsidP="00DF18AE">
      <w:pPr>
        <w:spacing w:line="360" w:lineRule="auto"/>
        <w:rPr>
          <w:rFonts w:ascii="Baskerville Old Face" w:hAnsi="Baskerville Old Face"/>
          <w:i/>
          <w:iCs/>
        </w:rPr>
      </w:pPr>
    </w:p>
    <w:p w14:paraId="380A0C36" w14:textId="77777777" w:rsidR="007E454C" w:rsidRDefault="007E454C" w:rsidP="00DF18AE">
      <w:pPr>
        <w:spacing w:line="360" w:lineRule="auto"/>
        <w:rPr>
          <w:rFonts w:ascii="Baskerville Old Face" w:hAnsi="Baskerville Old Face"/>
          <w:i/>
          <w:iCs/>
        </w:rPr>
      </w:pPr>
    </w:p>
    <w:p w14:paraId="6A3CCA53" w14:textId="77777777" w:rsidR="007E454C" w:rsidRDefault="007E454C" w:rsidP="00DF18AE">
      <w:pPr>
        <w:spacing w:line="360" w:lineRule="auto"/>
        <w:rPr>
          <w:rFonts w:ascii="Baskerville Old Face" w:hAnsi="Baskerville Old Face"/>
          <w:i/>
          <w:iCs/>
        </w:rPr>
      </w:pPr>
    </w:p>
    <w:p w14:paraId="3656F276" w14:textId="77777777" w:rsidR="007E454C" w:rsidRDefault="007E454C" w:rsidP="00DF18AE">
      <w:pPr>
        <w:spacing w:line="360" w:lineRule="auto"/>
        <w:rPr>
          <w:rFonts w:ascii="Baskerville Old Face" w:hAnsi="Baskerville Old Face"/>
          <w:i/>
          <w:iCs/>
        </w:rPr>
      </w:pPr>
    </w:p>
    <w:p w14:paraId="661E1E45" w14:textId="77777777" w:rsidR="007E454C" w:rsidRPr="00B479AE" w:rsidRDefault="007E454C" w:rsidP="00DF18AE">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4"/>
        <w:gridCol w:w="3691"/>
        <w:gridCol w:w="4103"/>
      </w:tblGrid>
      <w:tr w:rsidR="00DF18AE" w:rsidRPr="00B479AE" w14:paraId="0E46977F" w14:textId="77777777" w:rsidTr="00DF18AE">
        <w:trPr>
          <w:tblHeader/>
          <w:tblCellSpacing w:w="15" w:type="dxa"/>
        </w:trPr>
        <w:tc>
          <w:tcPr>
            <w:tcW w:w="0" w:type="auto"/>
            <w:vAlign w:val="center"/>
            <w:hideMark/>
          </w:tcPr>
          <w:p w14:paraId="297BD528" w14:textId="77777777" w:rsidR="00DF18AE" w:rsidRPr="00B479AE" w:rsidRDefault="00DF18AE" w:rsidP="00DF18A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Aspect</w:t>
            </w:r>
          </w:p>
        </w:tc>
        <w:tc>
          <w:tcPr>
            <w:tcW w:w="0" w:type="auto"/>
            <w:vAlign w:val="center"/>
            <w:hideMark/>
          </w:tcPr>
          <w:p w14:paraId="0EAD19D4" w14:textId="77777777" w:rsidR="00DF18AE" w:rsidRPr="00B479AE" w:rsidRDefault="00DF18AE" w:rsidP="00DF18A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Conventional agriculture</w:t>
            </w:r>
          </w:p>
        </w:tc>
        <w:tc>
          <w:tcPr>
            <w:tcW w:w="0" w:type="auto"/>
            <w:vAlign w:val="center"/>
            <w:hideMark/>
          </w:tcPr>
          <w:p w14:paraId="21C499A2" w14:textId="77777777" w:rsidR="00DF18AE" w:rsidRPr="00B479AE" w:rsidRDefault="00DF18AE" w:rsidP="00DF18A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Syntropic systems</w:t>
            </w:r>
          </w:p>
        </w:tc>
      </w:tr>
      <w:tr w:rsidR="00DF18AE" w:rsidRPr="00B479AE" w14:paraId="7295D17E" w14:textId="77777777" w:rsidTr="00DF18AE">
        <w:trPr>
          <w:tblCellSpacing w:w="15" w:type="dxa"/>
        </w:trPr>
        <w:tc>
          <w:tcPr>
            <w:tcW w:w="0" w:type="auto"/>
            <w:vAlign w:val="center"/>
            <w:hideMark/>
          </w:tcPr>
          <w:p w14:paraId="452EAD17"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Production logic</w:t>
            </w:r>
          </w:p>
        </w:tc>
        <w:tc>
          <w:tcPr>
            <w:tcW w:w="0" w:type="auto"/>
            <w:vAlign w:val="center"/>
            <w:hideMark/>
          </w:tcPr>
          <w:p w14:paraId="2AB32FE9"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Output-first</w:t>
            </w:r>
          </w:p>
        </w:tc>
        <w:tc>
          <w:tcPr>
            <w:tcW w:w="0" w:type="auto"/>
            <w:vAlign w:val="center"/>
            <w:hideMark/>
          </w:tcPr>
          <w:p w14:paraId="3741CE58"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System-health-first, then output</w:t>
            </w:r>
          </w:p>
        </w:tc>
      </w:tr>
      <w:tr w:rsidR="00DF18AE" w:rsidRPr="00B479AE" w14:paraId="3F64E9FA" w14:textId="77777777" w:rsidTr="00DF18AE">
        <w:trPr>
          <w:tblCellSpacing w:w="15" w:type="dxa"/>
        </w:trPr>
        <w:tc>
          <w:tcPr>
            <w:tcW w:w="0" w:type="auto"/>
            <w:vAlign w:val="center"/>
            <w:hideMark/>
          </w:tcPr>
          <w:p w14:paraId="7892D292"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Yield trend</w:t>
            </w:r>
          </w:p>
        </w:tc>
        <w:tc>
          <w:tcPr>
            <w:tcW w:w="0" w:type="auto"/>
            <w:vAlign w:val="center"/>
            <w:hideMark/>
          </w:tcPr>
          <w:p w14:paraId="33A5185C"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Often stable, input-dependent, or declining under stress</w:t>
            </w:r>
          </w:p>
        </w:tc>
        <w:tc>
          <w:tcPr>
            <w:tcW w:w="0" w:type="auto"/>
            <w:vAlign w:val="center"/>
            <w:hideMark/>
          </w:tcPr>
          <w:p w14:paraId="5FA45BDC"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Potentially increasing as ecological maturity develops</w:t>
            </w:r>
          </w:p>
        </w:tc>
      </w:tr>
      <w:tr w:rsidR="00DF18AE" w:rsidRPr="00B479AE" w14:paraId="6945BD48" w14:textId="77777777" w:rsidTr="00DF18AE">
        <w:trPr>
          <w:tblCellSpacing w:w="15" w:type="dxa"/>
        </w:trPr>
        <w:tc>
          <w:tcPr>
            <w:tcW w:w="0" w:type="auto"/>
            <w:vAlign w:val="center"/>
            <w:hideMark/>
          </w:tcPr>
          <w:p w14:paraId="1D70FA9B"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Soil fertility</w:t>
            </w:r>
          </w:p>
        </w:tc>
        <w:tc>
          <w:tcPr>
            <w:tcW w:w="0" w:type="auto"/>
            <w:vAlign w:val="center"/>
            <w:hideMark/>
          </w:tcPr>
          <w:p w14:paraId="124ADD89"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Often declining without external correction</w:t>
            </w:r>
          </w:p>
        </w:tc>
        <w:tc>
          <w:tcPr>
            <w:tcW w:w="0" w:type="auto"/>
            <w:vAlign w:val="center"/>
            <w:hideMark/>
          </w:tcPr>
          <w:p w14:paraId="5D218059"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Increasing when biomass, roots, microbes, and organic matter accumulate</w:t>
            </w:r>
          </w:p>
        </w:tc>
      </w:tr>
      <w:tr w:rsidR="00DF18AE" w:rsidRPr="00B479AE" w14:paraId="5F8E1031" w14:textId="77777777" w:rsidTr="00DF18AE">
        <w:trPr>
          <w:tblCellSpacing w:w="15" w:type="dxa"/>
        </w:trPr>
        <w:tc>
          <w:tcPr>
            <w:tcW w:w="0" w:type="auto"/>
            <w:vAlign w:val="center"/>
            <w:hideMark/>
          </w:tcPr>
          <w:p w14:paraId="337B6306"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Input use</w:t>
            </w:r>
          </w:p>
        </w:tc>
        <w:tc>
          <w:tcPr>
            <w:tcW w:w="0" w:type="auto"/>
            <w:vAlign w:val="center"/>
            <w:hideMark/>
          </w:tcPr>
          <w:p w14:paraId="1F92BE4A"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High and structurally recurring</w:t>
            </w:r>
          </w:p>
        </w:tc>
        <w:tc>
          <w:tcPr>
            <w:tcW w:w="0" w:type="auto"/>
            <w:vAlign w:val="center"/>
            <w:hideMark/>
          </w:tcPr>
          <w:p w14:paraId="5B9ADFF1"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Decreasing as internal cycling improves</w:t>
            </w:r>
          </w:p>
        </w:tc>
      </w:tr>
      <w:tr w:rsidR="00DF18AE" w:rsidRPr="00B479AE" w14:paraId="2A50C6B8" w14:textId="77777777" w:rsidTr="00DF18AE">
        <w:trPr>
          <w:tblCellSpacing w:w="15" w:type="dxa"/>
        </w:trPr>
        <w:tc>
          <w:tcPr>
            <w:tcW w:w="0" w:type="auto"/>
            <w:vAlign w:val="center"/>
            <w:hideMark/>
          </w:tcPr>
          <w:p w14:paraId="68101A5D"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Water performance</w:t>
            </w:r>
          </w:p>
        </w:tc>
        <w:tc>
          <w:tcPr>
            <w:tcW w:w="0" w:type="auto"/>
            <w:vAlign w:val="center"/>
            <w:hideMark/>
          </w:tcPr>
          <w:p w14:paraId="4CD05792"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Vulnerable to runoff, evaporation, compaction, and drought stress</w:t>
            </w:r>
          </w:p>
        </w:tc>
        <w:tc>
          <w:tcPr>
            <w:tcW w:w="0" w:type="auto"/>
            <w:vAlign w:val="center"/>
            <w:hideMark/>
          </w:tcPr>
          <w:p w14:paraId="6FBC6A8E"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Improved through infiltration, retention, cover, roots, and microclimate</w:t>
            </w:r>
          </w:p>
        </w:tc>
      </w:tr>
      <w:tr w:rsidR="00DF18AE" w:rsidRPr="00B479AE" w14:paraId="329534A2" w14:textId="77777777" w:rsidTr="00DF18AE">
        <w:trPr>
          <w:tblCellSpacing w:w="15" w:type="dxa"/>
        </w:trPr>
        <w:tc>
          <w:tcPr>
            <w:tcW w:w="0" w:type="auto"/>
            <w:vAlign w:val="center"/>
            <w:hideMark/>
          </w:tcPr>
          <w:p w14:paraId="77E44181"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Biodiversity</w:t>
            </w:r>
          </w:p>
        </w:tc>
        <w:tc>
          <w:tcPr>
            <w:tcW w:w="0" w:type="auto"/>
            <w:vAlign w:val="center"/>
            <w:hideMark/>
          </w:tcPr>
          <w:p w14:paraId="0AB1E8B4"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Simplified</w:t>
            </w:r>
          </w:p>
        </w:tc>
        <w:tc>
          <w:tcPr>
            <w:tcW w:w="0" w:type="auto"/>
            <w:vAlign w:val="center"/>
            <w:hideMark/>
          </w:tcPr>
          <w:p w14:paraId="6638F829"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Functionally diversified</w:t>
            </w:r>
          </w:p>
        </w:tc>
      </w:tr>
      <w:tr w:rsidR="00DF18AE" w:rsidRPr="00B479AE" w14:paraId="12612E6A" w14:textId="77777777" w:rsidTr="00DF18AE">
        <w:trPr>
          <w:tblCellSpacing w:w="15" w:type="dxa"/>
        </w:trPr>
        <w:tc>
          <w:tcPr>
            <w:tcW w:w="0" w:type="auto"/>
            <w:vAlign w:val="center"/>
            <w:hideMark/>
          </w:tcPr>
          <w:p w14:paraId="2110E85F"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Risk profile</w:t>
            </w:r>
          </w:p>
        </w:tc>
        <w:tc>
          <w:tcPr>
            <w:tcW w:w="0" w:type="auto"/>
            <w:vAlign w:val="center"/>
            <w:hideMark/>
          </w:tcPr>
          <w:p w14:paraId="20AF3CDC"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Concentrated around crop, input, climate, and market exposure</w:t>
            </w:r>
          </w:p>
        </w:tc>
        <w:tc>
          <w:tcPr>
            <w:tcW w:w="0" w:type="auto"/>
            <w:vAlign w:val="center"/>
            <w:hideMark/>
          </w:tcPr>
          <w:p w14:paraId="7DBE8E2C"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Distributed across species, layers, functions, and ecological relationships</w:t>
            </w:r>
          </w:p>
        </w:tc>
      </w:tr>
      <w:tr w:rsidR="00DF18AE" w:rsidRPr="00B479AE" w14:paraId="33BB7A66" w14:textId="77777777" w:rsidTr="00DF18AE">
        <w:trPr>
          <w:tblCellSpacing w:w="15" w:type="dxa"/>
        </w:trPr>
        <w:tc>
          <w:tcPr>
            <w:tcW w:w="0" w:type="auto"/>
            <w:vAlign w:val="center"/>
            <w:hideMark/>
          </w:tcPr>
          <w:p w14:paraId="353E58DF"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Resilience</w:t>
            </w:r>
          </w:p>
        </w:tc>
        <w:tc>
          <w:tcPr>
            <w:tcW w:w="0" w:type="auto"/>
            <w:vAlign w:val="center"/>
            <w:hideMark/>
          </w:tcPr>
          <w:p w14:paraId="33E43DFA"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Low to moderate, depending on external support</w:t>
            </w:r>
          </w:p>
        </w:tc>
        <w:tc>
          <w:tcPr>
            <w:tcW w:w="0" w:type="auto"/>
            <w:vAlign w:val="center"/>
            <w:hideMark/>
          </w:tcPr>
          <w:p w14:paraId="562A66ED"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Potentially high where design, stewardship, and context are strong</w:t>
            </w:r>
          </w:p>
        </w:tc>
      </w:tr>
      <w:tr w:rsidR="00DF18AE" w:rsidRPr="00B479AE" w14:paraId="3A075BDA" w14:textId="77777777" w:rsidTr="00DF18AE">
        <w:trPr>
          <w:tblCellSpacing w:w="15" w:type="dxa"/>
        </w:trPr>
        <w:tc>
          <w:tcPr>
            <w:tcW w:w="0" w:type="auto"/>
            <w:vAlign w:val="center"/>
            <w:hideMark/>
          </w:tcPr>
          <w:p w14:paraId="3A536EE6"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Biomass role</w:t>
            </w:r>
          </w:p>
        </w:tc>
        <w:tc>
          <w:tcPr>
            <w:tcW w:w="0" w:type="auto"/>
            <w:vAlign w:val="center"/>
            <w:hideMark/>
          </w:tcPr>
          <w:p w14:paraId="2DD25136"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Often removed, burned, wasted, or treated as residue</w:t>
            </w:r>
          </w:p>
        </w:tc>
        <w:tc>
          <w:tcPr>
            <w:tcW w:w="0" w:type="auto"/>
            <w:vAlign w:val="center"/>
            <w:hideMark/>
          </w:tcPr>
          <w:p w14:paraId="78824E6B"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Returned to the system as metabolic infrastructure</w:t>
            </w:r>
          </w:p>
        </w:tc>
      </w:tr>
      <w:tr w:rsidR="00DF18AE" w:rsidRPr="00B479AE" w14:paraId="0E756559" w14:textId="77777777" w:rsidTr="00DF18AE">
        <w:trPr>
          <w:tblCellSpacing w:w="15" w:type="dxa"/>
        </w:trPr>
        <w:tc>
          <w:tcPr>
            <w:tcW w:w="0" w:type="auto"/>
            <w:vAlign w:val="center"/>
            <w:hideMark/>
          </w:tcPr>
          <w:p w14:paraId="475B9323"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Pest and disease dynamics</w:t>
            </w:r>
          </w:p>
        </w:tc>
        <w:tc>
          <w:tcPr>
            <w:tcW w:w="0" w:type="auto"/>
            <w:vAlign w:val="center"/>
            <w:hideMark/>
          </w:tcPr>
          <w:p w14:paraId="1F28707F"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Often managed through external control</w:t>
            </w:r>
          </w:p>
        </w:tc>
        <w:tc>
          <w:tcPr>
            <w:tcW w:w="0" w:type="auto"/>
            <w:vAlign w:val="center"/>
            <w:hideMark/>
          </w:tcPr>
          <w:p w14:paraId="6D707640"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Potentially buffered through diversity, succession, and ecological regulation</w:t>
            </w:r>
          </w:p>
        </w:tc>
      </w:tr>
      <w:tr w:rsidR="00DF18AE" w:rsidRPr="00B479AE" w14:paraId="67E5FE11" w14:textId="77777777" w:rsidTr="00DF18AE">
        <w:trPr>
          <w:tblCellSpacing w:w="15" w:type="dxa"/>
        </w:trPr>
        <w:tc>
          <w:tcPr>
            <w:tcW w:w="0" w:type="auto"/>
            <w:vAlign w:val="center"/>
            <w:hideMark/>
          </w:tcPr>
          <w:p w14:paraId="48BDB09E"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Long-term productivity</w:t>
            </w:r>
          </w:p>
        </w:tc>
        <w:tc>
          <w:tcPr>
            <w:tcW w:w="0" w:type="auto"/>
            <w:vAlign w:val="center"/>
            <w:hideMark/>
          </w:tcPr>
          <w:p w14:paraId="302D7A76"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Maintained through external inputs</w:t>
            </w:r>
          </w:p>
        </w:tc>
        <w:tc>
          <w:tcPr>
            <w:tcW w:w="0" w:type="auto"/>
            <w:vAlign w:val="center"/>
            <w:hideMark/>
          </w:tcPr>
          <w:p w14:paraId="5BBFCB45"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Built through ecological maturation</w:t>
            </w:r>
          </w:p>
        </w:tc>
      </w:tr>
      <w:tr w:rsidR="00DF18AE" w:rsidRPr="00B479AE" w14:paraId="0C584397" w14:textId="77777777" w:rsidTr="00DF18AE">
        <w:trPr>
          <w:tblCellSpacing w:w="15" w:type="dxa"/>
        </w:trPr>
        <w:tc>
          <w:tcPr>
            <w:tcW w:w="0" w:type="auto"/>
            <w:vAlign w:val="center"/>
            <w:hideMark/>
          </w:tcPr>
          <w:p w14:paraId="7D50B082"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Value logic</w:t>
            </w:r>
          </w:p>
        </w:tc>
        <w:tc>
          <w:tcPr>
            <w:tcW w:w="0" w:type="auto"/>
            <w:vAlign w:val="center"/>
            <w:hideMark/>
          </w:tcPr>
          <w:p w14:paraId="1B905F5E"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Revenue from output</w:t>
            </w:r>
          </w:p>
        </w:tc>
        <w:tc>
          <w:tcPr>
            <w:tcW w:w="0" w:type="auto"/>
            <w:vAlign w:val="center"/>
            <w:hideMark/>
          </w:tcPr>
          <w:p w14:paraId="0CA7619C" w14:textId="77777777" w:rsidR="00DF18AE" w:rsidRPr="00B479AE" w:rsidRDefault="00DF18AE" w:rsidP="00DF18AE">
            <w:pPr>
              <w:spacing w:line="360" w:lineRule="auto"/>
              <w:rPr>
                <w:rFonts w:ascii="Baskerville Old Face" w:hAnsi="Baskerville Old Face"/>
                <w:i/>
                <w:iCs/>
                <w:sz w:val="22"/>
                <w:szCs w:val="22"/>
              </w:rPr>
            </w:pPr>
            <w:r w:rsidRPr="00B479AE">
              <w:rPr>
                <w:rFonts w:ascii="Baskerville Old Face" w:hAnsi="Baskerville Old Face"/>
                <w:i/>
                <w:iCs/>
                <w:sz w:val="22"/>
                <w:szCs w:val="22"/>
              </w:rPr>
              <w:t>Value from output plus improved future productive capacity</w:t>
            </w:r>
          </w:p>
        </w:tc>
      </w:tr>
    </w:tbl>
    <w:p w14:paraId="652776C6" w14:textId="77777777" w:rsidR="001A0AC2" w:rsidRPr="00B479AE" w:rsidRDefault="001A0AC2" w:rsidP="001A0AC2">
      <w:pPr>
        <w:spacing w:line="360" w:lineRule="auto"/>
        <w:rPr>
          <w:rFonts w:ascii="Baskerville Old Face" w:hAnsi="Baskerville Old Face"/>
          <w:i/>
          <w:iCs/>
        </w:rPr>
      </w:pPr>
      <w:r w:rsidRPr="00B479AE">
        <w:rPr>
          <w:rFonts w:ascii="Baskerville Old Face" w:hAnsi="Baskerville Old Face"/>
          <w:i/>
          <w:iCs/>
        </w:rPr>
        <w:t>This comparison is conceptual and must be interpreted conservatively.</w:t>
      </w:r>
    </w:p>
    <w:p w14:paraId="36046A4A" w14:textId="77777777" w:rsidR="001A0AC2" w:rsidRPr="00B479AE" w:rsidRDefault="001A0AC2" w:rsidP="001A0AC2">
      <w:pPr>
        <w:spacing w:line="360" w:lineRule="auto"/>
        <w:rPr>
          <w:rFonts w:ascii="Baskerville Old Face" w:hAnsi="Baskerville Old Face"/>
          <w:i/>
          <w:iCs/>
        </w:rPr>
      </w:pPr>
      <w:r w:rsidRPr="00B479AE">
        <w:rPr>
          <w:rFonts w:ascii="Baskerville Old Face" w:hAnsi="Baskerville Old Face"/>
          <w:i/>
          <w:iCs/>
        </w:rPr>
        <w:t>Syntropic systems are not plug-and-play.</w:t>
      </w:r>
    </w:p>
    <w:p w14:paraId="626E62FC" w14:textId="77777777" w:rsidR="001A0AC2" w:rsidRPr="00B479AE" w:rsidRDefault="001A0AC2" w:rsidP="001A0AC2">
      <w:pPr>
        <w:spacing w:line="360" w:lineRule="auto"/>
        <w:rPr>
          <w:rFonts w:ascii="Baskerville Old Face" w:hAnsi="Baskerville Old Face"/>
          <w:i/>
          <w:iCs/>
        </w:rPr>
      </w:pPr>
      <w:r w:rsidRPr="00B479AE">
        <w:rPr>
          <w:rFonts w:ascii="Baskerville Old Face" w:hAnsi="Baskerville Old Face"/>
          <w:i/>
          <w:iCs/>
        </w:rPr>
        <w:lastRenderedPageBreak/>
        <w:t>Their performance depends on design quality, management skill, ecological context, species selection, water conditions, soil baseline, time, and stewardship continuity.</w:t>
      </w:r>
    </w:p>
    <w:p w14:paraId="3FD8500A" w14:textId="77777777" w:rsidR="001A0AC2" w:rsidRPr="00B479AE" w:rsidRDefault="001A0AC2" w:rsidP="001A0AC2">
      <w:pPr>
        <w:spacing w:line="360" w:lineRule="auto"/>
        <w:rPr>
          <w:rFonts w:ascii="Baskerville Old Face" w:hAnsi="Baskerville Old Face"/>
          <w:i/>
          <w:iCs/>
        </w:rPr>
      </w:pPr>
      <w:r w:rsidRPr="00B479AE">
        <w:rPr>
          <w:rFonts w:ascii="Baskerville Old Face" w:hAnsi="Baskerville Old Face"/>
          <w:i/>
          <w:iCs/>
        </w:rPr>
        <w:t>The correct boundary condition is:</w:t>
      </w:r>
    </w:p>
    <w:p w14:paraId="68835816" w14:textId="77777777" w:rsidR="001A0AC2" w:rsidRPr="00B479AE" w:rsidRDefault="001A0AC2" w:rsidP="001A0AC2">
      <w:pPr>
        <w:spacing w:line="360" w:lineRule="auto"/>
        <w:rPr>
          <w:rFonts w:ascii="Baskerville Old Face" w:hAnsi="Baskerville Old Face"/>
          <w:i/>
          <w:iCs/>
        </w:rPr>
      </w:pPr>
      <w:r w:rsidRPr="00B479AE">
        <w:rPr>
          <w:rFonts w:ascii="Baskerville Old Face" w:hAnsi="Baskerville Old Face"/>
          <w:b/>
          <w:bCs/>
          <w:i/>
          <w:iCs/>
        </w:rPr>
        <w:t xml:space="preserve">Regenerative performance </w:t>
      </w:r>
      <w:r w:rsidRPr="00B479AE">
        <w:rPr>
          <w:rFonts w:ascii="Cambria Math" w:hAnsi="Cambria Math" w:cs="Cambria Math"/>
          <w:b/>
          <w:bCs/>
          <w:i/>
          <w:iCs/>
        </w:rPr>
        <w:t>∝</w:t>
      </w:r>
      <w:r w:rsidRPr="00B479AE">
        <w:rPr>
          <w:rFonts w:ascii="Baskerville Old Face" w:hAnsi="Baskerville Old Face"/>
          <w:b/>
          <w:bCs/>
          <w:i/>
          <w:iCs/>
        </w:rPr>
        <w:t xml:space="preserve"> design </w:t>
      </w:r>
      <w:r w:rsidRPr="00B479AE">
        <w:rPr>
          <w:rFonts w:ascii="Baskerville Old Face" w:hAnsi="Baskerville Old Face" w:cs="Baskerville Old Face"/>
          <w:b/>
          <w:bCs/>
          <w:i/>
          <w:iCs/>
        </w:rPr>
        <w:t>×</w:t>
      </w:r>
      <w:r w:rsidRPr="00B479AE">
        <w:rPr>
          <w:rFonts w:ascii="Baskerville Old Face" w:hAnsi="Baskerville Old Face"/>
          <w:b/>
          <w:bCs/>
          <w:i/>
          <w:iCs/>
        </w:rPr>
        <w:t xml:space="preserve"> management </w:t>
      </w:r>
      <w:r w:rsidRPr="00B479AE">
        <w:rPr>
          <w:rFonts w:ascii="Baskerville Old Face" w:hAnsi="Baskerville Old Face" w:cs="Baskerville Old Face"/>
          <w:b/>
          <w:bCs/>
          <w:i/>
          <w:iCs/>
        </w:rPr>
        <w:t>×</w:t>
      </w:r>
      <w:r w:rsidRPr="00B479AE">
        <w:rPr>
          <w:rFonts w:ascii="Baskerville Old Face" w:hAnsi="Baskerville Old Face"/>
          <w:b/>
          <w:bCs/>
          <w:i/>
          <w:iCs/>
        </w:rPr>
        <w:t xml:space="preserve"> context</w:t>
      </w:r>
    </w:p>
    <w:p w14:paraId="11D736A3" w14:textId="77777777" w:rsidR="001A0AC2" w:rsidRPr="00B479AE" w:rsidRDefault="001A0AC2" w:rsidP="001A0AC2">
      <w:pPr>
        <w:spacing w:line="360" w:lineRule="auto"/>
        <w:rPr>
          <w:rFonts w:ascii="Baskerville Old Face" w:hAnsi="Baskerville Old Face"/>
          <w:i/>
          <w:iCs/>
        </w:rPr>
      </w:pPr>
      <w:r w:rsidRPr="00B479AE">
        <w:rPr>
          <w:rFonts w:ascii="Baskerville Old Face" w:hAnsi="Baskerville Old Face"/>
          <w:i/>
          <w:iCs/>
        </w:rPr>
        <w:t>In Prometheus, this table supports PRU logic because it clarifies why productive value, ecological maturity, input independence, and resilience must be measured together.</w:t>
      </w:r>
    </w:p>
    <w:p w14:paraId="5D9FC754" w14:textId="1F97EE20"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Stratification and photosynthetic intelligence</w:t>
      </w:r>
    </w:p>
    <w:p w14:paraId="55AECEE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key feature of syntropic systems is vertical stratification.</w:t>
      </w:r>
    </w:p>
    <w:p w14:paraId="2E44A1F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Plants occupy different layers of space: ground cover, low shrubs, medium shrubs, understory trees, canopy trees, emergent trees, vines, and transitional layers.</w:t>
      </w:r>
    </w:p>
    <w:p w14:paraId="1A06CBC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vertical organization allows the system to capture more sunlight, protect soil, reduce evaporation, create habitat, and increase total biological productivity within a compact area.</w:t>
      </w:r>
    </w:p>
    <w:p w14:paraId="11C4C14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conventional monocultural systems, much solar energy is lost because the architecture is flat, simplified, and biologically sparse.</w:t>
      </w:r>
    </w:p>
    <w:p w14:paraId="4438744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a stratified system, solar energy is captured across multiple layers and converted into biomass, food, shade, roots, organic matter, habitat, and microclimate.</w:t>
      </w:r>
    </w:p>
    <w:p w14:paraId="44D272D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is one of the reasons why a small regenerative unit can produce multiple forms of value simultaneously.</w:t>
      </w:r>
    </w:p>
    <w:p w14:paraId="588C2C7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system produces food.</w:t>
      </w:r>
    </w:p>
    <w:p w14:paraId="1491EDC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produces biomass.</w:t>
      </w:r>
    </w:p>
    <w:p w14:paraId="3D5CA9E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produces soil cover.</w:t>
      </w:r>
    </w:p>
    <w:p w14:paraId="26EE503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produces habitat.</w:t>
      </w:r>
    </w:p>
    <w:p w14:paraId="1F8742C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produces water retention.</w:t>
      </w:r>
    </w:p>
    <w:p w14:paraId="2319205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produces resilience.</w:t>
      </w:r>
    </w:p>
    <w:p w14:paraId="15F95F0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The productive function is therefore multidimensional.</w:t>
      </w:r>
    </w:p>
    <w:p w14:paraId="1316802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treats this multidimensionality as a value feature, not as accounting noise.</w:t>
      </w:r>
    </w:p>
    <w:p w14:paraId="613E156D" w14:textId="45675D79"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Soil as metabolic infrastructure</w:t>
      </w:r>
    </w:p>
    <w:p w14:paraId="25C8F39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Soil is not inert matter.</w:t>
      </w:r>
    </w:p>
    <w:p w14:paraId="29354DB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is metabolic infrastructure.</w:t>
      </w:r>
    </w:p>
    <w:p w14:paraId="7CF2E38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Healthy soil is a living interface among minerals, organic matter, water, roots, fungi, bacteria, invertebrates, gases, nutrients, and biochemical signals.</w:t>
      </w:r>
    </w:p>
    <w:p w14:paraId="0D0FBCE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Its condition determines whether a landscape can retain water, support plants, cycle nutrients, buffer stress, and recover from disturbance.</w:t>
      </w:r>
    </w:p>
    <w:p w14:paraId="2FCE1A4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treats soil function as one of the primary indicators of regenerative performance.</w:t>
      </w:r>
    </w:p>
    <w:p w14:paraId="10D29FB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Key soil dimensions include:</w:t>
      </w:r>
    </w:p>
    <w:p w14:paraId="7B44D58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soil organic carbon;</w:t>
      </w:r>
    </w:p>
    <w:p w14:paraId="1ABFF3B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organic matter;</w:t>
      </w:r>
    </w:p>
    <w:p w14:paraId="50F6319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aggregate stability;</w:t>
      </w:r>
    </w:p>
    <w:p w14:paraId="0FD838F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bulk density;</w:t>
      </w:r>
    </w:p>
    <w:p w14:paraId="750EBC9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infiltration capacity;</w:t>
      </w:r>
    </w:p>
    <w:p w14:paraId="5165CAA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microbial biomass;</w:t>
      </w:r>
    </w:p>
    <w:p w14:paraId="491CC57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earthworm activity;</w:t>
      </w:r>
    </w:p>
    <w:p w14:paraId="6FD0E4D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nutrient availability;</w:t>
      </w:r>
    </w:p>
    <w:p w14:paraId="3BE7C7D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pH balance;</w:t>
      </w:r>
    </w:p>
    <w:p w14:paraId="45E9BAA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salinity;</w:t>
      </w:r>
    </w:p>
    <w:p w14:paraId="32AA59B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root development;</w:t>
      </w:r>
    </w:p>
    <w:p w14:paraId="4C4041B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 mycorrhizal colonization;</w:t>
      </w:r>
    </w:p>
    <w:p w14:paraId="5825852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soil moisture dynamics.</w:t>
      </w:r>
    </w:p>
    <w:p w14:paraId="3271550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regenerative direction is clear.</w:t>
      </w:r>
    </w:p>
    <w:p w14:paraId="40D7A1B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As soil organic matter increases, structure improves.</w:t>
      </w:r>
    </w:p>
    <w:p w14:paraId="2B62ED5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As structure improves, infiltration increases.</w:t>
      </w:r>
    </w:p>
    <w:p w14:paraId="0D3763D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As infiltration increases, water retention improves.</w:t>
      </w:r>
    </w:p>
    <w:p w14:paraId="20FD1A8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As water retention improves, plant stress decreases.</w:t>
      </w:r>
    </w:p>
    <w:p w14:paraId="28EF591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As plant stress decreases, biomass production stabilizes.</w:t>
      </w:r>
    </w:p>
    <w:p w14:paraId="013A0CC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As biomass returns to soil, organic matter increases again.</w:t>
      </w:r>
    </w:p>
    <w:p w14:paraId="2B09932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creates a reinforcing loop:</w:t>
      </w:r>
    </w:p>
    <w:p w14:paraId="295E022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soil life</w:t>
      </w:r>
      <w:r w:rsidRPr="00B479AE">
        <w:rPr>
          <w:rFonts w:ascii="Baskerville Old Face" w:hAnsi="Baskerville Old Face"/>
          <w:i/>
          <w:iCs/>
        </w:rPr>
        <w:br/>
        <w:t>water retention</w:t>
      </w:r>
      <w:r w:rsidRPr="00B479AE">
        <w:rPr>
          <w:rFonts w:ascii="Baskerville Old Face" w:hAnsi="Baskerville Old Face"/>
          <w:i/>
          <w:iCs/>
        </w:rPr>
        <w:br/>
        <w:t>plant growth</w:t>
      </w:r>
      <w:r w:rsidRPr="00B479AE">
        <w:rPr>
          <w:rFonts w:ascii="Baskerville Old Face" w:hAnsi="Baskerville Old Face"/>
          <w:i/>
          <w:iCs/>
        </w:rPr>
        <w:br/>
        <w:t>biomass cycling</w:t>
      </w:r>
      <w:r w:rsidRPr="00B479AE">
        <w:rPr>
          <w:rFonts w:ascii="Baskerville Old Face" w:hAnsi="Baskerville Old Face"/>
          <w:i/>
          <w:iCs/>
        </w:rPr>
        <w:br/>
        <w:t>soil organic matter</w:t>
      </w:r>
      <w:r w:rsidRPr="00B479AE">
        <w:rPr>
          <w:rFonts w:ascii="Baskerville Old Face" w:hAnsi="Baskerville Old Face"/>
          <w:i/>
          <w:iCs/>
        </w:rPr>
        <w:br/>
        <w:t>resilience.</w:t>
      </w:r>
    </w:p>
    <w:p w14:paraId="1684604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loop is one of the core engines of regenerative value.</w:t>
      </w:r>
    </w:p>
    <w:p w14:paraId="6F6D588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Water as circulatory infrastructure</w:t>
      </w:r>
    </w:p>
    <w:p w14:paraId="50EAB42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Water is the circulatory system of landscapes.</w:t>
      </w:r>
    </w:p>
    <w:p w14:paraId="570E5B1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Its movement determines fertility, vegetation, temperature, productivity, erosion, drought exposure, and biological activity.</w:t>
      </w:r>
    </w:p>
    <w:p w14:paraId="5CC9652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degraded landscape often sheds water quickly.</w:t>
      </w:r>
    </w:p>
    <w:p w14:paraId="353AADA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Rainfall becomes runoff.</w:t>
      </w:r>
    </w:p>
    <w:p w14:paraId="2724149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Runoff becomes erosion.</w:t>
      </w:r>
    </w:p>
    <w:p w14:paraId="2E36BE8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Erosion removes soil.</w:t>
      </w:r>
    </w:p>
    <w:p w14:paraId="0538C49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Dry soil reduces microbial activity.</w:t>
      </w:r>
    </w:p>
    <w:p w14:paraId="6DDADCD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Vegetation declines.</w:t>
      </w:r>
    </w:p>
    <w:p w14:paraId="005764A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system becomes hotter, drier, more fragile, and more dependent on external intervention.</w:t>
      </w:r>
    </w:p>
    <w:p w14:paraId="33BDED6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regenerative landscape slows, spreads, stores, and infiltrates water.</w:t>
      </w:r>
    </w:p>
    <w:p w14:paraId="184A71B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Micro-basins, swales, contour design, mulching, root systems, organic matter, vegetation cover, and soil biology all contribute to hydrological recovery.</w:t>
      </w:r>
    </w:p>
    <w:p w14:paraId="7AF9A97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regenerative cascade can be expressed as:</w:t>
      </w:r>
    </w:p>
    <w:p w14:paraId="56E7EDB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water retention</w:t>
      </w:r>
      <w:r w:rsidRPr="00B479AE">
        <w:rPr>
          <w:rFonts w:ascii="Baskerville Old Face" w:hAnsi="Baskerville Old Face"/>
          <w:i/>
          <w:iCs/>
        </w:rPr>
        <w:br/>
        <w:t>soil moisture</w:t>
      </w:r>
      <w:r w:rsidRPr="00B479AE">
        <w:rPr>
          <w:rFonts w:ascii="Baskerville Old Face" w:hAnsi="Baskerville Old Face"/>
          <w:i/>
          <w:iCs/>
        </w:rPr>
        <w:br/>
        <w:t>microbial activity</w:t>
      </w:r>
      <w:r w:rsidRPr="00B479AE">
        <w:rPr>
          <w:rFonts w:ascii="Baskerville Old Face" w:hAnsi="Baskerville Old Face"/>
          <w:i/>
          <w:iCs/>
        </w:rPr>
        <w:br/>
        <w:t>plant growth</w:t>
      </w:r>
      <w:r w:rsidRPr="00B479AE">
        <w:rPr>
          <w:rFonts w:ascii="Baskerville Old Face" w:hAnsi="Baskerville Old Face"/>
          <w:i/>
          <w:iCs/>
        </w:rPr>
        <w:br/>
        <w:t>biomass return</w:t>
      </w:r>
      <w:r w:rsidRPr="00B479AE">
        <w:rPr>
          <w:rFonts w:ascii="Baskerville Old Face" w:hAnsi="Baskerville Old Face"/>
          <w:i/>
          <w:iCs/>
        </w:rPr>
        <w:br/>
        <w:t>soil structure</w:t>
      </w:r>
      <w:r w:rsidRPr="00B479AE">
        <w:rPr>
          <w:rFonts w:ascii="Baskerville Old Face" w:hAnsi="Baskerville Old Face"/>
          <w:i/>
          <w:iCs/>
        </w:rPr>
        <w:br/>
        <w:t>microclimate stabilization</w:t>
      </w:r>
      <w:r w:rsidRPr="00B479AE">
        <w:rPr>
          <w:rFonts w:ascii="Baskerville Old Face" w:hAnsi="Baskerville Old Face"/>
          <w:i/>
          <w:iCs/>
        </w:rPr>
        <w:br/>
        <w:t>resilience.</w:t>
      </w:r>
    </w:p>
    <w:p w14:paraId="1A98308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treats water not merely as a resource, but as an infrastructural flow.</w:t>
      </w:r>
    </w:p>
    <w:p w14:paraId="5B8A356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Water performance is therefore central to MRV.</w:t>
      </w:r>
    </w:p>
    <w:p w14:paraId="602ECCF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Relevant indicators may include:</w:t>
      </w:r>
    </w:p>
    <w:p w14:paraId="7E7ADE5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infiltration rate;</w:t>
      </w:r>
    </w:p>
    <w:p w14:paraId="4AAFFCE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soil moisture at multiple depths;</w:t>
      </w:r>
    </w:p>
    <w:p w14:paraId="5C851EC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water retention after rainfall;</w:t>
      </w:r>
    </w:p>
    <w:p w14:paraId="79FA865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runoff reduction;</w:t>
      </w:r>
    </w:p>
    <w:p w14:paraId="1B01A85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evapotranspiration context;</w:t>
      </w:r>
    </w:p>
    <w:p w14:paraId="29A372D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irrigation requirement per unit of output;</w:t>
      </w:r>
    </w:p>
    <w:p w14:paraId="7E78564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 hydrological buffering under drought stress;</w:t>
      </w:r>
    </w:p>
    <w:p w14:paraId="69939F6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vegetation response after rainfall events.</w:t>
      </w:r>
    </w:p>
    <w:p w14:paraId="5F577E7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more effectively a system retains and cycles water, the more resilient its biological and economic performance becomes.</w:t>
      </w:r>
    </w:p>
    <w:p w14:paraId="51BFAAC2" w14:textId="54D6E9C0"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b/>
          <w:bCs/>
          <w:i/>
          <w:iCs/>
        </w:rPr>
        <w:t>Research Note — The One Water Principle</w:t>
      </w:r>
    </w:p>
    <w:p w14:paraId="4106A89F"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Prometheus treats water as circulatory infrastructure across multiple scales.</w:t>
      </w:r>
    </w:p>
    <w:p w14:paraId="377FB4ED"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At landscape scale, water regulates fertility, vegetation, erosion, temperature, drought exposure, and biological productivity.</w:t>
      </w:r>
    </w:p>
    <w:p w14:paraId="394CC7C8"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At ecosystem scale, water transports nutrients, supports microbial activity, enables plant growth, and connects soil, atmosphere, roots, organisms, and climate.</w:t>
      </w:r>
    </w:p>
    <w:p w14:paraId="51991BC5"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At organism scale, water is the metabolic medium through which cellular processes, nutrient movement, thermal regulation, and physiological function occur.</w:t>
      </w:r>
    </w:p>
    <w:p w14:paraId="79CB45C8"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At community scale, water determines agriculture, health, settlement, resilience, and territorial continuity.</w:t>
      </w:r>
    </w:p>
    <w:p w14:paraId="0640F51B"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This multi-scale view can be summarized as the One Water principle.</w:t>
      </w:r>
    </w:p>
    <w:p w14:paraId="2131B619" w14:textId="1747661B" w:rsidR="00D7057C" w:rsidRPr="00B479AE" w:rsidRDefault="00D7057C" w:rsidP="00D7057C">
      <w:pPr>
        <w:spacing w:line="360" w:lineRule="auto"/>
        <w:rPr>
          <w:rFonts w:ascii="Baskerville Old Face" w:hAnsi="Baskerville Old Face"/>
          <w:b/>
          <w:bCs/>
          <w:i/>
          <w:iCs/>
        </w:rPr>
      </w:pPr>
      <w:r w:rsidRPr="00B479AE">
        <w:rPr>
          <w:rFonts w:ascii="Baskerville Old Face" w:hAnsi="Baskerville Old Face"/>
          <w:b/>
          <w:bCs/>
          <w:i/>
          <w:iCs/>
        </w:rPr>
        <w:t>One Water Principle — Multi-Scale Function</w:t>
      </w:r>
    </w:p>
    <w:p w14:paraId="0B23950F" w14:textId="77777777" w:rsidR="00D7057C" w:rsidRPr="00B479AE" w:rsidRDefault="00D7057C" w:rsidP="00D7057C">
      <w:pPr>
        <w:spacing w:line="360" w:lineRule="auto"/>
        <w:rPr>
          <w:rFonts w:ascii="Baskerville Old Face" w:hAnsi="Baskerville Old Face"/>
          <w:i/>
          <w:iCs/>
        </w:rPr>
      </w:pPr>
      <w:r w:rsidRPr="00B479AE">
        <w:rPr>
          <w:rFonts w:ascii="Baskerville Old Face" w:hAnsi="Baskerville Old Face"/>
          <w:i/>
          <w:iCs/>
        </w:rPr>
        <w:t>Water functions across multiple scales at the same time.</w:t>
      </w:r>
    </w:p>
    <w:p w14:paraId="6F1A07DC" w14:textId="77777777" w:rsidR="00D7057C" w:rsidRPr="00B479AE" w:rsidRDefault="00D7057C" w:rsidP="00D7057C">
      <w:pPr>
        <w:spacing w:line="360" w:lineRule="auto"/>
        <w:rPr>
          <w:rFonts w:ascii="Baskerville Old Face" w:hAnsi="Baskerville Old Face"/>
          <w:i/>
          <w:iCs/>
        </w:rPr>
      </w:pPr>
      <w:r w:rsidRPr="00B479AE">
        <w:rPr>
          <w:rFonts w:ascii="Baskerville Old Face" w:hAnsi="Baskerville Old Face"/>
          <w:i/>
          <w:iCs/>
        </w:rPr>
        <w:t>It is not only a resource.</w:t>
      </w:r>
    </w:p>
    <w:p w14:paraId="54AC7197" w14:textId="77777777" w:rsidR="00D7057C" w:rsidRDefault="00D7057C" w:rsidP="00D7057C">
      <w:pPr>
        <w:spacing w:line="360" w:lineRule="auto"/>
        <w:rPr>
          <w:rFonts w:ascii="Baskerville Old Face" w:hAnsi="Baskerville Old Face"/>
          <w:i/>
          <w:iCs/>
        </w:rPr>
      </w:pPr>
      <w:r w:rsidRPr="00B479AE">
        <w:rPr>
          <w:rFonts w:ascii="Baskerville Old Face" w:hAnsi="Baskerville Old Face"/>
          <w:i/>
          <w:iCs/>
        </w:rPr>
        <w:t>It is a connective medium through which landscapes, organisms, communities, economies, and capital systems remain alive.</w:t>
      </w:r>
    </w:p>
    <w:p w14:paraId="318CFCAD" w14:textId="77777777" w:rsidR="007E454C" w:rsidRDefault="007E454C" w:rsidP="00D7057C">
      <w:pPr>
        <w:spacing w:line="360" w:lineRule="auto"/>
        <w:rPr>
          <w:rFonts w:ascii="Baskerville Old Face" w:hAnsi="Baskerville Old Face"/>
          <w:i/>
          <w:iCs/>
        </w:rPr>
      </w:pPr>
    </w:p>
    <w:p w14:paraId="395F52A1" w14:textId="77777777" w:rsidR="007E454C" w:rsidRPr="00B479AE" w:rsidRDefault="007E454C" w:rsidP="00D7057C">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8490"/>
      </w:tblGrid>
      <w:tr w:rsidR="00D7057C" w:rsidRPr="00B479AE" w14:paraId="1E6F213E" w14:textId="77777777" w:rsidTr="00D7057C">
        <w:trPr>
          <w:tblHeader/>
          <w:tblCellSpacing w:w="15" w:type="dxa"/>
        </w:trPr>
        <w:tc>
          <w:tcPr>
            <w:tcW w:w="0" w:type="auto"/>
            <w:vAlign w:val="center"/>
            <w:hideMark/>
          </w:tcPr>
          <w:p w14:paraId="00AA3C52" w14:textId="77777777" w:rsidR="00D7057C" w:rsidRPr="00B479AE" w:rsidRDefault="00D7057C" w:rsidP="00D7057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Scale</w:t>
            </w:r>
          </w:p>
        </w:tc>
        <w:tc>
          <w:tcPr>
            <w:tcW w:w="0" w:type="auto"/>
            <w:vAlign w:val="center"/>
            <w:hideMark/>
          </w:tcPr>
          <w:p w14:paraId="1DD8BA48" w14:textId="77777777" w:rsidR="00D7057C" w:rsidRPr="00B479AE" w:rsidRDefault="00D7057C" w:rsidP="00D7057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 within Prometheus</w:t>
            </w:r>
          </w:p>
        </w:tc>
      </w:tr>
      <w:tr w:rsidR="00D7057C" w:rsidRPr="00B479AE" w14:paraId="535B37A1" w14:textId="77777777" w:rsidTr="00D7057C">
        <w:trPr>
          <w:tblCellSpacing w:w="15" w:type="dxa"/>
        </w:trPr>
        <w:tc>
          <w:tcPr>
            <w:tcW w:w="0" w:type="auto"/>
            <w:vAlign w:val="center"/>
            <w:hideMark/>
          </w:tcPr>
          <w:p w14:paraId="285B18A3"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Landscape</w:t>
            </w:r>
          </w:p>
        </w:tc>
        <w:tc>
          <w:tcPr>
            <w:tcW w:w="0" w:type="auto"/>
            <w:vAlign w:val="center"/>
            <w:hideMark/>
          </w:tcPr>
          <w:p w14:paraId="49CCDD86"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Hydrological regulation, infiltration, erosion control, vegetation support, microclimate stabilization</w:t>
            </w:r>
          </w:p>
        </w:tc>
      </w:tr>
      <w:tr w:rsidR="00D7057C" w:rsidRPr="00B479AE" w14:paraId="3509E686" w14:textId="77777777" w:rsidTr="00D7057C">
        <w:trPr>
          <w:tblCellSpacing w:w="15" w:type="dxa"/>
        </w:trPr>
        <w:tc>
          <w:tcPr>
            <w:tcW w:w="0" w:type="auto"/>
            <w:vAlign w:val="center"/>
            <w:hideMark/>
          </w:tcPr>
          <w:p w14:paraId="6D720AD4"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Ecosystem</w:t>
            </w:r>
          </w:p>
        </w:tc>
        <w:tc>
          <w:tcPr>
            <w:tcW w:w="0" w:type="auto"/>
            <w:vAlign w:val="center"/>
            <w:hideMark/>
          </w:tcPr>
          <w:p w14:paraId="4B166412"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Nutrient transport, microbial activity, biomass production, root function, biodiversity support</w:t>
            </w:r>
          </w:p>
        </w:tc>
      </w:tr>
      <w:tr w:rsidR="00D7057C" w:rsidRPr="00B479AE" w14:paraId="210F1620" w14:textId="77777777" w:rsidTr="00D7057C">
        <w:trPr>
          <w:tblCellSpacing w:w="15" w:type="dxa"/>
        </w:trPr>
        <w:tc>
          <w:tcPr>
            <w:tcW w:w="0" w:type="auto"/>
            <w:vAlign w:val="center"/>
            <w:hideMark/>
          </w:tcPr>
          <w:p w14:paraId="57DD704E"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Soil</w:t>
            </w:r>
          </w:p>
        </w:tc>
        <w:tc>
          <w:tcPr>
            <w:tcW w:w="0" w:type="auto"/>
            <w:vAlign w:val="center"/>
            <w:hideMark/>
          </w:tcPr>
          <w:p w14:paraId="652A4111"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Aggregation, porosity, microbial metabolism, organic matter transformation, mineral exchange</w:t>
            </w:r>
          </w:p>
        </w:tc>
      </w:tr>
      <w:tr w:rsidR="00D7057C" w:rsidRPr="00B479AE" w14:paraId="2B234E63" w14:textId="77777777" w:rsidTr="00D7057C">
        <w:trPr>
          <w:tblCellSpacing w:w="15" w:type="dxa"/>
        </w:trPr>
        <w:tc>
          <w:tcPr>
            <w:tcW w:w="0" w:type="auto"/>
            <w:vAlign w:val="center"/>
            <w:hideMark/>
          </w:tcPr>
          <w:p w14:paraId="5AD08125"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Plant</w:t>
            </w:r>
          </w:p>
        </w:tc>
        <w:tc>
          <w:tcPr>
            <w:tcW w:w="0" w:type="auto"/>
            <w:vAlign w:val="center"/>
            <w:hideMark/>
          </w:tcPr>
          <w:p w14:paraId="0BF75923"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Sap flow, nutrient movement, photosynthesis support, thermal regulation, stress response</w:t>
            </w:r>
          </w:p>
        </w:tc>
      </w:tr>
      <w:tr w:rsidR="00D7057C" w:rsidRPr="00B479AE" w14:paraId="737CFB05" w14:textId="77777777" w:rsidTr="00D7057C">
        <w:trPr>
          <w:tblCellSpacing w:w="15" w:type="dxa"/>
        </w:trPr>
        <w:tc>
          <w:tcPr>
            <w:tcW w:w="0" w:type="auto"/>
            <w:vAlign w:val="center"/>
            <w:hideMark/>
          </w:tcPr>
          <w:p w14:paraId="0482E810"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Organism</w:t>
            </w:r>
          </w:p>
        </w:tc>
        <w:tc>
          <w:tcPr>
            <w:tcW w:w="0" w:type="auto"/>
            <w:vAlign w:val="center"/>
            <w:hideMark/>
          </w:tcPr>
          <w:p w14:paraId="2D0D54DA"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Metabolic medium, cellular function, thermal regulation, nutrient movement, physiological vitality</w:t>
            </w:r>
          </w:p>
        </w:tc>
      </w:tr>
      <w:tr w:rsidR="00D7057C" w:rsidRPr="00B479AE" w14:paraId="3C5CBABB" w14:textId="77777777" w:rsidTr="00D7057C">
        <w:trPr>
          <w:tblCellSpacing w:w="15" w:type="dxa"/>
        </w:trPr>
        <w:tc>
          <w:tcPr>
            <w:tcW w:w="0" w:type="auto"/>
            <w:vAlign w:val="center"/>
            <w:hideMark/>
          </w:tcPr>
          <w:p w14:paraId="1CB6E821"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Community</w:t>
            </w:r>
          </w:p>
        </w:tc>
        <w:tc>
          <w:tcPr>
            <w:tcW w:w="0" w:type="auto"/>
            <w:vAlign w:val="center"/>
            <w:hideMark/>
          </w:tcPr>
          <w:p w14:paraId="2FF3F076"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Agriculture, food security, health, settlement, resilience, and territorial continuity</w:t>
            </w:r>
          </w:p>
        </w:tc>
      </w:tr>
      <w:tr w:rsidR="00D7057C" w:rsidRPr="00B479AE" w14:paraId="0685B49D" w14:textId="77777777" w:rsidTr="00D7057C">
        <w:trPr>
          <w:tblCellSpacing w:w="15" w:type="dxa"/>
        </w:trPr>
        <w:tc>
          <w:tcPr>
            <w:tcW w:w="0" w:type="auto"/>
            <w:vAlign w:val="center"/>
            <w:hideMark/>
          </w:tcPr>
          <w:p w14:paraId="4C7465EF"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Economy</w:t>
            </w:r>
          </w:p>
        </w:tc>
        <w:tc>
          <w:tcPr>
            <w:tcW w:w="0" w:type="auto"/>
            <w:vAlign w:val="center"/>
            <w:hideMark/>
          </w:tcPr>
          <w:p w14:paraId="28775F09"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Long-term productive capacity, risk buffering, infrastructure resilience, and capital-readiness</w:t>
            </w:r>
          </w:p>
        </w:tc>
      </w:tr>
      <w:tr w:rsidR="00D7057C" w:rsidRPr="00B479AE" w14:paraId="142D6618" w14:textId="77777777" w:rsidTr="00D7057C">
        <w:trPr>
          <w:tblCellSpacing w:w="15" w:type="dxa"/>
        </w:trPr>
        <w:tc>
          <w:tcPr>
            <w:tcW w:w="0" w:type="auto"/>
            <w:vAlign w:val="center"/>
            <w:hideMark/>
          </w:tcPr>
          <w:p w14:paraId="526EA46E"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MRV layer</w:t>
            </w:r>
          </w:p>
        </w:tc>
        <w:tc>
          <w:tcPr>
            <w:tcW w:w="0" w:type="auto"/>
            <w:vAlign w:val="center"/>
            <w:hideMark/>
          </w:tcPr>
          <w:p w14:paraId="79A6EF0B"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Observable hydrological evidence through soil moisture, infiltration, retention, runoff, water quality, and drought response</w:t>
            </w:r>
          </w:p>
        </w:tc>
      </w:tr>
      <w:tr w:rsidR="00D7057C" w:rsidRPr="00B479AE" w14:paraId="41C58DE4" w14:textId="77777777" w:rsidTr="00D7057C">
        <w:trPr>
          <w:tblCellSpacing w:w="15" w:type="dxa"/>
        </w:trPr>
        <w:tc>
          <w:tcPr>
            <w:tcW w:w="0" w:type="auto"/>
            <w:vAlign w:val="center"/>
            <w:hideMark/>
          </w:tcPr>
          <w:p w14:paraId="2CB26C2E"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PRU layer</w:t>
            </w:r>
          </w:p>
        </w:tc>
        <w:tc>
          <w:tcPr>
            <w:tcW w:w="0" w:type="auto"/>
            <w:vAlign w:val="center"/>
            <w:hideMark/>
          </w:tcPr>
          <w:p w14:paraId="53ECE2CC"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Hydrological resilience as a value-relevant indicator where evidence, confidence, and admissibility support its use</w:t>
            </w:r>
          </w:p>
        </w:tc>
      </w:tr>
      <w:tr w:rsidR="00D7057C" w:rsidRPr="00B479AE" w14:paraId="1890E6D8" w14:textId="77777777" w:rsidTr="00D7057C">
        <w:trPr>
          <w:tblCellSpacing w:w="15" w:type="dxa"/>
        </w:trPr>
        <w:tc>
          <w:tcPr>
            <w:tcW w:w="0" w:type="auto"/>
            <w:vAlign w:val="center"/>
            <w:hideMark/>
          </w:tcPr>
          <w:p w14:paraId="52E13F3D"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RAP layer</w:t>
            </w:r>
          </w:p>
        </w:tc>
        <w:tc>
          <w:tcPr>
            <w:tcW w:w="0" w:type="auto"/>
            <w:vAlign w:val="center"/>
            <w:hideMark/>
          </w:tcPr>
          <w:p w14:paraId="2643F814" w14:textId="77777777" w:rsidR="00D7057C" w:rsidRPr="00B479AE" w:rsidRDefault="00D7057C" w:rsidP="00D7057C">
            <w:pPr>
              <w:spacing w:line="360" w:lineRule="auto"/>
              <w:rPr>
                <w:rFonts w:ascii="Baskerville Old Face" w:hAnsi="Baskerville Old Face"/>
                <w:i/>
                <w:iCs/>
                <w:sz w:val="22"/>
                <w:szCs w:val="22"/>
              </w:rPr>
            </w:pPr>
            <w:r w:rsidRPr="00B479AE">
              <w:rPr>
                <w:rFonts w:ascii="Baskerville Old Face" w:hAnsi="Baskerville Old Face"/>
                <w:i/>
                <w:iCs/>
                <w:sz w:val="22"/>
                <w:szCs w:val="22"/>
              </w:rPr>
              <w:t>Portfolio-level water-risk analysis across sites, climates, watersheds, and regenerative designs</w:t>
            </w:r>
          </w:p>
        </w:tc>
      </w:tr>
    </w:tbl>
    <w:p w14:paraId="1EDD9F77" w14:textId="77777777" w:rsidR="00D7057C" w:rsidRPr="00B479AE" w:rsidRDefault="00D7057C" w:rsidP="00D7057C">
      <w:pPr>
        <w:spacing w:line="360" w:lineRule="auto"/>
        <w:rPr>
          <w:rFonts w:ascii="Baskerville Old Face" w:hAnsi="Baskerville Old Face"/>
          <w:i/>
          <w:iCs/>
        </w:rPr>
      </w:pPr>
      <w:r w:rsidRPr="00B479AE">
        <w:rPr>
          <w:rFonts w:ascii="Baskerville Old Face" w:hAnsi="Baskerville Old Face"/>
          <w:i/>
          <w:iCs/>
        </w:rPr>
        <w:t>This multi-scale view allows Prometheus to treat water performance as a primary indicator of regenerative infrastructure.</w:t>
      </w:r>
    </w:p>
    <w:p w14:paraId="373B5E84" w14:textId="77777777" w:rsidR="00D7057C" w:rsidRPr="00B479AE" w:rsidRDefault="00D7057C" w:rsidP="00D7057C">
      <w:pPr>
        <w:spacing w:line="360" w:lineRule="auto"/>
        <w:rPr>
          <w:rFonts w:ascii="Baskerville Old Face" w:hAnsi="Baskerville Old Face"/>
          <w:i/>
          <w:iCs/>
        </w:rPr>
      </w:pPr>
      <w:r w:rsidRPr="00B479AE">
        <w:rPr>
          <w:rFonts w:ascii="Baskerville Old Face" w:hAnsi="Baskerville Old Face"/>
          <w:i/>
          <w:iCs/>
        </w:rPr>
        <w:t>A system that retains and cycles water more effectively becomes more biologically resilient, operationally stable, and economically credible.</w:t>
      </w:r>
    </w:p>
    <w:p w14:paraId="0507D292" w14:textId="62B34A3C"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Water is not only a resource to be consumed.</w:t>
      </w:r>
    </w:p>
    <w:p w14:paraId="1825E2A3"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It is a connective medium through which landscapes, organisms, communities, and economies remain alive.</w:t>
      </w:r>
    </w:p>
    <w:p w14:paraId="00745884"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t>Prometheus therefore treats hydrological performance as one of the primary indicators of regenerative infrastructure.</w:t>
      </w:r>
    </w:p>
    <w:p w14:paraId="0A747681" w14:textId="77777777" w:rsidR="005E4912" w:rsidRPr="00B479AE" w:rsidRDefault="005E4912" w:rsidP="005E4912">
      <w:pPr>
        <w:spacing w:line="360" w:lineRule="auto"/>
        <w:rPr>
          <w:rFonts w:ascii="Baskerville Old Face" w:hAnsi="Baskerville Old Face"/>
          <w:i/>
          <w:iCs/>
        </w:rPr>
      </w:pPr>
      <w:r w:rsidRPr="00B479AE">
        <w:rPr>
          <w:rFonts w:ascii="Baskerville Old Face" w:hAnsi="Baskerville Old Face"/>
          <w:i/>
          <w:iCs/>
        </w:rPr>
        <w:lastRenderedPageBreak/>
        <w:t>More speculative interpretations of water structure, vortex dynamics, or subtle biological organization may inspire research, but they remain outside core financial admissibility unless supported by evidence, methodology, and verification.</w:t>
      </w:r>
    </w:p>
    <w:p w14:paraId="3A9ACC8E" w14:textId="33FBBACB"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Biodiversity as distributed resilience</w:t>
      </w:r>
    </w:p>
    <w:p w14:paraId="5FA6481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Biodiversity is not ornamental complexity.</w:t>
      </w:r>
    </w:p>
    <w:p w14:paraId="09277DE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It is distributed resilience.</w:t>
      </w:r>
    </w:p>
    <w:p w14:paraId="4B15FCE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system with many species, functions, root depths, flowering periods, habitat niches, and biological interactions can respond to disturbance more effectively than a simplified system.</w:t>
      </w:r>
    </w:p>
    <w:p w14:paraId="2595138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Biodiversity contributes to:</w:t>
      </w:r>
    </w:p>
    <w:p w14:paraId="631AC61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pollination;</w:t>
      </w:r>
    </w:p>
    <w:p w14:paraId="152DFBA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pest regulation;</w:t>
      </w:r>
    </w:p>
    <w:p w14:paraId="201B2DD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nutrient cycling;</w:t>
      </w:r>
    </w:p>
    <w:p w14:paraId="4DB9C56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habitat creation;</w:t>
      </w:r>
    </w:p>
    <w:p w14:paraId="6AD7D54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soil biology;</w:t>
      </w:r>
    </w:p>
    <w:p w14:paraId="751D766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genetic diversity;</w:t>
      </w:r>
    </w:p>
    <w:p w14:paraId="0654526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productive diversification;</w:t>
      </w:r>
    </w:p>
    <w:p w14:paraId="6BEA963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adaptive capacity;</w:t>
      </w:r>
    </w:p>
    <w:p w14:paraId="21923A9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climate resilience.</w:t>
      </w:r>
    </w:p>
    <w:p w14:paraId="01DE6EB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Prometheus, biodiversity is treated as both an ecological indicator and a risk variable.</w:t>
      </w:r>
    </w:p>
    <w:p w14:paraId="4D4A8E1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biologically diverse system may reduce dependency on single crops, single revenue streams, single ecological functions, and single points of failure.</w:t>
      </w:r>
    </w:p>
    <w:p w14:paraId="4038FA5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does not mean that all diversity is equally valuable.</w:t>
      </w:r>
    </w:p>
    <w:p w14:paraId="64E9D0F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Functional diversity matters.</w:t>
      </w:r>
    </w:p>
    <w:p w14:paraId="7902BEB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The relevant question is not only how many species exist, but what roles they perform.</w:t>
      </w:r>
    </w:p>
    <w:p w14:paraId="795B5FA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 regenerative biodiversity assessment should therefore consider:</w:t>
      </w:r>
    </w:p>
    <w:p w14:paraId="4171562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species richness;</w:t>
      </w:r>
    </w:p>
    <w:p w14:paraId="34039AF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functional diversity;</w:t>
      </w:r>
    </w:p>
    <w:p w14:paraId="095DE74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pollinator support;</w:t>
      </w:r>
    </w:p>
    <w:p w14:paraId="727E62E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habitat continuity;</w:t>
      </w:r>
    </w:p>
    <w:p w14:paraId="75A66A5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canopy and understory structure;</w:t>
      </w:r>
    </w:p>
    <w:p w14:paraId="0C4ADE8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root-depth diversity;</w:t>
      </w:r>
    </w:p>
    <w:p w14:paraId="2F47C72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seasonal production distribution;</w:t>
      </w:r>
    </w:p>
    <w:p w14:paraId="6FB0AC9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ecological corridors;</w:t>
      </w:r>
    </w:p>
    <w:p w14:paraId="67D8F86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resilience under stress.</w:t>
      </w:r>
    </w:p>
    <w:p w14:paraId="09BDD35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Biodiversity becomes financially relevant when it contributes to stability, productivity, reduced input dependency, and risk compression.</w:t>
      </w:r>
    </w:p>
    <w:p w14:paraId="5261A79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t>Biomass cycling</w:t>
      </w:r>
    </w:p>
    <w:p w14:paraId="076736C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Biomass cycling is one of the central mechanisms through which syntropic systems build fertility.</w:t>
      </w:r>
    </w:p>
    <w:p w14:paraId="1DAD51D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Leaves, branches, pruning material, root turnover, crop residues, cover crops, and organic inputs return carbon and nutrients to the soil.</w:t>
      </w:r>
    </w:p>
    <w:p w14:paraId="1D29DEB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process feeds microorganisms, improves structure, protects soil from heat and erosion, and supports water retention.</w:t>
      </w:r>
    </w:p>
    <w:p w14:paraId="6A51764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extractive systems, biomass is often removed, burned, wasted, or treated as a by-product.</w:t>
      </w:r>
    </w:p>
    <w:p w14:paraId="5234832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 regenerative systems, biomass is a metabolic flow.</w:t>
      </w:r>
    </w:p>
    <w:p w14:paraId="4398297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Pruning becomes activation.</w:t>
      </w:r>
    </w:p>
    <w:p w14:paraId="3F7B79D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Mulching becomes protection.</w:t>
      </w:r>
    </w:p>
    <w:p w14:paraId="7EFE357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Organic matter becomes fertility.</w:t>
      </w:r>
    </w:p>
    <w:p w14:paraId="7956534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Fertility becomes productivity.</w:t>
      </w:r>
    </w:p>
    <w:p w14:paraId="7FC5890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Productivity becomes more biomass.</w:t>
      </w:r>
    </w:p>
    <w:p w14:paraId="5827DC3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creates another reinforcing loop:</w:t>
      </w:r>
    </w:p>
    <w:p w14:paraId="0C37124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photosynthesis</w:t>
      </w:r>
      <w:r w:rsidRPr="00B479AE">
        <w:rPr>
          <w:rFonts w:ascii="Baskerville Old Face" w:hAnsi="Baskerville Old Face"/>
          <w:i/>
          <w:iCs/>
        </w:rPr>
        <w:br/>
        <w:t>biomass</w:t>
      </w:r>
      <w:r w:rsidRPr="00B479AE">
        <w:rPr>
          <w:rFonts w:ascii="Baskerville Old Face" w:hAnsi="Baskerville Old Face"/>
          <w:i/>
          <w:iCs/>
        </w:rPr>
        <w:br/>
        <w:t>soil cover</w:t>
      </w:r>
      <w:r w:rsidRPr="00B479AE">
        <w:rPr>
          <w:rFonts w:ascii="Baskerville Old Face" w:hAnsi="Baskerville Old Face"/>
          <w:i/>
          <w:iCs/>
        </w:rPr>
        <w:br/>
        <w:t>microbial activity</w:t>
      </w:r>
      <w:r w:rsidRPr="00B479AE">
        <w:rPr>
          <w:rFonts w:ascii="Baskerville Old Face" w:hAnsi="Baskerville Old Face"/>
          <w:i/>
          <w:iCs/>
        </w:rPr>
        <w:br/>
        <w:t>nutrient cycling</w:t>
      </w:r>
      <w:r w:rsidRPr="00B479AE">
        <w:rPr>
          <w:rFonts w:ascii="Baskerville Old Face" w:hAnsi="Baskerville Old Face"/>
          <w:i/>
          <w:iCs/>
        </w:rPr>
        <w:br/>
        <w:t>water retention</w:t>
      </w:r>
      <w:r w:rsidRPr="00B479AE">
        <w:rPr>
          <w:rFonts w:ascii="Baskerville Old Face" w:hAnsi="Baskerville Old Face"/>
          <w:i/>
          <w:iCs/>
        </w:rPr>
        <w:br/>
        <w:t>plant growth</w:t>
      </w:r>
      <w:r w:rsidRPr="00B479AE">
        <w:rPr>
          <w:rFonts w:ascii="Baskerville Old Face" w:hAnsi="Baskerville Old Face"/>
          <w:i/>
          <w:iCs/>
        </w:rPr>
        <w:br/>
        <w:t>photosynthesis.</w:t>
      </w:r>
    </w:p>
    <w:p w14:paraId="37C401E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treats biomass cycling as a measurable design and management function.</w:t>
      </w:r>
    </w:p>
    <w:p w14:paraId="758A074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Relevant indicators may include:</w:t>
      </w:r>
    </w:p>
    <w:p w14:paraId="4B4550F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biomass produced;</w:t>
      </w:r>
    </w:p>
    <w:p w14:paraId="3D409D8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biomass returned to soil;</w:t>
      </w:r>
    </w:p>
    <w:p w14:paraId="72E71C0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pruning frequency;</w:t>
      </w:r>
    </w:p>
    <w:p w14:paraId="272C15C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ground cover percentage;</w:t>
      </w:r>
    </w:p>
    <w:p w14:paraId="614C8B9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organic matter input;</w:t>
      </w:r>
    </w:p>
    <w:p w14:paraId="5095372A"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decomposition rate;</w:t>
      </w:r>
    </w:p>
    <w:p w14:paraId="07722F6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soil organic matter change;</w:t>
      </w:r>
    </w:p>
    <w:p w14:paraId="4290965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productivity response.</w:t>
      </w:r>
    </w:p>
    <w:p w14:paraId="3FE59733" w14:textId="18F1C887" w:rsidR="00EE4728" w:rsidRDefault="00EE4728" w:rsidP="00EE4728">
      <w:pPr>
        <w:spacing w:line="360" w:lineRule="auto"/>
        <w:rPr>
          <w:rFonts w:ascii="Baskerville Old Face" w:hAnsi="Baskerville Old Face"/>
          <w:i/>
          <w:iCs/>
        </w:rPr>
      </w:pPr>
      <w:r w:rsidRPr="00B479AE">
        <w:rPr>
          <w:rFonts w:ascii="Baskerville Old Face" w:hAnsi="Baskerville Old Face"/>
          <w:i/>
          <w:iCs/>
        </w:rPr>
        <w:t>A system that cycles biomass well becomes less dependent on external inputs and more capable of self-maintenance.</w:t>
      </w:r>
      <w:r w:rsidR="007E454C">
        <w:rPr>
          <w:rFonts w:ascii="Baskerville Old Face" w:hAnsi="Baskerville Old Face"/>
          <w:i/>
          <w:iCs/>
        </w:rPr>
        <w:t xml:space="preserve"> </w:t>
      </w:r>
    </w:p>
    <w:p w14:paraId="27ACE0B5" w14:textId="77777777" w:rsidR="007E454C" w:rsidRPr="00B479AE" w:rsidRDefault="007E454C" w:rsidP="00EE4728">
      <w:pPr>
        <w:spacing w:line="360" w:lineRule="auto"/>
        <w:rPr>
          <w:rFonts w:ascii="Baskerville Old Face" w:hAnsi="Baskerville Old Face"/>
          <w:i/>
          <w:iCs/>
        </w:rPr>
      </w:pPr>
    </w:p>
    <w:p w14:paraId="65E64D7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b/>
          <w:bCs/>
          <w:i/>
          <w:iCs/>
        </w:rPr>
        <w:lastRenderedPageBreak/>
        <w:t>Mycorrhizal and biochemical intelligence</w:t>
      </w:r>
    </w:p>
    <w:p w14:paraId="4F36316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Living systems coordinate through more than visible structure.</w:t>
      </w:r>
    </w:p>
    <w:p w14:paraId="6D11591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Plants, fungi, microorganisms, insects, and soil organisms participate in biochemical and symbiotic networks.</w:t>
      </w:r>
    </w:p>
    <w:p w14:paraId="4D929A3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Mycorrhizal fungi can connect plant roots, extend access to nutrients and water, and participate in resource exchange.</w:t>
      </w:r>
    </w:p>
    <w:p w14:paraId="0C3252D9"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Plants release root exudates that shape microbial communities.</w:t>
      </w:r>
    </w:p>
    <w:p w14:paraId="01A10AC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Secondary metabolites and volatile organic compounds can influence defense, attraction, inhibition, stress response, and ecological signaling.</w:t>
      </w:r>
    </w:p>
    <w:p w14:paraId="1A2733C3"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These processes are scientifically important, but operationally complex.</w:t>
      </w:r>
    </w:p>
    <w:p w14:paraId="6CF96D8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Prometheus therefore treats them with tiered rigor.</w:t>
      </w:r>
    </w:p>
    <w:p w14:paraId="37EC718F"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At the core level, the system does not require continuous measurement of every biochemical or fungal interaction.</w:t>
      </w:r>
    </w:p>
    <w:p w14:paraId="04CD4728"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Instead, it uses a combination of direct and proxy indicators.</w:t>
      </w:r>
    </w:p>
    <w:p w14:paraId="522F7297"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Direct indicators may include:</w:t>
      </w:r>
    </w:p>
    <w:p w14:paraId="014BF961"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mycorrhizal colonization tests;</w:t>
      </w:r>
    </w:p>
    <w:p w14:paraId="5AAAAEA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fungal richness or presence;</w:t>
      </w:r>
    </w:p>
    <w:p w14:paraId="60FAB07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root health analysis;</w:t>
      </w:r>
    </w:p>
    <w:p w14:paraId="0C50468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microbial biomass;</w:t>
      </w:r>
    </w:p>
    <w:p w14:paraId="7EADA012"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targeted metabolite assays in research-grade pilots.</w:t>
      </w:r>
    </w:p>
    <w:p w14:paraId="65E2D13E"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Proxy indicators may include:</w:t>
      </w:r>
    </w:p>
    <w:p w14:paraId="4982175B"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improved drought performance;</w:t>
      </w:r>
    </w:p>
    <w:p w14:paraId="1EC6E41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reduced plant mortality;</w:t>
      </w:r>
    </w:p>
    <w:p w14:paraId="4F29EF2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lastRenderedPageBreak/>
        <w:t>• faster recovery after stress;</w:t>
      </w:r>
    </w:p>
    <w:p w14:paraId="16C84AA4"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lower disease incidence;</w:t>
      </w:r>
    </w:p>
    <w:p w14:paraId="1CE43425"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reduced output variance;</w:t>
      </w:r>
    </w:p>
    <w:p w14:paraId="79B13C9D"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stronger performance near ecological hub plants;</w:t>
      </w:r>
    </w:p>
    <w:p w14:paraId="1F6F56B0"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 improved soil biological indicators.</w:t>
      </w:r>
    </w:p>
    <w:p w14:paraId="0D5D56F6"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This approach allows Prometheus to recognize the importance of underground and biochemical intelligence without overstating what can be measured in routine deployment.</w:t>
      </w:r>
    </w:p>
    <w:p w14:paraId="50DDD79C" w14:textId="77777777" w:rsidR="00EE4728" w:rsidRPr="00B479AE" w:rsidRDefault="00EE4728" w:rsidP="00EE4728">
      <w:pPr>
        <w:spacing w:line="360" w:lineRule="auto"/>
        <w:rPr>
          <w:rFonts w:ascii="Baskerville Old Face" w:hAnsi="Baskerville Old Face"/>
          <w:i/>
          <w:iCs/>
        </w:rPr>
      </w:pPr>
      <w:r w:rsidRPr="00B479AE">
        <w:rPr>
          <w:rFonts w:ascii="Baskerville Old Face" w:hAnsi="Baskerville Old Face"/>
          <w:i/>
          <w:iCs/>
        </w:rPr>
        <w:t>The model remains open to deeper science while remaining grounded in verifiable evidence.</w:t>
      </w:r>
    </w:p>
    <w:p w14:paraId="5EEB377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Technical Note — Biochemical, Mycorrhizal, and Soil Intelligence</w:t>
      </w:r>
    </w:p>
    <w:p w14:paraId="00BBF48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productive superiority of a syntropic system does not arise only from planting density, succession, stratification, or reduced external inputs.</w:t>
      </w:r>
    </w:p>
    <w:p w14:paraId="45A185A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emerges from a deeper layer of ecological organization.</w:t>
      </w:r>
    </w:p>
    <w:p w14:paraId="6091865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 syntropic One Human Ecosystem can be understood as a multilayer ecological network in which plants, fungi, microbes, soil fauna, water, nutrients, organic matter, microelements, roots, and biochemical signals co-regulate one another over time.</w:t>
      </w:r>
    </w:p>
    <w:p w14:paraId="49DB12F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perspective is consistent with three complementary scientific domains.</w:t>
      </w:r>
    </w:p>
    <w:p w14:paraId="74736E6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First, mycorrhizal-network research suggests that plant communities may be connected through fungal relationships capable of influencing access to water, carbon, nitrogen, phosphorus, stress response, and plant–soil communication.</w:t>
      </w:r>
    </w:p>
    <w:p w14:paraId="0B5EB1F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Second, research on allelopathy, secondary metabolites, volatile organic compounds, phenolics, terpenoids, and plant signaling shows that plants actively shape their ecological context through biochemical interaction.</w:t>
      </w:r>
    </w:p>
    <w:p w14:paraId="4ADD4CA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Third, soil ecology demonstrates that earthworms, bacteria, fungi, mesofauna, organic matter, moisture, minerals, and microelements form a metabolic engine that regulates fertility, porosity, infiltration, nutrient cycling, buffering capacity, and long-term resilience.</w:t>
      </w:r>
    </w:p>
    <w:p w14:paraId="26D1B3C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Prometheus treats these domains as scientifically important but operationally complex.</w:t>
      </w:r>
    </w:p>
    <w:p w14:paraId="55EA935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They are not used as automatic financial claims.</w:t>
      </w:r>
    </w:p>
    <w:p w14:paraId="232427D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They are used to define testable hypotheses, measurable indicators, confidence-scored evidence bundles, and future PRU-relevant signals.</w:t>
      </w:r>
    </w:p>
    <w:p w14:paraId="3D19EAE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purpose of this note is therefore not to claim that every biochemical or fungal interaction can be directly measured or monetized.</w:t>
      </w:r>
    </w:p>
    <w:p w14:paraId="2656754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 xml:space="preserve">Its purpose is to define how underground intelligence, biochemical coordination, and soil metabolic function may become observable, </w:t>
      </w:r>
      <w:proofErr w:type="spellStart"/>
      <w:r w:rsidRPr="00B479AE">
        <w:rPr>
          <w:rFonts w:ascii="Baskerville Old Face" w:hAnsi="Baskerville Old Face"/>
          <w:i/>
          <w:iCs/>
        </w:rPr>
        <w:t>modelable</w:t>
      </w:r>
      <w:proofErr w:type="spellEnd"/>
      <w:r w:rsidRPr="00B479AE">
        <w:rPr>
          <w:rFonts w:ascii="Baskerville Old Face" w:hAnsi="Baskerville Old Face"/>
          <w:i/>
          <w:iCs/>
        </w:rPr>
        <w:t>, and eventually financially relevant when supported by evidence.</w:t>
      </w:r>
    </w:p>
    <w:p w14:paraId="5DDE8700" w14:textId="77777777" w:rsidR="009B5C78" w:rsidRPr="007E454C" w:rsidRDefault="009B5C78" w:rsidP="009B5C78">
      <w:pPr>
        <w:spacing w:line="360" w:lineRule="auto"/>
        <w:rPr>
          <w:rFonts w:ascii="Baskerville Old Face" w:hAnsi="Baskerville Old Face"/>
          <w:i/>
          <w:iCs/>
        </w:rPr>
      </w:pPr>
      <w:r w:rsidRPr="00B479AE">
        <w:rPr>
          <w:rFonts w:ascii="Baskerville Old Face" w:hAnsi="Baskerville Old Face"/>
          <w:b/>
          <w:bCs/>
          <w:i/>
          <w:iCs/>
        </w:rPr>
        <w:t>1. Multilayer ecological network representation</w:t>
      </w:r>
    </w:p>
    <w:p w14:paraId="3CEDF327"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syntropic OHE may be represented conceptually as a multilayer graph:</w:t>
      </w:r>
    </w:p>
    <w:p w14:paraId="0F95E514" w14:textId="77777777" w:rsidR="009B5C78" w:rsidRPr="005907F1" w:rsidRDefault="009B5C78" w:rsidP="009B5C78">
      <w:pPr>
        <w:spacing w:line="360" w:lineRule="auto"/>
        <w:rPr>
          <w:rFonts w:ascii="Baskerville Old Face" w:hAnsi="Baskerville Old Face"/>
          <w:i/>
          <w:iCs/>
          <w:lang w:val="it-IT"/>
        </w:rPr>
      </w:pPr>
      <w:r w:rsidRPr="005907F1">
        <w:rPr>
          <w:rFonts w:ascii="Baskerville Old Face" w:hAnsi="Baskerville Old Face"/>
          <w:i/>
          <w:iCs/>
          <w:lang w:val="it-IT"/>
        </w:rPr>
        <w:t xml:space="preserve">G = (V, </w:t>
      </w:r>
      <w:proofErr w:type="spellStart"/>
      <w:r w:rsidRPr="005907F1">
        <w:rPr>
          <w:rFonts w:ascii="Baskerville Old Face" w:hAnsi="Baskerville Old Face"/>
          <w:i/>
          <w:iCs/>
          <w:lang w:val="it-IT"/>
        </w:rPr>
        <w:t>E_air</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E_root</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E_fungal</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E_met</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E_soil</w:t>
      </w:r>
      <w:proofErr w:type="spellEnd"/>
      <w:r w:rsidRPr="005907F1">
        <w:rPr>
          <w:rFonts w:ascii="Baskerville Old Face" w:hAnsi="Baskerville Old Face"/>
          <w:i/>
          <w:iCs/>
          <w:lang w:val="it-IT"/>
        </w:rPr>
        <w:t>)</w:t>
      </w:r>
    </w:p>
    <w:p w14:paraId="0481F5CE"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08BF8288"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V represents the set of biological nodes, such as plants, plant guilds, hub species, ecological productive units, or functional vegetation groups;</w:t>
      </w:r>
    </w:p>
    <w:p w14:paraId="35FF52B4"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E_air</w:t>
      </w:r>
      <w:proofErr w:type="spellEnd"/>
      <w:r w:rsidRPr="007E454C">
        <w:rPr>
          <w:rFonts w:ascii="Baskerville Old Face" w:hAnsi="Baskerville Old Face"/>
          <w:i/>
          <w:iCs/>
        </w:rPr>
        <w:t xml:space="preserve"> represents aerial interactions, including pollination, herbivory, beneficial insects, parasitoids, volatile organic compounds, canopy effects, and microclimate influence;</w:t>
      </w:r>
    </w:p>
    <w:p w14:paraId="1F149F2E"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E_root</w:t>
      </w:r>
      <w:proofErr w:type="spellEnd"/>
      <w:r w:rsidRPr="007E454C">
        <w:rPr>
          <w:rFonts w:ascii="Baskerville Old Face" w:hAnsi="Baskerville Old Face"/>
          <w:i/>
          <w:iCs/>
        </w:rPr>
        <w:t xml:space="preserve"> represents root-zone interactions, including water access, nutrient overlap, exudates, competition, facilitation, and rhizosphere dynamics;</w:t>
      </w:r>
    </w:p>
    <w:p w14:paraId="752B6EBD"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E_fungal</w:t>
      </w:r>
      <w:proofErr w:type="spellEnd"/>
      <w:r w:rsidRPr="007E454C">
        <w:rPr>
          <w:rFonts w:ascii="Baskerville Old Face" w:hAnsi="Baskerville Old Face"/>
          <w:i/>
          <w:iCs/>
        </w:rPr>
        <w:t xml:space="preserve"> represents mycorrhizal links, including fungal connectivity, resource transfer, stress signaling, and plant–fungal cooperation;</w:t>
      </w:r>
    </w:p>
    <w:p w14:paraId="1E44505C"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E_met</w:t>
      </w:r>
      <w:proofErr w:type="spellEnd"/>
      <w:r w:rsidRPr="007E454C">
        <w:rPr>
          <w:rFonts w:ascii="Baskerville Old Face" w:hAnsi="Baskerville Old Face"/>
          <w:i/>
          <w:iCs/>
        </w:rPr>
        <w:t xml:space="preserve"> represents biochemical signaling, including primary and secondary metabolites, phenolics, terpenoids, volatile compounds, inducible defense, facilitation, and inhibition;</w:t>
      </w:r>
    </w:p>
    <w:p w14:paraId="3DCB8B1A"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E_soil</w:t>
      </w:r>
      <w:proofErr w:type="spellEnd"/>
      <w:r w:rsidRPr="007E454C">
        <w:rPr>
          <w:rFonts w:ascii="Baskerville Old Face" w:hAnsi="Baskerville Old Face"/>
          <w:i/>
          <w:iCs/>
        </w:rPr>
        <w:t xml:space="preserve"> represents soil-fauna and decomposition-mediated interactions, including earthworms, microbial activity, organic matter turnover, porosity, aggregation, mineralization, and microelement buffering.</w:t>
      </w:r>
    </w:p>
    <w:p w14:paraId="44A4285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lastRenderedPageBreak/>
        <w:t>The main layers can be summarized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7"/>
        <w:gridCol w:w="5289"/>
        <w:gridCol w:w="2722"/>
      </w:tblGrid>
      <w:tr w:rsidR="009B5C78" w:rsidRPr="007E454C" w14:paraId="6F04082D" w14:textId="77777777" w:rsidTr="007E454C">
        <w:trPr>
          <w:tblHeader/>
          <w:tblCellSpacing w:w="15" w:type="dxa"/>
        </w:trPr>
        <w:tc>
          <w:tcPr>
            <w:tcW w:w="0" w:type="auto"/>
            <w:vAlign w:val="center"/>
            <w:hideMark/>
          </w:tcPr>
          <w:p w14:paraId="68AC0E15" w14:textId="77777777" w:rsidR="009B5C78" w:rsidRPr="007E454C" w:rsidRDefault="009B5C78" w:rsidP="009B5C78">
            <w:pPr>
              <w:spacing w:line="360" w:lineRule="auto"/>
              <w:rPr>
                <w:rFonts w:ascii="Baskerville Old Face" w:hAnsi="Baskerville Old Face"/>
                <w:b/>
                <w:bCs/>
                <w:i/>
                <w:iCs/>
                <w:sz w:val="22"/>
                <w:szCs w:val="22"/>
              </w:rPr>
            </w:pPr>
            <w:r w:rsidRPr="007E454C">
              <w:rPr>
                <w:rFonts w:ascii="Baskerville Old Face" w:hAnsi="Baskerville Old Face"/>
                <w:b/>
                <w:bCs/>
                <w:i/>
                <w:iCs/>
                <w:sz w:val="22"/>
                <w:szCs w:val="22"/>
              </w:rPr>
              <w:t>Layer</w:t>
            </w:r>
          </w:p>
        </w:tc>
        <w:tc>
          <w:tcPr>
            <w:tcW w:w="0" w:type="auto"/>
            <w:vAlign w:val="center"/>
            <w:hideMark/>
          </w:tcPr>
          <w:p w14:paraId="2BA5273A" w14:textId="77777777" w:rsidR="009B5C78" w:rsidRPr="007E454C" w:rsidRDefault="009B5C78" w:rsidP="009B5C78">
            <w:pPr>
              <w:spacing w:line="360" w:lineRule="auto"/>
              <w:rPr>
                <w:rFonts w:ascii="Baskerville Old Face" w:hAnsi="Baskerville Old Face"/>
                <w:b/>
                <w:bCs/>
                <w:i/>
                <w:iCs/>
                <w:sz w:val="22"/>
                <w:szCs w:val="22"/>
              </w:rPr>
            </w:pPr>
            <w:r w:rsidRPr="007E454C">
              <w:rPr>
                <w:rFonts w:ascii="Baskerville Old Face" w:hAnsi="Baskerville Old Face"/>
                <w:b/>
                <w:bCs/>
                <w:i/>
                <w:iCs/>
                <w:sz w:val="22"/>
                <w:szCs w:val="22"/>
              </w:rPr>
              <w:t>Function</w:t>
            </w:r>
          </w:p>
        </w:tc>
        <w:tc>
          <w:tcPr>
            <w:tcW w:w="0" w:type="auto"/>
            <w:vAlign w:val="center"/>
            <w:hideMark/>
          </w:tcPr>
          <w:p w14:paraId="79DEAF9D" w14:textId="77777777" w:rsidR="009B5C78" w:rsidRPr="007E454C" w:rsidRDefault="009B5C78" w:rsidP="009B5C78">
            <w:pPr>
              <w:spacing w:line="360" w:lineRule="auto"/>
              <w:rPr>
                <w:rFonts w:ascii="Baskerville Old Face" w:hAnsi="Baskerville Old Face"/>
                <w:b/>
                <w:bCs/>
                <w:i/>
                <w:iCs/>
                <w:sz w:val="22"/>
                <w:szCs w:val="22"/>
              </w:rPr>
            </w:pPr>
            <w:r w:rsidRPr="007E454C">
              <w:rPr>
                <w:rFonts w:ascii="Baskerville Old Face" w:hAnsi="Baskerville Old Face"/>
                <w:b/>
                <w:bCs/>
                <w:i/>
                <w:iCs/>
                <w:sz w:val="22"/>
                <w:szCs w:val="22"/>
              </w:rPr>
              <w:t>Example variables</w:t>
            </w:r>
          </w:p>
        </w:tc>
      </w:tr>
      <w:tr w:rsidR="009B5C78" w:rsidRPr="007E454C" w14:paraId="3ED09004" w14:textId="77777777" w:rsidTr="007E454C">
        <w:trPr>
          <w:tblCellSpacing w:w="15" w:type="dxa"/>
        </w:trPr>
        <w:tc>
          <w:tcPr>
            <w:tcW w:w="0" w:type="auto"/>
            <w:vAlign w:val="center"/>
            <w:hideMark/>
          </w:tcPr>
          <w:p w14:paraId="08BAA727"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Aerial layer</w:t>
            </w:r>
          </w:p>
        </w:tc>
        <w:tc>
          <w:tcPr>
            <w:tcW w:w="0" w:type="auto"/>
            <w:vAlign w:val="center"/>
            <w:hideMark/>
          </w:tcPr>
          <w:p w14:paraId="7BAB3FEE"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VOCs, insects, parasitoids, pollination, herbivory, canopy effects</w:t>
            </w:r>
          </w:p>
        </w:tc>
        <w:tc>
          <w:tcPr>
            <w:tcW w:w="0" w:type="auto"/>
            <w:vAlign w:val="center"/>
            <w:hideMark/>
          </w:tcPr>
          <w:p w14:paraId="73C09993" w14:textId="77777777" w:rsidR="009B5C78" w:rsidRPr="007E454C" w:rsidRDefault="009B5C78" w:rsidP="009B5C78">
            <w:pPr>
              <w:spacing w:line="360" w:lineRule="auto"/>
              <w:rPr>
                <w:rFonts w:ascii="Baskerville Old Face" w:hAnsi="Baskerville Old Face"/>
                <w:i/>
                <w:iCs/>
                <w:sz w:val="22"/>
                <w:szCs w:val="22"/>
              </w:rPr>
            </w:pPr>
            <w:proofErr w:type="spellStart"/>
            <w:r w:rsidRPr="007E454C">
              <w:rPr>
                <w:rFonts w:ascii="Baskerville Old Face" w:hAnsi="Baskerville Old Face"/>
                <w:i/>
                <w:iCs/>
                <w:sz w:val="22"/>
                <w:szCs w:val="22"/>
              </w:rPr>
              <w:t>V_i</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I_i</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P_i</w:t>
            </w:r>
            <w:proofErr w:type="spellEnd"/>
          </w:p>
        </w:tc>
      </w:tr>
      <w:tr w:rsidR="009B5C78" w:rsidRPr="007E454C" w14:paraId="6A458073" w14:textId="77777777" w:rsidTr="007E454C">
        <w:trPr>
          <w:tblCellSpacing w:w="15" w:type="dxa"/>
        </w:trPr>
        <w:tc>
          <w:tcPr>
            <w:tcW w:w="0" w:type="auto"/>
            <w:vAlign w:val="center"/>
            <w:hideMark/>
          </w:tcPr>
          <w:p w14:paraId="6231CDC8"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Root layer</w:t>
            </w:r>
          </w:p>
        </w:tc>
        <w:tc>
          <w:tcPr>
            <w:tcW w:w="0" w:type="auto"/>
            <w:vAlign w:val="center"/>
            <w:hideMark/>
          </w:tcPr>
          <w:p w14:paraId="2BB053D0"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Water, nutrients, root overlap, exudates, rhizosphere activity</w:t>
            </w:r>
          </w:p>
        </w:tc>
        <w:tc>
          <w:tcPr>
            <w:tcW w:w="0" w:type="auto"/>
            <w:vAlign w:val="center"/>
            <w:hideMark/>
          </w:tcPr>
          <w:p w14:paraId="268C2A75" w14:textId="77777777" w:rsidR="009B5C78" w:rsidRPr="007E454C" w:rsidRDefault="009B5C78" w:rsidP="009B5C78">
            <w:pPr>
              <w:spacing w:line="360" w:lineRule="auto"/>
              <w:rPr>
                <w:rFonts w:ascii="Baskerville Old Face" w:hAnsi="Baskerville Old Face"/>
                <w:i/>
                <w:iCs/>
                <w:sz w:val="22"/>
                <w:szCs w:val="22"/>
              </w:rPr>
            </w:pPr>
            <w:proofErr w:type="spellStart"/>
            <w:r w:rsidRPr="007E454C">
              <w:rPr>
                <w:rFonts w:ascii="Baskerville Old Face" w:hAnsi="Baskerville Old Face"/>
                <w:i/>
                <w:iCs/>
                <w:sz w:val="22"/>
                <w:szCs w:val="22"/>
              </w:rPr>
              <w:t>W_i</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N_i</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R_i</w:t>
            </w:r>
            <w:proofErr w:type="spellEnd"/>
          </w:p>
        </w:tc>
      </w:tr>
      <w:tr w:rsidR="009B5C78" w:rsidRPr="007E454C" w14:paraId="785BE8CA" w14:textId="77777777" w:rsidTr="007E454C">
        <w:trPr>
          <w:tblCellSpacing w:w="15" w:type="dxa"/>
        </w:trPr>
        <w:tc>
          <w:tcPr>
            <w:tcW w:w="0" w:type="auto"/>
            <w:vAlign w:val="center"/>
            <w:hideMark/>
          </w:tcPr>
          <w:p w14:paraId="075DB397"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Mycorrhizal layer</w:t>
            </w:r>
          </w:p>
        </w:tc>
        <w:tc>
          <w:tcPr>
            <w:tcW w:w="0" w:type="auto"/>
            <w:vAlign w:val="center"/>
            <w:hideMark/>
          </w:tcPr>
          <w:p w14:paraId="30BF6C57"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Resource redistribution, fungal connectivity, stress signaling</w:t>
            </w:r>
          </w:p>
        </w:tc>
        <w:tc>
          <w:tcPr>
            <w:tcW w:w="0" w:type="auto"/>
            <w:vAlign w:val="center"/>
            <w:hideMark/>
          </w:tcPr>
          <w:p w14:paraId="3AAC2032" w14:textId="77777777" w:rsidR="009B5C78" w:rsidRPr="007E454C" w:rsidRDefault="009B5C78" w:rsidP="009B5C78">
            <w:pPr>
              <w:spacing w:line="360" w:lineRule="auto"/>
              <w:rPr>
                <w:rFonts w:ascii="Baskerville Old Face" w:hAnsi="Baskerville Old Face"/>
                <w:i/>
                <w:iCs/>
                <w:sz w:val="22"/>
                <w:szCs w:val="22"/>
              </w:rPr>
            </w:pPr>
            <w:proofErr w:type="spellStart"/>
            <w:r w:rsidRPr="007E454C">
              <w:rPr>
                <w:rFonts w:ascii="Baskerville Old Face" w:hAnsi="Baskerville Old Face"/>
                <w:i/>
                <w:iCs/>
                <w:sz w:val="22"/>
                <w:szCs w:val="22"/>
              </w:rPr>
              <w:t>F_ij</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C_i</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N_ij^trans</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S_ij^chem</w:t>
            </w:r>
            <w:proofErr w:type="spellEnd"/>
          </w:p>
        </w:tc>
      </w:tr>
      <w:tr w:rsidR="009B5C78" w:rsidRPr="004E52D2" w14:paraId="2990B05F" w14:textId="77777777" w:rsidTr="007E454C">
        <w:trPr>
          <w:tblCellSpacing w:w="15" w:type="dxa"/>
        </w:trPr>
        <w:tc>
          <w:tcPr>
            <w:tcW w:w="0" w:type="auto"/>
            <w:vAlign w:val="center"/>
            <w:hideMark/>
          </w:tcPr>
          <w:p w14:paraId="78FE8A49"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Metabolic layer</w:t>
            </w:r>
          </w:p>
        </w:tc>
        <w:tc>
          <w:tcPr>
            <w:tcW w:w="0" w:type="auto"/>
            <w:vAlign w:val="center"/>
            <w:hideMark/>
          </w:tcPr>
          <w:p w14:paraId="580C0AEE"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Primary and secondary metabolites, biochemical response</w:t>
            </w:r>
          </w:p>
        </w:tc>
        <w:tc>
          <w:tcPr>
            <w:tcW w:w="0" w:type="auto"/>
            <w:vAlign w:val="center"/>
            <w:hideMark/>
          </w:tcPr>
          <w:p w14:paraId="610C2267" w14:textId="77777777" w:rsidR="009B5C78" w:rsidRPr="005907F1" w:rsidRDefault="009B5C78" w:rsidP="009B5C78">
            <w:pPr>
              <w:spacing w:line="360" w:lineRule="auto"/>
              <w:rPr>
                <w:rFonts w:ascii="Baskerville Old Face" w:hAnsi="Baskerville Old Face"/>
                <w:i/>
                <w:iCs/>
                <w:sz w:val="22"/>
                <w:szCs w:val="22"/>
                <w:lang w:val="it-IT"/>
              </w:rPr>
            </w:pPr>
            <w:proofErr w:type="spellStart"/>
            <w:r w:rsidRPr="005907F1">
              <w:rPr>
                <w:rFonts w:ascii="Baskerville Old Face" w:hAnsi="Baskerville Old Face"/>
                <w:i/>
                <w:iCs/>
                <w:sz w:val="22"/>
                <w:szCs w:val="22"/>
                <w:lang w:val="it-IT"/>
              </w:rPr>
              <w:t>M_i^prim</w:t>
            </w:r>
            <w:proofErr w:type="spellEnd"/>
            <w:r w:rsidRPr="005907F1">
              <w:rPr>
                <w:rFonts w:ascii="Baskerville Old Face" w:hAnsi="Baskerville Old Face"/>
                <w:i/>
                <w:iCs/>
                <w:sz w:val="22"/>
                <w:szCs w:val="22"/>
                <w:lang w:val="it-IT"/>
              </w:rPr>
              <w:t xml:space="preserve">, </w:t>
            </w:r>
            <w:proofErr w:type="spellStart"/>
            <w:r w:rsidRPr="005907F1">
              <w:rPr>
                <w:rFonts w:ascii="Baskerville Old Face" w:hAnsi="Baskerville Old Face"/>
                <w:i/>
                <w:iCs/>
                <w:sz w:val="22"/>
                <w:szCs w:val="22"/>
                <w:lang w:val="it-IT"/>
              </w:rPr>
              <w:t>M_i^sec</w:t>
            </w:r>
            <w:proofErr w:type="spellEnd"/>
          </w:p>
        </w:tc>
      </w:tr>
      <w:tr w:rsidR="009B5C78" w:rsidRPr="007E454C" w14:paraId="024C5F29" w14:textId="77777777" w:rsidTr="007E454C">
        <w:trPr>
          <w:tblCellSpacing w:w="15" w:type="dxa"/>
        </w:trPr>
        <w:tc>
          <w:tcPr>
            <w:tcW w:w="0" w:type="auto"/>
            <w:vAlign w:val="center"/>
            <w:hideMark/>
          </w:tcPr>
          <w:p w14:paraId="2ECAF605"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Soil biotic layer</w:t>
            </w:r>
          </w:p>
        </w:tc>
        <w:tc>
          <w:tcPr>
            <w:tcW w:w="0" w:type="auto"/>
            <w:vAlign w:val="center"/>
            <w:hideMark/>
          </w:tcPr>
          <w:p w14:paraId="3B4CD890"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Organic matter turnover, earthworms, microbes, microelements</w:t>
            </w:r>
          </w:p>
        </w:tc>
        <w:tc>
          <w:tcPr>
            <w:tcW w:w="0" w:type="auto"/>
            <w:vAlign w:val="center"/>
            <w:hideMark/>
          </w:tcPr>
          <w:p w14:paraId="0E1CCF60" w14:textId="77777777" w:rsidR="009B5C78" w:rsidRPr="007E454C" w:rsidRDefault="009B5C78" w:rsidP="009B5C78">
            <w:pPr>
              <w:spacing w:line="360" w:lineRule="auto"/>
              <w:rPr>
                <w:rFonts w:ascii="Baskerville Old Face" w:hAnsi="Baskerville Old Face"/>
                <w:i/>
                <w:iCs/>
                <w:sz w:val="22"/>
                <w:szCs w:val="22"/>
              </w:rPr>
            </w:pPr>
            <w:proofErr w:type="spellStart"/>
            <w:r w:rsidRPr="007E454C">
              <w:rPr>
                <w:rFonts w:ascii="Baskerville Old Face" w:hAnsi="Baskerville Old Face"/>
                <w:i/>
                <w:iCs/>
                <w:sz w:val="22"/>
                <w:szCs w:val="22"/>
              </w:rPr>
              <w:t>O_i</w:t>
            </w:r>
            <w:proofErr w:type="spellEnd"/>
            <w:r w:rsidRPr="007E454C">
              <w:rPr>
                <w:rFonts w:ascii="Baskerville Old Face" w:hAnsi="Baskerville Old Face"/>
                <w:i/>
                <w:iCs/>
                <w:sz w:val="22"/>
                <w:szCs w:val="22"/>
              </w:rPr>
              <w:t xml:space="preserve">, </w:t>
            </w:r>
            <w:proofErr w:type="spellStart"/>
            <w:r w:rsidRPr="007E454C">
              <w:rPr>
                <w:rFonts w:ascii="Baskerville Old Face" w:hAnsi="Baskerville Old Face"/>
                <w:i/>
                <w:iCs/>
                <w:sz w:val="22"/>
                <w:szCs w:val="22"/>
              </w:rPr>
              <w:t>E_i</w:t>
            </w:r>
            <w:proofErr w:type="spellEnd"/>
            <w:r w:rsidRPr="007E454C">
              <w:rPr>
                <w:rFonts w:ascii="Baskerville Old Face" w:hAnsi="Baskerville Old Face"/>
                <w:i/>
                <w:iCs/>
                <w:sz w:val="22"/>
                <w:szCs w:val="22"/>
              </w:rPr>
              <w:t xml:space="preserve">, </w:t>
            </w:r>
            <w:proofErr w:type="spellStart"/>
            <w:r w:rsidRPr="007E454C">
              <w:rPr>
                <w:rFonts w:ascii="Cambria" w:hAnsi="Cambria" w:cs="Cambria"/>
                <w:i/>
                <w:iCs/>
                <w:sz w:val="22"/>
                <w:szCs w:val="22"/>
              </w:rPr>
              <w:t>μ</w:t>
            </w:r>
            <w:r w:rsidRPr="007E454C">
              <w:rPr>
                <w:rFonts w:ascii="Baskerville Old Face" w:hAnsi="Baskerville Old Face"/>
                <w:i/>
                <w:iCs/>
                <w:sz w:val="22"/>
                <w:szCs w:val="22"/>
              </w:rPr>
              <w:t>_i</w:t>
            </w:r>
            <w:proofErr w:type="spellEnd"/>
            <w:r w:rsidRPr="007E454C">
              <w:rPr>
                <w:rFonts w:ascii="Baskerville Old Face" w:hAnsi="Baskerville Old Face"/>
                <w:i/>
                <w:iCs/>
                <w:sz w:val="22"/>
                <w:szCs w:val="22"/>
              </w:rPr>
              <w:t xml:space="preserve">, </w:t>
            </w:r>
            <w:proofErr w:type="spellStart"/>
            <w:r w:rsidRPr="007E454C">
              <w:rPr>
                <w:rFonts w:ascii="Cambria" w:hAnsi="Cambria" w:cs="Cambria"/>
                <w:i/>
                <w:iCs/>
                <w:sz w:val="22"/>
                <w:szCs w:val="22"/>
              </w:rPr>
              <w:t>Θ</w:t>
            </w:r>
            <w:r w:rsidRPr="007E454C">
              <w:rPr>
                <w:rFonts w:ascii="Baskerville Old Face" w:hAnsi="Baskerville Old Face"/>
                <w:i/>
                <w:iCs/>
                <w:sz w:val="22"/>
                <w:szCs w:val="22"/>
              </w:rPr>
              <w:t>_i</w:t>
            </w:r>
            <w:proofErr w:type="spellEnd"/>
          </w:p>
        </w:tc>
      </w:tr>
      <w:tr w:rsidR="009B5C78" w:rsidRPr="007E454C" w14:paraId="06A6AFDA" w14:textId="77777777" w:rsidTr="007E454C">
        <w:trPr>
          <w:tblCellSpacing w:w="15" w:type="dxa"/>
        </w:trPr>
        <w:tc>
          <w:tcPr>
            <w:tcW w:w="0" w:type="auto"/>
            <w:vAlign w:val="center"/>
            <w:hideMark/>
          </w:tcPr>
          <w:p w14:paraId="46EB4DBC"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Successional layer</w:t>
            </w:r>
          </w:p>
        </w:tc>
        <w:tc>
          <w:tcPr>
            <w:tcW w:w="0" w:type="auto"/>
            <w:vAlign w:val="center"/>
            <w:hideMark/>
          </w:tcPr>
          <w:p w14:paraId="4C11F4B9" w14:textId="77777777" w:rsidR="009B5C78" w:rsidRPr="007E454C" w:rsidRDefault="009B5C78" w:rsidP="009B5C78">
            <w:pPr>
              <w:spacing w:line="360" w:lineRule="auto"/>
              <w:rPr>
                <w:rFonts w:ascii="Baskerville Old Face" w:hAnsi="Baskerville Old Face"/>
                <w:i/>
                <w:iCs/>
                <w:sz w:val="22"/>
                <w:szCs w:val="22"/>
              </w:rPr>
            </w:pPr>
            <w:r w:rsidRPr="007E454C">
              <w:rPr>
                <w:rFonts w:ascii="Baskerville Old Face" w:hAnsi="Baskerville Old Face"/>
                <w:i/>
                <w:iCs/>
                <w:sz w:val="22"/>
                <w:szCs w:val="22"/>
              </w:rPr>
              <w:t>Pioneer, secondary, climax-like maturity dynamics</w:t>
            </w:r>
          </w:p>
        </w:tc>
        <w:tc>
          <w:tcPr>
            <w:tcW w:w="0" w:type="auto"/>
            <w:vAlign w:val="center"/>
            <w:hideMark/>
          </w:tcPr>
          <w:p w14:paraId="67E63C5D" w14:textId="77777777" w:rsidR="009B5C78" w:rsidRPr="007E454C" w:rsidRDefault="009B5C78" w:rsidP="009B5C78">
            <w:pPr>
              <w:spacing w:line="360" w:lineRule="auto"/>
              <w:rPr>
                <w:rFonts w:ascii="Baskerville Old Face" w:hAnsi="Baskerville Old Face"/>
                <w:i/>
                <w:iCs/>
                <w:sz w:val="22"/>
                <w:szCs w:val="22"/>
              </w:rPr>
            </w:pPr>
            <w:proofErr w:type="spellStart"/>
            <w:r w:rsidRPr="007E454C">
              <w:rPr>
                <w:rFonts w:ascii="Baskerville Old Face" w:hAnsi="Baskerville Old Face"/>
                <w:i/>
                <w:iCs/>
                <w:sz w:val="22"/>
                <w:szCs w:val="22"/>
              </w:rPr>
              <w:t>S_i</w:t>
            </w:r>
            <w:proofErr w:type="spellEnd"/>
            <w:r w:rsidRPr="007E454C">
              <w:rPr>
                <w:rFonts w:ascii="Baskerville Old Face" w:hAnsi="Baskerville Old Face"/>
                <w:i/>
                <w:iCs/>
                <w:sz w:val="22"/>
                <w:szCs w:val="22"/>
              </w:rPr>
              <w:t>(t)</w:t>
            </w:r>
          </w:p>
        </w:tc>
      </w:tr>
    </w:tbl>
    <w:p w14:paraId="43B4FF8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representation matters because it shifts the interpretation of the OHE from a planted area to a cooperative ecological system.</w:t>
      </w:r>
    </w:p>
    <w:p w14:paraId="11BBED3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system is not only a collection of species.</w:t>
      </w:r>
    </w:p>
    <w:p w14:paraId="7188CEB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is a network of interactions.</w:t>
      </w:r>
    </w:p>
    <w:p w14:paraId="286E497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2. Node state vector</w:t>
      </w:r>
    </w:p>
    <w:p w14:paraId="2A057376" w14:textId="77777777" w:rsidR="009B5C78" w:rsidRPr="007E454C" w:rsidRDefault="009B5C78" w:rsidP="009B5C78">
      <w:pPr>
        <w:spacing w:line="360" w:lineRule="auto"/>
        <w:rPr>
          <w:rFonts w:ascii="Baskerville Old Face" w:hAnsi="Baskerville Old Face"/>
          <w:i/>
          <w:iCs/>
        </w:rPr>
      </w:pPr>
      <w:r w:rsidRPr="00B479AE">
        <w:rPr>
          <w:rFonts w:ascii="Baskerville Old Face" w:hAnsi="Baskerville Old Face"/>
          <w:i/>
          <w:iCs/>
        </w:rPr>
        <w:t xml:space="preserve">Each node </w:t>
      </w:r>
      <w:proofErr w:type="spellStart"/>
      <w:r w:rsidRPr="00B479AE">
        <w:rPr>
          <w:rFonts w:ascii="Baskerville Old Face" w:hAnsi="Baskerville Old Face"/>
          <w:b/>
          <w:bCs/>
          <w:i/>
          <w:iCs/>
        </w:rPr>
        <w:t>i</w:t>
      </w:r>
      <w:proofErr w:type="spellEnd"/>
      <w:r w:rsidRPr="00B479AE">
        <w:rPr>
          <w:rFonts w:ascii="Baskerville Old Face" w:hAnsi="Baskerville Old Face"/>
          <w:i/>
          <w:iCs/>
        </w:rPr>
        <w:t xml:space="preserve"> in the system may be represented through a state vector:</w:t>
      </w:r>
    </w:p>
    <w:p w14:paraId="2E2B3ACD"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X_i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N_i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M_i^prim</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M_i^sec</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R_i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F_i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r w:rsidRPr="007E454C">
        <w:rPr>
          <w:rFonts w:ascii="Cambria" w:hAnsi="Cambria" w:cs="Cambria"/>
          <w:i/>
          <w:iCs/>
        </w:rPr>
        <w:t>μ</w:t>
      </w:r>
      <w:r w:rsidRPr="005907F1">
        <w:rPr>
          <w:rFonts w:ascii="Baskerville Old Face" w:hAnsi="Baskerville Old Face"/>
          <w:i/>
          <w:iCs/>
          <w:lang w:val="it-IT"/>
        </w:rPr>
        <w:t xml:space="preserve">_i, </w:t>
      </w:r>
      <w:r w:rsidRPr="007E454C">
        <w:rPr>
          <w:rFonts w:ascii="Cambria" w:hAnsi="Cambria" w:cs="Cambria"/>
          <w:i/>
          <w:iCs/>
        </w:rPr>
        <w:t>Θ</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S_i</w:t>
      </w:r>
      <w:proofErr w:type="spellEnd"/>
      <w:r w:rsidRPr="005907F1">
        <w:rPr>
          <w:rFonts w:ascii="Baskerville Old Face" w:hAnsi="Baskerville Old Face"/>
          <w:i/>
          <w:iCs/>
          <w:lang w:val="it-IT"/>
        </w:rPr>
        <w:t>}</w:t>
      </w:r>
    </w:p>
    <w:p w14:paraId="4B7BA88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61FC5B7E"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W_i</w:t>
      </w:r>
      <w:proofErr w:type="spellEnd"/>
      <w:r w:rsidRPr="007E454C">
        <w:rPr>
          <w:rFonts w:ascii="Baskerville Old Face" w:hAnsi="Baskerville Old Face"/>
          <w:i/>
          <w:iCs/>
        </w:rPr>
        <w:t xml:space="preserve"> represents plant-available water;</w:t>
      </w:r>
    </w:p>
    <w:p w14:paraId="294EC991"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N_i</w:t>
      </w:r>
      <w:proofErr w:type="spellEnd"/>
      <w:r w:rsidRPr="007E454C">
        <w:rPr>
          <w:rFonts w:ascii="Baskerville Old Face" w:hAnsi="Baskerville Old Face"/>
          <w:i/>
          <w:iCs/>
        </w:rPr>
        <w:t xml:space="preserve"> represents effective nutrient availability;</w:t>
      </w:r>
    </w:p>
    <w:p w14:paraId="4E977C84"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lastRenderedPageBreak/>
        <w:t>C_i</w:t>
      </w:r>
      <w:proofErr w:type="spellEnd"/>
      <w:r w:rsidRPr="007E454C">
        <w:rPr>
          <w:rFonts w:ascii="Baskerville Old Face" w:hAnsi="Baskerville Old Face"/>
          <w:i/>
          <w:iCs/>
        </w:rPr>
        <w:t xml:space="preserve"> represents carbon status or assimilate reserve;</w:t>
      </w:r>
    </w:p>
    <w:p w14:paraId="2490C0AD"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M_i^prim</w:t>
      </w:r>
      <w:proofErr w:type="spellEnd"/>
      <w:r w:rsidRPr="007E454C">
        <w:rPr>
          <w:rFonts w:ascii="Baskerville Old Face" w:hAnsi="Baskerville Old Face"/>
          <w:i/>
          <w:iCs/>
        </w:rPr>
        <w:t xml:space="preserve"> represents primary metabolism;</w:t>
      </w:r>
    </w:p>
    <w:p w14:paraId="603C75D4"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M_i^sec</w:t>
      </w:r>
      <w:proofErr w:type="spellEnd"/>
      <w:r w:rsidRPr="007E454C">
        <w:rPr>
          <w:rFonts w:ascii="Baskerville Old Face" w:hAnsi="Baskerville Old Face"/>
          <w:i/>
          <w:iCs/>
        </w:rPr>
        <w:t xml:space="preserve"> represents the secondary metabolite pool;</w:t>
      </w:r>
    </w:p>
    <w:p w14:paraId="0A811CB6"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R_i</w:t>
      </w:r>
      <w:proofErr w:type="spellEnd"/>
      <w:r w:rsidRPr="007E454C">
        <w:rPr>
          <w:rFonts w:ascii="Baskerville Old Face" w:hAnsi="Baskerville Old Face"/>
          <w:i/>
          <w:iCs/>
        </w:rPr>
        <w:t xml:space="preserve"> represents root development and root-interaction capacity;</w:t>
      </w:r>
    </w:p>
    <w:p w14:paraId="16372BAA"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F_i</w:t>
      </w:r>
      <w:proofErr w:type="spellEnd"/>
      <w:r w:rsidRPr="007E454C">
        <w:rPr>
          <w:rFonts w:ascii="Baskerville Old Face" w:hAnsi="Baskerville Old Face"/>
          <w:i/>
          <w:iCs/>
        </w:rPr>
        <w:t xml:space="preserve"> represents mycorrhizal connectivity;</w:t>
      </w:r>
    </w:p>
    <w:p w14:paraId="5D92DF6A"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O_i</w:t>
      </w:r>
      <w:proofErr w:type="spellEnd"/>
      <w:r w:rsidRPr="007E454C">
        <w:rPr>
          <w:rFonts w:ascii="Baskerville Old Face" w:hAnsi="Baskerville Old Face"/>
          <w:i/>
          <w:iCs/>
        </w:rPr>
        <w:t xml:space="preserve"> represents local organic matter stock;</w:t>
      </w:r>
    </w:p>
    <w:p w14:paraId="6691CA5C"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E_i</w:t>
      </w:r>
      <w:proofErr w:type="spellEnd"/>
      <w:r w:rsidRPr="007E454C">
        <w:rPr>
          <w:rFonts w:ascii="Baskerville Old Face" w:hAnsi="Baskerville Old Face"/>
          <w:i/>
          <w:iCs/>
        </w:rPr>
        <w:t xml:space="preserve"> represents earthworm and macrofaunal activity;</w:t>
      </w:r>
    </w:p>
    <w:p w14:paraId="020D17FF"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μ</w:t>
      </w:r>
      <w:r w:rsidRPr="007E454C">
        <w:rPr>
          <w:rFonts w:ascii="Baskerville Old Face" w:hAnsi="Baskerville Old Face"/>
          <w:i/>
          <w:iCs/>
        </w:rPr>
        <w:t>_i</w:t>
      </w:r>
      <w:proofErr w:type="spellEnd"/>
      <w:r w:rsidRPr="007E454C">
        <w:rPr>
          <w:rFonts w:ascii="Baskerville Old Face" w:hAnsi="Baskerville Old Face"/>
          <w:i/>
          <w:iCs/>
        </w:rPr>
        <w:t xml:space="preserve"> represents microbial functional activity;</w:t>
      </w:r>
    </w:p>
    <w:p w14:paraId="4B5E4CAE"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Θ</w:t>
      </w:r>
      <w:r w:rsidRPr="007E454C">
        <w:rPr>
          <w:rFonts w:ascii="Baskerville Old Face" w:hAnsi="Baskerville Old Face"/>
          <w:i/>
          <w:iCs/>
        </w:rPr>
        <w:t>_i</w:t>
      </w:r>
      <w:proofErr w:type="spellEnd"/>
      <w:r w:rsidRPr="007E454C">
        <w:rPr>
          <w:rFonts w:ascii="Baskerville Old Face" w:hAnsi="Baskerville Old Face"/>
          <w:i/>
          <w:iCs/>
        </w:rPr>
        <w:t xml:space="preserve"> represents microelement availability and buffering state;</w:t>
      </w:r>
    </w:p>
    <w:p w14:paraId="7BB08E25"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represents successional stage.</w:t>
      </w:r>
    </w:p>
    <w:p w14:paraId="3F4A179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successional stage may be treated as continuous or discretized for operational modeling.</w:t>
      </w:r>
    </w:p>
    <w:p w14:paraId="18785A0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simple discrete structure may be:</w:t>
      </w:r>
    </w:p>
    <w:p w14:paraId="5C223AF2"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 0 — preparation or placenta layer;</w:t>
      </w:r>
    </w:p>
    <w:p w14:paraId="283C3A8B"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 1 — pioneer stage;</w:t>
      </w:r>
    </w:p>
    <w:p w14:paraId="299EBE2A"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 2 — secondary stage;</w:t>
      </w:r>
    </w:p>
    <w:p w14:paraId="49F218AA"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 3 — climax-like maturity stage.</w:t>
      </w:r>
    </w:p>
    <w:p w14:paraId="67A90F9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model is not intended to impose artificial rigidity on a living system.</w:t>
      </w:r>
    </w:p>
    <w:p w14:paraId="5BC71766"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It provides a structured language for observing how ecological maturity, biological cooperation, and system performance evolve over time.</w:t>
      </w:r>
    </w:p>
    <w:p w14:paraId="7FD9893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3. Interaction structure</w:t>
      </w:r>
    </w:p>
    <w:p w14:paraId="5771985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Connections between nodes may be represented through weighted adjacency structures.</w:t>
      </w:r>
    </w:p>
    <w:p w14:paraId="3BEDEC3E" w14:textId="77777777" w:rsidR="009B5C78" w:rsidRPr="007E454C" w:rsidRDefault="009B5C78" w:rsidP="009B5C78">
      <w:pPr>
        <w:spacing w:line="360" w:lineRule="auto"/>
        <w:rPr>
          <w:rFonts w:ascii="Baskerville Old Face" w:hAnsi="Baskerville Old Face"/>
          <w:i/>
          <w:iCs/>
        </w:rPr>
      </w:pPr>
      <w:r w:rsidRPr="00B479AE">
        <w:rPr>
          <w:rFonts w:ascii="Baskerville Old Face" w:hAnsi="Baskerville Old Face"/>
          <w:i/>
          <w:iCs/>
        </w:rPr>
        <w:t>For the mycorrhizal layer:</w:t>
      </w:r>
    </w:p>
    <w:p w14:paraId="318CC790"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lastRenderedPageBreak/>
        <w:t>A_ij^fung</w:t>
      </w:r>
      <w:proofErr w:type="spellEnd"/>
      <w:r w:rsidRPr="007E454C">
        <w:rPr>
          <w:rFonts w:ascii="Baskerville Old Face" w:hAnsi="Baskerville Old Face"/>
          <w:i/>
          <w:iCs/>
        </w:rPr>
        <w:t xml:space="preserve"> = </w:t>
      </w:r>
      <w:proofErr w:type="gramStart"/>
      <w:r w:rsidRPr="007E454C">
        <w:rPr>
          <w:rFonts w:ascii="Baskerville Old Face" w:hAnsi="Baskerville Old Face"/>
          <w:i/>
          <w:iCs/>
        </w:rPr>
        <w:t>f(</w:t>
      </w:r>
      <w:proofErr w:type="spellStart"/>
      <w:proofErr w:type="gramEnd"/>
      <w:r w:rsidRPr="007E454C">
        <w:rPr>
          <w:rFonts w:ascii="Baskerville Old Face" w:hAnsi="Baskerville Old Face"/>
          <w:i/>
          <w:iCs/>
        </w:rPr>
        <w:t>F_ij</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d_ij</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S_j</w:t>
      </w:r>
      <w:proofErr w:type="spellEnd"/>
      <w:r w:rsidRPr="007E454C">
        <w:rPr>
          <w:rFonts w:ascii="Baskerville Old Face" w:hAnsi="Baskerville Old Face"/>
          <w:i/>
          <w:iCs/>
        </w:rPr>
        <w:t xml:space="preserve">, </w:t>
      </w:r>
      <w:proofErr w:type="spellStart"/>
      <w:r w:rsidRPr="007E454C">
        <w:rPr>
          <w:rFonts w:ascii="Cambria" w:hAnsi="Cambria" w:cs="Cambria"/>
          <w:i/>
          <w:iCs/>
        </w:rPr>
        <w:t>κ</w:t>
      </w:r>
      <w:r w:rsidRPr="007E454C">
        <w:rPr>
          <w:rFonts w:ascii="Baskerville Old Face" w:hAnsi="Baskerville Old Face"/>
          <w:i/>
          <w:iCs/>
        </w:rPr>
        <w:t>_ij</w:t>
      </w:r>
      <w:proofErr w:type="spellEnd"/>
      <w:r w:rsidRPr="007E454C">
        <w:rPr>
          <w:rFonts w:ascii="Baskerville Old Face" w:hAnsi="Baskerville Old Face"/>
          <w:i/>
          <w:iCs/>
        </w:rPr>
        <w:t>)</w:t>
      </w:r>
    </w:p>
    <w:p w14:paraId="00D0AC4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606D7515"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F_ij</w:t>
      </w:r>
      <w:proofErr w:type="spellEnd"/>
      <w:r w:rsidRPr="007E454C">
        <w:rPr>
          <w:rFonts w:ascii="Baskerville Old Face" w:hAnsi="Baskerville Old Face"/>
          <w:i/>
          <w:iCs/>
        </w:rPr>
        <w:t xml:space="preserve"> represents fungal connectivity strength;</w:t>
      </w:r>
    </w:p>
    <w:p w14:paraId="6231924D"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d_ij</w:t>
      </w:r>
      <w:proofErr w:type="spellEnd"/>
      <w:r w:rsidRPr="007E454C">
        <w:rPr>
          <w:rFonts w:ascii="Baskerville Old Face" w:hAnsi="Baskerville Old Face"/>
          <w:i/>
          <w:iCs/>
        </w:rPr>
        <w:t xml:space="preserve"> represents spatial distance;</w:t>
      </w:r>
    </w:p>
    <w:p w14:paraId="22C679F4"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and </w:t>
      </w:r>
      <w:proofErr w:type="spellStart"/>
      <w:r w:rsidRPr="007E454C">
        <w:rPr>
          <w:rFonts w:ascii="Baskerville Old Face" w:hAnsi="Baskerville Old Face"/>
          <w:i/>
          <w:iCs/>
        </w:rPr>
        <w:t>S_j</w:t>
      </w:r>
      <w:proofErr w:type="spellEnd"/>
      <w:r w:rsidRPr="007E454C">
        <w:rPr>
          <w:rFonts w:ascii="Baskerville Old Face" w:hAnsi="Baskerville Old Face"/>
          <w:i/>
          <w:iCs/>
        </w:rPr>
        <w:t xml:space="preserve"> represent successional stages;</w:t>
      </w:r>
    </w:p>
    <w:p w14:paraId="33414149"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κ</w:t>
      </w:r>
      <w:r w:rsidRPr="007E454C">
        <w:rPr>
          <w:rFonts w:ascii="Baskerville Old Face" w:hAnsi="Baskerville Old Face"/>
          <w:i/>
          <w:iCs/>
        </w:rPr>
        <w:t>_ij</w:t>
      </w:r>
      <w:proofErr w:type="spellEnd"/>
      <w:r w:rsidRPr="007E454C">
        <w:rPr>
          <w:rFonts w:ascii="Baskerville Old Face" w:hAnsi="Baskerville Old Face"/>
          <w:i/>
          <w:iCs/>
        </w:rPr>
        <w:t xml:space="preserve"> represents compatibility, guild affinity, or ecological fit.</w:t>
      </w:r>
    </w:p>
    <w:p w14:paraId="6972577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Biochemical signaling may be represented as:</w:t>
      </w:r>
    </w:p>
    <w:p w14:paraId="6292A182"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A_ij^met</w:t>
      </w:r>
      <w:proofErr w:type="spellEnd"/>
      <w:r w:rsidRPr="007E454C">
        <w:rPr>
          <w:rFonts w:ascii="Baskerville Old Face" w:hAnsi="Baskerville Old Face"/>
          <w:i/>
          <w:iCs/>
        </w:rPr>
        <w:t xml:space="preserve"> = </w:t>
      </w:r>
      <w:proofErr w:type="gramStart"/>
      <w:r w:rsidRPr="007E454C">
        <w:rPr>
          <w:rFonts w:ascii="Baskerville Old Face" w:hAnsi="Baskerville Old Face"/>
          <w:i/>
          <w:iCs/>
        </w:rPr>
        <w:t>g(</w:t>
      </w:r>
      <w:proofErr w:type="spellStart"/>
      <w:proofErr w:type="gramEnd"/>
      <w:r w:rsidRPr="007E454C">
        <w:rPr>
          <w:rFonts w:ascii="Baskerville Old Face" w:hAnsi="Baskerville Old Face"/>
          <w:i/>
          <w:iCs/>
        </w:rPr>
        <w:t>M_i^sec</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d_ij</w:t>
      </w:r>
      <w:proofErr w:type="spellEnd"/>
      <w:r w:rsidRPr="007E454C">
        <w:rPr>
          <w:rFonts w:ascii="Baskerville Old Face" w:hAnsi="Baskerville Old Face"/>
          <w:i/>
          <w:iCs/>
        </w:rPr>
        <w:t xml:space="preserve">, </w:t>
      </w:r>
      <w:proofErr w:type="spellStart"/>
      <w:r w:rsidRPr="007E454C">
        <w:rPr>
          <w:rFonts w:ascii="Cambria" w:hAnsi="Cambria" w:cs="Cambria"/>
          <w:i/>
          <w:iCs/>
        </w:rPr>
        <w:t>η</w:t>
      </w:r>
      <w:r w:rsidRPr="007E454C">
        <w:rPr>
          <w:rFonts w:ascii="Baskerville Old Face" w:hAnsi="Baskerville Old Face"/>
          <w:i/>
          <w:iCs/>
        </w:rPr>
        <w:t>_ij</w:t>
      </w:r>
      <w:proofErr w:type="spellEnd"/>
      <w:r w:rsidRPr="007E454C">
        <w:rPr>
          <w:rFonts w:ascii="Baskerville Old Face" w:hAnsi="Baskerville Old Face"/>
          <w:i/>
          <w:iCs/>
        </w:rPr>
        <w:t xml:space="preserve">, </w:t>
      </w:r>
      <w:proofErr w:type="spellStart"/>
      <w:r w:rsidRPr="007E454C">
        <w:rPr>
          <w:rFonts w:ascii="Cambria" w:hAnsi="Cambria" w:cs="Cambria"/>
          <w:i/>
          <w:iCs/>
        </w:rPr>
        <w:t>φ</w:t>
      </w:r>
      <w:r w:rsidRPr="007E454C">
        <w:rPr>
          <w:rFonts w:ascii="Baskerville Old Face" w:hAnsi="Baskerville Old Face"/>
          <w:i/>
          <w:iCs/>
        </w:rPr>
        <w:t>_ij</w:t>
      </w:r>
      <w:proofErr w:type="spellEnd"/>
      <w:r w:rsidRPr="007E454C">
        <w:rPr>
          <w:rFonts w:ascii="Baskerville Old Face" w:hAnsi="Baskerville Old Face"/>
          <w:i/>
          <w:iCs/>
        </w:rPr>
        <w:t>)</w:t>
      </w:r>
    </w:p>
    <w:p w14:paraId="2E4AEF4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0BCAB56A"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η</w:t>
      </w:r>
      <w:r w:rsidRPr="007E454C">
        <w:rPr>
          <w:rFonts w:ascii="Baskerville Old Face" w:hAnsi="Baskerville Old Face"/>
          <w:i/>
          <w:iCs/>
        </w:rPr>
        <w:t>_ij</w:t>
      </w:r>
      <w:proofErr w:type="spellEnd"/>
      <w:r w:rsidRPr="007E454C">
        <w:rPr>
          <w:rFonts w:ascii="Baskerville Old Face" w:hAnsi="Baskerville Old Face"/>
          <w:i/>
          <w:iCs/>
        </w:rPr>
        <w:t xml:space="preserve"> captures the sensitivity of node j to signals from node </w:t>
      </w:r>
      <w:proofErr w:type="spellStart"/>
      <w:r w:rsidRPr="007E454C">
        <w:rPr>
          <w:rFonts w:ascii="Baskerville Old Face" w:hAnsi="Baskerville Old Face"/>
          <w:i/>
          <w:iCs/>
        </w:rPr>
        <w:t>i</w:t>
      </w:r>
      <w:proofErr w:type="spellEnd"/>
      <w:r w:rsidRPr="007E454C">
        <w:rPr>
          <w:rFonts w:ascii="Baskerville Old Face" w:hAnsi="Baskerville Old Face"/>
          <w:i/>
          <w:iCs/>
        </w:rPr>
        <w:t>;</w:t>
      </w:r>
    </w:p>
    <w:p w14:paraId="7A9E5A94"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φ</w:t>
      </w:r>
      <w:r w:rsidRPr="007E454C">
        <w:rPr>
          <w:rFonts w:ascii="Baskerville Old Face" w:hAnsi="Baskerville Old Face"/>
          <w:i/>
          <w:iCs/>
        </w:rPr>
        <w:t>_ij</w:t>
      </w:r>
      <w:proofErr w:type="spellEnd"/>
      <w:r w:rsidRPr="007E454C">
        <w:rPr>
          <w:rFonts w:ascii="Baskerville Old Face" w:hAnsi="Baskerville Old Face"/>
          <w:i/>
          <w:iCs/>
        </w:rPr>
        <w:t xml:space="preserve"> represents whether the interaction is facilitative, inhibitory, defensive, or neutral.</w:t>
      </w:r>
    </w:p>
    <w:p w14:paraId="2805CD03"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distinction is important.</w:t>
      </w:r>
    </w:p>
    <w:p w14:paraId="0196BFA4"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Not every interaction is beneficial.</w:t>
      </w:r>
    </w:p>
    <w:p w14:paraId="0F429800"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credible model must be capable of representing cooperation, competition, inhibition, facilitation, stress, and failure.</w:t>
      </w:r>
    </w:p>
    <w:p w14:paraId="08CDEBEE"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That is what makes the model useful for MRV and not merely poetic.</w:t>
      </w:r>
    </w:p>
    <w:p w14:paraId="5EE0C3B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4. Resource flow and fungal-mediated transfer</w:t>
      </w:r>
    </w:p>
    <w:p w14:paraId="6FC13927"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first-order approximation of underground resource transfer may be expressed as:</w:t>
      </w:r>
    </w:p>
    <w:p w14:paraId="62BA8474"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R_ij^fung</w:t>
      </w:r>
      <w:proofErr w:type="spellEnd"/>
      <w:r w:rsidRPr="007E454C">
        <w:rPr>
          <w:rFonts w:ascii="Baskerville Old Face" w:hAnsi="Baskerville Old Face"/>
          <w:i/>
          <w:iCs/>
        </w:rPr>
        <w:t xml:space="preserve"> = </w:t>
      </w:r>
      <w:proofErr w:type="spellStart"/>
      <w:r w:rsidRPr="007E454C">
        <w:rPr>
          <w:rFonts w:ascii="Baskerville Old Face" w:hAnsi="Baskerville Old Face"/>
          <w:i/>
          <w:iCs/>
        </w:rPr>
        <w:t>A_ij^fung</w:t>
      </w:r>
      <w:proofErr w:type="spellEnd"/>
      <w:r w:rsidRPr="007E454C">
        <w:rPr>
          <w:rFonts w:ascii="Baskerville Old Face" w:hAnsi="Baskerville Old Face"/>
          <w:i/>
          <w:iCs/>
        </w:rPr>
        <w:t xml:space="preserve"> [</w:t>
      </w:r>
      <w:proofErr w:type="spellStart"/>
      <w:r w:rsidRPr="007E454C">
        <w:rPr>
          <w:rFonts w:ascii="Cambria" w:hAnsi="Cambria" w:cs="Cambria"/>
          <w:i/>
          <w:iCs/>
        </w:rPr>
        <w:t>λ</w:t>
      </w:r>
      <w:r w:rsidRPr="007E454C">
        <w:rPr>
          <w:rFonts w:ascii="Baskerville Old Face" w:hAnsi="Baskerville Old Face"/>
          <w:i/>
          <w:iCs/>
        </w:rPr>
        <w:t>_</w:t>
      </w:r>
      <w:proofErr w:type="gramStart"/>
      <w:r w:rsidRPr="007E454C">
        <w:rPr>
          <w:rFonts w:ascii="Baskerville Old Face" w:hAnsi="Baskerville Old Face"/>
          <w:i/>
          <w:iCs/>
        </w:rPr>
        <w:t>C</w:t>
      </w:r>
      <w:proofErr w:type="spellEnd"/>
      <w:r w:rsidRPr="007E454C">
        <w:rPr>
          <w:rFonts w:ascii="Baskerville Old Face" w:hAnsi="Baskerville Old Face"/>
          <w:i/>
          <w:iCs/>
        </w:rPr>
        <w:t>(</w:t>
      </w:r>
      <w:proofErr w:type="spellStart"/>
      <w:proofErr w:type="gramEnd"/>
      <w:r w:rsidRPr="007E454C">
        <w:rPr>
          <w:rFonts w:ascii="Baskerville Old Face" w:hAnsi="Baskerville Old Face"/>
          <w:i/>
          <w:iCs/>
        </w:rPr>
        <w:t>C_i</w:t>
      </w:r>
      <w:proofErr w:type="spellEnd"/>
      <w:r w:rsidRPr="007E454C">
        <w:rPr>
          <w:rFonts w:ascii="Baskerville Old Face" w:hAnsi="Baskerville Old Face"/>
          <w:i/>
          <w:iCs/>
        </w:rPr>
        <w:t xml:space="preserve"> </w:t>
      </w:r>
      <w:r w:rsidRPr="007E454C">
        <w:rPr>
          <w:rFonts w:ascii="Cambria Math" w:hAnsi="Cambria Math" w:cs="Cambria Math"/>
          <w:i/>
          <w:iCs/>
        </w:rPr>
        <w:t>−</w:t>
      </w:r>
      <w:r w:rsidRPr="007E454C">
        <w:rPr>
          <w:rFonts w:ascii="Baskerville Old Face" w:hAnsi="Baskerville Old Face"/>
          <w:i/>
          <w:iCs/>
        </w:rPr>
        <w:t xml:space="preserve"> </w:t>
      </w:r>
      <w:proofErr w:type="spellStart"/>
      <w:r w:rsidRPr="007E454C">
        <w:rPr>
          <w:rFonts w:ascii="Baskerville Old Face" w:hAnsi="Baskerville Old Face"/>
          <w:i/>
          <w:iCs/>
        </w:rPr>
        <w:t>C_j</w:t>
      </w:r>
      <w:proofErr w:type="spellEnd"/>
      <w:r w:rsidRPr="007E454C">
        <w:rPr>
          <w:rFonts w:ascii="Baskerville Old Face" w:hAnsi="Baskerville Old Face"/>
          <w:i/>
          <w:iCs/>
        </w:rPr>
        <w:t xml:space="preserve">) + </w:t>
      </w:r>
      <w:proofErr w:type="spellStart"/>
      <w:r w:rsidRPr="007E454C">
        <w:rPr>
          <w:rFonts w:ascii="Cambria" w:hAnsi="Cambria" w:cs="Cambria"/>
          <w:i/>
          <w:iCs/>
        </w:rPr>
        <w:t>λ</w:t>
      </w:r>
      <w:r w:rsidRPr="007E454C">
        <w:rPr>
          <w:rFonts w:ascii="Baskerville Old Face" w:hAnsi="Baskerville Old Face"/>
          <w:i/>
          <w:iCs/>
        </w:rPr>
        <w:t>_</w:t>
      </w:r>
      <w:proofErr w:type="gramStart"/>
      <w:r w:rsidRPr="007E454C">
        <w:rPr>
          <w:rFonts w:ascii="Baskerville Old Face" w:hAnsi="Baskerville Old Face"/>
          <w:i/>
          <w:iCs/>
        </w:rPr>
        <w:t>N</w:t>
      </w:r>
      <w:proofErr w:type="spellEnd"/>
      <w:r w:rsidRPr="007E454C">
        <w:rPr>
          <w:rFonts w:ascii="Baskerville Old Face" w:hAnsi="Baskerville Old Face"/>
          <w:i/>
          <w:iCs/>
        </w:rPr>
        <w:t>(</w:t>
      </w:r>
      <w:proofErr w:type="spellStart"/>
      <w:proofErr w:type="gramEnd"/>
      <w:r w:rsidRPr="007E454C">
        <w:rPr>
          <w:rFonts w:ascii="Baskerville Old Face" w:hAnsi="Baskerville Old Face"/>
          <w:i/>
          <w:iCs/>
        </w:rPr>
        <w:t>N_i</w:t>
      </w:r>
      <w:proofErr w:type="spellEnd"/>
      <w:r w:rsidRPr="007E454C">
        <w:rPr>
          <w:rFonts w:ascii="Baskerville Old Face" w:hAnsi="Baskerville Old Face"/>
          <w:i/>
          <w:iCs/>
        </w:rPr>
        <w:t xml:space="preserve"> </w:t>
      </w:r>
      <w:r w:rsidRPr="007E454C">
        <w:rPr>
          <w:rFonts w:ascii="Cambria Math" w:hAnsi="Cambria Math" w:cs="Cambria Math"/>
          <w:i/>
          <w:iCs/>
        </w:rPr>
        <w:t>−</w:t>
      </w:r>
      <w:r w:rsidRPr="007E454C">
        <w:rPr>
          <w:rFonts w:ascii="Baskerville Old Face" w:hAnsi="Baskerville Old Face"/>
          <w:i/>
          <w:iCs/>
        </w:rPr>
        <w:t xml:space="preserve"> </w:t>
      </w:r>
      <w:proofErr w:type="spellStart"/>
      <w:r w:rsidRPr="007E454C">
        <w:rPr>
          <w:rFonts w:ascii="Baskerville Old Face" w:hAnsi="Baskerville Old Face"/>
          <w:i/>
          <w:iCs/>
        </w:rPr>
        <w:t>N_j</w:t>
      </w:r>
      <w:proofErr w:type="spellEnd"/>
      <w:r w:rsidRPr="007E454C">
        <w:rPr>
          <w:rFonts w:ascii="Baskerville Old Face" w:hAnsi="Baskerville Old Face"/>
          <w:i/>
          <w:iCs/>
        </w:rPr>
        <w:t xml:space="preserve">) + </w:t>
      </w:r>
      <w:proofErr w:type="spellStart"/>
      <w:r w:rsidRPr="007E454C">
        <w:rPr>
          <w:rFonts w:ascii="Cambria" w:hAnsi="Cambria" w:cs="Cambria"/>
          <w:i/>
          <w:iCs/>
        </w:rPr>
        <w:t>λ</w:t>
      </w:r>
      <w:r w:rsidRPr="007E454C">
        <w:rPr>
          <w:rFonts w:ascii="Baskerville Old Face" w:hAnsi="Baskerville Old Face"/>
          <w:i/>
          <w:iCs/>
        </w:rPr>
        <w:t>_</w:t>
      </w:r>
      <w:proofErr w:type="gramStart"/>
      <w:r w:rsidRPr="007E454C">
        <w:rPr>
          <w:rFonts w:ascii="Baskerville Old Face" w:hAnsi="Baskerville Old Face"/>
          <w:i/>
          <w:iCs/>
        </w:rPr>
        <w:t>W</w:t>
      </w:r>
      <w:proofErr w:type="spellEnd"/>
      <w:r w:rsidRPr="007E454C">
        <w:rPr>
          <w:rFonts w:ascii="Baskerville Old Face" w:hAnsi="Baskerville Old Face"/>
          <w:i/>
          <w:iCs/>
        </w:rPr>
        <w:t>(</w:t>
      </w:r>
      <w:proofErr w:type="spellStart"/>
      <w:proofErr w:type="gramEnd"/>
      <w:r w:rsidRPr="007E454C">
        <w:rPr>
          <w:rFonts w:ascii="Baskerville Old Face" w:hAnsi="Baskerville Old Face"/>
          <w:i/>
          <w:iCs/>
        </w:rPr>
        <w:t>W_i</w:t>
      </w:r>
      <w:proofErr w:type="spellEnd"/>
      <w:r w:rsidRPr="007E454C">
        <w:rPr>
          <w:rFonts w:ascii="Baskerville Old Face" w:hAnsi="Baskerville Old Face"/>
          <w:i/>
          <w:iCs/>
        </w:rPr>
        <w:t xml:space="preserve"> </w:t>
      </w:r>
      <w:r w:rsidRPr="007E454C">
        <w:rPr>
          <w:rFonts w:ascii="Cambria Math" w:hAnsi="Cambria Math" w:cs="Cambria Math"/>
          <w:i/>
          <w:iCs/>
        </w:rPr>
        <w:t>−</w:t>
      </w:r>
      <w:r w:rsidRPr="007E454C">
        <w:rPr>
          <w:rFonts w:ascii="Baskerville Old Face" w:hAnsi="Baskerville Old Face"/>
          <w:i/>
          <w:iCs/>
        </w:rPr>
        <w:t xml:space="preserve"> </w:t>
      </w:r>
      <w:proofErr w:type="spellStart"/>
      <w:r w:rsidRPr="007E454C">
        <w:rPr>
          <w:rFonts w:ascii="Baskerville Old Face" w:hAnsi="Baskerville Old Face"/>
          <w:i/>
          <w:iCs/>
        </w:rPr>
        <w:t>W_j</w:t>
      </w:r>
      <w:proofErr w:type="spellEnd"/>
      <w:r w:rsidRPr="007E454C">
        <w:rPr>
          <w:rFonts w:ascii="Baskerville Old Face" w:hAnsi="Baskerville Old Face"/>
          <w:i/>
          <w:iCs/>
        </w:rPr>
        <w:t>)]</w:t>
      </w:r>
    </w:p>
    <w:p w14:paraId="28783693"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26D2767A"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λ</w:t>
      </w:r>
      <w:r w:rsidRPr="007E454C">
        <w:rPr>
          <w:rFonts w:ascii="Baskerville Old Face" w:hAnsi="Baskerville Old Face"/>
          <w:i/>
          <w:iCs/>
        </w:rPr>
        <w:t>_C</w:t>
      </w:r>
      <w:proofErr w:type="spellEnd"/>
      <w:r w:rsidRPr="007E454C">
        <w:rPr>
          <w:rFonts w:ascii="Baskerville Old Face" w:hAnsi="Baskerville Old Face"/>
          <w:i/>
          <w:iCs/>
        </w:rPr>
        <w:t xml:space="preserve">, </w:t>
      </w:r>
      <w:proofErr w:type="spellStart"/>
      <w:r w:rsidRPr="007E454C">
        <w:rPr>
          <w:rFonts w:ascii="Cambria" w:hAnsi="Cambria" w:cs="Cambria"/>
          <w:i/>
          <w:iCs/>
        </w:rPr>
        <w:t>λ</w:t>
      </w:r>
      <w:r w:rsidRPr="007E454C">
        <w:rPr>
          <w:rFonts w:ascii="Baskerville Old Face" w:hAnsi="Baskerville Old Face"/>
          <w:i/>
          <w:iCs/>
        </w:rPr>
        <w:t>_N</w:t>
      </w:r>
      <w:proofErr w:type="spellEnd"/>
      <w:r w:rsidRPr="007E454C">
        <w:rPr>
          <w:rFonts w:ascii="Baskerville Old Face" w:hAnsi="Baskerville Old Face"/>
          <w:i/>
          <w:iCs/>
        </w:rPr>
        <w:t xml:space="preserve">, and </w:t>
      </w:r>
      <w:proofErr w:type="spellStart"/>
      <w:r w:rsidRPr="007E454C">
        <w:rPr>
          <w:rFonts w:ascii="Cambria" w:hAnsi="Cambria" w:cs="Cambria"/>
          <w:i/>
          <w:iCs/>
        </w:rPr>
        <w:t>λ</w:t>
      </w:r>
      <w:r w:rsidRPr="007E454C">
        <w:rPr>
          <w:rFonts w:ascii="Baskerville Old Face" w:hAnsi="Baskerville Old Face"/>
          <w:i/>
          <w:iCs/>
        </w:rPr>
        <w:t>_W</w:t>
      </w:r>
      <w:proofErr w:type="spellEnd"/>
      <w:r w:rsidRPr="007E454C">
        <w:rPr>
          <w:rFonts w:ascii="Baskerville Old Face" w:hAnsi="Baskerville Old Face"/>
          <w:i/>
          <w:iCs/>
        </w:rPr>
        <w:t xml:space="preserve"> represent transfer coefficients for carbon, nutrients, and water.</w:t>
      </w:r>
    </w:p>
    <w:p w14:paraId="7317EE53"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 xml:space="preserve">The total incoming fungal-mediated flow to node </w:t>
      </w:r>
      <w:proofErr w:type="spellStart"/>
      <w:r w:rsidRPr="007E454C">
        <w:rPr>
          <w:rFonts w:ascii="Baskerville Old Face" w:hAnsi="Baskerville Old Face"/>
          <w:i/>
          <w:iCs/>
        </w:rPr>
        <w:t>i</w:t>
      </w:r>
      <w:proofErr w:type="spellEnd"/>
      <w:r w:rsidRPr="007E454C">
        <w:rPr>
          <w:rFonts w:ascii="Baskerville Old Face" w:hAnsi="Baskerville Old Face"/>
          <w:i/>
          <w:iCs/>
        </w:rPr>
        <w:t xml:space="preserve"> may be represented as:</w:t>
      </w:r>
    </w:p>
    <w:p w14:paraId="781ED558"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lastRenderedPageBreak/>
        <w:t>Φ</w:t>
      </w:r>
      <w:r w:rsidRPr="007E454C">
        <w:rPr>
          <w:rFonts w:ascii="Baskerville Old Face" w:hAnsi="Baskerville Old Face"/>
          <w:i/>
          <w:iCs/>
        </w:rPr>
        <w:t>_i^fung</w:t>
      </w:r>
      <w:proofErr w:type="spellEnd"/>
      <w:r w:rsidRPr="007E454C">
        <w:rPr>
          <w:rFonts w:ascii="Baskerville Old Face" w:hAnsi="Baskerville Old Face"/>
          <w:i/>
          <w:iCs/>
        </w:rPr>
        <w:t xml:space="preserve"> = </w:t>
      </w:r>
      <w:r w:rsidRPr="007E454C">
        <w:rPr>
          <w:rFonts w:ascii="Cambria" w:hAnsi="Cambria" w:cs="Cambria"/>
          <w:i/>
          <w:iCs/>
        </w:rPr>
        <w:t>Σ</w:t>
      </w:r>
      <w:r w:rsidRPr="007E454C">
        <w:rPr>
          <w:rFonts w:ascii="Baskerville Old Face" w:hAnsi="Baskerville Old Face"/>
          <w:i/>
          <w:iCs/>
        </w:rPr>
        <w:t>_{</w:t>
      </w:r>
      <w:proofErr w:type="spellStart"/>
      <w:r w:rsidRPr="007E454C">
        <w:rPr>
          <w:rFonts w:ascii="Baskerville Old Face" w:hAnsi="Baskerville Old Face"/>
          <w:i/>
          <w:iCs/>
        </w:rPr>
        <w:t>j</w:t>
      </w:r>
      <w:r w:rsidRPr="007E454C">
        <w:rPr>
          <w:rFonts w:ascii="Baskerville Old Face" w:hAnsi="Baskerville Old Face" w:cs="Baskerville Old Face"/>
          <w:i/>
          <w:iCs/>
        </w:rPr>
        <w:t>≠</w:t>
      </w:r>
      <w:r w:rsidRPr="007E454C">
        <w:rPr>
          <w:rFonts w:ascii="Baskerville Old Face" w:hAnsi="Baskerville Old Face"/>
          <w:i/>
          <w:iCs/>
        </w:rPr>
        <w:t>i</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R_ji^fung</w:t>
      </w:r>
      <w:proofErr w:type="spellEnd"/>
    </w:p>
    <w:p w14:paraId="51EB8016"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equation is not used to claim perfect knowledge of underground transfer.</w:t>
      </w:r>
    </w:p>
    <w:p w14:paraId="529DB437"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It is used to express a modeling principle:</w:t>
      </w:r>
    </w:p>
    <w:p w14:paraId="0717953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resource redistribution may depend on gradients, connectivity, compatibility, spatial position, and ecological context.</w:t>
      </w:r>
    </w:p>
    <w:p w14:paraId="2EC46D1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For Prometheus, the financial relevance does not come from asserting underground transfer.</w:t>
      </w:r>
    </w:p>
    <w:p w14:paraId="409B07B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comes from testing whether stronger network-support indicators correlate with lower mortality, better drought response, reduced variance, and improved productive stability.</w:t>
      </w:r>
    </w:p>
    <w:p w14:paraId="1682EB7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5. Secondary metabolite and biochemical dynamics</w:t>
      </w:r>
    </w:p>
    <w:p w14:paraId="378F153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Secondary metabolites are not decorative chemistry.</w:t>
      </w:r>
    </w:p>
    <w:p w14:paraId="072E67B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They can function as ecological control variables, influencing defense, attraction, inhibition, facilitation, stress response, and plant–plant or plant–microbe communication.</w:t>
      </w:r>
    </w:p>
    <w:p w14:paraId="1A4D341E" w14:textId="77777777" w:rsidR="009B5C78" w:rsidRPr="007E454C" w:rsidRDefault="009B5C78" w:rsidP="009B5C78">
      <w:pPr>
        <w:spacing w:line="360" w:lineRule="auto"/>
        <w:rPr>
          <w:rFonts w:ascii="Baskerville Old Face" w:hAnsi="Baskerville Old Face"/>
          <w:i/>
          <w:iCs/>
        </w:rPr>
      </w:pPr>
      <w:r w:rsidRPr="00B479AE">
        <w:rPr>
          <w:rFonts w:ascii="Baskerville Old Face" w:hAnsi="Baskerville Old Face"/>
          <w:i/>
          <w:iCs/>
        </w:rPr>
        <w:t>Their dynamics may be represented conceptually as:</w:t>
      </w:r>
    </w:p>
    <w:p w14:paraId="1ED52091"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dM_i^sec</w:t>
      </w:r>
      <w:proofErr w:type="spellEnd"/>
      <w:r w:rsidRPr="007E454C">
        <w:rPr>
          <w:rFonts w:ascii="Baskerville Old Face" w:hAnsi="Baskerville Old Face"/>
          <w:i/>
          <w:iCs/>
        </w:rPr>
        <w:t xml:space="preserve"> / dt = </w:t>
      </w:r>
      <w:r w:rsidRPr="007E454C">
        <w:rPr>
          <w:rFonts w:ascii="Cambria" w:hAnsi="Cambria" w:cs="Cambria"/>
          <w:i/>
          <w:iCs/>
        </w:rPr>
        <w:t>α</w:t>
      </w:r>
      <w:r w:rsidRPr="007E454C">
        <w:rPr>
          <w:rFonts w:ascii="Baskerville Old Face" w:hAnsi="Baskerville Old Face"/>
          <w:i/>
          <w:iCs/>
        </w:rPr>
        <w:t>_</w:t>
      </w:r>
      <w:proofErr w:type="spellStart"/>
      <w:r w:rsidRPr="007E454C">
        <w:rPr>
          <w:rFonts w:ascii="Baskerville Old Face" w:hAnsi="Baskerville Old Face"/>
          <w:i/>
          <w:iCs/>
        </w:rPr>
        <w:t>i</w:t>
      </w:r>
      <w:proofErr w:type="spellEnd"/>
      <w:r w:rsidRPr="007E454C">
        <w:rPr>
          <w:rFonts w:ascii="Baskerville Old Face" w:hAnsi="Baskerville Old Face"/>
          <w:i/>
          <w:iCs/>
        </w:rPr>
        <w:t xml:space="preserve"> + </w:t>
      </w:r>
      <w:r w:rsidRPr="007E454C">
        <w:rPr>
          <w:rFonts w:ascii="Cambria" w:hAnsi="Cambria" w:cs="Cambria"/>
          <w:i/>
          <w:iCs/>
        </w:rPr>
        <w:t>β</w:t>
      </w:r>
      <w:r w:rsidRPr="007E454C">
        <w:rPr>
          <w:rFonts w:ascii="Baskerville Old Face" w:hAnsi="Baskerville Old Face"/>
          <w:i/>
          <w:iCs/>
        </w:rPr>
        <w:t>_</w:t>
      </w:r>
      <w:proofErr w:type="spellStart"/>
      <w:r w:rsidRPr="007E454C">
        <w:rPr>
          <w:rFonts w:ascii="Baskerville Old Face" w:hAnsi="Baskerville Old Face"/>
          <w:i/>
          <w:iCs/>
        </w:rPr>
        <w:t>i</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Stress_i</w:t>
      </w:r>
      <w:proofErr w:type="spellEnd"/>
      <w:r w:rsidRPr="007E454C">
        <w:rPr>
          <w:rFonts w:ascii="Baskerville Old Face" w:hAnsi="Baskerville Old Face"/>
          <w:i/>
          <w:iCs/>
        </w:rPr>
        <w:t xml:space="preserve"> + </w:t>
      </w:r>
      <w:proofErr w:type="spellStart"/>
      <w:r w:rsidRPr="007E454C">
        <w:rPr>
          <w:rFonts w:ascii="Cambria" w:hAnsi="Cambria" w:cs="Cambria"/>
          <w:i/>
          <w:iCs/>
        </w:rPr>
        <w:t>γ</w:t>
      </w:r>
      <w:r w:rsidRPr="007E454C">
        <w:rPr>
          <w:rFonts w:ascii="Baskerville Old Face" w:hAnsi="Baskerville Old Face"/>
          <w:i/>
          <w:iCs/>
        </w:rPr>
        <w:t>_i</w:t>
      </w:r>
      <w:proofErr w:type="spellEnd"/>
      <w:r w:rsidRPr="007E454C">
        <w:rPr>
          <w:rFonts w:ascii="Baskerville Old Face" w:hAnsi="Baskerville Old Face"/>
          <w:i/>
          <w:iCs/>
        </w:rPr>
        <w:t xml:space="preserve"> </w:t>
      </w:r>
      <w:r w:rsidRPr="007E454C">
        <w:rPr>
          <w:rFonts w:ascii="Cambria" w:hAnsi="Cambria" w:cs="Cambria"/>
          <w:i/>
          <w:iCs/>
        </w:rPr>
        <w:t>Σ</w:t>
      </w:r>
      <w:r w:rsidRPr="007E454C">
        <w:rPr>
          <w:rFonts w:ascii="Baskerville Old Face" w:hAnsi="Baskerville Old Face"/>
          <w:i/>
          <w:iCs/>
        </w:rPr>
        <w:t>_{</w:t>
      </w:r>
      <w:proofErr w:type="spellStart"/>
      <w:r w:rsidRPr="007E454C">
        <w:rPr>
          <w:rFonts w:ascii="Baskerville Old Face" w:hAnsi="Baskerville Old Face"/>
          <w:i/>
          <w:iCs/>
        </w:rPr>
        <w:t>j</w:t>
      </w:r>
      <w:r w:rsidRPr="007E454C">
        <w:rPr>
          <w:rFonts w:ascii="Baskerville Old Face" w:hAnsi="Baskerville Old Face" w:cs="Baskerville Old Face"/>
          <w:i/>
          <w:iCs/>
        </w:rPr>
        <w:t>≠</w:t>
      </w:r>
      <w:r w:rsidRPr="007E454C">
        <w:rPr>
          <w:rFonts w:ascii="Baskerville Old Face" w:hAnsi="Baskerville Old Face"/>
          <w:i/>
          <w:iCs/>
        </w:rPr>
        <w:t>i</w:t>
      </w:r>
      <w:proofErr w:type="spellEnd"/>
      <w:r w:rsidRPr="007E454C">
        <w:rPr>
          <w:rFonts w:ascii="Baskerville Old Face" w:hAnsi="Baskerville Old Face"/>
          <w:i/>
          <w:iCs/>
        </w:rPr>
        <w:t xml:space="preserve">} </w:t>
      </w:r>
      <w:proofErr w:type="spellStart"/>
      <w:r w:rsidRPr="007E454C">
        <w:rPr>
          <w:rFonts w:ascii="Baskerville Old Face" w:hAnsi="Baskerville Old Face"/>
          <w:i/>
          <w:iCs/>
        </w:rPr>
        <w:t>A_ji^</w:t>
      </w:r>
      <w:proofErr w:type="gramStart"/>
      <w:r w:rsidRPr="007E454C">
        <w:rPr>
          <w:rFonts w:ascii="Baskerville Old Face" w:hAnsi="Baskerville Old Face"/>
          <w:i/>
          <w:iCs/>
        </w:rPr>
        <w:t>met</w:t>
      </w:r>
      <w:proofErr w:type="spellEnd"/>
      <w:r w:rsidRPr="007E454C">
        <w:rPr>
          <w:rFonts w:ascii="Baskerville Old Face" w:hAnsi="Baskerville Old Face"/>
          <w:i/>
          <w:iCs/>
        </w:rPr>
        <w:t>(</w:t>
      </w:r>
      <w:proofErr w:type="spellStart"/>
      <w:proofErr w:type="gramEnd"/>
      <w:r w:rsidRPr="007E454C">
        <w:rPr>
          <w:rFonts w:ascii="Baskerville Old Face" w:hAnsi="Baskerville Old Face"/>
          <w:i/>
          <w:iCs/>
        </w:rPr>
        <w:t>M_j^sec</w:t>
      </w:r>
      <w:proofErr w:type="spellEnd"/>
      <w:r w:rsidRPr="007E454C">
        <w:rPr>
          <w:rFonts w:ascii="Baskerville Old Face" w:hAnsi="Baskerville Old Face"/>
          <w:i/>
          <w:iCs/>
        </w:rPr>
        <w:t xml:space="preserve"> </w:t>
      </w:r>
      <w:r w:rsidRPr="007E454C">
        <w:rPr>
          <w:rFonts w:ascii="Cambria Math" w:hAnsi="Cambria Math" w:cs="Cambria Math"/>
          <w:i/>
          <w:iCs/>
        </w:rPr>
        <w:t>−</w:t>
      </w:r>
      <w:r w:rsidRPr="007E454C">
        <w:rPr>
          <w:rFonts w:ascii="Baskerville Old Face" w:hAnsi="Baskerville Old Face"/>
          <w:i/>
          <w:iCs/>
        </w:rPr>
        <w:t xml:space="preserve"> </w:t>
      </w:r>
      <w:proofErr w:type="spellStart"/>
      <w:r w:rsidRPr="007E454C">
        <w:rPr>
          <w:rFonts w:ascii="Baskerville Old Face" w:hAnsi="Baskerville Old Face"/>
          <w:i/>
          <w:iCs/>
        </w:rPr>
        <w:t>M_i^sec</w:t>
      </w:r>
      <w:proofErr w:type="spellEnd"/>
      <w:r w:rsidRPr="007E454C">
        <w:rPr>
          <w:rFonts w:ascii="Baskerville Old Face" w:hAnsi="Baskerville Old Face"/>
          <w:i/>
          <w:iCs/>
        </w:rPr>
        <w:t xml:space="preserve">) + </w:t>
      </w:r>
      <w:proofErr w:type="spellStart"/>
      <w:r w:rsidRPr="007E454C">
        <w:rPr>
          <w:rFonts w:ascii="Cambria" w:hAnsi="Cambria" w:cs="Cambria"/>
          <w:i/>
          <w:iCs/>
        </w:rPr>
        <w:t>ρ</w:t>
      </w:r>
      <w:r w:rsidRPr="007E454C">
        <w:rPr>
          <w:rFonts w:ascii="Baskerville Old Face" w:hAnsi="Baskerville Old Face"/>
          <w:i/>
          <w:iCs/>
        </w:rPr>
        <w:t>_iS_i</w:t>
      </w:r>
      <w:proofErr w:type="spellEnd"/>
      <w:r w:rsidRPr="007E454C">
        <w:rPr>
          <w:rFonts w:ascii="Baskerville Old Face" w:hAnsi="Baskerville Old Face"/>
          <w:i/>
          <w:iCs/>
        </w:rPr>
        <w:t xml:space="preserve"> </w:t>
      </w:r>
      <w:r w:rsidRPr="007E454C">
        <w:rPr>
          <w:rFonts w:ascii="Cambria Math" w:hAnsi="Cambria Math" w:cs="Cambria Math"/>
          <w:i/>
          <w:iCs/>
        </w:rPr>
        <w:t>−</w:t>
      </w:r>
      <w:r w:rsidRPr="007E454C">
        <w:rPr>
          <w:rFonts w:ascii="Baskerville Old Face" w:hAnsi="Baskerville Old Face"/>
          <w:i/>
          <w:iCs/>
        </w:rPr>
        <w:t xml:space="preserve"> </w:t>
      </w:r>
      <w:proofErr w:type="spellStart"/>
      <w:r w:rsidRPr="007E454C">
        <w:rPr>
          <w:rFonts w:ascii="Cambria" w:hAnsi="Cambria" w:cs="Cambria"/>
          <w:i/>
          <w:iCs/>
        </w:rPr>
        <w:t>ω</w:t>
      </w:r>
      <w:r w:rsidRPr="007E454C">
        <w:rPr>
          <w:rFonts w:ascii="Baskerville Old Face" w:hAnsi="Baskerville Old Face"/>
          <w:i/>
          <w:iCs/>
        </w:rPr>
        <w:t>_iM_i^sec</w:t>
      </w:r>
      <w:proofErr w:type="spellEnd"/>
    </w:p>
    <w:p w14:paraId="714F20F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03B03F62" w14:textId="77777777" w:rsidR="009B5C78" w:rsidRPr="007E454C" w:rsidRDefault="009B5C78" w:rsidP="009B5C78">
      <w:pPr>
        <w:spacing w:line="360" w:lineRule="auto"/>
        <w:rPr>
          <w:rFonts w:ascii="Baskerville Old Face" w:hAnsi="Baskerville Old Face"/>
          <w:i/>
          <w:iCs/>
        </w:rPr>
      </w:pPr>
      <w:r w:rsidRPr="007E454C">
        <w:rPr>
          <w:rFonts w:ascii="Cambria" w:hAnsi="Cambria" w:cs="Cambria"/>
          <w:i/>
          <w:iCs/>
        </w:rPr>
        <w:t>α</w:t>
      </w:r>
      <w:r w:rsidRPr="007E454C">
        <w:rPr>
          <w:rFonts w:ascii="Baskerville Old Face" w:hAnsi="Baskerville Old Face"/>
          <w:i/>
          <w:iCs/>
        </w:rPr>
        <w:t>_</w:t>
      </w:r>
      <w:proofErr w:type="spellStart"/>
      <w:r w:rsidRPr="007E454C">
        <w:rPr>
          <w:rFonts w:ascii="Baskerville Old Face" w:hAnsi="Baskerville Old Face"/>
          <w:i/>
          <w:iCs/>
        </w:rPr>
        <w:t>i</w:t>
      </w:r>
      <w:proofErr w:type="spellEnd"/>
      <w:r w:rsidRPr="007E454C">
        <w:rPr>
          <w:rFonts w:ascii="Baskerville Old Face" w:hAnsi="Baskerville Old Face"/>
          <w:i/>
          <w:iCs/>
        </w:rPr>
        <w:t xml:space="preserve"> represents baseline metabolite production;</w:t>
      </w:r>
    </w:p>
    <w:p w14:paraId="1B7C4721" w14:textId="77777777" w:rsidR="009B5C78" w:rsidRPr="007E454C" w:rsidRDefault="009B5C78" w:rsidP="009B5C78">
      <w:pPr>
        <w:spacing w:line="360" w:lineRule="auto"/>
        <w:rPr>
          <w:rFonts w:ascii="Baskerville Old Face" w:hAnsi="Baskerville Old Face"/>
          <w:i/>
          <w:iCs/>
        </w:rPr>
      </w:pPr>
      <w:r w:rsidRPr="007E454C">
        <w:rPr>
          <w:rFonts w:ascii="Cambria" w:hAnsi="Cambria" w:cs="Cambria"/>
          <w:i/>
          <w:iCs/>
        </w:rPr>
        <w:t>β</w:t>
      </w:r>
      <w:r w:rsidRPr="007E454C">
        <w:rPr>
          <w:rFonts w:ascii="Baskerville Old Face" w:hAnsi="Baskerville Old Face"/>
          <w:i/>
          <w:iCs/>
        </w:rPr>
        <w:t>_</w:t>
      </w:r>
      <w:proofErr w:type="spellStart"/>
      <w:r w:rsidRPr="007E454C">
        <w:rPr>
          <w:rFonts w:ascii="Baskerville Old Face" w:hAnsi="Baskerville Old Face"/>
          <w:i/>
          <w:iCs/>
        </w:rPr>
        <w:t>i</w:t>
      </w:r>
      <w:proofErr w:type="spellEnd"/>
      <w:r w:rsidRPr="007E454C">
        <w:rPr>
          <w:rFonts w:ascii="Baskerville Old Face" w:hAnsi="Baskerville Old Face"/>
          <w:i/>
          <w:iCs/>
        </w:rPr>
        <w:t xml:space="preserve"> represents stress-induced amplification;</w:t>
      </w:r>
    </w:p>
    <w:p w14:paraId="09C17D21"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γ</w:t>
      </w:r>
      <w:r w:rsidRPr="007E454C">
        <w:rPr>
          <w:rFonts w:ascii="Baskerville Old Face" w:hAnsi="Baskerville Old Face"/>
          <w:i/>
          <w:iCs/>
        </w:rPr>
        <w:t>_i</w:t>
      </w:r>
      <w:proofErr w:type="spellEnd"/>
      <w:r w:rsidRPr="007E454C">
        <w:rPr>
          <w:rFonts w:ascii="Baskerville Old Face" w:hAnsi="Baskerville Old Face"/>
          <w:i/>
          <w:iCs/>
        </w:rPr>
        <w:t xml:space="preserve"> represents sensitivity to incoming network signals;</w:t>
      </w:r>
    </w:p>
    <w:p w14:paraId="5EEA210B"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ρ</w:t>
      </w:r>
      <w:r w:rsidRPr="007E454C">
        <w:rPr>
          <w:rFonts w:ascii="Baskerville Old Face" w:hAnsi="Baskerville Old Face"/>
          <w:i/>
          <w:iCs/>
        </w:rPr>
        <w:t>_i</w:t>
      </w:r>
      <w:proofErr w:type="spellEnd"/>
      <w:r w:rsidRPr="007E454C">
        <w:rPr>
          <w:rFonts w:ascii="Baskerville Old Face" w:hAnsi="Baskerville Old Face"/>
          <w:i/>
          <w:iCs/>
        </w:rPr>
        <w:t xml:space="preserve"> represents the contribution of successional maturity to biochemical complexity;</w:t>
      </w:r>
    </w:p>
    <w:p w14:paraId="57029CD4"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ω</w:t>
      </w:r>
      <w:r w:rsidRPr="007E454C">
        <w:rPr>
          <w:rFonts w:ascii="Baskerville Old Face" w:hAnsi="Baskerville Old Face"/>
          <w:i/>
          <w:iCs/>
        </w:rPr>
        <w:t>_i</w:t>
      </w:r>
      <w:proofErr w:type="spellEnd"/>
      <w:r w:rsidRPr="007E454C">
        <w:rPr>
          <w:rFonts w:ascii="Baskerville Old Face" w:hAnsi="Baskerville Old Face"/>
          <w:i/>
          <w:iCs/>
        </w:rPr>
        <w:t xml:space="preserve"> represents metabolic decay or turnover.</w:t>
      </w:r>
    </w:p>
    <w:p w14:paraId="1A47583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formulation allows the model to represent:</w:t>
      </w:r>
    </w:p>
    <w:p w14:paraId="3E0F2E36"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inducible defense;</w:t>
      </w:r>
    </w:p>
    <w:p w14:paraId="676CA25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lastRenderedPageBreak/>
        <w:t>allelopathic suppression;</w:t>
      </w:r>
    </w:p>
    <w:p w14:paraId="4D9D8DF8"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facilitative biochemical priming;</w:t>
      </w:r>
    </w:p>
    <w:p w14:paraId="305C482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stress response;</w:t>
      </w:r>
    </w:p>
    <w:p w14:paraId="5F499B18"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propagation of warning signals through ecological neighborhoods;</w:t>
      </w:r>
    </w:p>
    <w:p w14:paraId="25CFE32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increased biochemical complexity as succession matures.</w:t>
      </w:r>
    </w:p>
    <w:p w14:paraId="334922AF"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 early deployments, Prometheus should not require continuous biochemical assays.</w:t>
      </w:r>
    </w:p>
    <w:p w14:paraId="17C4682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Instead, biochemical intelligence should be represented through a tiered MRV approach:</w:t>
      </w:r>
    </w:p>
    <w:p w14:paraId="64DD163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direct metabolite or VOC testing where feasible;</w:t>
      </w:r>
    </w:p>
    <w:p w14:paraId="10AAC2C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stress-response indicators where routine testing is impractical;</w:t>
      </w:r>
    </w:p>
    <w:p w14:paraId="01FE407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disease, herbivory, recovery-time, and resilience proxies in ordinary deployments.</w:t>
      </w:r>
    </w:p>
    <w:p w14:paraId="11FC646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6. Soil organic matter and faunal engine</w:t>
      </w:r>
    </w:p>
    <w:p w14:paraId="1AA4CCB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soil is represented as an active metabolic layer, not as a passive container.</w:t>
      </w:r>
    </w:p>
    <w:p w14:paraId="3F4D63C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Organic matter may be modeled as:</w:t>
      </w:r>
    </w:p>
    <w:p w14:paraId="16FA0CC9"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dO_i</w:t>
      </w:r>
      <w:proofErr w:type="spellEnd"/>
      <w:r w:rsidRPr="007E454C">
        <w:rPr>
          <w:rFonts w:ascii="Baskerville Old Face" w:hAnsi="Baskerville Old Face"/>
          <w:i/>
          <w:iCs/>
        </w:rPr>
        <w:t xml:space="preserve"> / dt = </w:t>
      </w:r>
      <w:proofErr w:type="spellStart"/>
      <w:r w:rsidRPr="007E454C">
        <w:rPr>
          <w:rFonts w:ascii="Baskerville Old Face" w:hAnsi="Baskerville Old Face"/>
          <w:i/>
          <w:iCs/>
        </w:rPr>
        <w:t>L_i</w:t>
      </w:r>
      <w:proofErr w:type="spellEnd"/>
      <w:r w:rsidRPr="007E454C">
        <w:rPr>
          <w:rFonts w:ascii="Baskerville Old Face" w:hAnsi="Baskerville Old Face"/>
          <w:i/>
          <w:iCs/>
        </w:rPr>
        <w:t xml:space="preserve"> + </w:t>
      </w:r>
      <w:proofErr w:type="spellStart"/>
      <w:r w:rsidRPr="007E454C">
        <w:rPr>
          <w:rFonts w:ascii="Baskerville Old Face" w:hAnsi="Baskerville Old Face"/>
          <w:i/>
          <w:iCs/>
        </w:rPr>
        <w:t>B_i</w:t>
      </w:r>
      <w:proofErr w:type="spellEnd"/>
      <w:r w:rsidRPr="007E454C">
        <w:rPr>
          <w:rFonts w:ascii="Baskerville Old Face" w:hAnsi="Baskerville Old Face"/>
          <w:i/>
          <w:iCs/>
        </w:rPr>
        <w:t xml:space="preserve"> </w:t>
      </w:r>
      <w:r w:rsidRPr="007E454C">
        <w:rPr>
          <w:rFonts w:ascii="Cambria Math" w:hAnsi="Cambria Math" w:cs="Cambria Math"/>
          <w:i/>
          <w:iCs/>
        </w:rPr>
        <w:t>−</w:t>
      </w:r>
      <w:r w:rsidRPr="007E454C">
        <w:rPr>
          <w:rFonts w:ascii="Baskerville Old Face" w:hAnsi="Baskerville Old Face"/>
          <w:i/>
          <w:iCs/>
        </w:rPr>
        <w:t xml:space="preserve"> </w:t>
      </w:r>
      <w:proofErr w:type="spellStart"/>
      <w:r w:rsidRPr="007E454C">
        <w:rPr>
          <w:rFonts w:ascii="Baskerville Old Face" w:hAnsi="Baskerville Old Face"/>
          <w:i/>
          <w:iCs/>
        </w:rPr>
        <w:t>D_i</w:t>
      </w:r>
      <w:proofErr w:type="spellEnd"/>
    </w:p>
    <w:p w14:paraId="11C92AAD"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6D76F667"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L_i</w:t>
      </w:r>
      <w:proofErr w:type="spellEnd"/>
      <w:r w:rsidRPr="007E454C">
        <w:rPr>
          <w:rFonts w:ascii="Baskerville Old Face" w:hAnsi="Baskerville Old Face"/>
          <w:i/>
          <w:iCs/>
        </w:rPr>
        <w:t xml:space="preserve"> represents litter, pruning, mulch, and chop-and-drop input;</w:t>
      </w:r>
    </w:p>
    <w:p w14:paraId="07D7B92B"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B_i</w:t>
      </w:r>
      <w:proofErr w:type="spellEnd"/>
      <w:r w:rsidRPr="007E454C">
        <w:rPr>
          <w:rFonts w:ascii="Baskerville Old Face" w:hAnsi="Baskerville Old Face"/>
          <w:i/>
          <w:iCs/>
        </w:rPr>
        <w:t xml:space="preserve"> represents belowground biomass contribution;</w:t>
      </w:r>
    </w:p>
    <w:p w14:paraId="79E761E3"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D_i</w:t>
      </w:r>
      <w:proofErr w:type="spellEnd"/>
      <w:r w:rsidRPr="007E454C">
        <w:rPr>
          <w:rFonts w:ascii="Baskerville Old Face" w:hAnsi="Baskerville Old Face"/>
          <w:i/>
          <w:iCs/>
        </w:rPr>
        <w:t xml:space="preserve"> represents decomposition loss.</w:t>
      </w:r>
    </w:p>
    <w:p w14:paraId="3CA3354E"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Decomposition is itself modulated by earthworms, microbes, moisture, and mineral balance:</w:t>
      </w:r>
    </w:p>
    <w:p w14:paraId="5C40C448"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D_i</w:t>
      </w:r>
      <w:proofErr w:type="spellEnd"/>
      <w:r w:rsidRPr="005907F1">
        <w:rPr>
          <w:rFonts w:ascii="Baskerville Old Face" w:hAnsi="Baskerville Old Face"/>
          <w:i/>
          <w:iCs/>
          <w:lang w:val="it-IT"/>
        </w:rPr>
        <w:t xml:space="preserve"> = </w:t>
      </w:r>
      <w:r w:rsidRPr="007E454C">
        <w:rPr>
          <w:rFonts w:ascii="Cambria" w:hAnsi="Cambria" w:cs="Cambria"/>
          <w:i/>
          <w:iCs/>
        </w:rPr>
        <w:t>δ</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proofErr w:type="gramStart"/>
      <w:r w:rsidRPr="005907F1">
        <w:rPr>
          <w:rFonts w:ascii="Baskerville Old Face" w:hAnsi="Baskerville Old Face"/>
          <w:i/>
          <w:iCs/>
          <w:lang w:val="it-IT"/>
        </w:rPr>
        <w:t>h(</w:t>
      </w:r>
      <w:proofErr w:type="spellStart"/>
      <w:proofErr w:type="gramEnd"/>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r w:rsidRPr="007E454C">
        <w:rPr>
          <w:rFonts w:ascii="Cambria" w:hAnsi="Cambria" w:cs="Cambria"/>
          <w:i/>
          <w:iCs/>
        </w:rPr>
        <w:t>μ</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r w:rsidRPr="007E454C">
        <w:rPr>
          <w:rFonts w:ascii="Cambria" w:hAnsi="Cambria" w:cs="Cambria"/>
          <w:i/>
          <w:iCs/>
        </w:rPr>
        <w:t>Θ</w:t>
      </w:r>
      <w:r w:rsidRPr="005907F1">
        <w:rPr>
          <w:rFonts w:ascii="Baskerville Old Face" w:hAnsi="Baskerville Old Face"/>
          <w:i/>
          <w:iCs/>
          <w:lang w:val="it-IT"/>
        </w:rPr>
        <w:t>_i)</w:t>
      </w:r>
    </w:p>
    <w:p w14:paraId="3BB6DAE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 xml:space="preserve">where </w:t>
      </w:r>
      <w:proofErr w:type="gramStart"/>
      <w:r w:rsidRPr="007E454C">
        <w:rPr>
          <w:rFonts w:ascii="Baskerville Old Face" w:hAnsi="Baskerville Old Face"/>
          <w:i/>
          <w:iCs/>
        </w:rPr>
        <w:t>h(</w:t>
      </w:r>
      <w:proofErr w:type="gramEnd"/>
      <w:r w:rsidRPr="007E454C">
        <w:rPr>
          <w:rFonts w:ascii="Cambria" w:hAnsi="Cambria" w:cs="Cambria"/>
          <w:i/>
          <w:iCs/>
        </w:rPr>
        <w:t>·</w:t>
      </w:r>
      <w:r w:rsidRPr="007E454C">
        <w:rPr>
          <w:rFonts w:ascii="Baskerville Old Face" w:hAnsi="Baskerville Old Face"/>
          <w:i/>
          <w:iCs/>
        </w:rPr>
        <w:t>) represents a function of macrofaunal activity, microbial activity, water availability, and mineral balance.</w:t>
      </w:r>
    </w:p>
    <w:p w14:paraId="70F93E43"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lastRenderedPageBreak/>
        <w:t>Earthworm activity may be approximated as:</w:t>
      </w:r>
    </w:p>
    <w:p w14:paraId="24D688D4"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dE_i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dt</w:t>
      </w:r>
      <w:proofErr w:type="spellEnd"/>
      <w:r w:rsidRPr="005907F1">
        <w:rPr>
          <w:rFonts w:ascii="Baskerville Old Face" w:hAnsi="Baskerville Old Face"/>
          <w:i/>
          <w:iCs/>
          <w:lang w:val="it-IT"/>
        </w:rPr>
        <w:t xml:space="preserve"> = </w:t>
      </w:r>
      <w:r w:rsidRPr="007E454C">
        <w:rPr>
          <w:rFonts w:ascii="Cambria" w:hAnsi="Cambria" w:cs="Cambria"/>
          <w:i/>
          <w:iCs/>
        </w:rPr>
        <w:t>ψ</w:t>
      </w:r>
      <w:r w:rsidRPr="005907F1">
        <w:rPr>
          <w:rFonts w:ascii="Baskerville Old Face" w:hAnsi="Baskerville Old Face"/>
          <w:i/>
          <w:iCs/>
          <w:lang w:val="it-IT"/>
        </w:rPr>
        <w:t xml:space="preserve">_1O_i + </w:t>
      </w:r>
      <w:r w:rsidRPr="007E454C">
        <w:rPr>
          <w:rFonts w:ascii="Cambria" w:hAnsi="Cambria" w:cs="Cambria"/>
          <w:i/>
          <w:iCs/>
        </w:rPr>
        <w:t>ψ</w:t>
      </w:r>
      <w:r w:rsidRPr="005907F1">
        <w:rPr>
          <w:rFonts w:ascii="Baskerville Old Face" w:hAnsi="Baskerville Old Face"/>
          <w:i/>
          <w:iCs/>
          <w:lang w:val="it-IT"/>
        </w:rPr>
        <w:t xml:space="preserve">_2W_i </w:t>
      </w:r>
      <w:r w:rsidRPr="005907F1">
        <w:rPr>
          <w:rFonts w:ascii="Cambria Math" w:hAnsi="Cambria Math" w:cs="Cambria Math"/>
          <w:i/>
          <w:iCs/>
          <w:lang w:val="it-IT"/>
        </w:rPr>
        <w:t>−</w:t>
      </w:r>
      <w:r w:rsidRPr="005907F1">
        <w:rPr>
          <w:rFonts w:ascii="Baskerville Old Face" w:hAnsi="Baskerville Old Face"/>
          <w:i/>
          <w:iCs/>
          <w:lang w:val="it-IT"/>
        </w:rPr>
        <w:t xml:space="preserve"> </w:t>
      </w:r>
      <w:r w:rsidRPr="007E454C">
        <w:rPr>
          <w:rFonts w:ascii="Cambria" w:hAnsi="Cambria" w:cs="Cambria"/>
          <w:i/>
          <w:iCs/>
        </w:rPr>
        <w:t>ψ</w:t>
      </w:r>
      <w:r w:rsidRPr="005907F1">
        <w:rPr>
          <w:rFonts w:ascii="Baskerville Old Face" w:hAnsi="Baskerville Old Face"/>
          <w:i/>
          <w:iCs/>
          <w:lang w:val="it-IT"/>
        </w:rPr>
        <w:t>_3Stress_i^soil</w:t>
      </w:r>
    </w:p>
    <w:p w14:paraId="554BE37D"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Microbial functional intensity may be approximated as:</w:t>
      </w:r>
    </w:p>
    <w:p w14:paraId="5B630E45" w14:textId="77777777" w:rsidR="009B5C78" w:rsidRPr="005907F1" w:rsidRDefault="009B5C78" w:rsidP="009B5C78">
      <w:pPr>
        <w:spacing w:line="360" w:lineRule="auto"/>
        <w:rPr>
          <w:rFonts w:ascii="Baskerville Old Face" w:hAnsi="Baskerville Old Face"/>
          <w:i/>
          <w:iCs/>
          <w:lang w:val="it-IT"/>
        </w:rPr>
      </w:pPr>
      <w:r w:rsidRPr="005907F1">
        <w:rPr>
          <w:rFonts w:ascii="Baskerville Old Face" w:hAnsi="Baskerville Old Face"/>
          <w:i/>
          <w:iCs/>
          <w:lang w:val="it-IT"/>
        </w:rPr>
        <w:t>d</w:t>
      </w:r>
      <w:r w:rsidRPr="007E454C">
        <w:rPr>
          <w:rFonts w:ascii="Cambria" w:hAnsi="Cambria" w:cs="Cambria"/>
          <w:i/>
          <w:iCs/>
        </w:rPr>
        <w:t>μ</w:t>
      </w:r>
      <w:r w:rsidRPr="005907F1">
        <w:rPr>
          <w:rFonts w:ascii="Baskerville Old Face" w:hAnsi="Baskerville Old Face"/>
          <w:i/>
          <w:iCs/>
          <w:lang w:val="it-IT"/>
        </w:rPr>
        <w:t xml:space="preserve">_i / </w:t>
      </w:r>
      <w:proofErr w:type="spellStart"/>
      <w:r w:rsidRPr="005907F1">
        <w:rPr>
          <w:rFonts w:ascii="Baskerville Old Face" w:hAnsi="Baskerville Old Face"/>
          <w:i/>
          <w:iCs/>
          <w:lang w:val="it-IT"/>
        </w:rPr>
        <w:t>dt</w:t>
      </w:r>
      <w:proofErr w:type="spellEnd"/>
      <w:r w:rsidRPr="005907F1">
        <w:rPr>
          <w:rFonts w:ascii="Baskerville Old Face" w:hAnsi="Baskerville Old Face"/>
          <w:i/>
          <w:iCs/>
          <w:lang w:val="it-IT"/>
        </w:rPr>
        <w:t xml:space="preserve"> = </w:t>
      </w:r>
      <w:r w:rsidRPr="007E454C">
        <w:rPr>
          <w:rFonts w:ascii="Cambria" w:hAnsi="Cambria" w:cs="Cambria"/>
          <w:i/>
          <w:iCs/>
        </w:rPr>
        <w:t>χ</w:t>
      </w:r>
      <w:r w:rsidRPr="005907F1">
        <w:rPr>
          <w:rFonts w:ascii="Baskerville Old Face" w:hAnsi="Baskerville Old Face"/>
          <w:i/>
          <w:iCs/>
          <w:lang w:val="it-IT"/>
        </w:rPr>
        <w:t xml:space="preserve">_1O_i + </w:t>
      </w:r>
      <w:r w:rsidRPr="007E454C">
        <w:rPr>
          <w:rFonts w:ascii="Cambria" w:hAnsi="Cambria" w:cs="Cambria"/>
          <w:i/>
          <w:iCs/>
        </w:rPr>
        <w:t>χ</w:t>
      </w:r>
      <w:r w:rsidRPr="005907F1">
        <w:rPr>
          <w:rFonts w:ascii="Baskerville Old Face" w:hAnsi="Baskerville Old Face"/>
          <w:i/>
          <w:iCs/>
          <w:lang w:val="it-IT"/>
        </w:rPr>
        <w:t>_2</w:t>
      </w:r>
      <w:r w:rsidRPr="007E454C">
        <w:rPr>
          <w:rFonts w:ascii="Cambria" w:hAnsi="Cambria" w:cs="Cambria"/>
          <w:i/>
          <w:iCs/>
        </w:rPr>
        <w:t>Θ</w:t>
      </w:r>
      <w:r w:rsidRPr="005907F1">
        <w:rPr>
          <w:rFonts w:ascii="Baskerville Old Face" w:hAnsi="Baskerville Old Face"/>
          <w:i/>
          <w:iCs/>
          <w:lang w:val="it-IT"/>
        </w:rPr>
        <w:t xml:space="preserve">_i + </w:t>
      </w:r>
      <w:r w:rsidRPr="007E454C">
        <w:rPr>
          <w:rFonts w:ascii="Cambria" w:hAnsi="Cambria" w:cs="Cambria"/>
          <w:i/>
          <w:iCs/>
        </w:rPr>
        <w:t>χ</w:t>
      </w:r>
      <w:r w:rsidRPr="005907F1">
        <w:rPr>
          <w:rFonts w:ascii="Baskerville Old Face" w:hAnsi="Baskerville Old Face"/>
          <w:i/>
          <w:iCs/>
          <w:lang w:val="it-IT"/>
        </w:rPr>
        <w:t xml:space="preserve">_3F_i </w:t>
      </w:r>
      <w:r w:rsidRPr="005907F1">
        <w:rPr>
          <w:rFonts w:ascii="Cambria Math" w:hAnsi="Cambria Math" w:cs="Cambria Math"/>
          <w:i/>
          <w:iCs/>
          <w:lang w:val="it-IT"/>
        </w:rPr>
        <w:t>−</w:t>
      </w:r>
      <w:r w:rsidRPr="005907F1">
        <w:rPr>
          <w:rFonts w:ascii="Baskerville Old Face" w:hAnsi="Baskerville Old Face"/>
          <w:i/>
          <w:iCs/>
          <w:lang w:val="it-IT"/>
        </w:rPr>
        <w:t xml:space="preserve"> </w:t>
      </w:r>
      <w:r w:rsidRPr="007E454C">
        <w:rPr>
          <w:rFonts w:ascii="Cambria" w:hAnsi="Cambria" w:cs="Cambria"/>
          <w:i/>
          <w:iCs/>
        </w:rPr>
        <w:t>χ</w:t>
      </w:r>
      <w:r w:rsidRPr="005907F1">
        <w:rPr>
          <w:rFonts w:ascii="Baskerville Old Face" w:hAnsi="Baskerville Old Face"/>
          <w:i/>
          <w:iCs/>
          <w:lang w:val="it-IT"/>
        </w:rPr>
        <w:t>_4Disturbance_i</w:t>
      </w:r>
    </w:p>
    <w:p w14:paraId="0227616F"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These variables affect:</w:t>
      </w:r>
    </w:p>
    <w:p w14:paraId="3BD1962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porosity;</w:t>
      </w:r>
    </w:p>
    <w:p w14:paraId="727AEE53"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infiltration;</w:t>
      </w:r>
    </w:p>
    <w:p w14:paraId="7115DCE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aggregation;</w:t>
      </w:r>
    </w:p>
    <w:p w14:paraId="6EC8D31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mineralization;</w:t>
      </w:r>
    </w:p>
    <w:p w14:paraId="29575B0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nutrient buffering;</w:t>
      </w:r>
    </w:p>
    <w:p w14:paraId="174CA3A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microelement availability;</w:t>
      </w:r>
    </w:p>
    <w:p w14:paraId="722F957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root development;</w:t>
      </w:r>
    </w:p>
    <w:p w14:paraId="2685AE8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water retention;</w:t>
      </w:r>
    </w:p>
    <w:p w14:paraId="71844E3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resilience under stress.</w:t>
      </w:r>
    </w:p>
    <w:p w14:paraId="7BB9C5D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is one of the most important scientific bridges in the Prometheus architecture.</w:t>
      </w:r>
    </w:p>
    <w:p w14:paraId="20E86B28" w14:textId="77777777" w:rsidR="009B5C78" w:rsidRPr="00B479AE" w:rsidRDefault="009B5C78" w:rsidP="009B5C78">
      <w:pPr>
        <w:spacing w:line="360" w:lineRule="auto"/>
        <w:rPr>
          <w:rFonts w:ascii="Baskerville Old Face" w:hAnsi="Baskerville Old Face"/>
          <w:i/>
          <w:iCs/>
        </w:rPr>
      </w:pPr>
      <w:r w:rsidRPr="007E454C">
        <w:rPr>
          <w:rFonts w:ascii="Baskerville Old Face" w:hAnsi="Baskerville Old Face"/>
          <w:i/>
          <w:iCs/>
        </w:rPr>
        <w:t>It links visible management actions — pruning, mulching</w:t>
      </w:r>
      <w:r w:rsidRPr="00B479AE">
        <w:rPr>
          <w:rFonts w:ascii="Baskerville Old Face" w:hAnsi="Baskerville Old Face"/>
          <w:i/>
          <w:iCs/>
        </w:rPr>
        <w:t>, biomass return, swales, root density, biodiversity, reduced disturbance — to measurable soil and hydrological outcomes.</w:t>
      </w:r>
    </w:p>
    <w:p w14:paraId="0F63961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7. Water and nutrient retention</w:t>
      </w:r>
    </w:p>
    <w:p w14:paraId="7A82429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Water dynamics at node level may be represented as:</w:t>
      </w:r>
    </w:p>
    <w:p w14:paraId="72420202"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dW_i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dt</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P_i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I_i^infil</w:t>
      </w:r>
      <w:proofErr w:type="spellEnd"/>
      <w:r w:rsidRPr="005907F1">
        <w:rPr>
          <w:rFonts w:ascii="Baskerville Old Face" w:hAnsi="Baskerville Old Face"/>
          <w:i/>
          <w:iCs/>
          <w:lang w:val="it-IT"/>
        </w:rPr>
        <w:t xml:space="preserve"> + </w:t>
      </w:r>
      <w:r w:rsidRPr="007E454C">
        <w:rPr>
          <w:rFonts w:ascii="Cambria" w:hAnsi="Cambria" w:cs="Cambria"/>
          <w:i/>
          <w:iCs/>
        </w:rPr>
        <w:t>Φ</w:t>
      </w:r>
      <w:r w:rsidRPr="005907F1">
        <w:rPr>
          <w:rFonts w:ascii="Baskerville Old Face" w:hAnsi="Baskerville Old Face"/>
          <w:i/>
          <w:iCs/>
          <w:lang w:val="it-IT"/>
        </w:rPr>
        <w:t>_i^(</w:t>
      </w:r>
      <w:proofErr w:type="spellStart"/>
      <w:proofErr w:type="gramStart"/>
      <w:r w:rsidRPr="005907F1">
        <w:rPr>
          <w:rFonts w:ascii="Baskerville Old Face" w:hAnsi="Baskerville Old Face"/>
          <w:i/>
          <w:iCs/>
          <w:lang w:val="it-IT"/>
        </w:rPr>
        <w:t>fung,W</w:t>
      </w:r>
      <w:proofErr w:type="spellEnd"/>
      <w:proofErr w:type="gram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U_i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ETP_i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L_i^loss</w:t>
      </w:r>
      <w:proofErr w:type="spellEnd"/>
    </w:p>
    <w:p w14:paraId="6953EE80"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53F1945E"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P_i</w:t>
      </w:r>
      <w:proofErr w:type="spellEnd"/>
      <w:r w:rsidRPr="007E454C">
        <w:rPr>
          <w:rFonts w:ascii="Baskerville Old Face" w:hAnsi="Baskerville Old Face"/>
          <w:i/>
          <w:iCs/>
        </w:rPr>
        <w:t xml:space="preserve"> represents local precipitation input;</w:t>
      </w:r>
    </w:p>
    <w:p w14:paraId="75D5BB41"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lastRenderedPageBreak/>
        <w:t>I_i^infil</w:t>
      </w:r>
      <w:proofErr w:type="spellEnd"/>
      <w:r w:rsidRPr="007E454C">
        <w:rPr>
          <w:rFonts w:ascii="Baskerville Old Face" w:hAnsi="Baskerville Old Face"/>
          <w:i/>
          <w:iCs/>
        </w:rPr>
        <w:t xml:space="preserve"> represents infiltration due to topography, mulch, roots, soil structure, and biological activity;</w:t>
      </w:r>
    </w:p>
    <w:p w14:paraId="237D960A"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Φ</w:t>
      </w:r>
      <w:r w:rsidRPr="007E454C">
        <w:rPr>
          <w:rFonts w:ascii="Baskerville Old Face" w:hAnsi="Baskerville Old Face"/>
          <w:i/>
          <w:iCs/>
        </w:rPr>
        <w:t>_i</w:t>
      </w:r>
      <w:proofErr w:type="spellEnd"/>
      <w:r w:rsidRPr="007E454C">
        <w:rPr>
          <w:rFonts w:ascii="Baskerville Old Face" w:hAnsi="Baskerville Old Face"/>
          <w:i/>
          <w:iCs/>
        </w:rPr>
        <w:t>^(</w:t>
      </w:r>
      <w:proofErr w:type="spellStart"/>
      <w:proofErr w:type="gramStart"/>
      <w:r w:rsidRPr="007E454C">
        <w:rPr>
          <w:rFonts w:ascii="Baskerville Old Face" w:hAnsi="Baskerville Old Face"/>
          <w:i/>
          <w:iCs/>
        </w:rPr>
        <w:t>fung,W</w:t>
      </w:r>
      <w:proofErr w:type="spellEnd"/>
      <w:proofErr w:type="gramEnd"/>
      <w:r w:rsidRPr="007E454C">
        <w:rPr>
          <w:rFonts w:ascii="Baskerville Old Face" w:hAnsi="Baskerville Old Face"/>
          <w:i/>
          <w:iCs/>
        </w:rPr>
        <w:t>) represents fungal-mediated water transfer where relevant;</w:t>
      </w:r>
    </w:p>
    <w:p w14:paraId="23F1C6FD"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U_i</w:t>
      </w:r>
      <w:proofErr w:type="spellEnd"/>
      <w:r w:rsidRPr="007E454C">
        <w:rPr>
          <w:rFonts w:ascii="Baskerville Old Face" w:hAnsi="Baskerville Old Face"/>
          <w:i/>
          <w:iCs/>
        </w:rPr>
        <w:t xml:space="preserve"> represents plant uptake;</w:t>
      </w:r>
    </w:p>
    <w:p w14:paraId="0D6BAB15"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ETP_i</w:t>
      </w:r>
      <w:proofErr w:type="spellEnd"/>
      <w:r w:rsidRPr="007E454C">
        <w:rPr>
          <w:rFonts w:ascii="Baskerville Old Face" w:hAnsi="Baskerville Old Face"/>
          <w:i/>
          <w:iCs/>
        </w:rPr>
        <w:t xml:space="preserve"> represents evapotranspiration;</w:t>
      </w:r>
    </w:p>
    <w:p w14:paraId="768F0FEE"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L_i^loss</w:t>
      </w:r>
      <w:proofErr w:type="spellEnd"/>
      <w:r w:rsidRPr="007E454C">
        <w:rPr>
          <w:rFonts w:ascii="Baskerville Old Face" w:hAnsi="Baskerville Old Face"/>
          <w:i/>
          <w:iCs/>
        </w:rPr>
        <w:t xml:space="preserve"> represents drainage, runoff, or loss.</w:t>
      </w:r>
    </w:p>
    <w:p w14:paraId="69630C5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infiltration term can be linked to organic matter, soil biota, and microtopography:</w:t>
      </w:r>
    </w:p>
    <w:p w14:paraId="17DDD24F"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I_i^infil</w:t>
      </w:r>
      <w:proofErr w:type="spellEnd"/>
      <w:r w:rsidRPr="005907F1">
        <w:rPr>
          <w:rFonts w:ascii="Baskerville Old Face" w:hAnsi="Baskerville Old Face"/>
          <w:i/>
          <w:iCs/>
          <w:lang w:val="it-IT"/>
        </w:rPr>
        <w:t xml:space="preserve"> = </w:t>
      </w:r>
      <w:r w:rsidRPr="007E454C">
        <w:rPr>
          <w:rFonts w:ascii="Cambria" w:hAnsi="Cambria" w:cs="Cambria"/>
          <w:i/>
          <w:iCs/>
        </w:rPr>
        <w:t>ζ</w:t>
      </w:r>
      <w:r w:rsidRPr="005907F1">
        <w:rPr>
          <w:rFonts w:ascii="Baskerville Old Face" w:hAnsi="Baskerville Old Face"/>
          <w:i/>
          <w:iCs/>
          <w:lang w:val="it-IT"/>
        </w:rPr>
        <w:t xml:space="preserve">_1O_i + </w:t>
      </w:r>
      <w:r w:rsidRPr="007E454C">
        <w:rPr>
          <w:rFonts w:ascii="Cambria" w:hAnsi="Cambria" w:cs="Cambria"/>
          <w:i/>
          <w:iCs/>
        </w:rPr>
        <w:t>ζ</w:t>
      </w:r>
      <w:r w:rsidRPr="005907F1">
        <w:rPr>
          <w:rFonts w:ascii="Baskerville Old Face" w:hAnsi="Baskerville Old Face"/>
          <w:i/>
          <w:iCs/>
          <w:lang w:val="it-IT"/>
        </w:rPr>
        <w:t xml:space="preserve">_2E_i + </w:t>
      </w:r>
      <w:r w:rsidRPr="007E454C">
        <w:rPr>
          <w:rFonts w:ascii="Cambria" w:hAnsi="Cambria" w:cs="Cambria"/>
          <w:i/>
          <w:iCs/>
        </w:rPr>
        <w:t>ζ</w:t>
      </w:r>
      <w:r w:rsidRPr="005907F1">
        <w:rPr>
          <w:rFonts w:ascii="Baskerville Old Face" w:hAnsi="Baskerville Old Face"/>
          <w:i/>
          <w:iCs/>
          <w:lang w:val="it-IT"/>
        </w:rPr>
        <w:t>_3</w:t>
      </w:r>
      <w:r w:rsidRPr="007E454C">
        <w:rPr>
          <w:rFonts w:ascii="Cambria" w:hAnsi="Cambria" w:cs="Cambria"/>
          <w:i/>
          <w:iCs/>
        </w:rPr>
        <w:t>μ</w:t>
      </w:r>
      <w:r w:rsidRPr="005907F1">
        <w:rPr>
          <w:rFonts w:ascii="Baskerville Old Face" w:hAnsi="Baskerville Old Face"/>
          <w:i/>
          <w:iCs/>
          <w:lang w:val="it-IT"/>
        </w:rPr>
        <w:t xml:space="preserve">_i + </w:t>
      </w:r>
      <w:r w:rsidRPr="007E454C">
        <w:rPr>
          <w:rFonts w:ascii="Cambria" w:hAnsi="Cambria" w:cs="Cambria"/>
          <w:i/>
          <w:iCs/>
        </w:rPr>
        <w:t>ζ</w:t>
      </w:r>
      <w:r w:rsidRPr="005907F1">
        <w:rPr>
          <w:rFonts w:ascii="Baskerville Old Face" w:hAnsi="Baskerville Old Face"/>
          <w:i/>
          <w:iCs/>
          <w:lang w:val="it-IT"/>
        </w:rPr>
        <w:t>_4Microtopography_i</w:t>
      </w:r>
    </w:p>
    <w:p w14:paraId="33D9CC9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formula is strategically important because it connects practical regenerative design to measurable hydrological gain.</w:t>
      </w:r>
    </w:p>
    <w:p w14:paraId="458B411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Chop-and-drop, swales, mulching, root density, earthworm activity, microbial function, and soil structure become observable through infiltration, soil moisture stability, runoff reduction, and water productivity.</w:t>
      </w:r>
    </w:p>
    <w:p w14:paraId="0A4C964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is where ecology becomes MRV.</w:t>
      </w:r>
    </w:p>
    <w:p w14:paraId="372CE40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8. Successional dynamics</w:t>
      </w:r>
    </w:p>
    <w:p w14:paraId="5033AA2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syntropic system is not static.</w:t>
      </w:r>
    </w:p>
    <w:p w14:paraId="6914091D"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Its trajectory evolves as a function of biodiversity, fungal connectivity, biochemical complexity, organic matter, stress, and disturbance.</w:t>
      </w:r>
    </w:p>
    <w:p w14:paraId="40AE810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conceptual expression is:</w:t>
      </w:r>
    </w:p>
    <w:p w14:paraId="01993EDE"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dS_i</w:t>
      </w:r>
      <w:proofErr w:type="spellEnd"/>
      <w:r w:rsidRPr="007E454C">
        <w:rPr>
          <w:rFonts w:ascii="Baskerville Old Face" w:hAnsi="Baskerville Old Face"/>
          <w:i/>
          <w:iCs/>
        </w:rPr>
        <w:t xml:space="preserve"> / dt = </w:t>
      </w:r>
      <w:r w:rsidRPr="007E454C">
        <w:rPr>
          <w:rFonts w:ascii="Cambria" w:hAnsi="Cambria" w:cs="Cambria"/>
          <w:i/>
          <w:iCs/>
        </w:rPr>
        <w:t>δ</w:t>
      </w:r>
      <w:r w:rsidRPr="007E454C">
        <w:rPr>
          <w:rFonts w:ascii="Baskerville Old Face" w:hAnsi="Baskerville Old Face"/>
          <w:i/>
          <w:iCs/>
        </w:rPr>
        <w:t xml:space="preserve">_1Biodiv_i + </w:t>
      </w:r>
      <w:r w:rsidRPr="007E454C">
        <w:rPr>
          <w:rFonts w:ascii="Cambria" w:hAnsi="Cambria" w:cs="Cambria"/>
          <w:i/>
          <w:iCs/>
        </w:rPr>
        <w:t>δ</w:t>
      </w:r>
      <w:r w:rsidRPr="007E454C">
        <w:rPr>
          <w:rFonts w:ascii="Baskerville Old Face" w:hAnsi="Baskerville Old Face"/>
          <w:i/>
          <w:iCs/>
        </w:rPr>
        <w:t xml:space="preserve">_2F_i + </w:t>
      </w:r>
      <w:r w:rsidRPr="007E454C">
        <w:rPr>
          <w:rFonts w:ascii="Cambria" w:hAnsi="Cambria" w:cs="Cambria"/>
          <w:i/>
          <w:iCs/>
        </w:rPr>
        <w:t>δ</w:t>
      </w:r>
      <w:r w:rsidRPr="007E454C">
        <w:rPr>
          <w:rFonts w:ascii="Baskerville Old Face" w:hAnsi="Baskerville Old Face"/>
          <w:i/>
          <w:iCs/>
        </w:rPr>
        <w:t xml:space="preserve">_3M_i^sec + </w:t>
      </w:r>
      <w:r w:rsidRPr="007E454C">
        <w:rPr>
          <w:rFonts w:ascii="Cambria" w:hAnsi="Cambria" w:cs="Cambria"/>
          <w:i/>
          <w:iCs/>
        </w:rPr>
        <w:t>δ</w:t>
      </w:r>
      <w:r w:rsidRPr="007E454C">
        <w:rPr>
          <w:rFonts w:ascii="Baskerville Old Face" w:hAnsi="Baskerville Old Face"/>
          <w:i/>
          <w:iCs/>
        </w:rPr>
        <w:t xml:space="preserve">_4O_i </w:t>
      </w:r>
      <w:r w:rsidRPr="007E454C">
        <w:rPr>
          <w:rFonts w:ascii="Cambria Math" w:hAnsi="Cambria Math" w:cs="Cambria Math"/>
          <w:i/>
          <w:iCs/>
        </w:rPr>
        <w:t>−</w:t>
      </w:r>
      <w:r w:rsidRPr="007E454C">
        <w:rPr>
          <w:rFonts w:ascii="Baskerville Old Face" w:hAnsi="Baskerville Old Face"/>
          <w:i/>
          <w:iCs/>
        </w:rPr>
        <w:t xml:space="preserve"> </w:t>
      </w:r>
      <w:r w:rsidRPr="007E454C">
        <w:rPr>
          <w:rFonts w:ascii="Cambria" w:hAnsi="Cambria" w:cs="Cambria"/>
          <w:i/>
          <w:iCs/>
        </w:rPr>
        <w:t>ε</w:t>
      </w:r>
      <w:r w:rsidRPr="007E454C">
        <w:rPr>
          <w:rFonts w:ascii="Baskerville Old Face" w:hAnsi="Baskerville Old Face"/>
          <w:i/>
          <w:iCs/>
        </w:rPr>
        <w:t xml:space="preserve">_1Stress_i </w:t>
      </w:r>
      <w:r w:rsidRPr="007E454C">
        <w:rPr>
          <w:rFonts w:ascii="Cambria Math" w:hAnsi="Cambria Math" w:cs="Cambria Math"/>
          <w:i/>
          <w:iCs/>
        </w:rPr>
        <w:t>−</w:t>
      </w:r>
      <w:r w:rsidRPr="007E454C">
        <w:rPr>
          <w:rFonts w:ascii="Baskerville Old Face" w:hAnsi="Baskerville Old Face"/>
          <w:i/>
          <w:iCs/>
        </w:rPr>
        <w:t xml:space="preserve"> </w:t>
      </w:r>
      <w:r w:rsidRPr="007E454C">
        <w:rPr>
          <w:rFonts w:ascii="Cambria" w:hAnsi="Cambria" w:cs="Cambria"/>
          <w:i/>
          <w:iCs/>
        </w:rPr>
        <w:t>ε</w:t>
      </w:r>
      <w:r w:rsidRPr="007E454C">
        <w:rPr>
          <w:rFonts w:ascii="Baskerville Old Face" w:hAnsi="Baskerville Old Face"/>
          <w:i/>
          <w:iCs/>
        </w:rPr>
        <w:t>_2Disturbance_i</w:t>
      </w:r>
    </w:p>
    <w:p w14:paraId="6F0D8324"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system tends toward climax-like maturity when:</w:t>
      </w:r>
    </w:p>
    <w:p w14:paraId="746CFAA1"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S_i</w:t>
      </w:r>
      <w:proofErr w:type="spellEnd"/>
      <w:r w:rsidRPr="007E454C">
        <w:rPr>
          <w:rFonts w:ascii="Baskerville Old Face" w:hAnsi="Baskerville Old Face"/>
          <w:i/>
          <w:iCs/>
        </w:rPr>
        <w:t xml:space="preserve"> </w:t>
      </w:r>
      <w:r w:rsidRPr="007E454C">
        <w:rPr>
          <w:rFonts w:ascii="Times New Roman" w:hAnsi="Times New Roman" w:cs="Times New Roman"/>
          <w:i/>
          <w:iCs/>
        </w:rPr>
        <w:t>→</w:t>
      </w:r>
      <w:r w:rsidRPr="007E454C">
        <w:rPr>
          <w:rFonts w:ascii="Baskerville Old Face" w:hAnsi="Baskerville Old Face"/>
          <w:i/>
          <w:iCs/>
        </w:rPr>
        <w:t xml:space="preserve"> 3</w:t>
      </w:r>
    </w:p>
    <w:p w14:paraId="13D7F64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does not mean that maturity is automatic, linear, or guaranteed.</w:t>
      </w:r>
    </w:p>
    <w:p w14:paraId="5F103BD7"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lastRenderedPageBreak/>
        <w:t>Temporary regression is possible under drought, salinity, nutrient collapse, disease, poor design, weak stewardship, fire, extreme weather, or management failure.</w:t>
      </w:r>
    </w:p>
    <w:p w14:paraId="0CD4817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That is exactly why the model is valuable.</w:t>
      </w:r>
    </w:p>
    <w:p w14:paraId="4F77B4AE"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It is falsifiable.</w:t>
      </w:r>
    </w:p>
    <w:p w14:paraId="3E5B5A1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 serious regenerative system must be able to show not only when it succeeds, but also when it fails, stagnates, regresses, or requires intervention.</w:t>
      </w:r>
    </w:p>
    <w:p w14:paraId="519D01B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9. Emergent production and cooperative surplus</w:t>
      </w:r>
    </w:p>
    <w:p w14:paraId="0F58D5D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 xml:space="preserve">The productive output of node </w:t>
      </w:r>
      <w:proofErr w:type="spellStart"/>
      <w:r w:rsidRPr="007E454C">
        <w:rPr>
          <w:rFonts w:ascii="Baskerville Old Face" w:hAnsi="Baskerville Old Face"/>
          <w:i/>
          <w:iCs/>
        </w:rPr>
        <w:t>i</w:t>
      </w:r>
      <w:proofErr w:type="spellEnd"/>
      <w:r w:rsidRPr="007E454C">
        <w:rPr>
          <w:rFonts w:ascii="Baskerville Old Face" w:hAnsi="Baskerville Old Face"/>
          <w:i/>
          <w:iCs/>
        </w:rPr>
        <w:t xml:space="preserve"> may be represented as:</w:t>
      </w:r>
    </w:p>
    <w:p w14:paraId="5E10E163"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Y_i</w:t>
      </w:r>
      <w:proofErr w:type="spellEnd"/>
      <w:r w:rsidRPr="005907F1">
        <w:rPr>
          <w:rFonts w:ascii="Baskerville Old Face" w:hAnsi="Baskerville Old Face"/>
          <w:i/>
          <w:iCs/>
          <w:lang w:val="it-IT"/>
        </w:rPr>
        <w:t xml:space="preserve"> = </w:t>
      </w:r>
      <w:r w:rsidRPr="007E454C">
        <w:rPr>
          <w:rFonts w:ascii="Cambria" w:hAnsi="Cambria" w:cs="Cambria"/>
          <w:i/>
          <w:iCs/>
        </w:rPr>
        <w:t>θ</w:t>
      </w:r>
      <w:r w:rsidRPr="005907F1">
        <w:rPr>
          <w:rFonts w:ascii="Baskerville Old Face" w:hAnsi="Baskerville Old Face"/>
          <w:i/>
          <w:iCs/>
          <w:lang w:val="it-IT"/>
        </w:rPr>
        <w:t xml:space="preserve">_i </w:t>
      </w:r>
      <w:r w:rsidRPr="005907F1">
        <w:rPr>
          <w:rFonts w:ascii="Cambria" w:hAnsi="Cambria" w:cs="Cambria"/>
          <w:i/>
          <w:iCs/>
          <w:lang w:val="it-IT"/>
        </w:rPr>
        <w:t>·</w:t>
      </w:r>
      <w:r w:rsidRPr="005907F1">
        <w:rPr>
          <w:rFonts w:ascii="Baskerville Old Face" w:hAnsi="Baskerville Old Face"/>
          <w:i/>
          <w:iCs/>
          <w:lang w:val="it-IT"/>
        </w:rPr>
        <w:t xml:space="preserve"> </w:t>
      </w:r>
      <w:proofErr w:type="gramStart"/>
      <w:r w:rsidRPr="005907F1">
        <w:rPr>
          <w:rFonts w:ascii="Baskerville Old Face" w:hAnsi="Baskerville Old Face"/>
          <w:i/>
          <w:iCs/>
          <w:lang w:val="it-IT"/>
        </w:rPr>
        <w:t>F(</w:t>
      </w:r>
      <w:proofErr w:type="spellStart"/>
      <w:proofErr w:type="gramEnd"/>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N_i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r w:rsidRPr="007E454C">
        <w:rPr>
          <w:rFonts w:ascii="Cambria" w:hAnsi="Cambria" w:cs="Cambria"/>
          <w:i/>
          <w:iCs/>
        </w:rPr>
        <w:t>μ</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F_i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M_i^sec</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S_i</w:t>
      </w:r>
      <w:proofErr w:type="spellEnd"/>
      <w:r w:rsidRPr="005907F1">
        <w:rPr>
          <w:rFonts w:ascii="Baskerville Old Face" w:hAnsi="Baskerville Old Face"/>
          <w:i/>
          <w:iCs/>
          <w:lang w:val="it-IT"/>
        </w:rPr>
        <w:t>)</w:t>
      </w:r>
    </w:p>
    <w:p w14:paraId="48A380F6"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 xml:space="preserve">where </w:t>
      </w:r>
      <w:proofErr w:type="spellStart"/>
      <w:r w:rsidRPr="007E454C">
        <w:rPr>
          <w:rFonts w:ascii="Cambria" w:hAnsi="Cambria" w:cs="Cambria"/>
          <w:i/>
          <w:iCs/>
        </w:rPr>
        <w:t>θ</w:t>
      </w:r>
      <w:r w:rsidRPr="007E454C">
        <w:rPr>
          <w:rFonts w:ascii="Baskerville Old Face" w:hAnsi="Baskerville Old Face"/>
          <w:i/>
          <w:iCs/>
        </w:rPr>
        <w:t>_i</w:t>
      </w:r>
      <w:proofErr w:type="spellEnd"/>
      <w:r w:rsidRPr="007E454C">
        <w:rPr>
          <w:rFonts w:ascii="Baskerville Old Face" w:hAnsi="Baskerville Old Face"/>
          <w:i/>
          <w:iCs/>
        </w:rPr>
        <w:t xml:space="preserve"> captures species-specific productivity.</w:t>
      </w:r>
    </w:p>
    <w:p w14:paraId="439729B8"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At system level:</w:t>
      </w:r>
    </w:p>
    <w:p w14:paraId="19285535"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Y_sys</w:t>
      </w:r>
      <w:proofErr w:type="spellEnd"/>
      <w:r w:rsidRPr="007E454C">
        <w:rPr>
          <w:rFonts w:ascii="Baskerville Old Face" w:hAnsi="Baskerville Old Face"/>
          <w:i/>
          <w:iCs/>
        </w:rPr>
        <w:t xml:space="preserve"> = </w:t>
      </w:r>
      <w:proofErr w:type="spellStart"/>
      <w:r w:rsidRPr="007E454C">
        <w:rPr>
          <w:rFonts w:ascii="Cambria" w:hAnsi="Cambria" w:cs="Cambria"/>
          <w:i/>
          <w:iCs/>
        </w:rPr>
        <w:t>Σ</w:t>
      </w:r>
      <w:r w:rsidRPr="007E454C">
        <w:rPr>
          <w:rFonts w:ascii="Baskerville Old Face" w:hAnsi="Baskerville Old Face"/>
          <w:i/>
          <w:iCs/>
        </w:rPr>
        <w:t>_iY_i</w:t>
      </w:r>
      <w:proofErr w:type="spellEnd"/>
      <w:r w:rsidRPr="007E454C">
        <w:rPr>
          <w:rFonts w:ascii="Baskerville Old Face" w:hAnsi="Baskerville Old Face"/>
          <w:i/>
          <w:iCs/>
        </w:rPr>
        <w:t xml:space="preserve"> + </w:t>
      </w:r>
      <w:r w:rsidRPr="007E454C">
        <w:rPr>
          <w:rFonts w:ascii="Cambria" w:hAnsi="Cambria" w:cs="Cambria"/>
          <w:i/>
          <w:iCs/>
        </w:rPr>
        <w:t>Σ</w:t>
      </w:r>
      <w:r w:rsidRPr="007E454C">
        <w:rPr>
          <w:rFonts w:ascii="Baskerville Old Face" w:hAnsi="Baskerville Old Face"/>
          <w:i/>
          <w:iCs/>
        </w:rPr>
        <w:t>_{</w:t>
      </w:r>
      <w:proofErr w:type="spellStart"/>
      <w:r w:rsidRPr="007E454C">
        <w:rPr>
          <w:rFonts w:ascii="Baskerville Old Face" w:hAnsi="Baskerville Old Face"/>
          <w:i/>
          <w:iCs/>
        </w:rPr>
        <w:t>i</w:t>
      </w:r>
      <w:r w:rsidRPr="007E454C">
        <w:rPr>
          <w:rFonts w:ascii="Baskerville Old Face" w:hAnsi="Baskerville Old Face" w:cs="Baskerville Old Face"/>
          <w:i/>
          <w:iCs/>
        </w:rPr>
        <w:t>≠</w:t>
      </w:r>
      <w:proofErr w:type="gramStart"/>
      <w:r w:rsidRPr="007E454C">
        <w:rPr>
          <w:rFonts w:ascii="Baskerville Old Face" w:hAnsi="Baskerville Old Face"/>
          <w:i/>
          <w:iCs/>
        </w:rPr>
        <w:t>j</w:t>
      </w:r>
      <w:proofErr w:type="spellEnd"/>
      <w:r w:rsidRPr="007E454C">
        <w:rPr>
          <w:rFonts w:ascii="Baskerville Old Face" w:hAnsi="Baskerville Old Face"/>
          <w:i/>
          <w:iCs/>
        </w:rPr>
        <w:t>}</w:t>
      </w:r>
      <w:proofErr w:type="spellStart"/>
      <w:r w:rsidRPr="007E454C">
        <w:rPr>
          <w:rFonts w:ascii="Cambria" w:hAnsi="Cambria" w:cs="Cambria"/>
          <w:i/>
          <w:iCs/>
        </w:rPr>
        <w:t>Ω</w:t>
      </w:r>
      <w:proofErr w:type="gramEnd"/>
      <w:r w:rsidRPr="007E454C">
        <w:rPr>
          <w:rFonts w:ascii="Baskerville Old Face" w:hAnsi="Baskerville Old Face"/>
          <w:i/>
          <w:iCs/>
        </w:rPr>
        <w:t>_ij</w:t>
      </w:r>
      <w:proofErr w:type="spellEnd"/>
    </w:p>
    <w:p w14:paraId="3B59922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 xml:space="preserve">where </w:t>
      </w:r>
      <w:proofErr w:type="spellStart"/>
      <w:r w:rsidRPr="007E454C">
        <w:rPr>
          <w:rFonts w:ascii="Cambria" w:hAnsi="Cambria" w:cs="Cambria"/>
          <w:i/>
          <w:iCs/>
        </w:rPr>
        <w:t>Ω</w:t>
      </w:r>
      <w:r w:rsidRPr="007E454C">
        <w:rPr>
          <w:rFonts w:ascii="Baskerville Old Face" w:hAnsi="Baskerville Old Face"/>
          <w:i/>
          <w:iCs/>
        </w:rPr>
        <w:t>_ij</w:t>
      </w:r>
      <w:proofErr w:type="spellEnd"/>
      <w:r w:rsidRPr="007E454C">
        <w:rPr>
          <w:rFonts w:ascii="Baskerville Old Face" w:hAnsi="Baskerville Old Face"/>
          <w:i/>
          <w:iCs/>
        </w:rPr>
        <w:t xml:space="preserve"> represents cooperative ecological surplus generated by interaction effects.</w:t>
      </w:r>
    </w:p>
    <w:p w14:paraId="7649532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is the key departure from industrial agronomy.</w:t>
      </w:r>
    </w:p>
    <w:p w14:paraId="7607458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 a simplified system, output is often treated as the sum of isolated productive components.</w:t>
      </w:r>
    </w:p>
    <w:p w14:paraId="1003F1FD"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 a syntropic system, total output may include network surplus created by:</w:t>
      </w:r>
    </w:p>
    <w:p w14:paraId="0267409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mycorrhizal redistribution;</w:t>
      </w:r>
    </w:p>
    <w:p w14:paraId="4E24C35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biochemical signaling;</w:t>
      </w:r>
    </w:p>
    <w:p w14:paraId="73675B3D"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shading complementarity;</w:t>
      </w:r>
    </w:p>
    <w:p w14:paraId="5F243A8E"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stratification;</w:t>
      </w:r>
    </w:p>
    <w:p w14:paraId="0BE73C1F"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nutrient cycling;</w:t>
      </w:r>
    </w:p>
    <w:p w14:paraId="40FA1F4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trophic cooperation;</w:t>
      </w:r>
    </w:p>
    <w:p w14:paraId="568E61C6"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lastRenderedPageBreak/>
        <w:t>soil biotic amplification;</w:t>
      </w:r>
    </w:p>
    <w:p w14:paraId="2F49BC40"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microclimate regulation;</w:t>
      </w:r>
    </w:p>
    <w:p w14:paraId="3AC7BC7E"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reduced variance under stress.</w:t>
      </w:r>
    </w:p>
    <w:p w14:paraId="1B96EE1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critical validation question is therefore:</w:t>
      </w:r>
    </w:p>
    <w:p w14:paraId="0837AFD0"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does the system produce greater stability, resilience, or productive capacity than simplified or isolated equivalents under comparable conditions?</w:t>
      </w:r>
    </w:p>
    <w:p w14:paraId="5B60636D" w14:textId="77777777" w:rsidR="009B5C78" w:rsidRPr="00B479AE" w:rsidRDefault="009B5C78" w:rsidP="009B5C78">
      <w:pPr>
        <w:spacing w:line="360" w:lineRule="auto"/>
        <w:rPr>
          <w:rFonts w:ascii="Baskerville Old Face" w:hAnsi="Baskerville Old Face"/>
          <w:i/>
          <w:iCs/>
        </w:rPr>
      </w:pPr>
      <w:r w:rsidRPr="007E454C">
        <w:rPr>
          <w:rFonts w:ascii="Baskerville Old Face" w:hAnsi="Baskerville Old Face"/>
          <w:i/>
          <w:iCs/>
        </w:rPr>
        <w:t>If the answer is supported by evidence</w:t>
      </w:r>
      <w:r w:rsidRPr="00B479AE">
        <w:rPr>
          <w:rFonts w:ascii="Baskerville Old Face" w:hAnsi="Baskerville Old Face"/>
          <w:i/>
          <w:iCs/>
        </w:rPr>
        <w:t>, the OHE becomes more than good ecological practice.</w:t>
      </w:r>
    </w:p>
    <w:p w14:paraId="1BD3348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becomes a measurable cooperative production system.</w:t>
      </w:r>
    </w:p>
    <w:p w14:paraId="1092D00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10. System value function</w:t>
      </w:r>
    </w:p>
    <w:p w14:paraId="6B442E4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ecological value of the system may be expressed conceptually as:</w:t>
      </w:r>
    </w:p>
    <w:p w14:paraId="31AF61E9"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V_sys</w:t>
      </w:r>
      <w:proofErr w:type="spellEnd"/>
      <w:r w:rsidRPr="005907F1">
        <w:rPr>
          <w:rFonts w:ascii="Baskerville Old Face" w:hAnsi="Baskerville Old Face"/>
          <w:i/>
          <w:iCs/>
          <w:lang w:val="it-IT"/>
        </w:rPr>
        <w:t xml:space="preserve"> = </w:t>
      </w:r>
      <w:r w:rsidRPr="007E454C">
        <w:rPr>
          <w:rFonts w:ascii="Cambria" w:hAnsi="Cambria" w:cs="Cambria"/>
          <w:i/>
          <w:iCs/>
        </w:rPr>
        <w:t>Σ</w:t>
      </w:r>
      <w:r w:rsidRPr="005907F1">
        <w:rPr>
          <w:rFonts w:ascii="Baskerville Old Face" w:hAnsi="Baskerville Old Face"/>
          <w:i/>
          <w:iCs/>
          <w:lang w:val="it-IT"/>
        </w:rPr>
        <w:t>_</w:t>
      </w:r>
      <w:proofErr w:type="gramStart"/>
      <w:r w:rsidRPr="005907F1">
        <w:rPr>
          <w:rFonts w:ascii="Baskerville Old Face" w:hAnsi="Baskerville Old Face"/>
          <w:i/>
          <w:iCs/>
          <w:lang w:val="it-IT"/>
        </w:rPr>
        <w:t>i(</w:t>
      </w:r>
      <w:proofErr w:type="spellStart"/>
      <w:proofErr w:type="gramEnd"/>
      <w:r w:rsidRPr="005907F1">
        <w:rPr>
          <w:rFonts w:ascii="Baskerville Old Face" w:hAnsi="Baskerville Old Face"/>
          <w:i/>
          <w:iCs/>
          <w:lang w:val="it-IT"/>
        </w:rPr>
        <w:t>Y_i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ES_i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Stab_i</w:t>
      </w:r>
      <w:proofErr w:type="spellEnd"/>
      <w:r w:rsidRPr="005907F1">
        <w:rPr>
          <w:rFonts w:ascii="Baskerville Old Face" w:hAnsi="Baskerville Old Face"/>
          <w:i/>
          <w:iCs/>
          <w:lang w:val="it-IT"/>
        </w:rPr>
        <w:t>)</w:t>
      </w:r>
    </w:p>
    <w:p w14:paraId="304BE98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6B49ED1A"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Y_i</w:t>
      </w:r>
      <w:proofErr w:type="spellEnd"/>
      <w:r w:rsidRPr="007E454C">
        <w:rPr>
          <w:rFonts w:ascii="Baskerville Old Face" w:hAnsi="Baskerville Old Face"/>
          <w:i/>
          <w:iCs/>
        </w:rPr>
        <w:t xml:space="preserve"> represents productive yield;</w:t>
      </w:r>
    </w:p>
    <w:p w14:paraId="0E19E639"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ES_i</w:t>
      </w:r>
      <w:proofErr w:type="spellEnd"/>
      <w:r w:rsidRPr="007E454C">
        <w:rPr>
          <w:rFonts w:ascii="Baskerville Old Face" w:hAnsi="Baskerville Old Face"/>
          <w:i/>
          <w:iCs/>
        </w:rPr>
        <w:t xml:space="preserve"> represents ecosystem-service value;</w:t>
      </w:r>
    </w:p>
    <w:p w14:paraId="12A1E237"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Stab_i</w:t>
      </w:r>
      <w:proofErr w:type="spellEnd"/>
      <w:r w:rsidRPr="007E454C">
        <w:rPr>
          <w:rFonts w:ascii="Baskerville Old Face" w:hAnsi="Baskerville Old Face"/>
          <w:i/>
          <w:iCs/>
        </w:rPr>
        <w:t xml:space="preserve"> represents stability or resilience premium.</w:t>
      </w:r>
    </w:p>
    <w:p w14:paraId="677012B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A more explicit conceptual formulation is:</w:t>
      </w:r>
    </w:p>
    <w:p w14:paraId="518B2CA1"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V_sys</w:t>
      </w:r>
      <w:proofErr w:type="spellEnd"/>
      <w:r w:rsidRPr="007E454C">
        <w:rPr>
          <w:rFonts w:ascii="Baskerville Old Face" w:hAnsi="Baskerville Old Face"/>
          <w:i/>
          <w:iCs/>
        </w:rPr>
        <w:t xml:space="preserve"> = </w:t>
      </w:r>
      <w:proofErr w:type="spellStart"/>
      <w:r w:rsidRPr="007E454C">
        <w:rPr>
          <w:rFonts w:ascii="Cambria" w:hAnsi="Cambria" w:cs="Cambria"/>
          <w:i/>
          <w:iCs/>
        </w:rPr>
        <w:t>Σ</w:t>
      </w:r>
      <w:r w:rsidRPr="007E454C">
        <w:rPr>
          <w:rFonts w:ascii="Baskerville Old Face" w:hAnsi="Baskerville Old Face"/>
          <w:i/>
          <w:iCs/>
        </w:rPr>
        <w:t>_</w:t>
      </w:r>
      <w:proofErr w:type="gramStart"/>
      <w:r w:rsidRPr="007E454C">
        <w:rPr>
          <w:rFonts w:ascii="Baskerville Old Face" w:hAnsi="Baskerville Old Face"/>
          <w:i/>
          <w:iCs/>
        </w:rPr>
        <w:t>i</w:t>
      </w:r>
      <w:proofErr w:type="spellEnd"/>
      <w:r w:rsidRPr="007E454C">
        <w:rPr>
          <w:rFonts w:ascii="Baskerville Old Face" w:hAnsi="Baskerville Old Face"/>
          <w:i/>
          <w:iCs/>
        </w:rPr>
        <w:t>(</w:t>
      </w:r>
      <w:proofErr w:type="spellStart"/>
      <w:proofErr w:type="gramEnd"/>
      <w:r w:rsidRPr="007E454C">
        <w:rPr>
          <w:rFonts w:ascii="Baskerville Old Face" w:hAnsi="Baskerville Old Face"/>
          <w:i/>
          <w:iCs/>
        </w:rPr>
        <w:t>p_yY_i</w:t>
      </w:r>
      <w:proofErr w:type="spellEnd"/>
      <w:r w:rsidRPr="007E454C">
        <w:rPr>
          <w:rFonts w:ascii="Baskerville Old Face" w:hAnsi="Baskerville Old Face"/>
          <w:i/>
          <w:iCs/>
        </w:rPr>
        <w:t xml:space="preserve"> + </w:t>
      </w:r>
      <w:proofErr w:type="spellStart"/>
      <w:r w:rsidRPr="007E454C">
        <w:rPr>
          <w:rFonts w:ascii="Baskerville Old Face" w:hAnsi="Baskerville Old Face"/>
          <w:i/>
          <w:iCs/>
        </w:rPr>
        <w:t>p_cC_i^seq</w:t>
      </w:r>
      <w:proofErr w:type="spellEnd"/>
      <w:r w:rsidRPr="007E454C">
        <w:rPr>
          <w:rFonts w:ascii="Baskerville Old Face" w:hAnsi="Baskerville Old Face"/>
          <w:i/>
          <w:iCs/>
        </w:rPr>
        <w:t xml:space="preserve"> + </w:t>
      </w:r>
      <w:proofErr w:type="spellStart"/>
      <w:r w:rsidRPr="007E454C">
        <w:rPr>
          <w:rFonts w:ascii="Baskerville Old Face" w:hAnsi="Baskerville Old Face"/>
          <w:i/>
          <w:iCs/>
        </w:rPr>
        <w:t>p_wW_i^ret</w:t>
      </w:r>
      <w:proofErr w:type="spellEnd"/>
      <w:r w:rsidRPr="007E454C">
        <w:rPr>
          <w:rFonts w:ascii="Baskerville Old Face" w:hAnsi="Baskerville Old Face"/>
          <w:i/>
          <w:iCs/>
        </w:rPr>
        <w:t xml:space="preserve"> + </w:t>
      </w:r>
      <w:proofErr w:type="spellStart"/>
      <w:r w:rsidRPr="007E454C">
        <w:rPr>
          <w:rFonts w:ascii="Baskerville Old Face" w:hAnsi="Baskerville Old Face"/>
          <w:i/>
          <w:iCs/>
        </w:rPr>
        <w:t>p_bB_i</w:t>
      </w:r>
      <w:proofErr w:type="spellEnd"/>
      <w:r w:rsidRPr="007E454C">
        <w:rPr>
          <w:rFonts w:ascii="Baskerville Old Face" w:hAnsi="Baskerville Old Face"/>
          <w:i/>
          <w:iCs/>
        </w:rPr>
        <w:t xml:space="preserve"> + </w:t>
      </w:r>
      <w:proofErr w:type="spellStart"/>
      <w:r w:rsidRPr="007E454C">
        <w:rPr>
          <w:rFonts w:ascii="Baskerville Old Face" w:hAnsi="Baskerville Old Face"/>
          <w:i/>
          <w:iCs/>
        </w:rPr>
        <w:t>p_s</w:t>
      </w:r>
      <w:r w:rsidRPr="007E454C">
        <w:rPr>
          <w:rFonts w:ascii="Cambria" w:hAnsi="Cambria" w:cs="Cambria"/>
          <w:i/>
          <w:iCs/>
        </w:rPr>
        <w:t>Σ</w:t>
      </w:r>
      <w:r w:rsidRPr="007E454C">
        <w:rPr>
          <w:rFonts w:ascii="Baskerville Old Face" w:hAnsi="Baskerville Old Face"/>
          <w:i/>
          <w:iCs/>
        </w:rPr>
        <w:t>_i</w:t>
      </w:r>
      <w:proofErr w:type="spellEnd"/>
      <w:r w:rsidRPr="007E454C">
        <w:rPr>
          <w:rFonts w:ascii="Baskerville Old Face" w:hAnsi="Baskerville Old Face"/>
          <w:i/>
          <w:iCs/>
        </w:rPr>
        <w:t>)</w:t>
      </w:r>
    </w:p>
    <w:p w14:paraId="633C0C2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where:</w:t>
      </w:r>
    </w:p>
    <w:p w14:paraId="11AA408F"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p_y</w:t>
      </w:r>
      <w:proofErr w:type="spellEnd"/>
      <w:r w:rsidRPr="007E454C">
        <w:rPr>
          <w:rFonts w:ascii="Baskerville Old Face" w:hAnsi="Baskerville Old Face"/>
          <w:i/>
          <w:iCs/>
        </w:rPr>
        <w:t xml:space="preserve"> represents unit value of food or biological output;</w:t>
      </w:r>
    </w:p>
    <w:p w14:paraId="4B7B5702"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p_c</w:t>
      </w:r>
      <w:proofErr w:type="spellEnd"/>
      <w:r w:rsidRPr="007E454C">
        <w:rPr>
          <w:rFonts w:ascii="Baskerville Old Face" w:hAnsi="Baskerville Old Face"/>
          <w:i/>
          <w:iCs/>
        </w:rPr>
        <w:t xml:space="preserve"> represents carbon-related value where admissible;</w:t>
      </w:r>
    </w:p>
    <w:p w14:paraId="55C5D63F"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p_w</w:t>
      </w:r>
      <w:proofErr w:type="spellEnd"/>
      <w:r w:rsidRPr="007E454C">
        <w:rPr>
          <w:rFonts w:ascii="Baskerville Old Face" w:hAnsi="Baskerville Old Face"/>
          <w:i/>
          <w:iCs/>
        </w:rPr>
        <w:t xml:space="preserve"> represents water-retention or hydrological value where admissible;</w:t>
      </w:r>
    </w:p>
    <w:p w14:paraId="21B905A8"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t>p_b</w:t>
      </w:r>
      <w:proofErr w:type="spellEnd"/>
      <w:r w:rsidRPr="007E454C">
        <w:rPr>
          <w:rFonts w:ascii="Baskerville Old Face" w:hAnsi="Baskerville Old Face"/>
          <w:i/>
          <w:iCs/>
        </w:rPr>
        <w:t xml:space="preserve"> represents biodiversity or habitat value where admissible;</w:t>
      </w:r>
    </w:p>
    <w:p w14:paraId="521ABE8B" w14:textId="77777777" w:rsidR="009B5C78" w:rsidRPr="007E454C" w:rsidRDefault="009B5C78" w:rsidP="009B5C78">
      <w:pPr>
        <w:spacing w:line="360" w:lineRule="auto"/>
        <w:rPr>
          <w:rFonts w:ascii="Baskerville Old Face" w:hAnsi="Baskerville Old Face"/>
          <w:i/>
          <w:iCs/>
        </w:rPr>
      </w:pPr>
      <w:proofErr w:type="spellStart"/>
      <w:r w:rsidRPr="007E454C">
        <w:rPr>
          <w:rFonts w:ascii="Baskerville Old Face" w:hAnsi="Baskerville Old Face"/>
          <w:i/>
          <w:iCs/>
        </w:rPr>
        <w:lastRenderedPageBreak/>
        <w:t>p_s</w:t>
      </w:r>
      <w:proofErr w:type="spellEnd"/>
      <w:r w:rsidRPr="007E454C">
        <w:rPr>
          <w:rFonts w:ascii="Baskerville Old Face" w:hAnsi="Baskerville Old Face"/>
          <w:i/>
          <w:iCs/>
        </w:rPr>
        <w:t xml:space="preserve"> represents stability premium;</w:t>
      </w:r>
    </w:p>
    <w:p w14:paraId="670CC365" w14:textId="77777777" w:rsidR="009B5C78" w:rsidRPr="007E454C" w:rsidRDefault="009B5C78" w:rsidP="009B5C78">
      <w:pPr>
        <w:spacing w:line="360" w:lineRule="auto"/>
        <w:rPr>
          <w:rFonts w:ascii="Baskerville Old Face" w:hAnsi="Baskerville Old Face"/>
          <w:i/>
          <w:iCs/>
        </w:rPr>
      </w:pPr>
      <w:proofErr w:type="spellStart"/>
      <w:r w:rsidRPr="007E454C">
        <w:rPr>
          <w:rFonts w:ascii="Cambria" w:hAnsi="Cambria" w:cs="Cambria"/>
          <w:i/>
          <w:iCs/>
        </w:rPr>
        <w:t>Σ</w:t>
      </w:r>
      <w:r w:rsidRPr="007E454C">
        <w:rPr>
          <w:rFonts w:ascii="Baskerville Old Face" w:hAnsi="Baskerville Old Face"/>
          <w:i/>
          <w:iCs/>
        </w:rPr>
        <w:t>_i</w:t>
      </w:r>
      <w:proofErr w:type="spellEnd"/>
      <w:r w:rsidRPr="007E454C">
        <w:rPr>
          <w:rFonts w:ascii="Baskerville Old Face" w:hAnsi="Baskerville Old Face"/>
          <w:i/>
          <w:iCs/>
        </w:rPr>
        <w:t xml:space="preserve"> represents system resilience.</w:t>
      </w:r>
    </w:p>
    <w:p w14:paraId="6FB0DEE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formulation should be interpreted carefully.</w:t>
      </w:r>
    </w:p>
    <w:p w14:paraId="6F64C66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It is not an automatic monetization formula.</w:t>
      </w:r>
    </w:p>
    <w:p w14:paraId="081CEA31"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It is a conceptual bridge from ecological intelligence to OHE valuation and later PRU logic.</w:t>
      </w:r>
    </w:p>
    <w:p w14:paraId="7B1A0286" w14:textId="4F1DAFE7" w:rsidR="00B669EA" w:rsidRPr="007E454C" w:rsidRDefault="00B669EA" w:rsidP="009B5C78">
      <w:pPr>
        <w:spacing w:line="360" w:lineRule="auto"/>
        <w:rPr>
          <w:rFonts w:ascii="Baskerville Old Face" w:hAnsi="Baskerville Old Face"/>
          <w:i/>
          <w:iCs/>
        </w:rPr>
      </w:pPr>
      <w:r w:rsidRPr="007E454C">
        <w:rPr>
          <w:rFonts w:ascii="Baskerville Old Face" w:hAnsi="Baskerville Old Face"/>
          <w:i/>
          <w:iCs/>
        </w:rPr>
        <w:t>Only value components supported by evidence, verification, admissibility, legal structure, and anti-double-counting controls may enter PRU value analysis or legally structured financial interpretation, valuation, or instrument design where applicable.</w:t>
      </w:r>
    </w:p>
    <w:p w14:paraId="35DC4C7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11. MRV translation of the syntropic model</w:t>
      </w:r>
    </w:p>
    <w:p w14:paraId="5F6E6DFC"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mathematical model becomes operational only if variables can be translated into measurable indicators.</w:t>
      </w:r>
    </w:p>
    <w:p w14:paraId="2A7E46F2"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Prometheus therefore uses the following translation pathway:</w:t>
      </w:r>
    </w:p>
    <w:p w14:paraId="1ACCAEB5" w14:textId="1EF86D4B" w:rsidR="00AB066C" w:rsidRPr="007E454C" w:rsidRDefault="00AB066C" w:rsidP="00AB066C">
      <w:pPr>
        <w:spacing w:line="360" w:lineRule="auto"/>
        <w:rPr>
          <w:rFonts w:ascii="Times New Roman" w:hAnsi="Times New Roman" w:cs="Times New Roman"/>
          <w:i/>
          <w:iCs/>
        </w:rPr>
      </w:pPr>
      <w:r w:rsidRPr="007E454C">
        <w:rPr>
          <w:rFonts w:ascii="Baskerville Old Face" w:hAnsi="Baskerville Old Face"/>
          <w:i/>
          <w:iCs/>
        </w:rPr>
        <w:t>validated indicator</w:t>
      </w:r>
      <w:r w:rsidR="009B5C78" w:rsidRPr="007E454C">
        <w:rPr>
          <w:rFonts w:ascii="Times New Roman" w:hAnsi="Times New Roman" w:cs="Times New Roman"/>
          <w:i/>
          <w:iCs/>
        </w:rPr>
        <w:t>→</w:t>
      </w:r>
      <w:r w:rsidR="009B5C78" w:rsidRPr="007E454C">
        <w:rPr>
          <w:rFonts w:ascii="Baskerville Old Face" w:hAnsi="Baskerville Old Face"/>
          <w:i/>
          <w:iCs/>
        </w:rPr>
        <w:t xml:space="preserve"> </w:t>
      </w:r>
      <w:r w:rsidR="001C094B" w:rsidRPr="007E454C">
        <w:rPr>
          <w:rFonts w:ascii="Baskerville Old Face" w:hAnsi="Baskerville Old Face"/>
          <w:i/>
          <w:iCs/>
        </w:rPr>
        <w:t xml:space="preserve">PRU value-analysis layer </w:t>
      </w:r>
      <w:r w:rsidR="009B5C78" w:rsidRPr="007E454C">
        <w:rPr>
          <w:rFonts w:ascii="Times New Roman" w:hAnsi="Times New Roman" w:cs="Times New Roman"/>
          <w:i/>
          <w:iCs/>
        </w:rPr>
        <w:t>→</w:t>
      </w:r>
      <w:r w:rsidR="009B5C78" w:rsidRPr="007E454C">
        <w:rPr>
          <w:rFonts w:ascii="Baskerville Old Face" w:hAnsi="Baskerville Old Face"/>
          <w:i/>
          <w:iCs/>
        </w:rPr>
        <w:t xml:space="preserve"> </w:t>
      </w:r>
      <w:r w:rsidRPr="007E454C">
        <w:rPr>
          <w:rFonts w:ascii="Baskerville Old Face" w:hAnsi="Baskerville Old Face"/>
          <w:i/>
          <w:iCs/>
        </w:rPr>
        <w:t xml:space="preserve">PRU maturity class </w:t>
      </w:r>
      <w:r w:rsidR="009B5C78" w:rsidRPr="007E454C">
        <w:rPr>
          <w:rFonts w:ascii="Times New Roman" w:hAnsi="Times New Roman" w:cs="Times New Roman"/>
          <w:i/>
          <w:iCs/>
        </w:rPr>
        <w:t>→</w:t>
      </w:r>
      <w:r w:rsidRPr="007E454C">
        <w:rPr>
          <w:rFonts w:ascii="Baskerville Old Face" w:hAnsi="Baskerville Old Face"/>
          <w:i/>
          <w:iCs/>
        </w:rPr>
        <w:t xml:space="preserve"> </w:t>
      </w:r>
      <w:r w:rsidRPr="007E454C">
        <w:rPr>
          <w:rFonts w:ascii="Times New Roman" w:hAnsi="Times New Roman" w:cs="Times New Roman"/>
          <w:i/>
          <w:iCs/>
        </w:rPr>
        <w:t>Regenerative Asset Pool</w:t>
      </w:r>
    </w:p>
    <w:p w14:paraId="706BBE48" w14:textId="77777777" w:rsidR="00AB066C" w:rsidRPr="007E454C" w:rsidRDefault="009B5C78" w:rsidP="00AB066C">
      <w:pPr>
        <w:spacing w:line="360" w:lineRule="auto"/>
        <w:rPr>
          <w:rFonts w:ascii="Baskerville Old Face" w:hAnsi="Baskerville Old Face"/>
          <w:i/>
          <w:iCs/>
        </w:rPr>
      </w:pPr>
      <w:r w:rsidRPr="007E454C">
        <w:rPr>
          <w:rFonts w:ascii="Baskerville Old Face" w:hAnsi="Baskerville Old Face"/>
          <w:i/>
          <w:iCs/>
        </w:rPr>
        <w:t xml:space="preserve"> </w:t>
      </w:r>
      <w:r w:rsidRPr="007E454C">
        <w:rPr>
          <w:rFonts w:ascii="Times New Roman" w:hAnsi="Times New Roman" w:cs="Times New Roman"/>
          <w:i/>
          <w:iCs/>
        </w:rPr>
        <w:t>→</w:t>
      </w:r>
      <w:r w:rsidRPr="007E454C">
        <w:rPr>
          <w:rFonts w:ascii="Baskerville Old Face" w:hAnsi="Baskerville Old Face"/>
          <w:i/>
          <w:iCs/>
        </w:rPr>
        <w:t xml:space="preserve"> </w:t>
      </w:r>
      <w:r w:rsidR="00AB066C" w:rsidRPr="007E454C">
        <w:rPr>
          <w:rFonts w:ascii="Baskerville Old Face" w:hAnsi="Baskerville Old Face"/>
          <w:i/>
          <w:iCs/>
        </w:rPr>
        <w:t>legal or institutional wrapper</w:t>
      </w:r>
    </w:p>
    <w:p w14:paraId="16BAC172" w14:textId="4A21D516"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This matters because several important variables, such as effective mycorrhizal connectivity or biochemical signaling intensity, are only partially observable in routine field conditions.</w:t>
      </w:r>
    </w:p>
    <w:p w14:paraId="159BE05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They should not be reduced to single simplistic measurements.</w:t>
      </w:r>
    </w:p>
    <w:p w14:paraId="17FA7713"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They should be inferred through proxy bundles, direct testing where available, and validated performance patterns over time.</w:t>
      </w:r>
    </w:p>
    <w:p w14:paraId="7EB6C4F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The MRV system should be structured into five main indicator families.</w:t>
      </w:r>
    </w:p>
    <w:p w14:paraId="44AFAA0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A. Hydrological intelligence indicators</w:t>
      </w:r>
    </w:p>
    <w:p w14:paraId="221B78A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These indicators operationalize water availability, infiltration, retention, runoff reduction, and water-use efficiency.</w:t>
      </w:r>
    </w:p>
    <w:p w14:paraId="12F1A1C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Core indicators may include:</w:t>
      </w:r>
    </w:p>
    <w:p w14:paraId="5AD703D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volumetric soil moisture at multiple depths;</w:t>
      </w:r>
    </w:p>
    <w:p w14:paraId="05BC093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infiltration rate;</w:t>
      </w:r>
    </w:p>
    <w:p w14:paraId="19B9FA8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water retention after rainfall;</w:t>
      </w:r>
    </w:p>
    <w:p w14:paraId="0ECC5FA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runoff reduction;</w:t>
      </w:r>
    </w:p>
    <w:p w14:paraId="517DC73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irrigation water applied per unit output;</w:t>
      </w:r>
    </w:p>
    <w:p w14:paraId="615011A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vegetation response after rainfall;</w:t>
      </w:r>
    </w:p>
    <w:p w14:paraId="57C2D00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drought-response behavior.</w:t>
      </w:r>
    </w:p>
    <w:p w14:paraId="67B3362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Suggested notation:</w:t>
      </w:r>
    </w:p>
    <w:p w14:paraId="6131EE1B"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H_1 = soil moisture stability</w:t>
      </w:r>
    </w:p>
    <w:p w14:paraId="53885D85"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H_2 = infiltration capacity</w:t>
      </w:r>
    </w:p>
    <w:p w14:paraId="31789DBF"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H_3 = water productivity = Y / irrigation and effective rainfall use</w:t>
      </w:r>
    </w:p>
    <w:p w14:paraId="7B486779"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Interpretation:</w:t>
      </w:r>
    </w:p>
    <w:p w14:paraId="23B68AEA" w14:textId="77777777" w:rsidR="009B5C78" w:rsidRPr="007E454C" w:rsidRDefault="009B5C78" w:rsidP="009B5C78">
      <w:pPr>
        <w:spacing w:line="360" w:lineRule="auto"/>
        <w:rPr>
          <w:rFonts w:ascii="Baskerville Old Face" w:hAnsi="Baskerville Old Face"/>
          <w:i/>
          <w:iCs/>
        </w:rPr>
      </w:pPr>
      <w:r w:rsidRPr="007E454C">
        <w:rPr>
          <w:rFonts w:ascii="Baskerville Old Face" w:hAnsi="Baskerville Old Face"/>
          <w:i/>
          <w:iCs/>
        </w:rPr>
        <w:t>increasing H_1 and H_2 may indicate stronger hydrological resilience;</w:t>
      </w:r>
    </w:p>
    <w:p w14:paraId="2CFBF386" w14:textId="77777777" w:rsidR="009B5C78" w:rsidRPr="00B479AE" w:rsidRDefault="009B5C78" w:rsidP="009B5C78">
      <w:pPr>
        <w:spacing w:line="360" w:lineRule="auto"/>
        <w:rPr>
          <w:rFonts w:ascii="Baskerville Old Face" w:hAnsi="Baskerville Old Face"/>
          <w:i/>
          <w:iCs/>
        </w:rPr>
      </w:pPr>
      <w:r w:rsidRPr="007E454C">
        <w:rPr>
          <w:rFonts w:ascii="Baskerville Old Face" w:hAnsi="Baskerville Old Face"/>
          <w:i/>
          <w:iCs/>
        </w:rPr>
        <w:t>increasing H_3 may indicate better conversion of water into food, biomass, and productive function</w:t>
      </w:r>
      <w:r w:rsidRPr="00B479AE">
        <w:rPr>
          <w:rFonts w:ascii="Baskerville Old Face" w:hAnsi="Baskerville Old Face"/>
          <w:i/>
          <w:iCs/>
        </w:rPr>
        <w:t>.</w:t>
      </w:r>
    </w:p>
    <w:p w14:paraId="58BA1E3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B. Soil metabolic indicators</w:t>
      </w:r>
    </w:p>
    <w:p w14:paraId="7726093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These indicators operationalize organic matter, microbial function, earthworm activity, structure, and buffering capacity.</w:t>
      </w:r>
    </w:p>
    <w:p w14:paraId="093C1F4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Core indicators may include:</w:t>
      </w:r>
    </w:p>
    <w:p w14:paraId="6289C04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soil organic carbon;</w:t>
      </w:r>
    </w:p>
    <w:p w14:paraId="59A29F4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organic matter;</w:t>
      </w:r>
    </w:p>
    <w:p w14:paraId="4EC4B90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labile carbon fractions;</w:t>
      </w:r>
    </w:p>
    <w:p w14:paraId="6BFA829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microbial biomass carbon;</w:t>
      </w:r>
    </w:p>
    <w:p w14:paraId="047137F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earthworm abundance or biomass;</w:t>
      </w:r>
    </w:p>
    <w:p w14:paraId="067CFFD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bulk density;</w:t>
      </w:r>
    </w:p>
    <w:p w14:paraId="046F66F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aggregate stability;</w:t>
      </w:r>
    </w:p>
    <w:p w14:paraId="40CD203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pH;</w:t>
      </w:r>
    </w:p>
    <w:p w14:paraId="1859B0B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salinity;</w:t>
      </w:r>
    </w:p>
    <w:p w14:paraId="43DCB13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key microelements;</w:t>
      </w:r>
    </w:p>
    <w:p w14:paraId="04889F2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root health.</w:t>
      </w:r>
    </w:p>
    <w:p w14:paraId="084E1F71"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Suggested notation:</w:t>
      </w:r>
    </w:p>
    <w:p w14:paraId="3818F317"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S_1 = soil organic carbon</w:t>
      </w:r>
    </w:p>
    <w:p w14:paraId="3032864F"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S_2 = microbial biomass</w:t>
      </w:r>
    </w:p>
    <w:p w14:paraId="1D574D1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S_3 = earthworm activity</w:t>
      </w:r>
    </w:p>
    <w:p w14:paraId="3934E3F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S_4 = soil structure score</w:t>
      </w:r>
    </w:p>
    <w:p w14:paraId="3D1948B4"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Interpretation:</w:t>
      </w:r>
    </w:p>
    <w:p w14:paraId="0E06E50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increasing S_1 and S_2 may indicate stronger soil metabolic capacity;</w:t>
      </w:r>
    </w:p>
    <w:p w14:paraId="398DFE63" w14:textId="77777777" w:rsidR="009B5C78" w:rsidRPr="00B479AE" w:rsidRDefault="009B5C78" w:rsidP="009B5C78">
      <w:pPr>
        <w:spacing w:line="360" w:lineRule="auto"/>
        <w:rPr>
          <w:rFonts w:ascii="Baskerville Old Face" w:hAnsi="Baskerville Old Face"/>
          <w:i/>
          <w:iCs/>
        </w:rPr>
      </w:pPr>
      <w:r w:rsidRPr="002E5EB1">
        <w:rPr>
          <w:rFonts w:ascii="Baskerville Old Face" w:hAnsi="Baskerville Old Face"/>
          <w:i/>
          <w:iCs/>
        </w:rPr>
        <w:t>increasing S_3 and S_4 may indicate more active bioturbation, aggregation</w:t>
      </w:r>
      <w:r w:rsidRPr="00B479AE">
        <w:rPr>
          <w:rFonts w:ascii="Baskerville Old Face" w:hAnsi="Baskerville Old Face"/>
          <w:i/>
          <w:iCs/>
        </w:rPr>
        <w:t>, and physical structure.</w:t>
      </w:r>
    </w:p>
    <w:p w14:paraId="1764ED9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C. Mycorrhizal and network indicators</w:t>
      </w:r>
    </w:p>
    <w:p w14:paraId="15FA7FB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Direct continuous measurement of complete mycorrhizal networks is difficult in operational MRV.</w:t>
      </w:r>
    </w:p>
    <w:p w14:paraId="460321A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Prometheus therefore distinguishes direct indicators from inferred network indicators.</w:t>
      </w:r>
    </w:p>
    <w:p w14:paraId="012E825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Direct indicators may include:</w:t>
      </w:r>
    </w:p>
    <w:p w14:paraId="704A534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root colonization by arbuscular or ectomycorrhizal fungi;</w:t>
      </w:r>
    </w:p>
    <w:p w14:paraId="6E6A0D0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fungal richness or presence from periodic assays;</w:t>
      </w:r>
    </w:p>
    <w:p w14:paraId="7581E3E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root health;</w:t>
      </w:r>
    </w:p>
    <w:p w14:paraId="131147E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hub-plant or legacy-tree retention;</w:t>
      </w:r>
    </w:p>
    <w:p w14:paraId="1901005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spatial proximity to likely ecological support nodes.</w:t>
      </w:r>
    </w:p>
    <w:p w14:paraId="567656F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Inferred indicators may include:</w:t>
      </w:r>
    </w:p>
    <w:p w14:paraId="14F2B09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reduced seedling mortality;</w:t>
      </w:r>
    </w:p>
    <w:p w14:paraId="3D6CBA6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improved drought performance;</w:t>
      </w:r>
    </w:p>
    <w:p w14:paraId="0F3750A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synchronized recovery after stress;</w:t>
      </w:r>
    </w:p>
    <w:p w14:paraId="581D73E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stronger performance near ecological hub plants;</w:t>
      </w:r>
    </w:p>
    <w:p w14:paraId="7CF433F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reduced output variance in connected zones.</w:t>
      </w:r>
    </w:p>
    <w:p w14:paraId="3F7A7CC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Suggested notation:</w:t>
      </w:r>
    </w:p>
    <w:p w14:paraId="59117D1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F_1 = mycorrhizal colonization rate</w:t>
      </w:r>
    </w:p>
    <w:p w14:paraId="0EF8A7EF"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F_2 = network support index</w:t>
      </w:r>
    </w:p>
    <w:p w14:paraId="744F47B9"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F_3 = hub connectivity proxy</w:t>
      </w:r>
    </w:p>
    <w:p w14:paraId="207F847D"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Interpretation:</w:t>
      </w:r>
    </w:p>
    <w:p w14:paraId="570A61B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F_1 is more directly measurable through sampling;</w:t>
      </w:r>
    </w:p>
    <w:p w14:paraId="4452723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F_2 and F_3 are composite indicators derived from performance patterns, ecological layout, species design, and field evidence.</w:t>
      </w:r>
    </w:p>
    <w:p w14:paraId="29F429D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D. Biochemical and defensive intelligence indicators</w:t>
      </w:r>
    </w:p>
    <w:p w14:paraId="16F67EC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Secondary metabolites and VOCs are scientifically important, but expensive to monitor continuously.</w:t>
      </w:r>
    </w:p>
    <w:p w14:paraId="096AE91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They should be handled through tiers.</w:t>
      </w:r>
    </w:p>
    <w:p w14:paraId="657E06A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Direct indicators, where available, may include:</w:t>
      </w:r>
    </w:p>
    <w:p w14:paraId="2ED21DF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targeted assays for phenolics, terpenes, or other compounds;</w:t>
      </w:r>
    </w:p>
    <w:p w14:paraId="4DD3884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leaf or root stress chemistry panels;</w:t>
      </w:r>
    </w:p>
    <w:p w14:paraId="471F206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VOC snapshots in research-grade pilots.</w:t>
      </w:r>
    </w:p>
    <w:p w14:paraId="102B9DE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Operational proxies may include:</w:t>
      </w:r>
    </w:p>
    <w:p w14:paraId="7455C2D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herbivory damage score;</w:t>
      </w:r>
    </w:p>
    <w:p w14:paraId="1920B21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disease incidence;</w:t>
      </w:r>
    </w:p>
    <w:p w14:paraId="165CB2C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stress-recovery time;</w:t>
      </w:r>
    </w:p>
    <w:p w14:paraId="7D42A23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neighboring plant defense response;</w:t>
      </w:r>
    </w:p>
    <w:p w14:paraId="00567E8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mortality after disturbance;</w:t>
      </w:r>
    </w:p>
    <w:p w14:paraId="1141242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recovery speed after drought or heat stress.</w:t>
      </w:r>
    </w:p>
    <w:p w14:paraId="0B15234C"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Suggested notation:</w:t>
      </w:r>
    </w:p>
    <w:p w14:paraId="44F7D9C1"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B_1 = secondary metabolite assay index</w:t>
      </w:r>
    </w:p>
    <w:p w14:paraId="7369A78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B_2 = stress response score</w:t>
      </w:r>
    </w:p>
    <w:p w14:paraId="374C86A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B_3 = defense coordination proxy</w:t>
      </w:r>
    </w:p>
    <w:p w14:paraId="0DD5F5A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Interpretation:</w:t>
      </w:r>
    </w:p>
    <w:p w14:paraId="643DEAB9"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 early pilots, B_2 and B_3 may be more realistic;</w:t>
      </w:r>
    </w:p>
    <w:p w14:paraId="366299F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 research-enhanced pilots, B_1 can be progressively added.</w:t>
      </w:r>
    </w:p>
    <w:p w14:paraId="7FBA767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E. Productive and economic indicators</w:t>
      </w:r>
    </w:p>
    <w:p w14:paraId="2F60BC1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These indicators connect ecological performance to OHE and PRU relevance.</w:t>
      </w:r>
    </w:p>
    <w:p w14:paraId="2D1C324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Core indicators may include:</w:t>
      </w:r>
    </w:p>
    <w:p w14:paraId="2DC237B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edible biomass output;</w:t>
      </w:r>
    </w:p>
    <w:p w14:paraId="0EE06AD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crop diversity;</w:t>
      </w:r>
    </w:p>
    <w:p w14:paraId="526F30D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temporal distribution of yield;</w:t>
      </w:r>
    </w:p>
    <w:p w14:paraId="0EB087B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external input dependency;</w:t>
      </w:r>
    </w:p>
    <w:p w14:paraId="2552228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mortality or replacement rate;</w:t>
      </w:r>
    </w:p>
    <w:p w14:paraId="5B03B31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output variance;</w:t>
      </w:r>
    </w:p>
    <w:p w14:paraId="37F9701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productive stability under stress;</w:t>
      </w:r>
    </w:p>
    <w:p w14:paraId="774DDED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revenue or substitution value where applicable.</w:t>
      </w:r>
    </w:p>
    <w:p w14:paraId="016A0E89"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Suggested notation:</w:t>
      </w:r>
    </w:p>
    <w:p w14:paraId="5CBC5524"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Y_1 = edible yield</w:t>
      </w:r>
    </w:p>
    <w:p w14:paraId="401B28D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Y_2 = diversity-adjusted yield</w:t>
      </w:r>
    </w:p>
    <w:p w14:paraId="6CFA681D"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Y_3 = yield stability</w:t>
      </w:r>
    </w:p>
    <w:p w14:paraId="5D79209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Y_4 = input independence score</w:t>
      </w:r>
    </w:p>
    <w:p w14:paraId="0AE404AB"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Interpretation:</w:t>
      </w:r>
    </w:p>
    <w:p w14:paraId="6893D65B"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the key claim is not only higher yield.</w:t>
      </w:r>
    </w:p>
    <w:p w14:paraId="0A9350C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The key claim is higher productive stability under lower external input dependency.</w:t>
      </w:r>
    </w:p>
    <w:p w14:paraId="508EB57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12. Composite indices</w:t>
      </w:r>
    </w:p>
    <w:p w14:paraId="5F7C4710" w14:textId="0BDEB484" w:rsidR="00774E81" w:rsidRPr="00B479AE" w:rsidRDefault="00774E81" w:rsidP="009B5C78">
      <w:pPr>
        <w:spacing w:line="360" w:lineRule="auto"/>
        <w:rPr>
          <w:rFonts w:ascii="Baskerville Old Face" w:hAnsi="Baskerville Old Face"/>
          <w:i/>
          <w:iCs/>
        </w:rPr>
      </w:pPr>
      <w:r w:rsidRPr="00B479AE">
        <w:rPr>
          <w:rFonts w:ascii="Baskerville Old Face" w:hAnsi="Baskerville Old Face"/>
          <w:i/>
          <w:iCs/>
        </w:rPr>
        <w:t>To make the system usable for comparison, PRU value analysis, maturity classification, and future capital-readiness interpretation, raw indicators may be aggregated into composite indices.</w:t>
      </w:r>
    </w:p>
    <w:p w14:paraId="27AE8D4D" w14:textId="02284F71"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These indices are not final truth.</w:t>
      </w:r>
    </w:p>
    <w:p w14:paraId="6E6F963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They are structured instruments for interpretation.</w:t>
      </w:r>
    </w:p>
    <w:p w14:paraId="49E2B49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Syntropic Resilience Index</w:t>
      </w:r>
    </w:p>
    <w:p w14:paraId="1937D5F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 xml:space="preserve">SRI = </w:t>
      </w:r>
      <w:proofErr w:type="spellStart"/>
      <w:r w:rsidRPr="002E5EB1">
        <w:rPr>
          <w:rFonts w:ascii="Baskerville Old Face" w:hAnsi="Baskerville Old Face"/>
          <w:i/>
          <w:iCs/>
        </w:rPr>
        <w:t>w_HH</w:t>
      </w:r>
      <w:proofErr w:type="spellEnd"/>
      <w:r w:rsidRPr="002E5EB1">
        <w:rPr>
          <w:rFonts w:ascii="Baskerville Old Face" w:hAnsi="Baskerville Old Face"/>
          <w:i/>
          <w:iCs/>
        </w:rPr>
        <w:t xml:space="preserve"> + </w:t>
      </w:r>
      <w:proofErr w:type="spellStart"/>
      <w:r w:rsidRPr="002E5EB1">
        <w:rPr>
          <w:rFonts w:ascii="Baskerville Old Face" w:hAnsi="Baskerville Old Face"/>
          <w:i/>
          <w:iCs/>
        </w:rPr>
        <w:t>w_SS</w:t>
      </w:r>
      <w:proofErr w:type="spellEnd"/>
      <w:r w:rsidRPr="002E5EB1">
        <w:rPr>
          <w:rFonts w:ascii="Baskerville Old Face" w:hAnsi="Baskerville Old Face"/>
          <w:i/>
          <w:iCs/>
        </w:rPr>
        <w:t xml:space="preserve"> + </w:t>
      </w:r>
      <w:proofErr w:type="spellStart"/>
      <w:r w:rsidRPr="002E5EB1">
        <w:rPr>
          <w:rFonts w:ascii="Baskerville Old Face" w:hAnsi="Baskerville Old Face"/>
          <w:i/>
          <w:iCs/>
        </w:rPr>
        <w:t>w_FF</w:t>
      </w:r>
      <w:proofErr w:type="spellEnd"/>
      <w:r w:rsidRPr="002E5EB1">
        <w:rPr>
          <w:rFonts w:ascii="Baskerville Old Face" w:hAnsi="Baskerville Old Face"/>
          <w:i/>
          <w:iCs/>
        </w:rPr>
        <w:t xml:space="preserve"> + </w:t>
      </w:r>
      <w:proofErr w:type="spellStart"/>
      <w:r w:rsidRPr="002E5EB1">
        <w:rPr>
          <w:rFonts w:ascii="Baskerville Old Face" w:hAnsi="Baskerville Old Face"/>
          <w:i/>
          <w:iCs/>
        </w:rPr>
        <w:t>w_BB</w:t>
      </w:r>
      <w:proofErr w:type="spellEnd"/>
    </w:p>
    <w:p w14:paraId="0E17F99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where:</w:t>
      </w:r>
    </w:p>
    <w:p w14:paraId="48CDCFD2"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H is the hydrological block;</w:t>
      </w:r>
    </w:p>
    <w:p w14:paraId="1AAA823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 is the soil metabolic block;</w:t>
      </w:r>
    </w:p>
    <w:p w14:paraId="1A51F9B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lastRenderedPageBreak/>
        <w:t>F is the mycorrhizal and network block;</w:t>
      </w:r>
    </w:p>
    <w:p w14:paraId="55E54F0C"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B is the biochemical and defensive block.</w:t>
      </w:r>
    </w:p>
    <w:p w14:paraId="5916655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Purpose:</w:t>
      </w:r>
    </w:p>
    <w:p w14:paraId="4B3A763F"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to measure the internal adaptive strength of the OHE;</w:t>
      </w:r>
    </w:p>
    <w:p w14:paraId="1CD73F3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to support resilience and risk-compression analysis.</w:t>
      </w:r>
    </w:p>
    <w:p w14:paraId="08A0927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Regenerative Productivity Index</w:t>
      </w:r>
    </w:p>
    <w:p w14:paraId="131EF01D"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RPI = a_1Y_1 + a_2Y_2 + a_3Y_3 + a_4Y_4</w:t>
      </w:r>
    </w:p>
    <w:p w14:paraId="24EE5411"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Purpose:</w:t>
      </w:r>
    </w:p>
    <w:p w14:paraId="661BC73F"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to measure productive function adjusted for diversity, stability, temporal distribution, and input dependency.</w:t>
      </w:r>
    </w:p>
    <w:p w14:paraId="52B7A92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Cooperative Ecological Surplus Index</w:t>
      </w:r>
    </w:p>
    <w:p w14:paraId="6AE050BF"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CESI = b_1F_2 + b_2B_3 + b_3S_3 + b_4</w:t>
      </w:r>
      <w:r w:rsidRPr="002E5EB1">
        <w:rPr>
          <w:rFonts w:ascii="Cambria" w:hAnsi="Cambria" w:cs="Cambria"/>
          <w:i/>
          <w:iCs/>
        </w:rPr>
        <w:t>Δ</w:t>
      </w:r>
      <w:r w:rsidRPr="002E5EB1">
        <w:rPr>
          <w:rFonts w:ascii="Baskerville Old Face" w:hAnsi="Baskerville Old Face"/>
          <w:i/>
          <w:iCs/>
        </w:rPr>
        <w:t>Y^network</w:t>
      </w:r>
    </w:p>
    <w:p w14:paraId="3A868F9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 xml:space="preserve">where </w:t>
      </w:r>
      <w:proofErr w:type="spellStart"/>
      <w:r w:rsidRPr="002E5EB1">
        <w:rPr>
          <w:rFonts w:ascii="Cambria" w:hAnsi="Cambria" w:cs="Cambria"/>
          <w:i/>
          <w:iCs/>
        </w:rPr>
        <w:t>Δ</w:t>
      </w:r>
      <w:r w:rsidRPr="002E5EB1">
        <w:rPr>
          <w:rFonts w:ascii="Baskerville Old Face" w:hAnsi="Baskerville Old Face"/>
          <w:i/>
          <w:iCs/>
        </w:rPr>
        <w:t>Y^network</w:t>
      </w:r>
      <w:proofErr w:type="spellEnd"/>
      <w:r w:rsidRPr="002E5EB1">
        <w:rPr>
          <w:rFonts w:ascii="Baskerville Old Face" w:hAnsi="Baskerville Old Face"/>
          <w:i/>
          <w:iCs/>
        </w:rPr>
        <w:t xml:space="preserve"> represents measured surplus over isolated or simplified comparison systems.</w:t>
      </w:r>
    </w:p>
    <w:p w14:paraId="573F9CC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Purpose:</w:t>
      </w:r>
    </w:p>
    <w:p w14:paraId="3E6D461F"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to measure whether the system is producing cooperation-derived value, not merely individual plant output.</w:t>
      </w:r>
    </w:p>
    <w:p w14:paraId="0127DAF9"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This is one of the strongest conceptual bridges to valuation because it translates biological cooperation into a potentially measurable ecological surplus.</w:t>
      </w:r>
    </w:p>
    <w:p w14:paraId="71082F6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13. Validation hypotheses</w:t>
      </w:r>
    </w:p>
    <w:p w14:paraId="620FCEB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model becomes credible only when it generates hypotheses that can be tested through MRV.</w:t>
      </w:r>
    </w:p>
    <w:p w14:paraId="137B67A8" w14:textId="650A0A6B" w:rsidR="009B5C78" w:rsidRDefault="009B5C78" w:rsidP="009B5C78">
      <w:pPr>
        <w:spacing w:line="360" w:lineRule="auto"/>
        <w:rPr>
          <w:rFonts w:ascii="Baskerville Old Face" w:hAnsi="Baskerville Old Face"/>
          <w:i/>
          <w:iCs/>
        </w:rPr>
      </w:pPr>
      <w:r w:rsidRPr="00B479AE">
        <w:rPr>
          <w:rFonts w:ascii="Baskerville Old Face" w:hAnsi="Baskerville Old Face"/>
          <w:i/>
          <w:iCs/>
        </w:rPr>
        <w:t>The main validation hypotheses include the following.</w:t>
      </w:r>
      <w:r w:rsidR="002E5EB1">
        <w:rPr>
          <w:rFonts w:ascii="Baskerville Old Face" w:hAnsi="Baskerville Old Face"/>
          <w:i/>
          <w:iCs/>
        </w:rPr>
        <w:t xml:space="preserve"> </w:t>
      </w:r>
    </w:p>
    <w:p w14:paraId="75B7A648" w14:textId="77777777" w:rsidR="002E5EB1" w:rsidRDefault="002E5EB1" w:rsidP="009B5C78">
      <w:pPr>
        <w:spacing w:line="360" w:lineRule="auto"/>
        <w:rPr>
          <w:rFonts w:ascii="Baskerville Old Face" w:hAnsi="Baskerville Old Face"/>
          <w:i/>
          <w:iCs/>
        </w:rPr>
      </w:pPr>
    </w:p>
    <w:p w14:paraId="5688DE08" w14:textId="77777777" w:rsidR="002E5EB1" w:rsidRPr="00B479AE" w:rsidRDefault="002E5EB1" w:rsidP="009B5C78">
      <w:pPr>
        <w:spacing w:line="360" w:lineRule="auto"/>
        <w:rPr>
          <w:rFonts w:ascii="Baskerville Old Face" w:hAnsi="Baskerville Old Face"/>
          <w:i/>
          <w:iCs/>
        </w:rPr>
      </w:pPr>
    </w:p>
    <w:p w14:paraId="00444B9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lastRenderedPageBreak/>
        <w:t>H1 — Mycorrhizal connectivity and variance</w:t>
      </w:r>
    </w:p>
    <w:p w14:paraId="57146BC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Higher mycorrhizal colonization or stronger network-support proxies should correlate with lower mortality, higher stability of water and nutrient states, and lower output variance under stress.</w:t>
      </w:r>
    </w:p>
    <w:p w14:paraId="457739D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Conceptual test:</w:t>
      </w:r>
    </w:p>
    <w:p w14:paraId="09F2A3BB"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∂Var(Y) / ∂F_1 &lt; 0</w:t>
      </w:r>
    </w:p>
    <w:p w14:paraId="3C80005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H2 — Soil biology and hydrological performance</w:t>
      </w:r>
    </w:p>
    <w:p w14:paraId="159B024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Higher earthworm activity and microbial biomass should correlate with higher infiltration and more stable moisture dynamics.</w:t>
      </w:r>
    </w:p>
    <w:p w14:paraId="76B2EF0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Conceptual tests:</w:t>
      </w:r>
    </w:p>
    <w:p w14:paraId="4988B0D7"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∂H_2 / ∂S_3 &gt; 0</w:t>
      </w:r>
    </w:p>
    <w:p w14:paraId="1BF5051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∂H_2 / ∂S_2 &gt; 0</w:t>
      </w:r>
    </w:p>
    <w:p w14:paraId="21D12D2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H3 — Organic matter and productive stability</w:t>
      </w:r>
    </w:p>
    <w:p w14:paraId="70BE1D4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Higher soil organic carbon or organic matter should correlate with improved water retention, lower drought sensitivity, and more stable productive performance.</w:t>
      </w:r>
    </w:p>
    <w:p w14:paraId="48767DD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Conceptual test:</w:t>
      </w:r>
    </w:p>
    <w:p w14:paraId="04C698EB"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∂Y_3 / ∂S_1 &gt; 0</w:t>
      </w:r>
    </w:p>
    <w:p w14:paraId="51E533D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H4 — Biochemical coordination and stress response</w:t>
      </w:r>
    </w:p>
    <w:p w14:paraId="6103332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Stronger biochemical or defensive-response indicators should correlate with reduced stress damage, faster recovery, or lower disease impact under comparable conditions.</w:t>
      </w:r>
    </w:p>
    <w:p w14:paraId="52CE036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Conceptual test:</w:t>
      </w:r>
    </w:p>
    <w:p w14:paraId="44668FD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w:t>
      </w:r>
      <w:proofErr w:type="spellStart"/>
      <w:r w:rsidRPr="002E5EB1">
        <w:rPr>
          <w:rFonts w:ascii="Baskerville Old Face" w:hAnsi="Baskerville Old Face"/>
          <w:i/>
          <w:iCs/>
        </w:rPr>
        <w:t>StressDamage</w:t>
      </w:r>
      <w:proofErr w:type="spellEnd"/>
      <w:r w:rsidRPr="002E5EB1">
        <w:rPr>
          <w:rFonts w:ascii="Baskerville Old Face" w:hAnsi="Baskerville Old Face"/>
          <w:i/>
          <w:iCs/>
        </w:rPr>
        <w:t xml:space="preserve"> / ∂B_2 &lt; 0</w:t>
      </w:r>
    </w:p>
    <w:p w14:paraId="2584AE42" w14:textId="77777777" w:rsidR="002E5EB1" w:rsidRDefault="002E5EB1" w:rsidP="009B5C78">
      <w:pPr>
        <w:spacing w:line="360" w:lineRule="auto"/>
        <w:rPr>
          <w:rFonts w:ascii="Baskerville Old Face" w:hAnsi="Baskerville Old Face"/>
          <w:b/>
          <w:bCs/>
          <w:i/>
          <w:iCs/>
        </w:rPr>
      </w:pPr>
    </w:p>
    <w:p w14:paraId="0A67F568" w14:textId="77777777" w:rsidR="002E5EB1" w:rsidRDefault="002E5EB1" w:rsidP="009B5C78">
      <w:pPr>
        <w:spacing w:line="360" w:lineRule="auto"/>
        <w:rPr>
          <w:rFonts w:ascii="Baskerville Old Face" w:hAnsi="Baskerville Old Face"/>
          <w:b/>
          <w:bCs/>
          <w:i/>
          <w:iCs/>
        </w:rPr>
      </w:pPr>
    </w:p>
    <w:p w14:paraId="2DAA099F" w14:textId="6E1DDB03"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lastRenderedPageBreak/>
        <w:t>H5 — Networked syntropic systems and cooperative surplus</w:t>
      </w:r>
    </w:p>
    <w:p w14:paraId="6F3FE7A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 well-designed syntropic system should generate productivity, resilience, or stability greater than simplified isolated equivalents under comparable conditions.</w:t>
      </w:r>
    </w:p>
    <w:p w14:paraId="01A72281" w14:textId="77777777" w:rsidR="009B5C78" w:rsidRPr="002E5EB1" w:rsidRDefault="009B5C78" w:rsidP="009B5C78">
      <w:pPr>
        <w:spacing w:line="360" w:lineRule="auto"/>
        <w:rPr>
          <w:rFonts w:ascii="Baskerville Old Face" w:hAnsi="Baskerville Old Face"/>
          <w:i/>
          <w:iCs/>
        </w:rPr>
      </w:pPr>
      <w:r w:rsidRPr="00B479AE">
        <w:rPr>
          <w:rFonts w:ascii="Baskerville Old Face" w:hAnsi="Baskerville Old Face"/>
          <w:i/>
          <w:iCs/>
        </w:rPr>
        <w:t>Conceptual test:</w:t>
      </w:r>
    </w:p>
    <w:p w14:paraId="03E355C1"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Y_sys</w:t>
      </w:r>
      <w:proofErr w:type="spellEnd"/>
      <w:r w:rsidRPr="002E5EB1">
        <w:rPr>
          <w:rFonts w:ascii="Baskerville Old Face" w:hAnsi="Baskerville Old Face"/>
          <w:i/>
          <w:iCs/>
        </w:rPr>
        <w:t xml:space="preserve"> &gt; </w:t>
      </w:r>
      <w:proofErr w:type="spellStart"/>
      <w:r w:rsidRPr="002E5EB1">
        <w:rPr>
          <w:rFonts w:ascii="Cambria" w:hAnsi="Cambria" w:cs="Cambria"/>
          <w:i/>
          <w:iCs/>
        </w:rPr>
        <w:t>Σ</w:t>
      </w:r>
      <w:r w:rsidRPr="002E5EB1">
        <w:rPr>
          <w:rFonts w:ascii="Baskerville Old Face" w:hAnsi="Baskerville Old Face"/>
          <w:i/>
          <w:iCs/>
        </w:rPr>
        <w:t>_iY_i^isolated</w:t>
      </w:r>
      <w:proofErr w:type="spellEnd"/>
    </w:p>
    <w:p w14:paraId="435D8B01" w14:textId="77777777" w:rsidR="009B5C78" w:rsidRPr="00B479AE" w:rsidRDefault="009B5C78" w:rsidP="009B5C78">
      <w:pPr>
        <w:spacing w:line="360" w:lineRule="auto"/>
        <w:rPr>
          <w:rFonts w:ascii="Baskerville Old Face" w:hAnsi="Baskerville Old Face"/>
          <w:i/>
          <w:iCs/>
        </w:rPr>
      </w:pPr>
      <w:r w:rsidRPr="002E5EB1">
        <w:rPr>
          <w:rFonts w:ascii="Baskerville Old Face" w:hAnsi="Baskerville Old Face"/>
          <w:i/>
          <w:iCs/>
        </w:rPr>
        <w:t>This is the single strongest validation</w:t>
      </w:r>
      <w:r w:rsidRPr="00B479AE">
        <w:rPr>
          <w:rFonts w:ascii="Baskerville Old Face" w:hAnsi="Baskerville Old Face"/>
          <w:i/>
          <w:iCs/>
        </w:rPr>
        <w:t xml:space="preserve"> claim for syntropic superiority.</w:t>
      </w:r>
    </w:p>
    <w:p w14:paraId="76AA8C0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should be tested conservatively.</w:t>
      </w:r>
    </w:p>
    <w:p w14:paraId="07CB8B6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purpose is not to assert superiority by doctrine.</w:t>
      </w:r>
    </w:p>
    <w:p w14:paraId="26B0407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purpose is to let evidence determine whether cooperative ecological design creates measurable surplus.</w:t>
      </w:r>
    </w:p>
    <w:p w14:paraId="52A50E3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14. Confidence scoring</w:t>
      </w:r>
    </w:p>
    <w:p w14:paraId="211EFB5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Not every metric should count equally.</w:t>
      </w:r>
    </w:p>
    <w:p w14:paraId="3C9C3A2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Each indicator should receive a confidence score.</w:t>
      </w:r>
    </w:p>
    <w:p w14:paraId="506EC67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A simplified formulation is:</w:t>
      </w:r>
    </w:p>
    <w:p w14:paraId="44C0080A"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Conf_k</w:t>
      </w:r>
      <w:proofErr w:type="spellEnd"/>
      <w:r w:rsidRPr="002E5EB1">
        <w:rPr>
          <w:rFonts w:ascii="Baskerville Old Face" w:hAnsi="Baskerville Old Face"/>
          <w:i/>
          <w:iCs/>
        </w:rPr>
        <w:t xml:space="preserve"> = </w:t>
      </w:r>
      <w:proofErr w:type="spellStart"/>
      <w:r w:rsidRPr="002E5EB1">
        <w:rPr>
          <w:rFonts w:ascii="Baskerville Old Face" w:hAnsi="Baskerville Old Face"/>
          <w:i/>
          <w:iCs/>
        </w:rPr>
        <w:t>q_k</w:t>
      </w:r>
      <w:proofErr w:type="spellEnd"/>
      <w:r w:rsidRPr="002E5EB1">
        <w:rPr>
          <w:rFonts w:ascii="Baskerville Old Face" w:hAnsi="Baskerville Old Face"/>
          <w:i/>
          <w:iCs/>
        </w:rPr>
        <w:t xml:space="preserve"> </w:t>
      </w:r>
      <w:r w:rsidRPr="002E5EB1">
        <w:rPr>
          <w:rFonts w:ascii="Cambria" w:hAnsi="Cambria" w:cs="Cambria"/>
          <w:i/>
          <w:iCs/>
        </w:rPr>
        <w:t>·</w:t>
      </w:r>
      <w:r w:rsidRPr="002E5EB1">
        <w:rPr>
          <w:rFonts w:ascii="Baskerville Old Face" w:hAnsi="Baskerville Old Face"/>
          <w:i/>
          <w:iCs/>
        </w:rPr>
        <w:t xml:space="preserve"> </w:t>
      </w:r>
      <w:proofErr w:type="spellStart"/>
      <w:r w:rsidRPr="002E5EB1">
        <w:rPr>
          <w:rFonts w:ascii="Baskerville Old Face" w:hAnsi="Baskerville Old Face"/>
          <w:i/>
          <w:iCs/>
        </w:rPr>
        <w:t>f_k</w:t>
      </w:r>
      <w:proofErr w:type="spellEnd"/>
      <w:r w:rsidRPr="002E5EB1">
        <w:rPr>
          <w:rFonts w:ascii="Baskerville Old Face" w:hAnsi="Baskerville Old Face"/>
          <w:i/>
          <w:iCs/>
        </w:rPr>
        <w:t xml:space="preserve"> </w:t>
      </w:r>
      <w:r w:rsidRPr="002E5EB1">
        <w:rPr>
          <w:rFonts w:ascii="Cambria" w:hAnsi="Cambria" w:cs="Cambria"/>
          <w:i/>
          <w:iCs/>
        </w:rPr>
        <w:t>·</w:t>
      </w:r>
      <w:r w:rsidRPr="002E5EB1">
        <w:rPr>
          <w:rFonts w:ascii="Baskerville Old Face" w:hAnsi="Baskerville Old Face"/>
          <w:i/>
          <w:iCs/>
        </w:rPr>
        <w:t xml:space="preserve"> </w:t>
      </w:r>
      <w:proofErr w:type="spellStart"/>
      <w:r w:rsidRPr="002E5EB1">
        <w:rPr>
          <w:rFonts w:ascii="Baskerville Old Face" w:hAnsi="Baskerville Old Face"/>
          <w:i/>
          <w:iCs/>
        </w:rPr>
        <w:t>r_k</w:t>
      </w:r>
      <w:proofErr w:type="spellEnd"/>
    </w:p>
    <w:p w14:paraId="16012E71"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where:</w:t>
      </w:r>
    </w:p>
    <w:p w14:paraId="465F717A"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q_k</w:t>
      </w:r>
      <w:proofErr w:type="spellEnd"/>
      <w:r w:rsidRPr="002E5EB1">
        <w:rPr>
          <w:rFonts w:ascii="Baskerville Old Face" w:hAnsi="Baskerville Old Face"/>
          <w:i/>
          <w:iCs/>
        </w:rPr>
        <w:t xml:space="preserve"> represents measurement quality;</w:t>
      </w:r>
    </w:p>
    <w:p w14:paraId="569139A6"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f_k</w:t>
      </w:r>
      <w:proofErr w:type="spellEnd"/>
      <w:r w:rsidRPr="002E5EB1">
        <w:rPr>
          <w:rFonts w:ascii="Baskerville Old Face" w:hAnsi="Baskerville Old Face"/>
          <w:i/>
          <w:iCs/>
        </w:rPr>
        <w:t xml:space="preserve"> represents sampling frequency;</w:t>
      </w:r>
    </w:p>
    <w:p w14:paraId="1C5D7777"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r_k</w:t>
      </w:r>
      <w:proofErr w:type="spellEnd"/>
      <w:r w:rsidRPr="002E5EB1">
        <w:rPr>
          <w:rFonts w:ascii="Baskerville Old Face" w:hAnsi="Baskerville Old Face"/>
          <w:i/>
          <w:iCs/>
        </w:rPr>
        <w:t xml:space="preserve"> represents replication, robustness, or cross-source confirmation.</w:t>
      </w:r>
    </w:p>
    <w:p w14:paraId="48BCC1C2"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Each composite indicator can then be adjusted:</w:t>
      </w:r>
    </w:p>
    <w:p w14:paraId="0C620BCB"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Index_adj</w:t>
      </w:r>
      <w:proofErr w:type="spellEnd"/>
      <w:r w:rsidRPr="002E5EB1">
        <w:rPr>
          <w:rFonts w:ascii="Baskerville Old Face" w:hAnsi="Baskerville Old Face"/>
          <w:i/>
          <w:iCs/>
        </w:rPr>
        <w:t xml:space="preserve"> = Index </w:t>
      </w:r>
      <w:r w:rsidRPr="002E5EB1">
        <w:rPr>
          <w:rFonts w:ascii="Cambria" w:hAnsi="Cambria" w:cs="Cambria"/>
          <w:i/>
          <w:iCs/>
        </w:rPr>
        <w:t>·</w:t>
      </w:r>
      <w:r w:rsidRPr="002E5EB1">
        <w:rPr>
          <w:rFonts w:ascii="Baskerville Old Face" w:hAnsi="Baskerville Old Face"/>
          <w:i/>
          <w:iCs/>
        </w:rPr>
        <w:t xml:space="preserve"> Conf</w:t>
      </w:r>
    </w:p>
    <w:p w14:paraId="286B15D5"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This prevents overclaiming.</w:t>
      </w:r>
    </w:p>
    <w:p w14:paraId="2F3150DD"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lastRenderedPageBreak/>
        <w:t>It allows a partially observed system to be interpreted, while ensuring that weak evidence is discounted.</w:t>
      </w:r>
    </w:p>
    <w:p w14:paraId="11F808E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This is crucial for investor trust.</w:t>
      </w:r>
    </w:p>
    <w:p w14:paraId="7379440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A regenerative asset class cannot be built on beautiful claims with weak evidence.</w:t>
      </w:r>
    </w:p>
    <w:p w14:paraId="0E32B0E9"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It must be built on confidence-adjusted performance.</w:t>
      </w:r>
    </w:p>
    <w:p w14:paraId="49B9865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15. Conservative OHE value uplift</w:t>
      </w:r>
    </w:p>
    <w:p w14:paraId="6D631A6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OHE value should not be increased by narrative claims.</w:t>
      </w:r>
    </w:p>
    <w:p w14:paraId="0DF8019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should increase only when the MRV layer demonstrates that resilience, water performance, soil function, productivity, and network coordination are improving.</w:t>
      </w:r>
    </w:p>
    <w:p w14:paraId="7E61A53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A conservative conceptual formulation is:</w:t>
      </w:r>
    </w:p>
    <w:p w14:paraId="030B3081" w14:textId="77777777" w:rsidR="009B5C78" w:rsidRPr="005907F1" w:rsidRDefault="009B5C78" w:rsidP="009B5C78">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V_OHE^adj</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V_base</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(1 + </w:t>
      </w:r>
      <w:r w:rsidRPr="002E5EB1">
        <w:rPr>
          <w:rFonts w:ascii="Cambria" w:hAnsi="Cambria" w:cs="Cambria"/>
          <w:i/>
          <w:iCs/>
        </w:rPr>
        <w:t>λ</w:t>
      </w:r>
      <w:r w:rsidRPr="005907F1">
        <w:rPr>
          <w:rFonts w:ascii="Baskerville Old Face" w:hAnsi="Baskerville Old Face"/>
          <w:i/>
          <w:iCs/>
          <w:lang w:val="it-IT"/>
        </w:rPr>
        <w:t xml:space="preserve">_1SRI + </w:t>
      </w:r>
      <w:r w:rsidRPr="002E5EB1">
        <w:rPr>
          <w:rFonts w:ascii="Cambria" w:hAnsi="Cambria" w:cs="Cambria"/>
          <w:i/>
          <w:iCs/>
        </w:rPr>
        <w:t>λ</w:t>
      </w:r>
      <w:r w:rsidRPr="005907F1">
        <w:rPr>
          <w:rFonts w:ascii="Baskerville Old Face" w:hAnsi="Baskerville Old Face"/>
          <w:i/>
          <w:iCs/>
          <w:lang w:val="it-IT"/>
        </w:rPr>
        <w:t xml:space="preserve">_2RPI + </w:t>
      </w:r>
      <w:r w:rsidRPr="002E5EB1">
        <w:rPr>
          <w:rFonts w:ascii="Cambria" w:hAnsi="Cambria" w:cs="Cambria"/>
          <w:i/>
          <w:iCs/>
        </w:rPr>
        <w:t>λ</w:t>
      </w:r>
      <w:r w:rsidRPr="005907F1">
        <w:rPr>
          <w:rFonts w:ascii="Baskerville Old Face" w:hAnsi="Baskerville Old Face"/>
          <w:i/>
          <w:iCs/>
          <w:lang w:val="it-IT"/>
        </w:rPr>
        <w:t>_3CESI)</w:t>
      </w:r>
    </w:p>
    <w:p w14:paraId="5F50875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subject to:</w:t>
      </w:r>
    </w:p>
    <w:p w14:paraId="2F64596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confidence-score thresholds;</w:t>
      </w:r>
    </w:p>
    <w:p w14:paraId="37C7155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anti-greenwashing rules;</w:t>
      </w:r>
    </w:p>
    <w:p w14:paraId="6B89AE2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no-double-counting controls;</w:t>
      </w:r>
    </w:p>
    <w:p w14:paraId="1BEACCF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methodology versioning;</w:t>
      </w:r>
    </w:p>
    <w:p w14:paraId="19C5B53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legal and contractual admissibility;</w:t>
      </w:r>
    </w:p>
    <w:p w14:paraId="50C69DA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separation between productive value, ecological value, and systemic value.</w:t>
      </w:r>
    </w:p>
    <w:p w14:paraId="6E9B0E3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Interpretation:</w:t>
      </w:r>
    </w:p>
    <w:p w14:paraId="4D7D7287"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V_base</w:t>
      </w:r>
      <w:proofErr w:type="spellEnd"/>
      <w:r w:rsidRPr="002E5EB1">
        <w:rPr>
          <w:rFonts w:ascii="Baskerville Old Face" w:hAnsi="Baskerville Old Face"/>
          <w:i/>
          <w:iCs/>
        </w:rPr>
        <w:t xml:space="preserve"> remains the hard productive or cash-relevant value;</w:t>
      </w:r>
    </w:p>
    <w:p w14:paraId="609F8C5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SRI, RPI, and CESI may justify resilience or systemic-function premiums only when verified;</w:t>
      </w:r>
    </w:p>
    <w:p w14:paraId="63D8DE7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no premium should be recognized merely because a system is called regenerative.</w:t>
      </w:r>
    </w:p>
    <w:p w14:paraId="11DC7AA4" w14:textId="6D8CDC3E" w:rsidR="009B5C78" w:rsidRPr="002E5EB1" w:rsidRDefault="00112DE6" w:rsidP="009B5C78">
      <w:pPr>
        <w:spacing w:line="360" w:lineRule="auto"/>
        <w:rPr>
          <w:rFonts w:ascii="Baskerville Old Face" w:hAnsi="Baskerville Old Face"/>
          <w:i/>
          <w:iCs/>
        </w:rPr>
      </w:pPr>
      <w:r w:rsidRPr="002E5EB1">
        <w:rPr>
          <w:rFonts w:ascii="Baskerville Old Face" w:hAnsi="Baskerville Old Face"/>
          <w:i/>
          <w:iCs/>
        </w:rPr>
        <w:lastRenderedPageBreak/>
        <w:t>This is the correct bridge toward PRU value analysis and capital-readiness interpretation</w:t>
      </w:r>
      <w:r w:rsidR="009B5C78" w:rsidRPr="002E5EB1">
        <w:rPr>
          <w:rFonts w:ascii="Baskerville Old Face" w:hAnsi="Baskerville Old Face"/>
          <w:i/>
          <w:iCs/>
        </w:rPr>
        <w:t>.</w:t>
      </w:r>
    </w:p>
    <w:p w14:paraId="5259AA8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It preserves ambition without weakening credibility.</w:t>
      </w:r>
    </w:p>
    <w:p w14:paraId="54EF41A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16. Normalized PRU value stack</w:t>
      </w:r>
    </w:p>
    <w:p w14:paraId="79B56F6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PRU value stack should be structured as a hierarchical, admissibility-constrained architecture.</w:t>
      </w:r>
    </w:p>
    <w:p w14:paraId="407F281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Layer 1 — Core productive value</w:t>
      </w:r>
    </w:p>
    <w:p w14:paraId="6932EA2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includes directly observable and cash-relevant outputs, such as food production, household food substitution where measurable, direct sales, agroforestry products, local market integration, hospitality-linked production, education, or other operational revenue.</w:t>
      </w:r>
    </w:p>
    <w:p w14:paraId="614EB40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layer forms the baseline for financial modeling.</w:t>
      </w:r>
    </w:p>
    <w:p w14:paraId="235DA87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Layer 2 — Ecological performance value</w:t>
      </w:r>
    </w:p>
    <w:p w14:paraId="5B15C0D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includes carbon dynamics, hydrological performance, biodiversity, habitat function, soil regeneration, land resilience, input-dependency reduction, and productive stability.</w:t>
      </w:r>
    </w:p>
    <w:p w14:paraId="6C93D47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layer becomes financially relevant only when measured, verified, confidence-scored, and connected to a recognized monetization, underwriting, insurance, procurement, or contractual pathway.</w:t>
      </w:r>
    </w:p>
    <w:p w14:paraId="7E4BBE2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 xml:space="preserve">Layer 3 — </w:t>
      </w:r>
      <w:proofErr w:type="spellStart"/>
      <w:r w:rsidRPr="00B479AE">
        <w:rPr>
          <w:rFonts w:ascii="Baskerville Old Face" w:hAnsi="Baskerville Old Face"/>
          <w:b/>
          <w:bCs/>
          <w:i/>
          <w:iCs/>
        </w:rPr>
        <w:t>SyntroGIFT</w:t>
      </w:r>
      <w:proofErr w:type="spellEnd"/>
      <w:r w:rsidRPr="00B479AE">
        <w:rPr>
          <w:rFonts w:ascii="Baskerville Old Face" w:hAnsi="Baskerville Old Face"/>
          <w:b/>
          <w:bCs/>
          <w:i/>
          <w:iCs/>
        </w:rPr>
        <w:t xml:space="preserve"> and systemic value</w:t>
      </w:r>
    </w:p>
    <w:p w14:paraId="3ACC1E2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includes improved nutritional quality, embedded physical activity, nature exposure, preventive health potential, social coherence, and metabolic-resilience effects.</w:t>
      </w:r>
    </w:p>
    <w:p w14:paraId="43AE0C4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layer may be strategically powerful, but it should remain outside base-case cash flows unless tied to explicit contractual mechanisms such as public procurement, insurer partnerships, food-as-medicine programs, preventive health initiatives, education, research, or wellness services.</w:t>
      </w:r>
    </w:p>
    <w:p w14:paraId="071A8DB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structure ensures that PRU value does not aggregate value indiscriminately.</w:t>
      </w:r>
    </w:p>
    <w:p w14:paraId="20BA56C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orders value by epistemic strength and financial admissibility.</w:t>
      </w:r>
    </w:p>
    <w:p w14:paraId="279EFE5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17. Ecological arbitrage</w:t>
      </w:r>
    </w:p>
    <w:p w14:paraId="198FE30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old model introduced an important concept that should be preserved: ecological arbitrage.</w:t>
      </w:r>
    </w:p>
    <w:p w14:paraId="4004C5A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Within Prometheus, ecological arbitrage does not mean speculative appreciation.</w:t>
      </w:r>
    </w:p>
    <w:p w14:paraId="121F702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means the recognition gap between:</w:t>
      </w:r>
    </w:p>
    <w:p w14:paraId="5B1E9C3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under-recognized biological systems;</w:t>
      </w:r>
    </w:p>
    <w:p w14:paraId="405C33E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and verified, risk-compressed regenerative infrastructure.</w:t>
      </w:r>
    </w:p>
    <w:p w14:paraId="2C405F7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At deployment, a regenerative system may already contain latent biological value, but that value may be only partially visible to markets.</w:t>
      </w:r>
    </w:p>
    <w:p w14:paraId="3C9C233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 xml:space="preserve">As MRV improves, confidence increases, variance decreases, and resilience </w:t>
      </w:r>
      <w:proofErr w:type="gramStart"/>
      <w:r w:rsidRPr="00B479AE">
        <w:rPr>
          <w:rFonts w:ascii="Baskerville Old Face" w:hAnsi="Baskerville Old Face"/>
          <w:i/>
          <w:iCs/>
        </w:rPr>
        <w:t>becomes</w:t>
      </w:r>
      <w:proofErr w:type="gramEnd"/>
      <w:r w:rsidRPr="00B479AE">
        <w:rPr>
          <w:rFonts w:ascii="Baskerville Old Face" w:hAnsi="Baskerville Old Face"/>
          <w:i/>
          <w:iCs/>
        </w:rPr>
        <w:t xml:space="preserve"> measurable, the system may transition from:</w:t>
      </w:r>
    </w:p>
    <w:p w14:paraId="4CFECE0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implicit value</w:t>
      </w:r>
      <w:r w:rsidRPr="00B479AE">
        <w:rPr>
          <w:rFonts w:ascii="Baskerville Old Face" w:hAnsi="Baskerville Old Face"/>
          <w:i/>
          <w:iCs/>
        </w:rPr>
        <w:br/>
        <w:t>to measurable value</w:t>
      </w:r>
      <w:r w:rsidRPr="00B479AE">
        <w:rPr>
          <w:rFonts w:ascii="Baskerville Old Face" w:hAnsi="Baskerville Old Face"/>
          <w:i/>
          <w:iCs/>
        </w:rPr>
        <w:br/>
        <w:t>to verified value</w:t>
      </w:r>
      <w:r w:rsidRPr="00B479AE">
        <w:rPr>
          <w:rFonts w:ascii="Baskerville Old Face" w:hAnsi="Baskerville Old Face"/>
          <w:i/>
          <w:iCs/>
        </w:rPr>
        <w:br/>
        <w:t>to admissible value</w:t>
      </w:r>
      <w:r w:rsidRPr="00B479AE">
        <w:rPr>
          <w:rFonts w:ascii="Baskerville Old Face" w:hAnsi="Baskerville Old Face"/>
          <w:i/>
          <w:iCs/>
        </w:rPr>
        <w:br/>
        <w:t>to financeable value.</w:t>
      </w:r>
    </w:p>
    <w:p w14:paraId="66333B2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is the mechanism through which Prometheus reveals and stabilizes value already generated by living systems.</w:t>
      </w:r>
    </w:p>
    <w:p w14:paraId="5940AED2" w14:textId="4BE6BC46"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Value is not created by financial abstraction.</w:t>
      </w:r>
      <w:r w:rsidR="000A3F1F" w:rsidRPr="00B479AE">
        <w:rPr>
          <w:rFonts w:ascii="Baskerville Old Face" w:hAnsi="Baskerville Old Face"/>
          <w:i/>
          <w:iCs/>
        </w:rPr>
        <w:t xml:space="preserve"> </w:t>
      </w:r>
      <w:r w:rsidRPr="00B479AE">
        <w:rPr>
          <w:rFonts w:ascii="Baskerville Old Face" w:hAnsi="Baskerville Old Face"/>
          <w:i/>
          <w:iCs/>
        </w:rPr>
        <w:t>Value is revealed, structured, and capitalized only when the living system demonstrates measurable regenerative performance.</w:t>
      </w:r>
      <w:r w:rsidR="000A3F1F" w:rsidRPr="00B479AE">
        <w:rPr>
          <w:rFonts w:ascii="Baskerville Old Face" w:hAnsi="Baskerville Old Face"/>
          <w:i/>
          <w:iCs/>
        </w:rPr>
        <w:t xml:space="preserve"> </w:t>
      </w:r>
    </w:p>
    <w:p w14:paraId="217F909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18. EPU intelligence layer</w:t>
      </w:r>
    </w:p>
    <w:p w14:paraId="35DAFD0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 mature OHE may be decomposed into Ecological Productive Units, or EPUs.</w:t>
      </w:r>
    </w:p>
    <w:p w14:paraId="2D2A896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An EPU is a functional sub-system within the OHE.</w:t>
      </w:r>
    </w:p>
    <w:p w14:paraId="53E7132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Examples may include:</w:t>
      </w:r>
    </w:p>
    <w:p w14:paraId="62D6C95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aromatic layer;</w:t>
      </w:r>
    </w:p>
    <w:p w14:paraId="64F6BFF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complex orchard;</w:t>
      </w:r>
    </w:p>
    <w:p w14:paraId="692FF4E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pioneer orchard;</w:t>
      </w:r>
    </w:p>
    <w:p w14:paraId="6FD3DB6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hedge system;</w:t>
      </w:r>
    </w:p>
    <w:p w14:paraId="2D95A85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arboreal core;</w:t>
      </w:r>
    </w:p>
    <w:p w14:paraId="6167A68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pollinator corridor;</w:t>
      </w:r>
    </w:p>
    <w:p w14:paraId="606BBD1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annual crop zone;</w:t>
      </w:r>
    </w:p>
    <w:p w14:paraId="204107F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xerophytic boundary;</w:t>
      </w:r>
    </w:p>
    <w:p w14:paraId="79DBAA4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water-retention zone;</w:t>
      </w:r>
    </w:p>
    <w:p w14:paraId="7B20694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soil-regeneration zone.</w:t>
      </w:r>
    </w:p>
    <w:p w14:paraId="257433B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Each EPU may have a different ecological signature.</w:t>
      </w:r>
    </w:p>
    <w:p w14:paraId="75EFF83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Some zones may contribute more to productive output.</w:t>
      </w:r>
    </w:p>
    <w:p w14:paraId="1212844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Some may contribute more to soil regeneration.</w:t>
      </w:r>
    </w:p>
    <w:p w14:paraId="6B68EB5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Some may contribute more to pollination, edge protection, biodiversity, microclimate, water retention, or cooperative surplus.</w:t>
      </w:r>
    </w:p>
    <w:p w14:paraId="331A0D4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allows granular analysis without fragmenting the ecological unity of the OHE.</w:t>
      </w:r>
    </w:p>
    <w:p w14:paraId="097C232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purpose of EPU analysis is not to financialize every plant.</w:t>
      </w:r>
    </w:p>
    <w:p w14:paraId="7A5D582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is to understand how different ecological functions contribute to total system resilience, productive stability, and PRU-relevant evidence.</w:t>
      </w:r>
    </w:p>
    <w:p w14:paraId="6A0B807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19. Risk compression mechanism</w:t>
      </w:r>
    </w:p>
    <w:p w14:paraId="564D681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Risk compression is one of the central bridges between ecological intelligence and finance.</w:t>
      </w:r>
    </w:p>
    <w:p w14:paraId="72A03AE2"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A simplified risk function may be expressed as:</w:t>
      </w:r>
    </w:p>
    <w:p w14:paraId="07FFF73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 xml:space="preserve">R = </w:t>
      </w:r>
      <w:proofErr w:type="gramStart"/>
      <w:r w:rsidRPr="002E5EB1">
        <w:rPr>
          <w:rFonts w:ascii="Baskerville Old Face" w:hAnsi="Baskerville Old Face"/>
          <w:i/>
          <w:iCs/>
        </w:rPr>
        <w:t>f(</w:t>
      </w:r>
      <w:proofErr w:type="spellStart"/>
      <w:proofErr w:type="gramEnd"/>
      <w:r w:rsidRPr="002E5EB1">
        <w:rPr>
          <w:rFonts w:ascii="Cambria" w:hAnsi="Cambria" w:cs="Cambria"/>
          <w:i/>
          <w:iCs/>
        </w:rPr>
        <w:t>σ</w:t>
      </w:r>
      <w:r w:rsidRPr="002E5EB1">
        <w:rPr>
          <w:rFonts w:ascii="Baskerville Old Face" w:hAnsi="Baskerville Old Face"/>
          <w:i/>
          <w:iCs/>
        </w:rPr>
        <w:t>_Y</w:t>
      </w:r>
      <w:proofErr w:type="spellEnd"/>
      <w:r w:rsidRPr="002E5EB1">
        <w:rPr>
          <w:rFonts w:ascii="Baskerville Old Face" w:hAnsi="Baskerville Old Face"/>
          <w:i/>
          <w:iCs/>
        </w:rPr>
        <w:t xml:space="preserve">, </w:t>
      </w:r>
      <w:proofErr w:type="spellStart"/>
      <w:r w:rsidRPr="002E5EB1">
        <w:rPr>
          <w:rFonts w:ascii="Baskerville Old Face" w:hAnsi="Baskerville Old Face"/>
          <w:i/>
          <w:iCs/>
        </w:rPr>
        <w:t>D_inputs</w:t>
      </w:r>
      <w:proofErr w:type="spellEnd"/>
      <w:r w:rsidRPr="002E5EB1">
        <w:rPr>
          <w:rFonts w:ascii="Baskerville Old Face" w:hAnsi="Baskerville Old Face"/>
          <w:i/>
          <w:iCs/>
        </w:rPr>
        <w:t xml:space="preserve">, </w:t>
      </w:r>
      <w:proofErr w:type="spellStart"/>
      <w:r w:rsidRPr="002E5EB1">
        <w:rPr>
          <w:rFonts w:ascii="Baskerville Old Face" w:hAnsi="Baskerville Old Face"/>
          <w:i/>
          <w:iCs/>
        </w:rPr>
        <w:t>S_stress</w:t>
      </w:r>
      <w:proofErr w:type="spellEnd"/>
      <w:r w:rsidRPr="002E5EB1">
        <w:rPr>
          <w:rFonts w:ascii="Baskerville Old Face" w:hAnsi="Baskerville Old Face"/>
          <w:i/>
          <w:iCs/>
        </w:rPr>
        <w:t>)</w:t>
      </w:r>
    </w:p>
    <w:p w14:paraId="01BB2630"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where:</w:t>
      </w:r>
    </w:p>
    <w:p w14:paraId="03B4BDEF" w14:textId="77777777" w:rsidR="009B5C78" w:rsidRPr="002E5EB1" w:rsidRDefault="009B5C78" w:rsidP="009B5C78">
      <w:pPr>
        <w:spacing w:line="360" w:lineRule="auto"/>
        <w:rPr>
          <w:rFonts w:ascii="Baskerville Old Face" w:hAnsi="Baskerville Old Face"/>
          <w:i/>
          <w:iCs/>
        </w:rPr>
      </w:pPr>
      <w:proofErr w:type="spellStart"/>
      <w:r w:rsidRPr="002E5EB1">
        <w:rPr>
          <w:rFonts w:ascii="Cambria" w:hAnsi="Cambria" w:cs="Cambria"/>
          <w:i/>
          <w:iCs/>
        </w:rPr>
        <w:t>σ</w:t>
      </w:r>
      <w:r w:rsidRPr="002E5EB1">
        <w:rPr>
          <w:rFonts w:ascii="Baskerville Old Face" w:hAnsi="Baskerville Old Face"/>
          <w:i/>
          <w:iCs/>
        </w:rPr>
        <w:t>_Y</w:t>
      </w:r>
      <w:proofErr w:type="spellEnd"/>
      <w:r w:rsidRPr="002E5EB1">
        <w:rPr>
          <w:rFonts w:ascii="Baskerville Old Face" w:hAnsi="Baskerville Old Face"/>
          <w:i/>
          <w:iCs/>
        </w:rPr>
        <w:t xml:space="preserve"> represents yield or output variance;</w:t>
      </w:r>
    </w:p>
    <w:p w14:paraId="47E719AC"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t>D_inputs</w:t>
      </w:r>
      <w:proofErr w:type="spellEnd"/>
      <w:r w:rsidRPr="002E5EB1">
        <w:rPr>
          <w:rFonts w:ascii="Baskerville Old Face" w:hAnsi="Baskerville Old Face"/>
          <w:i/>
          <w:iCs/>
        </w:rPr>
        <w:t xml:space="preserve"> represents dependency on external inputs;</w:t>
      </w:r>
    </w:p>
    <w:p w14:paraId="07D0AD86" w14:textId="77777777" w:rsidR="009B5C78" w:rsidRPr="002E5EB1" w:rsidRDefault="009B5C78" w:rsidP="009B5C78">
      <w:pPr>
        <w:spacing w:line="360" w:lineRule="auto"/>
        <w:rPr>
          <w:rFonts w:ascii="Baskerville Old Face" w:hAnsi="Baskerville Old Face"/>
          <w:i/>
          <w:iCs/>
        </w:rPr>
      </w:pPr>
      <w:proofErr w:type="spellStart"/>
      <w:r w:rsidRPr="002E5EB1">
        <w:rPr>
          <w:rFonts w:ascii="Baskerville Old Face" w:hAnsi="Baskerville Old Face"/>
          <w:i/>
          <w:iCs/>
        </w:rPr>
        <w:lastRenderedPageBreak/>
        <w:t>S_stress</w:t>
      </w:r>
      <w:proofErr w:type="spellEnd"/>
      <w:r w:rsidRPr="002E5EB1">
        <w:rPr>
          <w:rFonts w:ascii="Baskerville Old Face" w:hAnsi="Baskerville Old Face"/>
          <w:i/>
          <w:iCs/>
        </w:rPr>
        <w:t xml:space="preserve"> represents ecological sensitivity to drought, disease, heat, salinity, pest pressure, or disturbance.</w:t>
      </w:r>
    </w:p>
    <w:p w14:paraId="6B9DB44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A syntropic system may reduce risk through:</w:t>
      </w:r>
    </w:p>
    <w:p w14:paraId="1C194C3A"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soil buffering;</w:t>
      </w:r>
    </w:p>
    <w:p w14:paraId="118E177A"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water retention;</w:t>
      </w:r>
    </w:p>
    <w:p w14:paraId="132764F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fungal redistribution;</w:t>
      </w:r>
    </w:p>
    <w:p w14:paraId="6958E95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biochemical adaptation;</w:t>
      </w:r>
    </w:p>
    <w:p w14:paraId="12FC7C6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trophic diversity;</w:t>
      </w:r>
    </w:p>
    <w:p w14:paraId="7B3C83E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successional design;</w:t>
      </w:r>
    </w:p>
    <w:p w14:paraId="5B9D3FF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input independence;</w:t>
      </w:r>
    </w:p>
    <w:p w14:paraId="3AAC852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biomass cycling;</w:t>
      </w:r>
    </w:p>
    <w:p w14:paraId="077E1F5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microclimate stabilization.</w:t>
      </w:r>
    </w:p>
    <w:p w14:paraId="0C85EA9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Conceptually:</w:t>
      </w:r>
    </w:p>
    <w:p w14:paraId="0886228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 / ∂SRI &lt; 0</w:t>
      </w:r>
    </w:p>
    <w:p w14:paraId="1CE6CC2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 / ∂RPI &lt; 0</w:t>
      </w:r>
    </w:p>
    <w:p w14:paraId="5D323EA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 / ∂CESI &lt; 0</w:t>
      </w:r>
    </w:p>
    <w:p w14:paraId="6B9B0BC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does not mean risk disappears.</w:t>
      </w:r>
    </w:p>
    <w:p w14:paraId="36207D9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means that verified improvements in resilience, productivity quality, and cooperative surplus may reduce specific risk factors over time.</w:t>
      </w:r>
    </w:p>
    <w:p w14:paraId="177F7DC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is the underwriting logic beneath the PRU.</w:t>
      </w:r>
    </w:p>
    <w:p w14:paraId="1107EB7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20. Time-positive asset dynamics</w:t>
      </w:r>
    </w:p>
    <w:p w14:paraId="77E02CD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Under verified regenerative conditions, an OHE may become more valuable as it matures.</w:t>
      </w:r>
    </w:p>
    <w:p w14:paraId="6E24DEF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This can be expressed conceptually as:</w:t>
      </w:r>
    </w:p>
    <w:p w14:paraId="178A7FAD" w14:textId="77777777" w:rsidR="009B5C78" w:rsidRPr="00B479AE" w:rsidRDefault="009B5C78" w:rsidP="009B5C78">
      <w:pPr>
        <w:spacing w:line="360" w:lineRule="auto"/>
        <w:rPr>
          <w:rFonts w:ascii="Baskerville Old Face" w:hAnsi="Baskerville Old Face"/>
          <w:i/>
          <w:iCs/>
        </w:rPr>
      </w:pPr>
      <w:proofErr w:type="spellStart"/>
      <w:r w:rsidRPr="00B479AE">
        <w:rPr>
          <w:rFonts w:ascii="Baskerville Old Face" w:hAnsi="Baskerville Old Face"/>
          <w:i/>
          <w:iCs/>
        </w:rPr>
        <w:t>dV</w:t>
      </w:r>
      <w:proofErr w:type="spellEnd"/>
      <w:r w:rsidRPr="00B479AE">
        <w:rPr>
          <w:rFonts w:ascii="Baskerville Old Face" w:hAnsi="Baskerville Old Face"/>
          <w:i/>
          <w:iCs/>
        </w:rPr>
        <w:t xml:space="preserve"> / dt &gt; 0</w:t>
      </w:r>
    </w:p>
    <w:p w14:paraId="3750D08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under conditions where:</w:t>
      </w:r>
    </w:p>
    <w:p w14:paraId="325C021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soil function improves;</w:t>
      </w:r>
    </w:p>
    <w:p w14:paraId="0EC7FCC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water retention increases;</w:t>
      </w:r>
    </w:p>
    <w:p w14:paraId="293A07E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network connectivity strengthens;</w:t>
      </w:r>
    </w:p>
    <w:p w14:paraId="324E3B67"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biological cooperation intensifies;</w:t>
      </w:r>
    </w:p>
    <w:p w14:paraId="7E49BC6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yield variance decreases;</w:t>
      </w:r>
    </w:p>
    <w:p w14:paraId="6DCCA68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input dependency declines;</w:t>
      </w:r>
    </w:p>
    <w:p w14:paraId="5F1DB2C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MRV confidence improves;</w:t>
      </w:r>
    </w:p>
    <w:p w14:paraId="115F7FF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operational knowledge accumulates.</w:t>
      </w:r>
    </w:p>
    <w:p w14:paraId="17BDD9A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is not automatic appreciation.</w:t>
      </w:r>
    </w:p>
    <w:p w14:paraId="69531C0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is conditional time-positive value formation.</w:t>
      </w:r>
    </w:p>
    <w:p w14:paraId="346816C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If the system is poorly designed, poorly managed, exposed to unmanaged stress, or unable to generate verified improvement, the condition fails.</w:t>
      </w:r>
    </w:p>
    <w:p w14:paraId="183DE9D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boundary is essential.</w:t>
      </w:r>
    </w:p>
    <w:p w14:paraId="1A41B7E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Prometheus does not claim that time alone creates value.</w:t>
      </w:r>
    </w:p>
    <w:p w14:paraId="6637D82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claims that verified regenerative maturation may improve value quality over time.</w:t>
      </w:r>
    </w:p>
    <w:p w14:paraId="076B35F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21. Autopoietic regenerative intelligence layer</w:t>
      </w:r>
    </w:p>
    <w:p w14:paraId="3702259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Prometheus may evolve toward an autopoietic regenerative intelligence layer.</w:t>
      </w:r>
    </w:p>
    <w:p w14:paraId="6869CC8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layer integrates:</w:t>
      </w:r>
    </w:p>
    <w:p w14:paraId="3DD9393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biophysical systems;</w:t>
      </w:r>
    </w:p>
    <w:p w14:paraId="5175578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MRV data;</w:t>
      </w:r>
    </w:p>
    <w:p w14:paraId="1DAB169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operational records;</w:t>
      </w:r>
    </w:p>
    <w:p w14:paraId="478E0B6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AI-assisted interpretation;</w:t>
      </w:r>
    </w:p>
    <w:p w14:paraId="2F57330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structured reasoning;</w:t>
      </w:r>
    </w:p>
    <w:p w14:paraId="3F4D3C2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governance review;</w:t>
      </w:r>
    </w:p>
    <w:p w14:paraId="11098F3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PRU methodology;</w:t>
      </w:r>
    </w:p>
    <w:p w14:paraId="36C906A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capital allocation feedback.</w:t>
      </w:r>
    </w:p>
    <w:p w14:paraId="5911194C"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Its core function is:</w:t>
      </w:r>
    </w:p>
    <w:p w14:paraId="00045048"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 xml:space="preserve">uncertainty </w:t>
      </w:r>
      <w:r w:rsidRPr="002E5EB1">
        <w:rPr>
          <w:rFonts w:ascii="Times New Roman" w:hAnsi="Times New Roman" w:cs="Times New Roman"/>
          <w:i/>
          <w:iCs/>
        </w:rPr>
        <w:t>↓</w:t>
      </w:r>
      <w:r w:rsidRPr="002E5EB1">
        <w:rPr>
          <w:rFonts w:ascii="Baskerville Old Face" w:hAnsi="Baskerville Old Face"/>
          <w:i/>
          <w:iCs/>
        </w:rPr>
        <w:t xml:space="preserve"> </w:t>
      </w:r>
      <w:r w:rsidRPr="002E5EB1">
        <w:rPr>
          <w:rFonts w:ascii="Times New Roman" w:hAnsi="Times New Roman" w:cs="Times New Roman"/>
          <w:i/>
          <w:iCs/>
        </w:rPr>
        <w:t>→</w:t>
      </w:r>
      <w:r w:rsidRPr="002E5EB1">
        <w:rPr>
          <w:rFonts w:ascii="Baskerville Old Face" w:hAnsi="Baskerville Old Face"/>
          <w:i/>
          <w:iCs/>
        </w:rPr>
        <w:t xml:space="preserve"> predictability </w:t>
      </w:r>
      <w:r w:rsidRPr="002E5EB1">
        <w:rPr>
          <w:rFonts w:ascii="Times New Roman" w:hAnsi="Times New Roman" w:cs="Times New Roman"/>
          <w:i/>
          <w:iCs/>
        </w:rPr>
        <w:t>↑</w:t>
      </w:r>
      <w:r w:rsidRPr="002E5EB1">
        <w:rPr>
          <w:rFonts w:ascii="Baskerville Old Face" w:hAnsi="Baskerville Old Face"/>
          <w:i/>
          <w:iCs/>
        </w:rPr>
        <w:t xml:space="preserve"> </w:t>
      </w:r>
      <w:r w:rsidRPr="002E5EB1">
        <w:rPr>
          <w:rFonts w:ascii="Times New Roman" w:hAnsi="Times New Roman" w:cs="Times New Roman"/>
          <w:i/>
          <w:iCs/>
        </w:rPr>
        <w:t>→</w:t>
      </w:r>
      <w:r w:rsidRPr="002E5EB1">
        <w:rPr>
          <w:rFonts w:ascii="Baskerville Old Face" w:hAnsi="Baskerville Old Face"/>
          <w:i/>
          <w:iCs/>
        </w:rPr>
        <w:t xml:space="preserve"> risk </w:t>
      </w:r>
      <w:r w:rsidRPr="002E5EB1">
        <w:rPr>
          <w:rFonts w:ascii="Times New Roman" w:hAnsi="Times New Roman" w:cs="Times New Roman"/>
          <w:i/>
          <w:iCs/>
        </w:rPr>
        <w:t>↓</w:t>
      </w:r>
      <w:r w:rsidRPr="002E5EB1">
        <w:rPr>
          <w:rFonts w:ascii="Baskerville Old Face" w:hAnsi="Baskerville Old Face"/>
          <w:i/>
          <w:iCs/>
        </w:rPr>
        <w:t xml:space="preserve"> </w:t>
      </w:r>
      <w:r w:rsidRPr="002E5EB1">
        <w:rPr>
          <w:rFonts w:ascii="Times New Roman" w:hAnsi="Times New Roman" w:cs="Times New Roman"/>
          <w:i/>
          <w:iCs/>
        </w:rPr>
        <w:t>→</w:t>
      </w:r>
      <w:r w:rsidRPr="002E5EB1">
        <w:rPr>
          <w:rFonts w:ascii="Baskerville Old Face" w:hAnsi="Baskerville Old Face"/>
          <w:i/>
          <w:iCs/>
        </w:rPr>
        <w:t xml:space="preserve"> capital efficiency </w:t>
      </w:r>
      <w:r w:rsidRPr="002E5EB1">
        <w:rPr>
          <w:rFonts w:ascii="Times New Roman" w:hAnsi="Times New Roman" w:cs="Times New Roman"/>
          <w:i/>
          <w:iCs/>
        </w:rPr>
        <w:t>↑</w:t>
      </w:r>
    </w:p>
    <w:p w14:paraId="40887B3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The system loop may be represented as:</w:t>
      </w:r>
    </w:p>
    <w:p w14:paraId="4EEB3157"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 xml:space="preserve">Environment </w:t>
      </w:r>
      <w:r w:rsidRPr="002E5EB1">
        <w:rPr>
          <w:rFonts w:ascii="Times New Roman" w:hAnsi="Times New Roman" w:cs="Times New Roman"/>
          <w:i/>
          <w:iCs/>
        </w:rPr>
        <w:t>→</w:t>
      </w:r>
      <w:r w:rsidRPr="002E5EB1">
        <w:rPr>
          <w:rFonts w:ascii="Baskerville Old Face" w:hAnsi="Baskerville Old Face"/>
          <w:i/>
          <w:iCs/>
        </w:rPr>
        <w:t xml:space="preserve"> MRV </w:t>
      </w:r>
      <w:r w:rsidRPr="002E5EB1">
        <w:rPr>
          <w:rFonts w:ascii="Times New Roman" w:hAnsi="Times New Roman" w:cs="Times New Roman"/>
          <w:i/>
          <w:iCs/>
        </w:rPr>
        <w:t>→</w:t>
      </w:r>
      <w:r w:rsidRPr="002E5EB1">
        <w:rPr>
          <w:rFonts w:ascii="Baskerville Old Face" w:hAnsi="Baskerville Old Face"/>
          <w:i/>
          <w:iCs/>
        </w:rPr>
        <w:t xml:space="preserve"> AI-assisted interpretation </w:t>
      </w:r>
      <w:r w:rsidRPr="002E5EB1">
        <w:rPr>
          <w:rFonts w:ascii="Times New Roman" w:hAnsi="Times New Roman" w:cs="Times New Roman"/>
          <w:i/>
          <w:iCs/>
        </w:rPr>
        <w:t>→</w:t>
      </w:r>
      <w:r w:rsidRPr="002E5EB1">
        <w:rPr>
          <w:rFonts w:ascii="Baskerville Old Face" w:hAnsi="Baskerville Old Face"/>
          <w:i/>
          <w:iCs/>
        </w:rPr>
        <w:t xml:space="preserve"> structured reasoning </w:t>
      </w:r>
      <w:r w:rsidRPr="002E5EB1">
        <w:rPr>
          <w:rFonts w:ascii="Times New Roman" w:hAnsi="Times New Roman" w:cs="Times New Roman"/>
          <w:i/>
          <w:iCs/>
        </w:rPr>
        <w:t>→</w:t>
      </w:r>
      <w:r w:rsidRPr="002E5EB1">
        <w:rPr>
          <w:rFonts w:ascii="Baskerville Old Face" w:hAnsi="Baskerville Old Face"/>
          <w:i/>
          <w:iCs/>
        </w:rPr>
        <w:t xml:space="preserve"> evaluation </w:t>
      </w:r>
      <w:r w:rsidRPr="002E5EB1">
        <w:rPr>
          <w:rFonts w:ascii="Times New Roman" w:hAnsi="Times New Roman" w:cs="Times New Roman"/>
          <w:i/>
          <w:iCs/>
        </w:rPr>
        <w:t>→</w:t>
      </w:r>
      <w:r w:rsidRPr="002E5EB1">
        <w:rPr>
          <w:rFonts w:ascii="Baskerville Old Face" w:hAnsi="Baskerville Old Face"/>
          <w:i/>
          <w:iCs/>
        </w:rPr>
        <w:t xml:space="preserve"> decision </w:t>
      </w:r>
      <w:r w:rsidRPr="002E5EB1">
        <w:rPr>
          <w:rFonts w:ascii="Times New Roman" w:hAnsi="Times New Roman" w:cs="Times New Roman"/>
          <w:i/>
          <w:iCs/>
        </w:rPr>
        <w:t>→</w:t>
      </w:r>
      <w:r w:rsidRPr="002E5EB1">
        <w:rPr>
          <w:rFonts w:ascii="Baskerville Old Face" w:hAnsi="Baskerville Old Face"/>
          <w:i/>
          <w:iCs/>
        </w:rPr>
        <w:t xml:space="preserve"> action </w:t>
      </w:r>
      <w:r w:rsidRPr="002E5EB1">
        <w:rPr>
          <w:rFonts w:ascii="Times New Roman" w:hAnsi="Times New Roman" w:cs="Times New Roman"/>
          <w:i/>
          <w:iCs/>
        </w:rPr>
        <w:t>→</w:t>
      </w:r>
      <w:r w:rsidRPr="002E5EB1">
        <w:rPr>
          <w:rFonts w:ascii="Baskerville Old Face" w:hAnsi="Baskerville Old Face"/>
          <w:i/>
          <w:iCs/>
        </w:rPr>
        <w:t xml:space="preserve"> environment</w:t>
      </w:r>
    </w:p>
    <w:p w14:paraId="2FD0A7D4"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Each cycle:</w:t>
      </w:r>
    </w:p>
    <w:p w14:paraId="72C345F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updates the system state;</w:t>
      </w:r>
    </w:p>
    <w:p w14:paraId="485FAEF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detects anomalies;</w:t>
      </w:r>
    </w:p>
    <w:p w14:paraId="19C7B6A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improves intervention quality;</w:t>
      </w:r>
    </w:p>
    <w:p w14:paraId="1DB73A1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reduces informational entropy;</w:t>
      </w:r>
    </w:p>
    <w:p w14:paraId="193BCC1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supports better governance and operational decisions;</w:t>
      </w:r>
    </w:p>
    <w:p w14:paraId="2611320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generates new evidence.</w:t>
      </w:r>
    </w:p>
    <w:p w14:paraId="7CB8D55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AI in this architecture is not sovereign.</w:t>
      </w:r>
    </w:p>
    <w:p w14:paraId="59DD372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does not independently authorize ecological action, PRU value, token issuance, or investment decisions.</w:t>
      </w:r>
    </w:p>
    <w:p w14:paraId="169AD22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It assists interpretation.</w:t>
      </w:r>
    </w:p>
    <w:p w14:paraId="4C7BFD7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Execution remains governed by evidence, methodology, governance, and human or institutional authorization.</w:t>
      </w:r>
    </w:p>
    <w:p w14:paraId="4BB801B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Prometheus systems are not deployed as autonomous systems.</w:t>
      </w:r>
    </w:p>
    <w:p w14:paraId="6D26C5D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They become more adaptive through data accumulation, ecological feedback, and iterative learning.</w:t>
      </w:r>
    </w:p>
    <w:p w14:paraId="038176D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22. Tokenization boundary</w:t>
      </w:r>
    </w:p>
    <w:p w14:paraId="18B901EE"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The old model correctly recognized that ecological performance may eventually connect to tokenized representation.</w:t>
      </w:r>
    </w:p>
    <w:p w14:paraId="0C8BC98D"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However, this must be stated with strict legal and institutional discipline.</w:t>
      </w:r>
    </w:p>
    <w:p w14:paraId="69BFE1A3"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The correct sequence is:</w:t>
      </w:r>
    </w:p>
    <w:p w14:paraId="01402BFF" w14:textId="6CE64D3D"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 xml:space="preserve">ecological process </w:t>
      </w:r>
      <w:r w:rsidRPr="002E5EB1">
        <w:rPr>
          <w:rFonts w:ascii="Times New Roman" w:hAnsi="Times New Roman" w:cs="Times New Roman"/>
          <w:i/>
          <w:iCs/>
        </w:rPr>
        <w:t>→</w:t>
      </w:r>
      <w:r w:rsidRPr="002E5EB1">
        <w:rPr>
          <w:rFonts w:ascii="Baskerville Old Face" w:hAnsi="Baskerville Old Face"/>
          <w:i/>
          <w:iCs/>
        </w:rPr>
        <w:t xml:space="preserve"> MRV </w:t>
      </w:r>
      <w:r w:rsidRPr="002E5EB1">
        <w:rPr>
          <w:rFonts w:ascii="Times New Roman" w:hAnsi="Times New Roman" w:cs="Times New Roman"/>
          <w:i/>
          <w:iCs/>
        </w:rPr>
        <w:t>→</w:t>
      </w:r>
      <w:r w:rsidRPr="002E5EB1">
        <w:rPr>
          <w:rFonts w:ascii="Baskerville Old Face" w:hAnsi="Baskerville Old Face"/>
          <w:i/>
          <w:iCs/>
        </w:rPr>
        <w:t xml:space="preserve"> verified indicator </w:t>
      </w:r>
      <w:r w:rsidRPr="002E5EB1">
        <w:rPr>
          <w:rFonts w:ascii="Times New Roman" w:hAnsi="Times New Roman" w:cs="Times New Roman"/>
          <w:i/>
          <w:iCs/>
        </w:rPr>
        <w:t>→</w:t>
      </w:r>
      <w:r w:rsidRPr="002E5EB1">
        <w:rPr>
          <w:rFonts w:ascii="Baskerville Old Face" w:hAnsi="Baskerville Old Face"/>
          <w:i/>
          <w:iCs/>
        </w:rPr>
        <w:t xml:space="preserve"> PRU </w:t>
      </w:r>
      <w:r w:rsidRPr="002E5EB1">
        <w:rPr>
          <w:rFonts w:ascii="Times New Roman" w:hAnsi="Times New Roman" w:cs="Times New Roman"/>
          <w:i/>
          <w:iCs/>
        </w:rPr>
        <w:t>→</w:t>
      </w:r>
      <w:r w:rsidRPr="002E5EB1">
        <w:rPr>
          <w:rFonts w:ascii="Baskerville Old Face" w:hAnsi="Baskerville Old Face"/>
          <w:i/>
          <w:iCs/>
        </w:rPr>
        <w:t xml:space="preserve"> </w:t>
      </w:r>
      <w:r w:rsidR="00AD1EA5" w:rsidRPr="002E5EB1">
        <w:rPr>
          <w:rFonts w:ascii="Baskerville Old Face" w:hAnsi="Baskerville Old Face"/>
          <w:i/>
          <w:iCs/>
        </w:rPr>
        <w:t>PRU maturity classification</w:t>
      </w:r>
      <w:r w:rsidRPr="002E5EB1">
        <w:rPr>
          <w:rFonts w:ascii="Baskerville Old Face" w:hAnsi="Baskerville Old Face"/>
          <w:i/>
          <w:iCs/>
        </w:rPr>
        <w:t xml:space="preserve"> </w:t>
      </w:r>
      <w:r w:rsidRPr="002E5EB1">
        <w:rPr>
          <w:rFonts w:ascii="Times New Roman" w:hAnsi="Times New Roman" w:cs="Times New Roman"/>
          <w:i/>
          <w:iCs/>
        </w:rPr>
        <w:t>→</w:t>
      </w:r>
      <w:r w:rsidRPr="002E5EB1">
        <w:rPr>
          <w:rFonts w:ascii="Baskerville Old Face" w:hAnsi="Baskerville Old Face"/>
          <w:i/>
          <w:iCs/>
        </w:rPr>
        <w:t xml:space="preserve"> RAP </w:t>
      </w:r>
      <w:r w:rsidRPr="002E5EB1">
        <w:rPr>
          <w:rFonts w:ascii="Times New Roman" w:hAnsi="Times New Roman" w:cs="Times New Roman"/>
          <w:i/>
          <w:iCs/>
        </w:rPr>
        <w:t>→</w:t>
      </w:r>
      <w:r w:rsidRPr="002E5EB1">
        <w:rPr>
          <w:rFonts w:ascii="Baskerville Old Face" w:hAnsi="Baskerville Old Face"/>
          <w:i/>
          <w:iCs/>
        </w:rPr>
        <w:t xml:space="preserve"> legal wrapper </w:t>
      </w:r>
      <w:r w:rsidRPr="002E5EB1">
        <w:rPr>
          <w:rFonts w:ascii="Times New Roman" w:hAnsi="Times New Roman" w:cs="Times New Roman"/>
          <w:i/>
          <w:iCs/>
        </w:rPr>
        <w:t>→</w:t>
      </w:r>
      <w:r w:rsidRPr="002E5EB1">
        <w:rPr>
          <w:rFonts w:ascii="Baskerville Old Face" w:hAnsi="Baskerville Old Face"/>
          <w:i/>
          <w:iCs/>
        </w:rPr>
        <w:t xml:space="preserve"> compliant instrument </w:t>
      </w:r>
      <w:r w:rsidRPr="002E5EB1">
        <w:rPr>
          <w:rFonts w:ascii="Times New Roman" w:hAnsi="Times New Roman" w:cs="Times New Roman"/>
          <w:i/>
          <w:iCs/>
        </w:rPr>
        <w:t>→</w:t>
      </w:r>
      <w:r w:rsidRPr="002E5EB1">
        <w:rPr>
          <w:rFonts w:ascii="Baskerville Old Face" w:hAnsi="Baskerville Old Face"/>
          <w:i/>
          <w:iCs/>
        </w:rPr>
        <w:t xml:space="preserve"> possible tokenized representation</w:t>
      </w:r>
    </w:p>
    <w:p w14:paraId="15E479D4"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Tokenization does not create ecological value.</w:t>
      </w:r>
    </w:p>
    <w:p w14:paraId="7922899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may represent verified and legally structured value.</w:t>
      </w:r>
    </w:p>
    <w:p w14:paraId="3D05477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TRBK should therefore not be described as automatic fractional ownership of PRUs or land.</w:t>
      </w:r>
    </w:p>
    <w:p w14:paraId="0E92E41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Its correct role is governance, coordination, access, contribution, or participation, subject to defined legal boundaries.</w:t>
      </w:r>
    </w:p>
    <w:p w14:paraId="3444191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Any future tokenized unit, note, security, fund interest, revenue right, or transferable claim must require jurisdiction-specific legal structuring, disclosure, compliance review, and investor protection.</w:t>
      </w:r>
    </w:p>
    <w:p w14:paraId="338495E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boundary protects Prometheus from premature financialization.</w:t>
      </w:r>
    </w:p>
    <w:p w14:paraId="0077780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23. Minimal Tier 1 MRV set</w:t>
      </w:r>
    </w:p>
    <w:p w14:paraId="0243F4A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For first deployment, Prometheus should avoid over-engineering.</w:t>
      </w:r>
    </w:p>
    <w:p w14:paraId="040DF4F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minimum credible MRV set may include:</w:t>
      </w:r>
    </w:p>
    <w:p w14:paraId="267BEA48"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soil moisture;</w:t>
      </w:r>
    </w:p>
    <w:p w14:paraId="7AD793F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infiltration rate;</w:t>
      </w:r>
    </w:p>
    <w:p w14:paraId="3B55046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soil organic carbon;</w:t>
      </w:r>
    </w:p>
    <w:p w14:paraId="47961BB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organic matter;</w:t>
      </w:r>
    </w:p>
    <w:p w14:paraId="64B1F57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microbial biomass or equivalent biological proxy;</w:t>
      </w:r>
    </w:p>
    <w:p w14:paraId="1A23136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earthworm count or biomass;</w:t>
      </w:r>
    </w:p>
    <w:p w14:paraId="4EAD08B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aggregate stability;</w:t>
      </w:r>
    </w:p>
    <w:p w14:paraId="5F34900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edible yield;</w:t>
      </w:r>
    </w:p>
    <w:p w14:paraId="7E8628D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yield variance;</w:t>
      </w:r>
    </w:p>
    <w:p w14:paraId="7BD8D6A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mortality or replacement rate;</w:t>
      </w:r>
    </w:p>
    <w:p w14:paraId="48B0BBA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input dependency;</w:t>
      </w:r>
    </w:p>
    <w:p w14:paraId="3F1D06C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photographic and operational records.</w:t>
      </w:r>
    </w:p>
    <w:p w14:paraId="579926A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is sufficient to test the strongest early claims:</w:t>
      </w:r>
    </w:p>
    <w:p w14:paraId="296DB1C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water function;</w:t>
      </w:r>
    </w:p>
    <w:p w14:paraId="7049436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soil metabolic gain;</w:t>
      </w:r>
    </w:p>
    <w:p w14:paraId="45ACB8A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productive stability;</w:t>
      </w:r>
    </w:p>
    <w:p w14:paraId="0E3431C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mortality reduction;</w:t>
      </w:r>
    </w:p>
    <w:p w14:paraId="0366CD6E"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input dependency reduction;</w:t>
      </w:r>
    </w:p>
    <w:p w14:paraId="19E3AD8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basic resilience improvement.</w:t>
      </w:r>
    </w:p>
    <w:p w14:paraId="4E85199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Mycorrhizal assays, secondary metabolite panels, VOC snapshots, and advanced biochemical indicators can be added progressively as Tier 2 or research-enhanced layers.</w:t>
      </w:r>
    </w:p>
    <w:p w14:paraId="63329D6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lastRenderedPageBreak/>
        <w:t>The system should not block deployment because the most advanced science is not yet continuously measurable.</w:t>
      </w:r>
    </w:p>
    <w:p w14:paraId="27CC5394"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should begin with a rigorous minimum set and mature evidence over time.</w:t>
      </w:r>
    </w:p>
    <w:p w14:paraId="64AF173A"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b/>
          <w:bCs/>
          <w:i/>
          <w:iCs/>
        </w:rPr>
        <w:t>24. Strategic synthesis</w:t>
      </w:r>
    </w:p>
    <w:p w14:paraId="2C1AEA5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scientific, operational, and financial implication is decisive.</w:t>
      </w:r>
    </w:p>
    <w:p w14:paraId="1F9C85B0"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syntropic OHE is not merely a productive garden, orchard, food forest, or ecological design.</w:t>
      </w:r>
    </w:p>
    <w:p w14:paraId="52C17D5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is a measurable cooperative production system.</w:t>
      </w:r>
    </w:p>
    <w:p w14:paraId="63F33D1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Its value does not arise only from output.</w:t>
      </w:r>
    </w:p>
    <w:p w14:paraId="057C63B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arises from increasing ecological coherence.</w:t>
      </w:r>
    </w:p>
    <w:p w14:paraId="10095532"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Soil biology builds structure.</w:t>
      </w:r>
    </w:p>
    <w:p w14:paraId="5116151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Mycorrhiza redistributes resources.</w:t>
      </w:r>
    </w:p>
    <w:p w14:paraId="5734CAFB"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Biochemistry coordinates responses.</w:t>
      </w:r>
    </w:p>
    <w:p w14:paraId="1F5BEA0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Water retention stabilizes productivity.</w:t>
      </w:r>
    </w:p>
    <w:p w14:paraId="242E0F7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Biodiversity distributes risk.</w:t>
      </w:r>
    </w:p>
    <w:p w14:paraId="161545C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Succession increases maturity.</w:t>
      </w:r>
    </w:p>
    <w:p w14:paraId="492246BF"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MRV makes these processes observable.</w:t>
      </w:r>
    </w:p>
    <w:p w14:paraId="4300DF5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Verification makes them credible.</w:t>
      </w:r>
    </w:p>
    <w:p w14:paraId="13859B53"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PRU makes verified performance financially interpretable.</w:t>
      </w:r>
    </w:p>
    <w:p w14:paraId="07A47CE6"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 xml:space="preserve">RAP makes verified </w:t>
      </w:r>
      <w:proofErr w:type="gramStart"/>
      <w:r w:rsidRPr="00B479AE">
        <w:rPr>
          <w:rFonts w:ascii="Baskerville Old Face" w:hAnsi="Baskerville Old Face"/>
          <w:i/>
          <w:iCs/>
        </w:rPr>
        <w:t>units</w:t>
      </w:r>
      <w:proofErr w:type="gramEnd"/>
      <w:r w:rsidRPr="00B479AE">
        <w:rPr>
          <w:rFonts w:ascii="Baskerville Old Face" w:hAnsi="Baskerville Old Face"/>
          <w:i/>
          <w:iCs/>
        </w:rPr>
        <w:t xml:space="preserve"> portfolio-grade.</w:t>
      </w:r>
    </w:p>
    <w:p w14:paraId="4C582A71"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Capital can then participate without detaching value from life.</w:t>
      </w:r>
    </w:p>
    <w:p w14:paraId="6D61154D"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The final thesis is therefore:</w:t>
      </w:r>
    </w:p>
    <w:p w14:paraId="407B2C86"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t>Value is not extracted from the system.</w:t>
      </w:r>
    </w:p>
    <w:p w14:paraId="5067ECC4" w14:textId="77777777" w:rsidR="009B5C78" w:rsidRPr="002E5EB1" w:rsidRDefault="009B5C78" w:rsidP="009B5C78">
      <w:pPr>
        <w:spacing w:line="360" w:lineRule="auto"/>
        <w:rPr>
          <w:rFonts w:ascii="Baskerville Old Face" w:hAnsi="Baskerville Old Face"/>
          <w:i/>
          <w:iCs/>
        </w:rPr>
      </w:pPr>
      <w:r w:rsidRPr="002E5EB1">
        <w:rPr>
          <w:rFonts w:ascii="Baskerville Old Face" w:hAnsi="Baskerville Old Face"/>
          <w:i/>
          <w:iCs/>
        </w:rPr>
        <w:lastRenderedPageBreak/>
        <w:t>Value emerges from increasing ecological coherence.</w:t>
      </w:r>
    </w:p>
    <w:p w14:paraId="3DF2FE1C"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Prometheus does not monetize biological complexity by naming it.</w:t>
      </w:r>
    </w:p>
    <w:p w14:paraId="2E0B4905"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It creates financial relevance only when biological complexity produces measurable, verified, confidence-scored, and admissible improvements in regenerative performance.</w:t>
      </w:r>
    </w:p>
    <w:p w14:paraId="01FD1E49" w14:textId="77777777" w:rsidR="009B5C78" w:rsidRPr="00B479AE" w:rsidRDefault="009B5C78" w:rsidP="009B5C78">
      <w:pPr>
        <w:spacing w:line="360" w:lineRule="auto"/>
        <w:rPr>
          <w:rFonts w:ascii="Baskerville Old Face" w:hAnsi="Baskerville Old Face"/>
          <w:i/>
          <w:iCs/>
        </w:rPr>
      </w:pPr>
      <w:r w:rsidRPr="00B479AE">
        <w:rPr>
          <w:rFonts w:ascii="Baskerville Old Face" w:hAnsi="Baskerville Old Face"/>
          <w:i/>
          <w:iCs/>
        </w:rPr>
        <w:t>This is the bridge from syntropic ecology to regenerative infrastructure.</w:t>
      </w:r>
    </w:p>
    <w:p w14:paraId="79FC7B3E" w14:textId="56E70A44"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b/>
          <w:bCs/>
          <w:i/>
          <w:iCs/>
        </w:rPr>
        <w:t>From Biophysical Intelligence to System Architecture</w:t>
      </w:r>
    </w:p>
    <w:p w14:paraId="6610DFCC"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The preceding sections define the biophysical foundation of Prometheus.</w:t>
      </w:r>
    </w:p>
    <w:p w14:paraId="30669311"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Regeneration begins in living systems: soil, water, biodiversity, biomass, mycorrhizal relationships, biochemical communication, syntropic succession, and human stewardship.</w:t>
      </w:r>
    </w:p>
    <w:p w14:paraId="6A24B39D"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However, ecological intelligence does not become infrastructure merely because it exists.</w:t>
      </w:r>
    </w:p>
    <w:p w14:paraId="1D0B6FF8"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It becomes infrastructure when it can be observed, measured, verified, interpreted, governed, and translated without losing its connection to the living system that generated it.</w:t>
      </w:r>
    </w:p>
    <w:p w14:paraId="5AD34014"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This is the transformation role of Prometheus.</w:t>
      </w:r>
    </w:p>
    <w:p w14:paraId="754E27F0"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Prometheus does not create biological life ex nihilo.</w:t>
      </w:r>
    </w:p>
    <w:p w14:paraId="525F18E0"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It does not claim ownership over the intelligence of living systems.</w:t>
      </w:r>
    </w:p>
    <w:p w14:paraId="254A186D"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It creates the operational, evidentiary, governance, and financial conditions through which regenerative processes can become executable, reviewable, auditable, comparable, and institutionally financeable.</w:t>
      </w:r>
    </w:p>
    <w:p w14:paraId="2697D947"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These conditions include:</w:t>
      </w:r>
    </w:p>
    <w:p w14:paraId="2A773DCE"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 operational discipline, through bounded deployment logic and pilot-correct execution;</w:t>
      </w:r>
    </w:p>
    <w:p w14:paraId="3B8AC67A"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 verification discipline, through MRV integrity, reviewable evidence, provenance, and confidence scoring;</w:t>
      </w:r>
    </w:p>
    <w:p w14:paraId="55ED0A77"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 governance discipline, through coherent allocation of authority, stewardship, safeguards, and methodological review;</w:t>
      </w:r>
    </w:p>
    <w:p w14:paraId="01B75066"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lastRenderedPageBreak/>
        <w:t xml:space="preserve">• technological discipline, through agent-centric infrastructure,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accounting, data lineage, and interoperability;</w:t>
      </w:r>
    </w:p>
    <w:p w14:paraId="7094125F"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 financial discipline, through PRU-linked admissibility, risk interpretation, underwriting readability, and capital-routing logic.</w:t>
      </w:r>
    </w:p>
    <w:p w14:paraId="7B91C4FD"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In this sense, Prometheus is not external to regeneration as a passive observer.</w:t>
      </w:r>
    </w:p>
    <w:p w14:paraId="223F2635"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It is the transformation architecture through which regeneration becomes legible to institutions without being extracted from its ecological source.</w:t>
      </w:r>
    </w:p>
    <w:p w14:paraId="6BA98250" w14:textId="77777777"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The next part defines this system architecture.</w:t>
      </w:r>
    </w:p>
    <w:p w14:paraId="60F926B4" w14:textId="2057D0C9" w:rsidR="003D074F" w:rsidRPr="00B479AE" w:rsidRDefault="003D074F" w:rsidP="003D074F">
      <w:pPr>
        <w:spacing w:line="360" w:lineRule="auto"/>
        <w:rPr>
          <w:rFonts w:ascii="Baskerville Old Face" w:hAnsi="Baskerville Old Face"/>
          <w:i/>
          <w:iCs/>
        </w:rPr>
      </w:pPr>
      <w:r w:rsidRPr="00B479AE">
        <w:rPr>
          <w:rFonts w:ascii="Baskerville Old Face" w:hAnsi="Baskerville Old Face"/>
          <w:i/>
          <w:iCs/>
        </w:rPr>
        <w:t xml:space="preserve">It explains how living-system intelligence, MRV, agent-centric verification,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semantics, </w:t>
      </w:r>
      <w:r w:rsidR="001C094B" w:rsidRPr="00B479AE">
        <w:rPr>
          <w:rFonts w:ascii="Baskerville Old Face" w:hAnsi="Baskerville Old Face"/>
          <w:i/>
          <w:iCs/>
        </w:rPr>
        <w:t>PRU value-analysis layer</w:t>
      </w:r>
      <w:r w:rsidRPr="00B479AE">
        <w:rPr>
          <w:rFonts w:ascii="Baskerville Old Face" w:hAnsi="Baskerville Old Face"/>
          <w:i/>
          <w:iCs/>
        </w:rPr>
        <w:t>, governance, and capital allocation become an integrated regenerative infrastructure.</w:t>
      </w:r>
    </w:p>
    <w:p w14:paraId="514C1CDB" w14:textId="77777777" w:rsidR="001C094B" w:rsidRPr="00B479AE" w:rsidRDefault="001C094B" w:rsidP="008D67A4">
      <w:pPr>
        <w:spacing w:line="360" w:lineRule="auto"/>
        <w:rPr>
          <w:rFonts w:ascii="Baskerville Old Face" w:hAnsi="Baskerville Old Face"/>
          <w:i/>
          <w:iCs/>
        </w:rPr>
      </w:pPr>
    </w:p>
    <w:p w14:paraId="30C190AB" w14:textId="1DCD0E2B" w:rsidR="008D67A4" w:rsidRPr="00B479AE" w:rsidRDefault="008D67A4" w:rsidP="002B4800">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IV</w:t>
      </w:r>
      <w:r w:rsidR="002B4800"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Prometheus System Architecture</w:t>
      </w:r>
    </w:p>
    <w:p w14:paraId="0CD7AB1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From regeneration to infrastructure</w:t>
      </w:r>
    </w:p>
    <w:p w14:paraId="48CB695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preceding parts of this White Paper established the civilizational context, the human dimension, and the biophysical foundation of Prometheus.</w:t>
      </w:r>
    </w:p>
    <w:p w14:paraId="3E94521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next step is architectural.</w:t>
      </w:r>
    </w:p>
    <w:p w14:paraId="5B1D49D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Regeneration becomes infrastructure when it can be coordinated, verified, governed, valued, financed, and scaled without losing its connection to the living systems that generate it.</w:t>
      </w:r>
    </w:p>
    <w:p w14:paraId="0DA78E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is designed as a multi-layer regenerative infrastructure system.</w:t>
      </w:r>
    </w:p>
    <w:p w14:paraId="7012E84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connects:</w:t>
      </w:r>
    </w:p>
    <w:p w14:paraId="206661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living systems;</w:t>
      </w:r>
    </w:p>
    <w:p w14:paraId="12BC5C5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human stewardship;</w:t>
      </w:r>
    </w:p>
    <w:p w14:paraId="5F2F634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distributed verification;</w:t>
      </w:r>
    </w:p>
    <w:p w14:paraId="380157D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agent-centric digital infrastructure;</w:t>
      </w:r>
    </w:p>
    <w:p w14:paraId="2692B46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accounting;</w:t>
      </w:r>
    </w:p>
    <w:p w14:paraId="651FDE8F" w14:textId="3AB492AA"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w:t>
      </w:r>
      <w:r w:rsidR="00E02F9C" w:rsidRPr="00B479AE">
        <w:rPr>
          <w:rFonts w:ascii="Baskerville Old Face" w:hAnsi="Baskerville Old Face"/>
          <w:i/>
          <w:iCs/>
        </w:rPr>
        <w:t xml:space="preserve"> as </w:t>
      </w:r>
      <w:r w:rsidR="003A1979" w:rsidRPr="00B479AE">
        <w:rPr>
          <w:rFonts w:ascii="Baskerville Old Face" w:hAnsi="Baskerville Old Face"/>
          <w:i/>
          <w:iCs/>
        </w:rPr>
        <w:t>value-analysis interface</w:t>
      </w:r>
      <w:r w:rsidRPr="00B479AE">
        <w:rPr>
          <w:rFonts w:ascii="Baskerville Old Face" w:hAnsi="Baskerville Old Face"/>
          <w:i/>
          <w:iCs/>
        </w:rPr>
        <w:t>;</w:t>
      </w:r>
    </w:p>
    <w:p w14:paraId="12A9F98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Regenerative Asset Pool construction;</w:t>
      </w:r>
    </w:p>
    <w:p w14:paraId="1DD77BC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coordination;</w:t>
      </w:r>
    </w:p>
    <w:p w14:paraId="6EB3534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capital formation;</w:t>
      </w:r>
    </w:p>
    <w:p w14:paraId="708FE06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and future compliant digital or institutional representations.</w:t>
      </w:r>
    </w:p>
    <w:p w14:paraId="5A9FCB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purpose of this architecture is not to centralize control over regeneration.</w:t>
      </w:r>
    </w:p>
    <w:p w14:paraId="3F53594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Its purpose is to create the conditions through which regenerative processes can become observable, reviewable, comparable, financeable, and scalable while remaining accountable to their ecological source.</w:t>
      </w:r>
    </w:p>
    <w:p w14:paraId="7B9482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functions as a transformation architecture.</w:t>
      </w:r>
    </w:p>
    <w:p w14:paraId="0B71CC0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transforms ecological processes into evidence.</w:t>
      </w:r>
    </w:p>
    <w:p w14:paraId="27ABD65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transforms evidence into verified indicators.</w:t>
      </w:r>
    </w:p>
    <w:p w14:paraId="064BC1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transforms verified indicators into PRU logic.</w:t>
      </w:r>
    </w:p>
    <w:p w14:paraId="233B939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transforms PRUs into portfolio structures.</w:t>
      </w:r>
    </w:p>
    <w:p w14:paraId="3F9A6B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transforms portfolio structures into capital-ready regenerative infrastructure.</w:t>
      </w:r>
    </w:p>
    <w:p w14:paraId="22202D4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Architectural principle</w:t>
      </w:r>
    </w:p>
    <w:p w14:paraId="4774AC5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Prometheus architecture is governed by one core principle:</w:t>
      </w:r>
    </w:p>
    <w:p w14:paraId="6204795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layer must preserve its function without collapsing into another layer.</w:t>
      </w:r>
    </w:p>
    <w:p w14:paraId="60B0FD5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principle is essential for institutional credibility.</w:t>
      </w:r>
    </w:p>
    <w:p w14:paraId="00F3C58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Ecological performance is not the same as financial value.</w:t>
      </w:r>
    </w:p>
    <w:p w14:paraId="22EE8E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MRV is not the same as investment entitlement.</w:t>
      </w:r>
    </w:p>
    <w:p w14:paraId="34F02E7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PRU is not the same as token ownership.</w:t>
      </w:r>
    </w:p>
    <w:p w14:paraId="7D3282A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TRBK is not the same as land ownership.</w:t>
      </w:r>
    </w:p>
    <w:p w14:paraId="15CBEBF9"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is not the same as investor exposure.</w:t>
      </w:r>
    </w:p>
    <w:p w14:paraId="4B2865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participation is not the same as cash-flow rights.</w:t>
      </w:r>
    </w:p>
    <w:p w14:paraId="67C9F8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allocation is not the same as ecological validity.</w:t>
      </w:r>
    </w:p>
    <w:p w14:paraId="4A3FBD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layer must remain distinct, traceable, and interoperable.</w:t>
      </w:r>
    </w:p>
    <w:p w14:paraId="0A61892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prevents conceptual inflation.</w:t>
      </w:r>
    </w:p>
    <w:p w14:paraId="5AD7D7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also allows the system to be audited, regulated, improved, and scaled with discipline.</w:t>
      </w:r>
    </w:p>
    <w:p w14:paraId="256DF31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becomes powerful not by merging everything into one token or one metric, but by preserving the right relationship among living systems, evidence, governance, and capital.</w:t>
      </w:r>
    </w:p>
    <w:p w14:paraId="061366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Layered architecture</w:t>
      </w:r>
    </w:p>
    <w:p w14:paraId="315D03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operates through a layered architecture.</w:t>
      </w:r>
    </w:p>
    <w:p w14:paraId="585829D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layer performs a specific function within the system.</w:t>
      </w:r>
    </w:p>
    <w:p w14:paraId="494AB38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Biophysical layer</w:t>
      </w:r>
    </w:p>
    <w:p w14:paraId="51D68E1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biophysical layer is composed of living systems.</w:t>
      </w:r>
    </w:p>
    <w:p w14:paraId="2F1539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includes soil, water, plants, microorganisms, biodiversity, biomass, food production, landscape design, climate context, and human stewardship.</w:t>
      </w:r>
    </w:p>
    <w:p w14:paraId="5C52ACB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where regeneration actually occurs.</w:t>
      </w:r>
    </w:p>
    <w:p w14:paraId="6AB7CC0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One Human Ecosystem functions as the minimum deployable unit of this layer.</w:t>
      </w:r>
    </w:p>
    <w:p w14:paraId="281B1E8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generates ecological performance, operational evidence, and regenerative potential.</w:t>
      </w:r>
    </w:p>
    <w:p w14:paraId="60D8736F" w14:textId="77777777" w:rsidR="002E5EB1" w:rsidRDefault="002E5EB1" w:rsidP="008D67A4">
      <w:pPr>
        <w:spacing w:line="360" w:lineRule="auto"/>
        <w:rPr>
          <w:rFonts w:ascii="Baskerville Old Face" w:hAnsi="Baskerville Old Face"/>
          <w:b/>
          <w:bCs/>
          <w:i/>
          <w:iCs/>
        </w:rPr>
      </w:pPr>
    </w:p>
    <w:p w14:paraId="33700AA6" w14:textId="513E5F3C"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lastRenderedPageBreak/>
        <w:t>Observation and MRV layer</w:t>
      </w:r>
    </w:p>
    <w:p w14:paraId="6C554CB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observation and MRV layer captures what happens in the biophysical layer.</w:t>
      </w:r>
    </w:p>
    <w:p w14:paraId="1F6CA3C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integrates field sensors, laboratory analysis, satellite imagery, drone or mobile observation, ecological surveys, operational logs, and human or third-party audits.</w:t>
      </w:r>
    </w:p>
    <w:p w14:paraId="25D3017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layer transforms ecological reality into evidence.</w:t>
      </w:r>
    </w:p>
    <w:p w14:paraId="2AEB668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does not create value by itself.</w:t>
      </w:r>
    </w:p>
    <w:p w14:paraId="23CA1DE5" w14:textId="78CADB7B"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makes value observable.</w:t>
      </w:r>
      <w:r w:rsidR="00B7151C" w:rsidRPr="00B479AE">
        <w:rPr>
          <w:rFonts w:ascii="Baskerville Old Face" w:hAnsi="Baskerville Old Face"/>
          <w:i/>
          <w:iCs/>
        </w:rPr>
        <w:t xml:space="preserve"> </w:t>
      </w:r>
    </w:p>
    <w:p w14:paraId="1BE9988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Provenance and validation layer</w:t>
      </w:r>
    </w:p>
    <w:p w14:paraId="6B8D780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provenance and validation layer preserves data lineage, source identity, timestamping, method, calibration, confidence, and validation logic.</w:t>
      </w:r>
    </w:p>
    <w:p w14:paraId="2D43014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allows reviewers to understand how a metric came into existence.</w:t>
      </w:r>
    </w:p>
    <w:p w14:paraId="7E95057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layer is essential for trust.</w:t>
      </w:r>
    </w:p>
    <w:p w14:paraId="3600808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provenance, data remains fragile.</w:t>
      </w:r>
    </w:p>
    <w:p w14:paraId="4C5069A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 provenance, data becomes reviewable evidence.</w:t>
      </w:r>
    </w:p>
    <w:p w14:paraId="43F3047D"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b/>
          <w:bCs/>
          <w:i/>
          <w:iCs/>
        </w:rPr>
        <w:t>Valueflows</w:t>
      </w:r>
      <w:proofErr w:type="spellEnd"/>
      <w:r w:rsidRPr="00B479AE">
        <w:rPr>
          <w:rFonts w:ascii="Baskerville Old Face" w:hAnsi="Baskerville Old Face"/>
          <w:b/>
          <w:bCs/>
          <w:i/>
          <w:iCs/>
        </w:rPr>
        <w:t xml:space="preserve"> and accounting layer</w:t>
      </w:r>
    </w:p>
    <w:p w14:paraId="5D0005C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accounting layer structures the relationship among resources, events, agents, and transformations.</w:t>
      </w:r>
    </w:p>
    <w:p w14:paraId="64EB73D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 this layer:</w:t>
      </w:r>
    </w:p>
    <w:p w14:paraId="37C909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resources represent ecological or economic inputs and outputs;</w:t>
      </w:r>
    </w:p>
    <w:p w14:paraId="3671008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events represent actions, changes, measurements, or transformations;</w:t>
      </w:r>
    </w:p>
    <w:p w14:paraId="282DE8F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agents represent people, organizations, devices, nodes, stewards, validators, or institutions participating in the system.</w:t>
      </w:r>
    </w:p>
    <w:p w14:paraId="044F7F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This layer allows regenerative activity to be described as structured value flow rather than narrative claim.</w:t>
      </w:r>
    </w:p>
    <w:p w14:paraId="78DD686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makes it possible to track planting, pruning, biomass return, harvest, monitoring, verification, stewardship, production, exchange, and reinvestment as part of one coherent accounting architecture.</w:t>
      </w:r>
    </w:p>
    <w:p w14:paraId="240CFD5A" w14:textId="77777777" w:rsidR="00376E98" w:rsidRPr="00B479AE" w:rsidRDefault="00376E98" w:rsidP="00376E98">
      <w:pPr>
        <w:spacing w:line="360" w:lineRule="auto"/>
        <w:rPr>
          <w:rFonts w:ascii="Baskerville Old Face" w:hAnsi="Baskerville Old Face"/>
          <w:b/>
          <w:bCs/>
          <w:i/>
          <w:iCs/>
        </w:rPr>
      </w:pPr>
      <w:r w:rsidRPr="00B479AE">
        <w:rPr>
          <w:rFonts w:ascii="Baskerville Old Face" w:hAnsi="Baskerville Old Face"/>
          <w:b/>
          <w:bCs/>
          <w:i/>
          <w:iCs/>
        </w:rPr>
        <w:t>Computational Implementation Pathway</w:t>
      </w:r>
    </w:p>
    <w:p w14:paraId="216018CC"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The Prometheus scientific model becomes operational only when ecological reality can be translated into structured computational events.</w:t>
      </w:r>
    </w:p>
    <w:p w14:paraId="7EA41F4D" w14:textId="77777777" w:rsidR="00376E98" w:rsidRPr="002E5EB1" w:rsidRDefault="00376E98" w:rsidP="00376E98">
      <w:pPr>
        <w:spacing w:line="360" w:lineRule="auto"/>
        <w:rPr>
          <w:rFonts w:ascii="Baskerville Old Face" w:hAnsi="Baskerville Old Face"/>
          <w:i/>
          <w:iCs/>
        </w:rPr>
      </w:pPr>
      <w:r w:rsidRPr="00B479AE">
        <w:rPr>
          <w:rFonts w:ascii="Baskerville Old Face" w:hAnsi="Baskerville Old Face"/>
          <w:i/>
          <w:iCs/>
        </w:rPr>
        <w:t>The implementation pathway may be expressed as:</w:t>
      </w:r>
    </w:p>
    <w:p w14:paraId="7951BAF7" w14:textId="13E51182" w:rsidR="00376E98" w:rsidRPr="002E5EB1" w:rsidRDefault="00376E98" w:rsidP="00376E98">
      <w:pPr>
        <w:spacing w:line="360" w:lineRule="auto"/>
        <w:rPr>
          <w:rFonts w:ascii="Baskerville Old Face" w:hAnsi="Baskerville Old Face"/>
          <w:i/>
          <w:iCs/>
        </w:rPr>
      </w:pPr>
      <w:r w:rsidRPr="002E5EB1">
        <w:rPr>
          <w:rFonts w:ascii="Baskerville Old Face" w:hAnsi="Baskerville Old Face"/>
          <w:i/>
          <w:iCs/>
        </w:rPr>
        <w:t xml:space="preserve">Field data </w:t>
      </w:r>
      <w:r w:rsidRPr="002E5EB1">
        <w:rPr>
          <w:rFonts w:ascii="Times New Roman" w:hAnsi="Times New Roman" w:cs="Times New Roman"/>
          <w:i/>
          <w:iCs/>
        </w:rPr>
        <w:t>→</w:t>
      </w:r>
      <w:r w:rsidRPr="002E5EB1">
        <w:rPr>
          <w:rFonts w:ascii="Baskerville Old Face" w:hAnsi="Baskerville Old Face"/>
          <w:i/>
          <w:iCs/>
        </w:rPr>
        <w:t xml:space="preserve"> MRV </w:t>
      </w:r>
      <w:r w:rsidRPr="002E5EB1">
        <w:rPr>
          <w:rFonts w:ascii="Times New Roman" w:hAnsi="Times New Roman" w:cs="Times New Roman"/>
          <w:i/>
          <w:iCs/>
        </w:rPr>
        <w:t>→</w:t>
      </w:r>
      <w:r w:rsidRPr="002E5EB1">
        <w:rPr>
          <w:rFonts w:ascii="Baskerville Old Face" w:hAnsi="Baskerville Old Face"/>
          <w:i/>
          <w:iCs/>
        </w:rPr>
        <w:t xml:space="preserve"> parameter estimation </w:t>
      </w:r>
      <w:r w:rsidRPr="002E5EB1">
        <w:rPr>
          <w:rFonts w:ascii="Times New Roman" w:hAnsi="Times New Roman" w:cs="Times New Roman"/>
          <w:i/>
          <w:iCs/>
        </w:rPr>
        <w:t>→</w:t>
      </w:r>
      <w:r w:rsidRPr="002E5EB1">
        <w:rPr>
          <w:rFonts w:ascii="Baskerville Old Face" w:hAnsi="Baskerville Old Face"/>
          <w:i/>
          <w:iCs/>
        </w:rPr>
        <w:t xml:space="preserve"> network simulation </w:t>
      </w:r>
      <w:r w:rsidRPr="002E5EB1">
        <w:rPr>
          <w:rFonts w:ascii="Times New Roman" w:hAnsi="Times New Roman" w:cs="Times New Roman"/>
          <w:i/>
          <w:iCs/>
        </w:rPr>
        <w:t>→</w:t>
      </w:r>
      <w:r w:rsidRPr="002E5EB1">
        <w:rPr>
          <w:rFonts w:ascii="Baskerville Old Face" w:hAnsi="Baskerville Old Face"/>
          <w:i/>
          <w:iCs/>
        </w:rPr>
        <w:t xml:space="preserve"> performance indicators </w:t>
      </w:r>
      <w:r w:rsidRPr="002E5EB1">
        <w:rPr>
          <w:rFonts w:ascii="Times New Roman" w:hAnsi="Times New Roman" w:cs="Times New Roman"/>
          <w:i/>
          <w:iCs/>
        </w:rPr>
        <w:t>→</w:t>
      </w:r>
      <w:r w:rsidRPr="002E5EB1">
        <w:rPr>
          <w:rFonts w:ascii="Baskerville Old Face" w:hAnsi="Baskerville Old Face"/>
          <w:i/>
          <w:iCs/>
        </w:rPr>
        <w:t xml:space="preserve"> </w:t>
      </w:r>
      <w:r w:rsidR="00A938B4" w:rsidRPr="002E5EB1">
        <w:rPr>
          <w:rFonts w:ascii="Baskerville Old Face" w:hAnsi="Baskerville Old Face"/>
          <w:i/>
          <w:iCs/>
        </w:rPr>
        <w:t xml:space="preserve">REA events </w:t>
      </w:r>
      <w:r w:rsidR="00A938B4" w:rsidRPr="002E5EB1">
        <w:rPr>
          <w:rFonts w:ascii="Times New Roman" w:hAnsi="Times New Roman" w:cs="Times New Roman"/>
          <w:i/>
          <w:iCs/>
        </w:rPr>
        <w:t>→</w:t>
      </w:r>
      <w:r w:rsidR="00A938B4" w:rsidRPr="002E5EB1">
        <w:rPr>
          <w:rFonts w:ascii="Baskerville Old Face" w:hAnsi="Baskerville Old Face"/>
          <w:i/>
          <w:iCs/>
        </w:rPr>
        <w:t xml:space="preserve"> PRU value analysis </w:t>
      </w:r>
    </w:p>
    <w:p w14:paraId="4F7E8872"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This sequence defines how biophysical observation becomes institutionally usable without losing its ecological source.</w:t>
      </w:r>
    </w:p>
    <w:p w14:paraId="44455ADA"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Field data includes sensor readings, laboratory results, soil tests, water tests, field photographs, drone imagery, satellite data, biodiversity observations, operational records, stewardship notes, and audit inputs.</w:t>
      </w:r>
    </w:p>
    <w:p w14:paraId="33BB2414"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MRV transforms field data into structured evidence by adding provenance, methodology, time, location, source identity, confidence scoring, and review status.</w:t>
      </w:r>
    </w:p>
    <w:p w14:paraId="2D63E6AA"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Parameter estimation translates evidence into model variables, such as soil moisture stability, organic matter, microbial activity, infiltration, fungal-support proxies, biodiversity indicators, yield stability, input dependency, and resilience measures.</w:t>
      </w:r>
    </w:p>
    <w:p w14:paraId="6C94C19A"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Network simulation allows Prometheus to interpret the One Human Ecosystem as a relational system rather than a flat productive surface. It may support analysis of hydrological flows, soil metabolic function, biomass cycling, successional dynamics, mycorrhizal support, biochemical interaction, cooperative surplus, and productive stability.</w:t>
      </w:r>
    </w:p>
    <w:p w14:paraId="21D4137A"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Performance indicators translate model outputs into measurable and reviewable signals, such as SRI, RPI, CESI, MRV integrity, confidence-adjusted indices, hydrological resilience, soil metabolic gain, biodiversity function, risk compression, and productive stability.</w:t>
      </w:r>
    </w:p>
    <w:p w14:paraId="5FFC03C3"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lastRenderedPageBreak/>
        <w:t>REA events translate ecological and operational activity into structured accounting records. Planting, pruning, biomass return, irrigation, harvesting, sampling, verification, stewardship, maintenance, ecological improvement, and value-relevant transformations can be recorded as events linking resources, agents, and outcomes.</w:t>
      </w:r>
    </w:p>
    <w:p w14:paraId="2E9CA173" w14:textId="08737B73" w:rsidR="00531A13" w:rsidRPr="00B479AE" w:rsidRDefault="00531A13" w:rsidP="00376E98">
      <w:pPr>
        <w:spacing w:line="360" w:lineRule="auto"/>
        <w:rPr>
          <w:rFonts w:ascii="Baskerville Old Face" w:hAnsi="Baskerville Old Face"/>
          <w:i/>
          <w:iCs/>
        </w:rPr>
      </w:pPr>
      <w:r w:rsidRPr="00B479AE">
        <w:rPr>
          <w:rFonts w:ascii="Baskerville Old Face" w:hAnsi="Baskerville Old Face"/>
          <w:i/>
          <w:iCs/>
        </w:rPr>
        <w:t>PRU value analysis may occur only after the relevant indicators become evidence-backed, confidence-scored, methodology-aligned, reviewable, and admissible.</w:t>
      </w:r>
    </w:p>
    <w:p w14:paraId="64443AF0"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This pathway prevents Prometheus from jumping directly from ecological narrative to financial value.</w:t>
      </w:r>
    </w:p>
    <w:p w14:paraId="2895E2CE"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The sequence is deliberate:</w:t>
      </w:r>
    </w:p>
    <w:p w14:paraId="192AB59B" w14:textId="1A8BE69C"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field reality first;</w:t>
      </w:r>
      <w:r w:rsidRPr="00B479AE">
        <w:rPr>
          <w:rFonts w:ascii="Baskerville Old Face" w:hAnsi="Baskerville Old Face"/>
          <w:i/>
          <w:iCs/>
        </w:rPr>
        <w:br/>
        <w:t>evidence second;</w:t>
      </w:r>
      <w:r w:rsidRPr="00B479AE">
        <w:rPr>
          <w:rFonts w:ascii="Baskerville Old Face" w:hAnsi="Baskerville Old Face"/>
          <w:i/>
          <w:iCs/>
        </w:rPr>
        <w:br/>
        <w:t>modeling third;</w:t>
      </w:r>
      <w:r w:rsidRPr="00B479AE">
        <w:rPr>
          <w:rFonts w:ascii="Baskerville Old Face" w:hAnsi="Baskerville Old Face"/>
          <w:i/>
          <w:iCs/>
        </w:rPr>
        <w:br/>
        <w:t>accounting fourth;</w:t>
      </w:r>
      <w:r w:rsidRPr="00B479AE">
        <w:rPr>
          <w:rFonts w:ascii="Baskerville Old Face" w:hAnsi="Baskerville Old Face"/>
          <w:i/>
          <w:iCs/>
        </w:rPr>
        <w:br/>
      </w:r>
      <w:r w:rsidR="00531A13" w:rsidRPr="00B479AE">
        <w:rPr>
          <w:rFonts w:ascii="Baskerville Old Face" w:hAnsi="Baskerville Old Face"/>
          <w:i/>
          <w:iCs/>
        </w:rPr>
        <w:t xml:space="preserve">value analysis last. </w:t>
      </w:r>
    </w:p>
    <w:p w14:paraId="1685BAB3"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In operational terms, Prometheus does not ask capital to believe in regeneration.</w:t>
      </w:r>
    </w:p>
    <w:p w14:paraId="23583221"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It builds the data path through which capital can inspect regeneration.</w:t>
      </w:r>
    </w:p>
    <w:p w14:paraId="0987F24F"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The computational pathway therefore functions as a discipline of translation:</w:t>
      </w:r>
    </w:p>
    <w:p w14:paraId="3F677DC4" w14:textId="77777777" w:rsidR="00376E98" w:rsidRPr="00B479AE" w:rsidRDefault="00376E98" w:rsidP="00376E98">
      <w:pPr>
        <w:spacing w:line="360" w:lineRule="auto"/>
        <w:rPr>
          <w:rFonts w:ascii="Baskerville Old Face" w:hAnsi="Baskerville Old Face"/>
          <w:i/>
          <w:iCs/>
        </w:rPr>
      </w:pPr>
      <w:r w:rsidRPr="00B479AE">
        <w:rPr>
          <w:rFonts w:ascii="Baskerville Old Face" w:hAnsi="Baskerville Old Face"/>
          <w:i/>
          <w:iCs/>
        </w:rPr>
        <w:t xml:space="preserve">living system </w:t>
      </w:r>
      <w:r w:rsidRPr="00B479AE">
        <w:rPr>
          <w:rFonts w:ascii="Times New Roman" w:hAnsi="Times New Roman" w:cs="Times New Roman"/>
          <w:i/>
          <w:iCs/>
        </w:rPr>
        <w:t>→</w:t>
      </w:r>
      <w:r w:rsidRPr="00B479AE">
        <w:rPr>
          <w:rFonts w:ascii="Baskerville Old Face" w:hAnsi="Baskerville Old Face"/>
          <w:i/>
          <w:iCs/>
        </w:rPr>
        <w:t xml:space="preserve"> measured signal </w:t>
      </w:r>
      <w:r w:rsidRPr="00B479AE">
        <w:rPr>
          <w:rFonts w:ascii="Times New Roman" w:hAnsi="Times New Roman" w:cs="Times New Roman"/>
          <w:i/>
          <w:iCs/>
        </w:rPr>
        <w:t>→</w:t>
      </w:r>
      <w:r w:rsidRPr="00B479AE">
        <w:rPr>
          <w:rFonts w:ascii="Baskerville Old Face" w:hAnsi="Baskerville Old Face"/>
          <w:i/>
          <w:iCs/>
        </w:rPr>
        <w:t xml:space="preserve"> verified evidence </w:t>
      </w:r>
      <w:r w:rsidRPr="00B479AE">
        <w:rPr>
          <w:rFonts w:ascii="Times New Roman" w:hAnsi="Times New Roman" w:cs="Times New Roman"/>
          <w:i/>
          <w:iCs/>
        </w:rPr>
        <w:t>→</w:t>
      </w:r>
      <w:r w:rsidRPr="00B479AE">
        <w:rPr>
          <w:rFonts w:ascii="Baskerville Old Face" w:hAnsi="Baskerville Old Face"/>
          <w:i/>
          <w:iCs/>
        </w:rPr>
        <w:t xml:space="preserve"> model parameter </w:t>
      </w:r>
      <w:r w:rsidRPr="00B479AE">
        <w:rPr>
          <w:rFonts w:ascii="Times New Roman" w:hAnsi="Times New Roman" w:cs="Times New Roman"/>
          <w:i/>
          <w:iCs/>
        </w:rPr>
        <w:t>→</w:t>
      </w:r>
      <w:r w:rsidRPr="00B479AE">
        <w:rPr>
          <w:rFonts w:ascii="Baskerville Old Face" w:hAnsi="Baskerville Old Face"/>
          <w:i/>
          <w:iCs/>
        </w:rPr>
        <w:t xml:space="preserve"> performance indicator </w:t>
      </w:r>
      <w:r w:rsidRPr="00B479AE">
        <w:rPr>
          <w:rFonts w:ascii="Times New Roman" w:hAnsi="Times New Roman" w:cs="Times New Roman"/>
          <w:i/>
          <w:iCs/>
        </w:rPr>
        <w:t>→</w:t>
      </w:r>
      <w:r w:rsidRPr="00B479AE">
        <w:rPr>
          <w:rFonts w:ascii="Baskerville Old Face" w:hAnsi="Baskerville Old Face"/>
          <w:i/>
          <w:iCs/>
        </w:rPr>
        <w:t xml:space="preserve"> accountable event </w:t>
      </w:r>
      <w:r w:rsidRPr="00B479AE">
        <w:rPr>
          <w:rFonts w:ascii="Times New Roman" w:hAnsi="Times New Roman" w:cs="Times New Roman"/>
          <w:i/>
          <w:iCs/>
        </w:rPr>
        <w:t>→</w:t>
      </w:r>
      <w:r w:rsidRPr="00B479AE">
        <w:rPr>
          <w:rFonts w:ascii="Baskerville Old Face" w:hAnsi="Baskerville Old Face"/>
          <w:i/>
          <w:iCs/>
        </w:rPr>
        <w:t xml:space="preserve"> admissible value.</w:t>
      </w:r>
    </w:p>
    <w:p w14:paraId="2CB8DC86" w14:textId="00309700" w:rsidR="001069F8" w:rsidRPr="00B479AE" w:rsidRDefault="001069F8" w:rsidP="00376E98">
      <w:pPr>
        <w:spacing w:line="360" w:lineRule="auto"/>
        <w:rPr>
          <w:rFonts w:ascii="Baskerville Old Face" w:hAnsi="Baskerville Old Face"/>
          <w:i/>
          <w:iCs/>
        </w:rPr>
      </w:pPr>
      <w:r w:rsidRPr="00B479AE">
        <w:rPr>
          <w:rFonts w:ascii="Baskerville Old Face" w:hAnsi="Baskerville Old Face"/>
          <w:i/>
          <w:iCs/>
        </w:rPr>
        <w:t>This is how Prometheus turns ecological complexity into structured intelligence without reducing living systems to superficial reporting artifacts.</w:t>
      </w:r>
    </w:p>
    <w:p w14:paraId="10724E06" w14:textId="77777777" w:rsidR="00503107" w:rsidRPr="00B479AE" w:rsidRDefault="00503107" w:rsidP="00503107">
      <w:pPr>
        <w:spacing w:line="360" w:lineRule="auto"/>
        <w:rPr>
          <w:rFonts w:ascii="Baskerville Old Face" w:hAnsi="Baskerville Old Face"/>
          <w:b/>
          <w:bCs/>
          <w:i/>
          <w:iCs/>
        </w:rPr>
      </w:pPr>
      <w:r w:rsidRPr="00B479AE">
        <w:rPr>
          <w:rFonts w:ascii="Baskerville Old Face" w:hAnsi="Baskerville Old Face"/>
          <w:b/>
          <w:bCs/>
          <w:i/>
          <w:iCs/>
        </w:rPr>
        <w:t>Regenerative Infrastructure Scaling Pathway</w:t>
      </w:r>
    </w:p>
    <w:p w14:paraId="0C27FC52"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Prometheus scales regeneration through a disciplined institutional pathway.</w:t>
      </w:r>
    </w:p>
    <w:p w14:paraId="75079BD8" w14:textId="77777777" w:rsidR="00503107" w:rsidRPr="002E5EB1" w:rsidRDefault="00503107" w:rsidP="00503107">
      <w:pPr>
        <w:spacing w:line="360" w:lineRule="auto"/>
        <w:rPr>
          <w:rFonts w:ascii="Baskerville Old Face" w:hAnsi="Baskerville Old Face"/>
          <w:i/>
          <w:iCs/>
        </w:rPr>
      </w:pPr>
      <w:r w:rsidRPr="002E5EB1">
        <w:rPr>
          <w:rFonts w:ascii="Baskerville Old Face" w:hAnsi="Baskerville Old Face"/>
          <w:i/>
          <w:iCs/>
        </w:rPr>
        <w:t>The strategic scaling sequence may be expressed as:</w:t>
      </w:r>
    </w:p>
    <w:p w14:paraId="3FF2A74D" w14:textId="77777777" w:rsidR="00503107" w:rsidRPr="002E5EB1" w:rsidRDefault="00503107" w:rsidP="00503107">
      <w:pPr>
        <w:spacing w:line="360" w:lineRule="auto"/>
        <w:rPr>
          <w:rFonts w:ascii="Baskerville Old Face" w:hAnsi="Baskerville Old Face"/>
          <w:i/>
          <w:iCs/>
        </w:rPr>
      </w:pPr>
      <w:r w:rsidRPr="002E5EB1">
        <w:rPr>
          <w:rFonts w:ascii="Baskerville Old Face" w:hAnsi="Baskerville Old Face"/>
          <w:i/>
          <w:iCs/>
        </w:rPr>
        <w:t xml:space="preserve">OHE </w:t>
      </w:r>
      <w:r w:rsidRPr="002E5EB1">
        <w:rPr>
          <w:rFonts w:ascii="Times New Roman" w:hAnsi="Times New Roman" w:cs="Times New Roman"/>
          <w:i/>
          <w:iCs/>
        </w:rPr>
        <w:t>→</w:t>
      </w:r>
      <w:r w:rsidRPr="002E5EB1">
        <w:rPr>
          <w:rFonts w:ascii="Baskerville Old Face" w:hAnsi="Baskerville Old Face"/>
          <w:i/>
          <w:iCs/>
        </w:rPr>
        <w:t xml:space="preserve"> Ecosystem Performance Units </w:t>
      </w:r>
      <w:r w:rsidRPr="002E5EB1">
        <w:rPr>
          <w:rFonts w:ascii="Times New Roman" w:hAnsi="Times New Roman" w:cs="Times New Roman"/>
          <w:i/>
          <w:iCs/>
        </w:rPr>
        <w:t>→</w:t>
      </w:r>
      <w:r w:rsidRPr="002E5EB1">
        <w:rPr>
          <w:rFonts w:ascii="Baskerville Old Face" w:hAnsi="Baskerville Old Face"/>
          <w:i/>
          <w:iCs/>
        </w:rPr>
        <w:t xml:space="preserve"> Regenerative Asset Portfolios </w:t>
      </w:r>
      <w:r w:rsidRPr="002E5EB1">
        <w:rPr>
          <w:rFonts w:ascii="Times New Roman" w:hAnsi="Times New Roman" w:cs="Times New Roman"/>
          <w:i/>
          <w:iCs/>
        </w:rPr>
        <w:t>→</w:t>
      </w:r>
      <w:r w:rsidRPr="002E5EB1">
        <w:rPr>
          <w:rFonts w:ascii="Baskerville Old Face" w:hAnsi="Baskerville Old Face"/>
          <w:i/>
          <w:iCs/>
        </w:rPr>
        <w:t xml:space="preserve"> Regenerative Infrastructure</w:t>
      </w:r>
    </w:p>
    <w:p w14:paraId="5B091C4C"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lastRenderedPageBreak/>
        <w:t>This sequence clarifies how site-level regeneration can mature into portfolio-level and infrastructure-level value.</w:t>
      </w:r>
    </w:p>
    <w:p w14:paraId="078F7BF6"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The One Human Ecosystem, or OHE, is the minimum deployable unit.</w:t>
      </w:r>
    </w:p>
    <w:p w14:paraId="26933282"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It is where soil, water, biodiversity, biomass, productivity, human stewardship, and MRV evidence become operational.</w:t>
      </w:r>
    </w:p>
    <w:p w14:paraId="78056A28"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Ecosystem Performance Units are the measurable performance layers that emerge from the OHE.</w:t>
      </w:r>
    </w:p>
    <w:p w14:paraId="02C684EF"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They may include soil function, water retention, biodiversity enhancement, productive stability, biomass cycling, input-dependency reduction, resilience, and verified ecological improvement.</w:t>
      </w:r>
    </w:p>
    <w:p w14:paraId="14E676CE"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Regenerative Asset Portfolios emerge when multiple verified OHEs, PRU-relevant units, or regenerative sites are aggregated across locations, operators, maturities, ecological designs, and revenue profiles.</w:t>
      </w:r>
    </w:p>
    <w:p w14:paraId="6868763B"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This portfolio logic supports diversification, risk distribution, comparative analysis, institutional reporting, and capital-readiness.</w:t>
      </w:r>
    </w:p>
    <w:p w14:paraId="0A8CAB86"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Regenerative Infrastructure emerges when these portfolios become durable systems capable of supporting long-term ecological restoration, productive capacity, human stewardship, verification, governance, and capital allocation.</w:t>
      </w:r>
    </w:p>
    <w:p w14:paraId="519CF158"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This pathway is not automatic.</w:t>
      </w:r>
    </w:p>
    <w:p w14:paraId="0CE3A99E"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An OHE does not become infrastructure merely because it is planted.</w:t>
      </w:r>
    </w:p>
    <w:p w14:paraId="14EED46A"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A performance unit does not become capital-ready merely because it is measured.</w:t>
      </w:r>
    </w:p>
    <w:p w14:paraId="29579AF6"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A portfolio does not become institutional merely because assets are aggregated.</w:t>
      </w:r>
    </w:p>
    <w:p w14:paraId="20E0888A" w14:textId="77777777" w:rsidR="00503107" w:rsidRPr="002E5EB1" w:rsidRDefault="00503107" w:rsidP="00503107">
      <w:pPr>
        <w:spacing w:line="360" w:lineRule="auto"/>
        <w:rPr>
          <w:rFonts w:ascii="Baskerville Old Face" w:hAnsi="Baskerville Old Face"/>
          <w:i/>
          <w:iCs/>
        </w:rPr>
      </w:pPr>
      <w:r w:rsidRPr="00B479AE">
        <w:rPr>
          <w:rFonts w:ascii="Baskerville Old Face" w:hAnsi="Baskerville Old Face"/>
          <w:i/>
          <w:iCs/>
        </w:rPr>
        <w:t>Each transition requires evidence, MRV confidence, governance review, legal clarity, operational reliability, and capital-readiness discipline.</w:t>
      </w:r>
    </w:p>
    <w:p w14:paraId="60E2E04F" w14:textId="77777777" w:rsidR="00503107" w:rsidRPr="002E5EB1" w:rsidRDefault="00503107" w:rsidP="00503107">
      <w:pPr>
        <w:spacing w:line="360" w:lineRule="auto"/>
        <w:rPr>
          <w:rFonts w:ascii="Baskerville Old Face" w:hAnsi="Baskerville Old Face"/>
          <w:i/>
          <w:iCs/>
        </w:rPr>
      </w:pPr>
      <w:r w:rsidRPr="002E5EB1">
        <w:rPr>
          <w:rFonts w:ascii="Baskerville Old Face" w:hAnsi="Baskerville Old Face"/>
          <w:i/>
          <w:iCs/>
        </w:rPr>
        <w:t>The scaling logic may therefore be expanded as:</w:t>
      </w:r>
    </w:p>
    <w:p w14:paraId="7AC43028" w14:textId="77777777" w:rsidR="00503107" w:rsidRPr="002E5EB1" w:rsidRDefault="00503107" w:rsidP="00503107">
      <w:pPr>
        <w:spacing w:line="360" w:lineRule="auto"/>
        <w:rPr>
          <w:rFonts w:ascii="Baskerville Old Face" w:hAnsi="Baskerville Old Face"/>
          <w:i/>
          <w:iCs/>
        </w:rPr>
      </w:pPr>
      <w:r w:rsidRPr="002E5EB1">
        <w:rPr>
          <w:rFonts w:ascii="Baskerville Old Face" w:hAnsi="Baskerville Old Face"/>
          <w:i/>
          <w:iCs/>
        </w:rPr>
        <w:t xml:space="preserve">OHE </w:t>
      </w:r>
      <w:r w:rsidRPr="002E5EB1">
        <w:rPr>
          <w:rFonts w:ascii="Times New Roman" w:hAnsi="Times New Roman" w:cs="Times New Roman"/>
          <w:i/>
          <w:iCs/>
        </w:rPr>
        <w:t>→</w:t>
      </w:r>
      <w:r w:rsidRPr="002E5EB1">
        <w:rPr>
          <w:rFonts w:ascii="Baskerville Old Face" w:hAnsi="Baskerville Old Face"/>
          <w:i/>
          <w:iCs/>
        </w:rPr>
        <w:t xml:space="preserve"> verified performance </w:t>
      </w:r>
      <w:r w:rsidRPr="002E5EB1">
        <w:rPr>
          <w:rFonts w:ascii="Times New Roman" w:hAnsi="Times New Roman" w:cs="Times New Roman"/>
          <w:i/>
          <w:iCs/>
        </w:rPr>
        <w:t>→</w:t>
      </w:r>
      <w:r w:rsidRPr="002E5EB1">
        <w:rPr>
          <w:rFonts w:ascii="Baskerville Old Face" w:hAnsi="Baskerville Old Face"/>
          <w:i/>
          <w:iCs/>
        </w:rPr>
        <w:t xml:space="preserve"> PRU analysis </w:t>
      </w:r>
      <w:r w:rsidRPr="002E5EB1">
        <w:rPr>
          <w:rFonts w:ascii="Times New Roman" w:hAnsi="Times New Roman" w:cs="Times New Roman"/>
          <w:i/>
          <w:iCs/>
        </w:rPr>
        <w:t>→</w:t>
      </w:r>
      <w:r w:rsidRPr="002E5EB1">
        <w:rPr>
          <w:rFonts w:ascii="Baskerville Old Face" w:hAnsi="Baskerville Old Face"/>
          <w:i/>
          <w:iCs/>
        </w:rPr>
        <w:t xml:space="preserve"> RAP aggregation </w:t>
      </w:r>
      <w:r w:rsidRPr="002E5EB1">
        <w:rPr>
          <w:rFonts w:ascii="Times New Roman" w:hAnsi="Times New Roman" w:cs="Times New Roman"/>
          <w:i/>
          <w:iCs/>
        </w:rPr>
        <w:t>→</w:t>
      </w:r>
      <w:r w:rsidRPr="002E5EB1">
        <w:rPr>
          <w:rFonts w:ascii="Baskerville Old Face" w:hAnsi="Baskerville Old Face"/>
          <w:i/>
          <w:iCs/>
        </w:rPr>
        <w:t xml:space="preserve"> legal structure </w:t>
      </w:r>
      <w:r w:rsidRPr="002E5EB1">
        <w:rPr>
          <w:rFonts w:ascii="Times New Roman" w:hAnsi="Times New Roman" w:cs="Times New Roman"/>
          <w:i/>
          <w:iCs/>
        </w:rPr>
        <w:t>→</w:t>
      </w:r>
      <w:r w:rsidRPr="002E5EB1">
        <w:rPr>
          <w:rFonts w:ascii="Baskerville Old Face" w:hAnsi="Baskerville Old Face"/>
          <w:i/>
          <w:iCs/>
        </w:rPr>
        <w:t xml:space="preserve"> capital deployment </w:t>
      </w:r>
      <w:r w:rsidRPr="002E5EB1">
        <w:rPr>
          <w:rFonts w:ascii="Times New Roman" w:hAnsi="Times New Roman" w:cs="Times New Roman"/>
          <w:i/>
          <w:iCs/>
        </w:rPr>
        <w:t>→</w:t>
      </w:r>
      <w:r w:rsidRPr="002E5EB1">
        <w:rPr>
          <w:rFonts w:ascii="Baskerville Old Face" w:hAnsi="Baskerville Old Face"/>
          <w:i/>
          <w:iCs/>
        </w:rPr>
        <w:t xml:space="preserve"> expanded regeneration</w:t>
      </w:r>
    </w:p>
    <w:p w14:paraId="5378593A"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lastRenderedPageBreak/>
        <w:t>This is the institutional bridge from local living systems to regenerative infrastructure.</w:t>
      </w:r>
    </w:p>
    <w:p w14:paraId="4B03F916"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Prometheus does not scale by detaching value from place.</w:t>
      </w:r>
    </w:p>
    <w:p w14:paraId="727793DC"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It scales by making place-based regeneration verifiable, comparable, governable, and financeable without losing its ecological source.</w:t>
      </w:r>
    </w:p>
    <w:p w14:paraId="70705B13"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The strategic rule is:</w:t>
      </w:r>
    </w:p>
    <w:p w14:paraId="2162E75C"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local evidence creates unit credibility;</w:t>
      </w:r>
      <w:r w:rsidRPr="00B479AE">
        <w:rPr>
          <w:rFonts w:ascii="Baskerville Old Face" w:hAnsi="Baskerville Old Face"/>
          <w:i/>
          <w:iCs/>
        </w:rPr>
        <w:br/>
        <w:t>unit credibility creates portfolio logic;</w:t>
      </w:r>
      <w:r w:rsidRPr="00B479AE">
        <w:rPr>
          <w:rFonts w:ascii="Baskerville Old Face" w:hAnsi="Baskerville Old Face"/>
          <w:i/>
          <w:iCs/>
        </w:rPr>
        <w:br/>
        <w:t>portfolio logic creates capital-readiness;</w:t>
      </w:r>
      <w:r w:rsidRPr="00B479AE">
        <w:rPr>
          <w:rFonts w:ascii="Baskerville Old Face" w:hAnsi="Baskerville Old Face"/>
          <w:i/>
          <w:iCs/>
        </w:rPr>
        <w:br/>
        <w:t>capital-readiness creates infrastructure scale.</w:t>
      </w:r>
    </w:p>
    <w:p w14:paraId="6A5266D9" w14:textId="77777777" w:rsidR="00503107" w:rsidRPr="00B479AE" w:rsidRDefault="00503107" w:rsidP="00503107">
      <w:pPr>
        <w:spacing w:line="360" w:lineRule="auto"/>
        <w:rPr>
          <w:rFonts w:ascii="Baskerville Old Face" w:hAnsi="Baskerville Old Face"/>
          <w:i/>
          <w:iCs/>
        </w:rPr>
      </w:pPr>
      <w:r w:rsidRPr="00B479AE">
        <w:rPr>
          <w:rFonts w:ascii="Baskerville Old Face" w:hAnsi="Baskerville Old Face"/>
          <w:i/>
          <w:iCs/>
        </w:rPr>
        <w:t>This is how Prometheus turns regeneration from isolated practice into an investable, verifiable, and legally disciplined real-world asset architecture.</w:t>
      </w:r>
    </w:p>
    <w:p w14:paraId="7E669434" w14:textId="77777777" w:rsidR="004921F0" w:rsidRPr="00B479AE" w:rsidRDefault="004921F0" w:rsidP="008D67A4">
      <w:pPr>
        <w:spacing w:line="360" w:lineRule="auto"/>
        <w:rPr>
          <w:rFonts w:ascii="Baskerville Old Face" w:hAnsi="Baskerville Old Face"/>
          <w:i/>
          <w:iCs/>
        </w:rPr>
      </w:pPr>
    </w:p>
    <w:p w14:paraId="60FA9D31" w14:textId="59F746DE"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PRU layer</w:t>
      </w:r>
    </w:p>
    <w:p w14:paraId="096D4B21" w14:textId="7B2AA481"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The Prometheus Regenerative Unit, or PRU, is the </w:t>
      </w:r>
      <w:r w:rsidR="00E02F9C" w:rsidRPr="00B479AE">
        <w:rPr>
          <w:rFonts w:ascii="Baskerville Old Face" w:hAnsi="Baskerville Old Face"/>
          <w:i/>
          <w:iCs/>
        </w:rPr>
        <w:t>institutional layer between regeneration and capital</w:t>
      </w:r>
      <w:r w:rsidRPr="00B479AE">
        <w:rPr>
          <w:rFonts w:ascii="Baskerville Old Face" w:hAnsi="Baskerville Old Face"/>
          <w:i/>
          <w:iCs/>
        </w:rPr>
        <w:t>.</w:t>
      </w:r>
    </w:p>
    <w:p w14:paraId="53D3B58B" w14:textId="5F7EE13F" w:rsidR="00AF44F4" w:rsidRPr="00B479AE" w:rsidRDefault="00AF44F4" w:rsidP="008D67A4">
      <w:pPr>
        <w:spacing w:line="360" w:lineRule="auto"/>
        <w:rPr>
          <w:rFonts w:ascii="Baskerville Old Face" w:hAnsi="Baskerville Old Face"/>
          <w:i/>
          <w:iCs/>
        </w:rPr>
      </w:pPr>
      <w:r w:rsidRPr="00B479AE">
        <w:rPr>
          <w:rFonts w:ascii="Baskerville Old Face" w:hAnsi="Baskerville Old Face"/>
          <w:i/>
          <w:iCs/>
        </w:rPr>
        <w:t>The PRU translates verified regenerative performance into a structured analytical layer that can be compared, underwritten, classified by maturity, aggregated, monitored, and connected to capital allocation.</w:t>
      </w:r>
    </w:p>
    <w:p w14:paraId="19C1AB97" w14:textId="3A762C56"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PRU does not replace ecological reality.</w:t>
      </w:r>
    </w:p>
    <w:p w14:paraId="35E06D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gives verified ecological performance a financial grammar.</w:t>
      </w:r>
    </w:p>
    <w:p w14:paraId="7DD23FC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RAP layer</w:t>
      </w:r>
    </w:p>
    <w:p w14:paraId="05E52E4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Regenerative Asset Pool, or RAP, aggregates PRUs into portfolio structures.</w:t>
      </w:r>
    </w:p>
    <w:p w14:paraId="442C246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allows diversification across sites, climates, species, operators, maturity stages, revenue profiles, and ecological contexts.</w:t>
      </w:r>
    </w:p>
    <w:p w14:paraId="6C7CF3A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RAP layer converts distributed regenerative units into portfolio-grade infrastructure.</w:t>
      </w:r>
    </w:p>
    <w:p w14:paraId="109D54D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lastRenderedPageBreak/>
        <w:t>Governance layer</w:t>
      </w:r>
    </w:p>
    <w:p w14:paraId="7ECDAFD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governance layer coordinates decision-making, stewardship, participation, safeguards, and long-term system integrity.</w:t>
      </w:r>
    </w:p>
    <w:p w14:paraId="33DF101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may include Stewardship Circles, DAO-compatible structures, TRBK-based participation mechanisms, multi-stakeholder governance, land safeguards, protocol rules, and dispute-resolution processes.</w:t>
      </w:r>
    </w:p>
    <w:p w14:paraId="0F780A8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Its purpose is to preserve coherence under expansion.</w:t>
      </w:r>
    </w:p>
    <w:p w14:paraId="0B39D42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Capital layer</w:t>
      </w:r>
    </w:p>
    <w:p w14:paraId="448C016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capital layer connects regenerative infrastructure to financial structuring.</w:t>
      </w:r>
    </w:p>
    <w:p w14:paraId="23B999F3" w14:textId="1B4D83B2" w:rsidR="00E118CC" w:rsidRPr="00B479AE" w:rsidRDefault="00E118CC" w:rsidP="008D67A4">
      <w:pPr>
        <w:spacing w:line="360" w:lineRule="auto"/>
        <w:rPr>
          <w:rFonts w:ascii="Baskerville Old Face" w:hAnsi="Baskerville Old Face"/>
          <w:i/>
          <w:iCs/>
        </w:rPr>
      </w:pPr>
      <w:r w:rsidRPr="00B479AE">
        <w:rPr>
          <w:rFonts w:ascii="Baskerville Old Face" w:hAnsi="Baskerville Old Face"/>
          <w:i/>
          <w:iCs/>
        </w:rPr>
        <w:t xml:space="preserve">It may include </w:t>
      </w:r>
      <w:proofErr w:type="spellStart"/>
      <w:r w:rsidRPr="00B479AE">
        <w:rPr>
          <w:rFonts w:ascii="Baskerville Old Face" w:hAnsi="Baskerville Old Face"/>
          <w:i/>
          <w:iCs/>
        </w:rPr>
        <w:t>OpCo</w:t>
      </w:r>
      <w:proofErr w:type="spellEnd"/>
      <w:r w:rsidRPr="00B479AE">
        <w:rPr>
          <w:rFonts w:ascii="Baskerville Old Face" w:hAnsi="Baskerville Old Face"/>
          <w:i/>
          <w:iCs/>
        </w:rPr>
        <w:t xml:space="preserve"> structures, SPVs, funds, notes, blended finance, guarantees, insurance overlays, revenue-sharing agreements, or future compliant digital instruments.</w:t>
      </w:r>
    </w:p>
    <w:p w14:paraId="3D4C11F2" w14:textId="01BF5201"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layer routes capital toward verified regenerative systems while preserving legal clarity and investor discipline.</w:t>
      </w:r>
    </w:p>
    <w:p w14:paraId="2A5950F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Interface layer</w:t>
      </w:r>
    </w:p>
    <w:p w14:paraId="3F84350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interface layer presents information to humans and institutions.</w:t>
      </w:r>
    </w:p>
    <w:p w14:paraId="4DF41055" w14:textId="5B18AE14"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It may include dashboards, investor reports, governance interfaces, MRV reports, ecological maps, </w:t>
      </w:r>
      <w:r w:rsidR="00EE59CF" w:rsidRPr="00B479AE">
        <w:rPr>
          <w:rFonts w:ascii="Baskerville Old Face" w:hAnsi="Baskerville Old Face"/>
          <w:i/>
          <w:iCs/>
        </w:rPr>
        <w:t>PRU maturity classes</w:t>
      </w:r>
      <w:r w:rsidRPr="00B479AE">
        <w:rPr>
          <w:rFonts w:ascii="Baskerville Old Face" w:hAnsi="Baskerville Old Face"/>
          <w:i/>
          <w:iCs/>
        </w:rPr>
        <w:t>, portfolio analytics, risk dashboards, operational tools, and educational systems.</w:t>
      </w:r>
    </w:p>
    <w:p w14:paraId="27237A3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Its purpose is to make complex regenerative systems legible without reducing them to oversimplified claims.</w:t>
      </w:r>
    </w:p>
    <w:p w14:paraId="2B058B29" w14:textId="77777777" w:rsidR="0010030D" w:rsidRPr="0010030D" w:rsidRDefault="0010030D" w:rsidP="0010030D">
      <w:pPr>
        <w:spacing w:line="360" w:lineRule="auto"/>
        <w:rPr>
          <w:rFonts w:ascii="Baskerville Old Face" w:hAnsi="Baskerville Old Face"/>
          <w:b/>
          <w:bCs/>
          <w:i/>
          <w:iCs/>
        </w:rPr>
      </w:pPr>
      <w:r w:rsidRPr="0010030D">
        <w:rPr>
          <w:rFonts w:ascii="Baskerville Old Face" w:hAnsi="Baskerville Old Face"/>
          <w:b/>
          <w:bCs/>
          <w:i/>
          <w:iCs/>
        </w:rPr>
        <w:t>Universal AI Access Layer</w:t>
      </w:r>
    </w:p>
    <w:p w14:paraId="0EB85C05"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Prometheus may expose selected capabilities through a Universal AI Access Layer.</w:t>
      </w:r>
    </w:p>
    <w:p w14:paraId="51AEE12A"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 xml:space="preserve">This layer allows external AI systems, enterprise assistants, community tools, dashboards, field applications, agent frameworks, and future </w:t>
      </w:r>
      <w:proofErr w:type="spellStart"/>
      <w:r w:rsidRPr="0010030D">
        <w:rPr>
          <w:rFonts w:ascii="Baskerville Old Face" w:hAnsi="Baskerville Old Face"/>
          <w:i/>
          <w:iCs/>
        </w:rPr>
        <w:t>Holochain</w:t>
      </w:r>
      <w:proofErr w:type="spellEnd"/>
      <w:r w:rsidRPr="0010030D">
        <w:rPr>
          <w:rFonts w:ascii="Baskerville Old Face" w:hAnsi="Baskerville Old Face"/>
          <w:i/>
          <w:iCs/>
        </w:rPr>
        <w:t>-native clients to access Prometheus logic through standardized interfaces.</w:t>
      </w:r>
    </w:p>
    <w:p w14:paraId="3D00EEAF" w14:textId="77777777" w:rsidR="0010030D" w:rsidRPr="0010030D" w:rsidRDefault="0010030D" w:rsidP="0010030D">
      <w:pPr>
        <w:spacing w:line="360" w:lineRule="auto"/>
        <w:rPr>
          <w:rFonts w:ascii="Baskerville Old Face" w:hAnsi="Baskerville Old Face"/>
          <w:i/>
          <w:iCs/>
          <w:lang w:val="it-IT"/>
        </w:rPr>
      </w:pPr>
      <w:proofErr w:type="spellStart"/>
      <w:r w:rsidRPr="0010030D">
        <w:rPr>
          <w:rFonts w:ascii="Baskerville Old Face" w:hAnsi="Baskerville Old Face"/>
          <w:i/>
          <w:iCs/>
          <w:lang w:val="it-IT"/>
        </w:rPr>
        <w:t>These</w:t>
      </w:r>
      <w:proofErr w:type="spellEnd"/>
      <w:r w:rsidRPr="0010030D">
        <w:rPr>
          <w:rFonts w:ascii="Baskerville Old Face" w:hAnsi="Baskerville Old Face"/>
          <w:i/>
          <w:iCs/>
          <w:lang w:val="it-IT"/>
        </w:rPr>
        <w:t xml:space="preserve"> </w:t>
      </w:r>
      <w:proofErr w:type="spellStart"/>
      <w:r w:rsidRPr="0010030D">
        <w:rPr>
          <w:rFonts w:ascii="Baskerville Old Face" w:hAnsi="Baskerville Old Face"/>
          <w:i/>
          <w:iCs/>
          <w:lang w:val="it-IT"/>
        </w:rPr>
        <w:t>interfaces</w:t>
      </w:r>
      <w:proofErr w:type="spellEnd"/>
      <w:r w:rsidRPr="0010030D">
        <w:rPr>
          <w:rFonts w:ascii="Baskerville Old Face" w:hAnsi="Baskerville Old Face"/>
          <w:i/>
          <w:iCs/>
          <w:lang w:val="it-IT"/>
        </w:rPr>
        <w:t xml:space="preserve"> </w:t>
      </w:r>
      <w:proofErr w:type="spellStart"/>
      <w:r w:rsidRPr="0010030D">
        <w:rPr>
          <w:rFonts w:ascii="Baskerville Old Face" w:hAnsi="Baskerville Old Face"/>
          <w:i/>
          <w:iCs/>
          <w:lang w:val="it-IT"/>
        </w:rPr>
        <w:t>may</w:t>
      </w:r>
      <w:proofErr w:type="spellEnd"/>
      <w:r w:rsidRPr="0010030D">
        <w:rPr>
          <w:rFonts w:ascii="Baskerville Old Face" w:hAnsi="Baskerville Old Face"/>
          <w:i/>
          <w:iCs/>
          <w:lang w:val="it-IT"/>
        </w:rPr>
        <w:t xml:space="preserve"> include:</w:t>
      </w:r>
    </w:p>
    <w:p w14:paraId="67D19506" w14:textId="77777777" w:rsidR="0010030D" w:rsidRPr="0010030D" w:rsidRDefault="0010030D" w:rsidP="0010030D">
      <w:pPr>
        <w:numPr>
          <w:ilvl w:val="0"/>
          <w:numId w:val="48"/>
        </w:numPr>
        <w:spacing w:line="360" w:lineRule="auto"/>
        <w:rPr>
          <w:rFonts w:ascii="Baskerville Old Face" w:hAnsi="Baskerville Old Face"/>
          <w:i/>
          <w:iCs/>
          <w:lang w:val="it-IT"/>
        </w:rPr>
      </w:pPr>
      <w:r w:rsidRPr="0010030D">
        <w:rPr>
          <w:rFonts w:ascii="Baskerville Old Face" w:hAnsi="Baskerville Old Face"/>
          <w:i/>
          <w:iCs/>
          <w:lang w:val="it-IT"/>
        </w:rPr>
        <w:lastRenderedPageBreak/>
        <w:t xml:space="preserve">REST </w:t>
      </w:r>
      <w:proofErr w:type="spellStart"/>
      <w:r w:rsidRPr="0010030D">
        <w:rPr>
          <w:rFonts w:ascii="Baskerville Old Face" w:hAnsi="Baskerville Old Face"/>
          <w:i/>
          <w:iCs/>
          <w:lang w:val="it-IT"/>
        </w:rPr>
        <w:t>APIs</w:t>
      </w:r>
      <w:proofErr w:type="spellEnd"/>
      <w:r w:rsidRPr="0010030D">
        <w:rPr>
          <w:rFonts w:ascii="Baskerville Old Face" w:hAnsi="Baskerville Old Face"/>
          <w:i/>
          <w:iCs/>
          <w:lang w:val="it-IT"/>
        </w:rPr>
        <w:t>;</w:t>
      </w:r>
    </w:p>
    <w:p w14:paraId="6E4F0522" w14:textId="77777777" w:rsidR="0010030D" w:rsidRPr="0010030D" w:rsidRDefault="0010030D" w:rsidP="0010030D">
      <w:pPr>
        <w:numPr>
          <w:ilvl w:val="0"/>
          <w:numId w:val="48"/>
        </w:numPr>
        <w:spacing w:line="360" w:lineRule="auto"/>
        <w:rPr>
          <w:rFonts w:ascii="Baskerville Old Face" w:hAnsi="Baskerville Old Face"/>
          <w:i/>
          <w:iCs/>
          <w:lang w:val="it-IT"/>
        </w:rPr>
      </w:pPr>
      <w:r w:rsidRPr="0010030D">
        <w:rPr>
          <w:rFonts w:ascii="Baskerville Old Face" w:hAnsi="Baskerville Old Face"/>
          <w:i/>
          <w:iCs/>
          <w:lang w:val="it-IT"/>
        </w:rPr>
        <w:t>OpenAI-</w:t>
      </w:r>
      <w:proofErr w:type="spellStart"/>
      <w:r w:rsidRPr="0010030D">
        <w:rPr>
          <w:rFonts w:ascii="Baskerville Old Face" w:hAnsi="Baskerville Old Face"/>
          <w:i/>
          <w:iCs/>
          <w:lang w:val="it-IT"/>
        </w:rPr>
        <w:t>compatible</w:t>
      </w:r>
      <w:proofErr w:type="spellEnd"/>
      <w:r w:rsidRPr="0010030D">
        <w:rPr>
          <w:rFonts w:ascii="Baskerville Old Face" w:hAnsi="Baskerville Old Face"/>
          <w:i/>
          <w:iCs/>
          <w:lang w:val="it-IT"/>
        </w:rPr>
        <w:t xml:space="preserve"> endpoints;</w:t>
      </w:r>
    </w:p>
    <w:p w14:paraId="6884D027" w14:textId="77777777" w:rsidR="0010030D" w:rsidRPr="0010030D" w:rsidRDefault="0010030D" w:rsidP="0010030D">
      <w:pPr>
        <w:numPr>
          <w:ilvl w:val="0"/>
          <w:numId w:val="48"/>
        </w:numPr>
        <w:spacing w:line="360" w:lineRule="auto"/>
        <w:rPr>
          <w:rFonts w:ascii="Baskerville Old Face" w:hAnsi="Baskerville Old Face"/>
          <w:i/>
          <w:iCs/>
          <w:lang w:val="it-IT"/>
        </w:rPr>
      </w:pPr>
      <w:r w:rsidRPr="0010030D">
        <w:rPr>
          <w:rFonts w:ascii="Baskerville Old Face" w:hAnsi="Baskerville Old Face"/>
          <w:i/>
          <w:iCs/>
          <w:lang w:val="it-IT"/>
        </w:rPr>
        <w:t xml:space="preserve">Model </w:t>
      </w:r>
      <w:proofErr w:type="spellStart"/>
      <w:r w:rsidRPr="0010030D">
        <w:rPr>
          <w:rFonts w:ascii="Baskerville Old Face" w:hAnsi="Baskerville Old Face"/>
          <w:i/>
          <w:iCs/>
          <w:lang w:val="it-IT"/>
        </w:rPr>
        <w:t>Context</w:t>
      </w:r>
      <w:proofErr w:type="spellEnd"/>
      <w:r w:rsidRPr="0010030D">
        <w:rPr>
          <w:rFonts w:ascii="Baskerville Old Face" w:hAnsi="Baskerville Old Face"/>
          <w:i/>
          <w:iCs/>
          <w:lang w:val="it-IT"/>
        </w:rPr>
        <w:t xml:space="preserve"> </w:t>
      </w:r>
      <w:proofErr w:type="spellStart"/>
      <w:r w:rsidRPr="0010030D">
        <w:rPr>
          <w:rFonts w:ascii="Baskerville Old Face" w:hAnsi="Baskerville Old Face"/>
          <w:i/>
          <w:iCs/>
          <w:lang w:val="it-IT"/>
        </w:rPr>
        <w:t>Protocol</w:t>
      </w:r>
      <w:proofErr w:type="spellEnd"/>
      <w:r w:rsidRPr="0010030D">
        <w:rPr>
          <w:rFonts w:ascii="Baskerville Old Face" w:hAnsi="Baskerville Old Face"/>
          <w:i/>
          <w:iCs/>
          <w:lang w:val="it-IT"/>
        </w:rPr>
        <w:t xml:space="preserve"> tools;</w:t>
      </w:r>
    </w:p>
    <w:p w14:paraId="4A324A19" w14:textId="77777777" w:rsidR="0010030D" w:rsidRPr="0010030D" w:rsidRDefault="0010030D" w:rsidP="0010030D">
      <w:pPr>
        <w:numPr>
          <w:ilvl w:val="0"/>
          <w:numId w:val="48"/>
        </w:numPr>
        <w:spacing w:line="360" w:lineRule="auto"/>
        <w:rPr>
          <w:rFonts w:ascii="Baskerville Old Face" w:hAnsi="Baskerville Old Face"/>
          <w:i/>
          <w:iCs/>
          <w:lang w:val="it-IT"/>
        </w:rPr>
      </w:pPr>
      <w:r w:rsidRPr="0010030D">
        <w:rPr>
          <w:rFonts w:ascii="Baskerville Old Face" w:hAnsi="Baskerville Old Face"/>
          <w:i/>
          <w:iCs/>
          <w:lang w:val="it-IT"/>
        </w:rPr>
        <w:t xml:space="preserve">plugin-ready </w:t>
      </w:r>
      <w:proofErr w:type="spellStart"/>
      <w:r w:rsidRPr="0010030D">
        <w:rPr>
          <w:rFonts w:ascii="Baskerville Old Face" w:hAnsi="Baskerville Old Face"/>
          <w:i/>
          <w:iCs/>
          <w:lang w:val="it-IT"/>
        </w:rPr>
        <w:t>connectors</w:t>
      </w:r>
      <w:proofErr w:type="spellEnd"/>
      <w:r w:rsidRPr="0010030D">
        <w:rPr>
          <w:rFonts w:ascii="Baskerville Old Face" w:hAnsi="Baskerville Old Face"/>
          <w:i/>
          <w:iCs/>
          <w:lang w:val="it-IT"/>
        </w:rPr>
        <w:t>;</w:t>
      </w:r>
    </w:p>
    <w:p w14:paraId="06518A6F" w14:textId="77777777" w:rsidR="0010030D" w:rsidRPr="0010030D" w:rsidRDefault="0010030D" w:rsidP="0010030D">
      <w:pPr>
        <w:numPr>
          <w:ilvl w:val="0"/>
          <w:numId w:val="48"/>
        </w:numPr>
        <w:spacing w:line="360" w:lineRule="auto"/>
        <w:rPr>
          <w:rFonts w:ascii="Baskerville Old Face" w:hAnsi="Baskerville Old Face"/>
          <w:i/>
          <w:iCs/>
          <w:lang w:val="it-IT"/>
        </w:rPr>
      </w:pPr>
      <w:proofErr w:type="spellStart"/>
      <w:r w:rsidRPr="0010030D">
        <w:rPr>
          <w:rFonts w:ascii="Baskerville Old Face" w:hAnsi="Baskerville Old Face"/>
          <w:i/>
          <w:iCs/>
          <w:lang w:val="it-IT"/>
        </w:rPr>
        <w:t>enterprise</w:t>
      </w:r>
      <w:proofErr w:type="spellEnd"/>
      <w:r w:rsidRPr="0010030D">
        <w:rPr>
          <w:rFonts w:ascii="Baskerville Old Face" w:hAnsi="Baskerville Old Face"/>
          <w:i/>
          <w:iCs/>
          <w:lang w:val="it-IT"/>
        </w:rPr>
        <w:t xml:space="preserve"> </w:t>
      </w:r>
      <w:proofErr w:type="spellStart"/>
      <w:r w:rsidRPr="0010030D">
        <w:rPr>
          <w:rFonts w:ascii="Baskerville Old Face" w:hAnsi="Baskerville Old Face"/>
          <w:i/>
          <w:iCs/>
          <w:lang w:val="it-IT"/>
        </w:rPr>
        <w:t>assistant</w:t>
      </w:r>
      <w:proofErr w:type="spellEnd"/>
      <w:r w:rsidRPr="0010030D">
        <w:rPr>
          <w:rFonts w:ascii="Baskerville Old Face" w:hAnsi="Baskerville Old Face"/>
          <w:i/>
          <w:iCs/>
          <w:lang w:val="it-IT"/>
        </w:rPr>
        <w:t xml:space="preserve"> </w:t>
      </w:r>
      <w:proofErr w:type="spellStart"/>
      <w:r w:rsidRPr="0010030D">
        <w:rPr>
          <w:rFonts w:ascii="Baskerville Old Face" w:hAnsi="Baskerville Old Face"/>
          <w:i/>
          <w:iCs/>
          <w:lang w:val="it-IT"/>
        </w:rPr>
        <w:t>integrations</w:t>
      </w:r>
      <w:proofErr w:type="spellEnd"/>
      <w:r w:rsidRPr="0010030D">
        <w:rPr>
          <w:rFonts w:ascii="Baskerville Old Face" w:hAnsi="Baskerville Old Face"/>
          <w:i/>
          <w:iCs/>
          <w:lang w:val="it-IT"/>
        </w:rPr>
        <w:t>;</w:t>
      </w:r>
    </w:p>
    <w:p w14:paraId="013886A4" w14:textId="77777777" w:rsidR="0010030D" w:rsidRPr="0010030D" w:rsidRDefault="0010030D" w:rsidP="0010030D">
      <w:pPr>
        <w:numPr>
          <w:ilvl w:val="0"/>
          <w:numId w:val="48"/>
        </w:numPr>
        <w:spacing w:line="360" w:lineRule="auto"/>
        <w:rPr>
          <w:rFonts w:ascii="Baskerville Old Face" w:hAnsi="Baskerville Old Face"/>
          <w:i/>
          <w:iCs/>
          <w:lang w:val="it-IT"/>
        </w:rPr>
      </w:pPr>
      <w:r w:rsidRPr="0010030D">
        <w:rPr>
          <w:rFonts w:ascii="Baskerville Old Face" w:hAnsi="Baskerville Old Face"/>
          <w:i/>
          <w:iCs/>
          <w:lang w:val="it-IT"/>
        </w:rPr>
        <w:t xml:space="preserve">dashboard and </w:t>
      </w:r>
      <w:proofErr w:type="spellStart"/>
      <w:r w:rsidRPr="0010030D">
        <w:rPr>
          <w:rFonts w:ascii="Baskerville Old Face" w:hAnsi="Baskerville Old Face"/>
          <w:i/>
          <w:iCs/>
          <w:lang w:val="it-IT"/>
        </w:rPr>
        <w:t>application</w:t>
      </w:r>
      <w:proofErr w:type="spellEnd"/>
      <w:r w:rsidRPr="0010030D">
        <w:rPr>
          <w:rFonts w:ascii="Baskerville Old Face" w:hAnsi="Baskerville Old Face"/>
          <w:i/>
          <w:iCs/>
          <w:lang w:val="it-IT"/>
        </w:rPr>
        <w:t xml:space="preserve"> </w:t>
      </w:r>
      <w:proofErr w:type="spellStart"/>
      <w:r w:rsidRPr="0010030D">
        <w:rPr>
          <w:rFonts w:ascii="Baskerville Old Face" w:hAnsi="Baskerville Old Face"/>
          <w:i/>
          <w:iCs/>
          <w:lang w:val="it-IT"/>
        </w:rPr>
        <w:t>interfaces</w:t>
      </w:r>
      <w:proofErr w:type="spellEnd"/>
      <w:r w:rsidRPr="0010030D">
        <w:rPr>
          <w:rFonts w:ascii="Baskerville Old Face" w:hAnsi="Baskerville Old Face"/>
          <w:i/>
          <w:iCs/>
          <w:lang w:val="it-IT"/>
        </w:rPr>
        <w:t>;</w:t>
      </w:r>
    </w:p>
    <w:p w14:paraId="7091EB89" w14:textId="77777777" w:rsidR="0010030D" w:rsidRPr="0010030D" w:rsidRDefault="0010030D" w:rsidP="0010030D">
      <w:pPr>
        <w:numPr>
          <w:ilvl w:val="0"/>
          <w:numId w:val="48"/>
        </w:numPr>
        <w:spacing w:line="360" w:lineRule="auto"/>
        <w:rPr>
          <w:rFonts w:ascii="Baskerville Old Face" w:hAnsi="Baskerville Old Face"/>
          <w:i/>
          <w:iCs/>
          <w:lang w:val="it-IT"/>
        </w:rPr>
      </w:pPr>
      <w:r w:rsidRPr="0010030D">
        <w:rPr>
          <w:rFonts w:ascii="Baskerville Old Face" w:hAnsi="Baskerville Old Face"/>
          <w:i/>
          <w:iCs/>
          <w:lang w:val="it-IT"/>
        </w:rPr>
        <w:t xml:space="preserve">future </w:t>
      </w:r>
      <w:proofErr w:type="spellStart"/>
      <w:r w:rsidRPr="0010030D">
        <w:rPr>
          <w:rFonts w:ascii="Baskerville Old Face" w:hAnsi="Baskerville Old Face"/>
          <w:i/>
          <w:iCs/>
          <w:lang w:val="it-IT"/>
        </w:rPr>
        <w:t>Holochain</w:t>
      </w:r>
      <w:proofErr w:type="spellEnd"/>
      <w:r w:rsidRPr="0010030D">
        <w:rPr>
          <w:rFonts w:ascii="Baskerville Old Face" w:hAnsi="Baskerville Old Face"/>
          <w:i/>
          <w:iCs/>
          <w:lang w:val="it-IT"/>
        </w:rPr>
        <w:t>-native clients.</w:t>
      </w:r>
    </w:p>
    <w:p w14:paraId="2905DC2F"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The purpose of this layer is access, not authority.</w:t>
      </w:r>
    </w:p>
    <w:p w14:paraId="60DCCE5D"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External AI systems may query Prometheus, request structured outputs, generate draft reports, assist with diagnostics, support acquisition screening, prepare MRV checklists, organize evidence, generate governance drafts, or help users navigate regenerative workflows.</w:t>
      </w:r>
    </w:p>
    <w:p w14:paraId="11E5B714"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However, the Universal AI Access Layer does not replace the Prometheus core.</w:t>
      </w:r>
    </w:p>
    <w:p w14:paraId="34AD4652"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It does not create ecological truth.</w:t>
      </w:r>
      <w:r w:rsidRPr="0010030D">
        <w:rPr>
          <w:rFonts w:ascii="Baskerville Old Face" w:hAnsi="Baskerville Old Face"/>
          <w:i/>
          <w:iCs/>
        </w:rPr>
        <w:br/>
        <w:t>It does not create PRU value.</w:t>
      </w:r>
      <w:r w:rsidRPr="0010030D">
        <w:rPr>
          <w:rFonts w:ascii="Baskerville Old Face" w:hAnsi="Baskerville Old Face"/>
          <w:i/>
          <w:iCs/>
        </w:rPr>
        <w:br/>
        <w:t>It does not create RAP exposure.</w:t>
      </w:r>
      <w:r w:rsidRPr="0010030D">
        <w:rPr>
          <w:rFonts w:ascii="Baskerville Old Face" w:hAnsi="Baskerville Old Face"/>
          <w:i/>
          <w:iCs/>
        </w:rPr>
        <w:br/>
        <w:t>It does not create investor rights.</w:t>
      </w:r>
      <w:r w:rsidRPr="0010030D">
        <w:rPr>
          <w:rFonts w:ascii="Baskerville Old Face" w:hAnsi="Baskerville Old Face"/>
          <w:i/>
          <w:iCs/>
        </w:rPr>
        <w:br/>
        <w:t>It does not create legal rights.</w:t>
      </w:r>
      <w:r w:rsidRPr="0010030D">
        <w:rPr>
          <w:rFonts w:ascii="Baskerville Old Face" w:hAnsi="Baskerville Old Face"/>
          <w:i/>
          <w:iCs/>
        </w:rPr>
        <w:br/>
        <w:t>It does not create governance authority.</w:t>
      </w:r>
      <w:r w:rsidRPr="0010030D">
        <w:rPr>
          <w:rFonts w:ascii="Baskerville Old Face" w:hAnsi="Baskerville Old Face"/>
          <w:i/>
          <w:iCs/>
        </w:rPr>
        <w:br/>
        <w:t>It does not create financial admissibility.</w:t>
      </w:r>
      <w:r w:rsidRPr="0010030D">
        <w:rPr>
          <w:rFonts w:ascii="Baskerville Old Face" w:hAnsi="Baskerville Old Face"/>
          <w:i/>
          <w:iCs/>
        </w:rPr>
        <w:br/>
        <w:t>It does not create verified regeneration.</w:t>
      </w:r>
      <w:r w:rsidRPr="0010030D">
        <w:rPr>
          <w:rFonts w:ascii="Baskerville Old Face" w:hAnsi="Baskerville Old Face"/>
          <w:i/>
          <w:iCs/>
        </w:rPr>
        <w:br/>
        <w:t>It does not replace MRV.</w:t>
      </w:r>
      <w:r w:rsidRPr="0010030D">
        <w:rPr>
          <w:rFonts w:ascii="Baskerville Old Face" w:hAnsi="Baskerville Old Face"/>
          <w:i/>
          <w:iCs/>
        </w:rPr>
        <w:br/>
        <w:t xml:space="preserve">It does not replace </w:t>
      </w:r>
      <w:proofErr w:type="spellStart"/>
      <w:r w:rsidRPr="0010030D">
        <w:rPr>
          <w:rFonts w:ascii="Baskerville Old Face" w:hAnsi="Baskerville Old Face"/>
          <w:i/>
          <w:iCs/>
        </w:rPr>
        <w:t>Holochain</w:t>
      </w:r>
      <w:proofErr w:type="spellEnd"/>
      <w:r w:rsidRPr="0010030D">
        <w:rPr>
          <w:rFonts w:ascii="Baskerville Old Face" w:hAnsi="Baskerville Old Face"/>
          <w:i/>
          <w:iCs/>
        </w:rPr>
        <w:t>-compatible source-layer records.</w:t>
      </w:r>
      <w:r w:rsidRPr="0010030D">
        <w:rPr>
          <w:rFonts w:ascii="Baskerville Old Face" w:hAnsi="Baskerville Old Face"/>
          <w:i/>
          <w:iCs/>
        </w:rPr>
        <w:br/>
        <w:t>It does not replace human, governance, scientific, or legal review.</w:t>
      </w:r>
    </w:p>
    <w:p w14:paraId="766F7946"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 xml:space="preserve">The source of trust remains the verification-first architecture of Prometheus: living-system evidence, provenance, MRV discipline, confidence scoring, </w:t>
      </w:r>
      <w:proofErr w:type="spellStart"/>
      <w:r w:rsidRPr="0010030D">
        <w:rPr>
          <w:rFonts w:ascii="Baskerville Old Face" w:hAnsi="Baskerville Old Face"/>
          <w:i/>
          <w:iCs/>
        </w:rPr>
        <w:t>Holochain</w:t>
      </w:r>
      <w:proofErr w:type="spellEnd"/>
      <w:r w:rsidRPr="0010030D">
        <w:rPr>
          <w:rFonts w:ascii="Baskerville Old Face" w:hAnsi="Baskerville Old Face"/>
          <w:i/>
          <w:iCs/>
        </w:rPr>
        <w:t xml:space="preserve">-compatible agent-centric records, </w:t>
      </w:r>
      <w:proofErr w:type="spellStart"/>
      <w:r w:rsidRPr="0010030D">
        <w:rPr>
          <w:rFonts w:ascii="Baskerville Old Face" w:hAnsi="Baskerville Old Face"/>
          <w:i/>
          <w:iCs/>
        </w:rPr>
        <w:t>Valueflows</w:t>
      </w:r>
      <w:proofErr w:type="spellEnd"/>
      <w:r w:rsidRPr="0010030D">
        <w:rPr>
          <w:rFonts w:ascii="Baskerville Old Face" w:hAnsi="Baskerville Old Face"/>
          <w:i/>
          <w:iCs/>
        </w:rPr>
        <w:t xml:space="preserve"> semantics, governance review, legal admissibility, and human stewardship.</w:t>
      </w:r>
    </w:p>
    <w:p w14:paraId="2D8C6931"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lastRenderedPageBreak/>
        <w:t>The Universal AI Access Layer therefore functions as an interface layer through which Prometheus becomes accessible across multiple AI environments without collapsing the distinction between access, interpretation, verification, governance, and authority.</w:t>
      </w:r>
    </w:p>
    <w:p w14:paraId="7EAC52E4"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 xml:space="preserve">Prometheus may be AI-interface-agnostic at the access layer while remaining </w:t>
      </w:r>
      <w:proofErr w:type="spellStart"/>
      <w:r w:rsidRPr="0010030D">
        <w:rPr>
          <w:rFonts w:ascii="Baskerville Old Face" w:hAnsi="Baskerville Old Face"/>
          <w:i/>
          <w:iCs/>
        </w:rPr>
        <w:t>Holochain</w:t>
      </w:r>
      <w:proofErr w:type="spellEnd"/>
      <w:r w:rsidRPr="0010030D">
        <w:rPr>
          <w:rFonts w:ascii="Baskerville Old Face" w:hAnsi="Baskerville Old Face"/>
          <w:i/>
          <w:iCs/>
        </w:rPr>
        <w:t>-native, MRV-first, governance-protected, and evidence-bound at the core.</w:t>
      </w:r>
    </w:p>
    <w:p w14:paraId="33F4E9B8"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The architectural principle is:</w:t>
      </w:r>
    </w:p>
    <w:p w14:paraId="55B6F91B" w14:textId="77777777" w:rsidR="0010030D" w:rsidRPr="0010030D" w:rsidRDefault="0010030D" w:rsidP="0010030D">
      <w:pPr>
        <w:spacing w:line="360" w:lineRule="auto"/>
        <w:rPr>
          <w:rFonts w:ascii="Baskerville Old Face" w:hAnsi="Baskerville Old Face"/>
          <w:i/>
          <w:iCs/>
        </w:rPr>
      </w:pPr>
      <w:r w:rsidRPr="0010030D">
        <w:rPr>
          <w:rFonts w:ascii="Baskerville Old Face" w:hAnsi="Baskerville Old Face"/>
          <w:i/>
          <w:iCs/>
        </w:rPr>
        <w:t>One Prometheus Core.</w:t>
      </w:r>
      <w:r w:rsidRPr="0010030D">
        <w:rPr>
          <w:rFonts w:ascii="Baskerville Old Face" w:hAnsi="Baskerville Old Face"/>
          <w:i/>
          <w:iCs/>
        </w:rPr>
        <w:br/>
        <w:t>Many AI Interfaces.</w:t>
      </w:r>
      <w:r w:rsidRPr="0010030D">
        <w:rPr>
          <w:rFonts w:ascii="Baskerville Old Face" w:hAnsi="Baskerville Old Face"/>
          <w:i/>
          <w:iCs/>
        </w:rPr>
        <w:br/>
        <w:t>Verified regeneration remains evidence-bound.</w:t>
      </w:r>
    </w:p>
    <w:p w14:paraId="1713D0E5" w14:textId="53077489"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The Prometheus transformation pipeline</w:t>
      </w:r>
    </w:p>
    <w:p w14:paraId="6E4196E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full Prometheus pipeline can be expressed as:</w:t>
      </w:r>
    </w:p>
    <w:p w14:paraId="654771E9" w14:textId="016818D9"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living system</w:t>
      </w:r>
      <w:r w:rsidRPr="00B479AE">
        <w:rPr>
          <w:rFonts w:ascii="Baskerville Old Face" w:hAnsi="Baskerville Old Face"/>
          <w:i/>
          <w:iCs/>
        </w:rPr>
        <w:br/>
        <w:t>regenerative process</w:t>
      </w:r>
      <w:r w:rsidRPr="00B479AE">
        <w:rPr>
          <w:rFonts w:ascii="Baskerville Old Face" w:hAnsi="Baskerville Old Face"/>
          <w:i/>
          <w:iCs/>
        </w:rPr>
        <w:br/>
        <w:t>observation</w:t>
      </w:r>
      <w:r w:rsidRPr="00B479AE">
        <w:rPr>
          <w:rFonts w:ascii="Baskerville Old Face" w:hAnsi="Baskerville Old Face"/>
          <w:i/>
          <w:iCs/>
        </w:rPr>
        <w:br/>
        <w:t>evidence</w:t>
      </w:r>
      <w:r w:rsidRPr="00B479AE">
        <w:rPr>
          <w:rFonts w:ascii="Baskerville Old Face" w:hAnsi="Baskerville Old Face"/>
          <w:i/>
          <w:iCs/>
        </w:rPr>
        <w:br/>
        <w:t>provenance</w:t>
      </w:r>
      <w:r w:rsidRPr="00B479AE">
        <w:rPr>
          <w:rFonts w:ascii="Baskerville Old Face" w:hAnsi="Baskerville Old Face"/>
          <w:i/>
          <w:iCs/>
        </w:rPr>
        <w:br/>
        <w:t>validated indicator</w:t>
      </w:r>
      <w:r w:rsidRPr="00B479AE">
        <w:rPr>
          <w:rFonts w:ascii="Baskerville Old Face" w:hAnsi="Baskerville Old Face"/>
          <w:i/>
          <w:iCs/>
        </w:rPr>
        <w:br/>
      </w:r>
      <w:r w:rsidR="001C094B" w:rsidRPr="00B479AE">
        <w:rPr>
          <w:rFonts w:ascii="Baskerville Old Face" w:hAnsi="Baskerville Old Face"/>
          <w:i/>
          <w:iCs/>
        </w:rPr>
        <w:t xml:space="preserve">PRU value-analysis layer </w:t>
      </w:r>
      <w:r w:rsidRPr="00B479AE">
        <w:rPr>
          <w:rFonts w:ascii="Baskerville Old Face" w:hAnsi="Baskerville Old Face"/>
          <w:i/>
          <w:iCs/>
        </w:rPr>
        <w:br/>
      </w:r>
      <w:r w:rsidR="006E7A3C" w:rsidRPr="00B479AE">
        <w:rPr>
          <w:rFonts w:ascii="Baskerville Old Face" w:hAnsi="Baskerville Old Face"/>
          <w:i/>
          <w:iCs/>
        </w:rPr>
        <w:t>PRU maturity classification</w:t>
      </w:r>
      <w:r w:rsidRPr="00B479AE">
        <w:rPr>
          <w:rFonts w:ascii="Baskerville Old Face" w:hAnsi="Baskerville Old Face"/>
          <w:i/>
          <w:iCs/>
        </w:rPr>
        <w:br/>
        <w:t>Regenerative Asset Pool</w:t>
      </w:r>
      <w:r w:rsidRPr="00B479AE">
        <w:rPr>
          <w:rFonts w:ascii="Baskerville Old Face" w:hAnsi="Baskerville Old Face"/>
          <w:i/>
          <w:iCs/>
        </w:rPr>
        <w:br/>
        <w:t>legal or institutional wrapper</w:t>
      </w:r>
      <w:r w:rsidRPr="00B479AE">
        <w:rPr>
          <w:rFonts w:ascii="Baskerville Old Face" w:hAnsi="Baskerville Old Face"/>
          <w:i/>
          <w:iCs/>
        </w:rPr>
        <w:br/>
        <w:t>capital allocation</w:t>
      </w:r>
      <w:r w:rsidRPr="00B479AE">
        <w:rPr>
          <w:rFonts w:ascii="Baskerville Old Face" w:hAnsi="Baskerville Old Face"/>
          <w:i/>
          <w:iCs/>
        </w:rPr>
        <w:br/>
        <w:t>reinvestment</w:t>
      </w:r>
      <w:r w:rsidRPr="00B479AE">
        <w:rPr>
          <w:rFonts w:ascii="Baskerville Old Face" w:hAnsi="Baskerville Old Face"/>
          <w:i/>
          <w:iCs/>
        </w:rPr>
        <w:br/>
        <w:t>expanded regeneration.</w:t>
      </w:r>
    </w:p>
    <w:p w14:paraId="00E9EED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pipeline is the operational spine of Prometheus.</w:t>
      </w:r>
    </w:p>
    <w:p w14:paraId="297D210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ensures that value formation remains anchored in the living system.</w:t>
      </w:r>
    </w:p>
    <w:p w14:paraId="4068B860" w14:textId="571A9D10"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It also ensures that </w:t>
      </w:r>
      <w:r w:rsidR="00B45DD4" w:rsidRPr="00B479AE">
        <w:rPr>
          <w:rFonts w:ascii="Baskerville Old Face" w:hAnsi="Baskerville Old Face"/>
          <w:i/>
          <w:iCs/>
        </w:rPr>
        <w:t>creation of value</w:t>
      </w:r>
      <w:r w:rsidRPr="00B479AE">
        <w:rPr>
          <w:rFonts w:ascii="Baskerville Old Face" w:hAnsi="Baskerville Old Face"/>
          <w:i/>
          <w:iCs/>
        </w:rPr>
        <w:t xml:space="preserve"> appears only after evidence, validation, and admissibility.</w:t>
      </w:r>
    </w:p>
    <w:p w14:paraId="0C760E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sequence is what separates Prometheus from speculative tokenization.</w:t>
      </w:r>
    </w:p>
    <w:p w14:paraId="28043DB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 system begins with life.</w:t>
      </w:r>
    </w:p>
    <w:p w14:paraId="45BF766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matures through evidence.</w:t>
      </w:r>
    </w:p>
    <w:p w14:paraId="5D2E5C1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becomes financeable through structure.</w:t>
      </w:r>
    </w:p>
    <w:p w14:paraId="568F65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Agent-centric digital infrastructure</w:t>
      </w:r>
    </w:p>
    <w:p w14:paraId="5634B69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is designed to operate through agent-centric digital infrastructure.</w:t>
      </w:r>
    </w:p>
    <w:p w14:paraId="3F4E6E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Living systems are contextual, distributed, adaptive, and relational.</w:t>
      </w:r>
    </w:p>
    <w:p w14:paraId="3EFF04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verification architecture serving living systems must therefore avoid unnecessary centralization of truth, data, and authority.</w:t>
      </w:r>
    </w:p>
    <w:p w14:paraId="5865062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Agent-centric infrastructure supports this by allowing participants and nodes to maintain their own source chains, preserve local context, sign their own records, and participate in validation without requiring every actor to share one global state.</w:t>
      </w:r>
    </w:p>
    <w:p w14:paraId="36A9AA9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structurally aligned with the logic of living systems.</w:t>
      </w:r>
    </w:p>
    <w:p w14:paraId="2601FA9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forest does not operate through one central ledger.</w:t>
      </w:r>
    </w:p>
    <w:p w14:paraId="34F7FC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soil food web does not require global consensus.</w:t>
      </w:r>
    </w:p>
    <w:p w14:paraId="289ACB1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community does not preserve trust through a single database alone.</w:t>
      </w:r>
    </w:p>
    <w:p w14:paraId="556D283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Coherence emerges from validated relationships.</w:t>
      </w:r>
    </w:p>
    <w:p w14:paraId="57AD76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uses this principle to support distributed ecological verification, participant agency, data sovereignty, and contextual validation.</w:t>
      </w:r>
    </w:p>
    <w:p w14:paraId="34AA5A5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digital architecture is therefore not introduced for novelty.</w:t>
      </w:r>
    </w:p>
    <w:p w14:paraId="06578D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introduced because the architecture of verification must resemble the architecture of life.</w:t>
      </w:r>
    </w:p>
    <w:p w14:paraId="67D84FD4"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b/>
          <w:bCs/>
          <w:i/>
          <w:iCs/>
        </w:rPr>
        <w:t>Holochain</w:t>
      </w:r>
      <w:proofErr w:type="spellEnd"/>
      <w:r w:rsidRPr="00B479AE">
        <w:rPr>
          <w:rFonts w:ascii="Baskerville Old Face" w:hAnsi="Baskerville Old Face"/>
          <w:b/>
          <w:bCs/>
          <w:i/>
          <w:iCs/>
        </w:rPr>
        <w:t>-compatible logic</w:t>
      </w:r>
    </w:p>
    <w:p w14:paraId="707B66AF"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architecture provides a relevant foundation for Prometheus because it is agent-centric rather than data-centric.</w:t>
      </w:r>
    </w:p>
    <w:p w14:paraId="491F2C4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Each participant can maintain a signed local history.</w:t>
      </w:r>
    </w:p>
    <w:p w14:paraId="4BF27E6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Shared data can be validated through distributed rules.</w:t>
      </w:r>
    </w:p>
    <w:p w14:paraId="30E9053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Relevant records can be published, verified, and retrieved without requiring all nodes to validate all global activity.</w:t>
      </w:r>
    </w:p>
    <w:p w14:paraId="767B201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allows Prometheus to support scalable ecological coordination without forcing living-system data into a centralized or globally synchronized bottleneck.</w:t>
      </w:r>
    </w:p>
    <w:p w14:paraId="6C8A38B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Within this architecture:</w:t>
      </w:r>
    </w:p>
    <w:p w14:paraId="0DAFA1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source chains can preserve agent-specific histories;</w:t>
      </w:r>
    </w:p>
    <w:p w14:paraId="25D6421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validation rules can evaluate entries according to application logic;</w:t>
      </w:r>
    </w:p>
    <w:p w14:paraId="27B172D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distributed hash tables can support shared data availability;</w:t>
      </w:r>
    </w:p>
    <w:p w14:paraId="5D8ECAA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warrants or validation failures can reveal integrity problems;</w:t>
      </w:r>
    </w:p>
    <w:p w14:paraId="4A01B69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peer validation can support trust without centralized custody;</w:t>
      </w:r>
    </w:p>
    <w:p w14:paraId="3EC5DE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local context can remain attached to records.</w:t>
      </w:r>
    </w:p>
    <w:p w14:paraId="47F87795" w14:textId="0BB685B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particularly important for regenerative systems, where meaning depends on place, stewardship, timing, method, and ecological context.</w:t>
      </w:r>
      <w:r w:rsidR="003F10E0" w:rsidRPr="00B479AE">
        <w:rPr>
          <w:rFonts w:ascii="Baskerville Old Face" w:hAnsi="Baskerville Old Face"/>
          <w:i/>
          <w:iCs/>
        </w:rPr>
        <w:t xml:space="preserve"> </w:t>
      </w:r>
    </w:p>
    <w:p w14:paraId="29DE4A7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b/>
          <w:bCs/>
          <w:i/>
          <w:iCs/>
        </w:rPr>
        <w:t xml:space="preserve">Agent-centric Abundance and the Architecture of </w:t>
      </w:r>
      <w:proofErr w:type="spellStart"/>
      <w:r w:rsidRPr="00B479AE">
        <w:rPr>
          <w:rFonts w:ascii="Baskerville Old Face" w:hAnsi="Baskerville Old Face"/>
          <w:b/>
          <w:bCs/>
          <w:i/>
          <w:iCs/>
        </w:rPr>
        <w:t>Holochain</w:t>
      </w:r>
      <w:proofErr w:type="spellEnd"/>
    </w:p>
    <w:p w14:paraId="4FDA73BE"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Prometheus adopts agent-centric infrastructure because regenerative systems are contextual, distributed, adaptive, and relational.</w:t>
      </w:r>
    </w:p>
    <w:p w14:paraId="0A971DB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architectural choice is not only technical.</w:t>
      </w:r>
    </w:p>
    <w:p w14:paraId="625A9E5C"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is ontological.</w:t>
      </w:r>
    </w:p>
    <w:p w14:paraId="497A1CD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 regenerative infrastructure cannot be built on a digital architecture that treats every participant as a passive replica of one global state.</w:t>
      </w:r>
    </w:p>
    <w:p w14:paraId="6CB05F4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Living systems do not scale through sameness.</w:t>
      </w:r>
    </w:p>
    <w:p w14:paraId="45433EF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lastRenderedPageBreak/>
        <w:t>They scale through differentiated participation, local intelligence, distributed validation, feedback, and relationship.</w:t>
      </w:r>
    </w:p>
    <w:p w14:paraId="3FD286FB"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In data-centric systems such as conventional blockchains, the fundamental constraint is global state consistency.</w:t>
      </w:r>
    </w:p>
    <w:p w14:paraId="0A912673"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Every node is expected to maintain or verify the same shared state.</w:t>
      </w:r>
    </w:p>
    <w:p w14:paraId="7D7CC664"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produces a sameness constraint:</w:t>
      </w:r>
    </w:p>
    <w:p w14:paraId="36D3E882" w14:textId="77777777" w:rsidR="003F10E0" w:rsidRPr="00B479AE" w:rsidRDefault="003F10E0" w:rsidP="003F10E0">
      <w:pPr>
        <w:spacing w:line="360" w:lineRule="auto"/>
        <w:rPr>
          <w:rFonts w:ascii="Baskerville Old Face" w:hAnsi="Baskerville Old Face"/>
          <w:i/>
          <w:iCs/>
        </w:rPr>
      </w:pPr>
      <w:r w:rsidRPr="00B479AE">
        <w:rPr>
          <w:rFonts w:ascii="Cambria Math" w:hAnsi="Cambria Math" w:cs="Cambria Math"/>
          <w:i/>
          <w:iCs/>
        </w:rPr>
        <w:t>∀</w:t>
      </w:r>
      <w:r w:rsidRPr="00B479AE">
        <w:rPr>
          <w:rFonts w:ascii="Baskerville Old Face" w:hAnsi="Baskerville Old Face"/>
          <w:i/>
          <w:iCs/>
        </w:rPr>
        <w:t xml:space="preserve"> n, m </w:t>
      </w:r>
      <w:r w:rsidRPr="00B479AE">
        <w:rPr>
          <w:rFonts w:ascii="Cambria Math" w:hAnsi="Cambria Math" w:cs="Cambria Math"/>
          <w:i/>
          <w:iCs/>
        </w:rPr>
        <w:t>∈</w:t>
      </w:r>
      <w:r w:rsidRPr="00B479AE">
        <w:rPr>
          <w:rFonts w:ascii="Baskerville Old Face" w:hAnsi="Baskerville Old Face"/>
          <w:i/>
          <w:iCs/>
        </w:rPr>
        <w:t xml:space="preserve"> </w:t>
      </w:r>
      <w:proofErr w:type="gramStart"/>
      <w:r w:rsidRPr="00B479AE">
        <w:rPr>
          <w:rFonts w:ascii="Baskerville Old Face" w:hAnsi="Baskerville Old Face"/>
          <w:i/>
          <w:iCs/>
        </w:rPr>
        <w:t>N :</w:t>
      </w:r>
      <w:proofErr w:type="gramEnd"/>
      <w:r w:rsidRPr="00B479AE">
        <w:rPr>
          <w:rFonts w:ascii="Baskerville Old Face" w:hAnsi="Baskerville Old Face"/>
          <w:i/>
          <w:iCs/>
        </w:rPr>
        <w:t xml:space="preserve"> X</w:t>
      </w:r>
      <w:r w:rsidRPr="00B479AE">
        <w:rPr>
          <w:rFonts w:ascii="Cambria Math" w:hAnsi="Cambria Math" w:cs="Cambria Math"/>
          <w:i/>
          <w:iCs/>
        </w:rPr>
        <w:t>ₙ</w:t>
      </w:r>
      <w:r w:rsidRPr="00B479AE">
        <w:rPr>
          <w:rFonts w:ascii="Baskerville Old Face" w:hAnsi="Baskerville Old Face"/>
          <w:i/>
          <w:iCs/>
        </w:rPr>
        <w:t xml:space="preserve"> = X</w:t>
      </w:r>
      <w:r w:rsidRPr="00B479AE">
        <w:rPr>
          <w:rFonts w:ascii="Cambria Math" w:hAnsi="Cambria Math" w:cs="Cambria Math"/>
          <w:i/>
          <w:iCs/>
        </w:rPr>
        <w:t>ₘ</w:t>
      </w:r>
    </w:p>
    <w:p w14:paraId="7A8B989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In practical terms, this means that every participant must orient toward a common global ledger.</w:t>
      </w:r>
    </w:p>
    <w:p w14:paraId="5868EE9B"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result is redundant computation, congestion at the consensus layer, competition for inclusion, block-space scarcity, and fee dynamics that often increase with demand.</w:t>
      </w:r>
    </w:p>
    <w:p w14:paraId="4C969AEE"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architecture can be powerful for certain use cases, especially where a single global financial state is required.</w:t>
      </w:r>
    </w:p>
    <w:p w14:paraId="48C28882"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However, it is structurally misaligned with regenerative systems, where meaning depends on place, context, stewardship, timing, ecological condition, and locally generated evidence.</w:t>
      </w:r>
    </w:p>
    <w:p w14:paraId="69FBBA37"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In an agent-centric system, each participant maintains its own signed source chain.</w:t>
      </w:r>
    </w:p>
    <w:p w14:paraId="7923CBC2"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Shared reality emerges through validation rules, peer review, DHT publication, and contextual interaction.</w:t>
      </w:r>
    </w:p>
    <w:p w14:paraId="6D4CD46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system does not require all nodes to validate all events.</w:t>
      </w:r>
    </w:p>
    <w:p w14:paraId="377C4D4E"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requires the right nodes to validate the right events under the right rules.</w:t>
      </w:r>
    </w:p>
    <w:p w14:paraId="36AE688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is the neighborhood principle.</w:t>
      </w:r>
    </w:p>
    <w:p w14:paraId="5BEBD50F"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When a land steward records a regenerative event — such as a planting action, soil measurement, harvest, biomass return, ecological audit, or PRU-relevant observation — the event is signed and added to that steward’s source chain.</w:t>
      </w:r>
    </w:p>
    <w:p w14:paraId="01598322"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 copy can then be published to the distributed hash table.</w:t>
      </w:r>
    </w:p>
    <w:p w14:paraId="62086B4B"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lastRenderedPageBreak/>
        <w:t>Responsibility for validating that record is assigned to a limited validation neighborhood according to application rules and hash-space logic.</w:t>
      </w:r>
    </w:p>
    <w:p w14:paraId="78090212"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Only the relevant neighborhood validates the record, stores it, rejects it, or flags it through appropriate integrity procedures.</w:t>
      </w:r>
    </w:p>
    <w:p w14:paraId="0CA1727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consequence is fundamental:</w:t>
      </w:r>
    </w:p>
    <w:p w14:paraId="28AFFCF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participation does not create congestion.</w:t>
      </w:r>
    </w:p>
    <w:p w14:paraId="0287839E"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Participation creates capacity.</w:t>
      </w:r>
    </w:p>
    <w:p w14:paraId="23D1049D"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In a data-centric architecture, more participants can increase the burden on the system because more actors compete for the same global validation space.</w:t>
      </w:r>
    </w:p>
    <w:p w14:paraId="24AAC81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In an agent-centric architecture, more participants can increase the system’s distributed capacity because validation and storage are distributed across many source chains and neighborhoods.</w:t>
      </w:r>
    </w:p>
    <w:p w14:paraId="46C9F42A"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is the mathematical inversion of the blockchain paradigm.</w:t>
      </w:r>
    </w:p>
    <w:p w14:paraId="4CA8CDBE"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simplified complexity contrast can be expressed as follows.</w:t>
      </w:r>
    </w:p>
    <w:p w14:paraId="02E9CDBD"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For a data-centric blockchain-like system, total validation burden tends toward high global coordination costs because each node or validator class must orient toward a common state.</w:t>
      </w:r>
    </w:p>
    <w:p w14:paraId="5E868BB9"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 xml:space="preserve">For an agent-centric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system, average validation burden per node may decrease as the network grows, because each node is responsible only for a relevant portion of validation.</w:t>
      </w:r>
    </w:p>
    <w:p w14:paraId="6AAB1DA9"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Conceptually:</w:t>
      </w:r>
    </w:p>
    <w:p w14:paraId="419DCAFD" w14:textId="77777777" w:rsidR="003F10E0" w:rsidRPr="00B479AE" w:rsidRDefault="003F10E0" w:rsidP="003F10E0">
      <w:pPr>
        <w:spacing w:line="360" w:lineRule="auto"/>
        <w:rPr>
          <w:rFonts w:ascii="Baskerville Old Face" w:hAnsi="Baskerville Old Face"/>
          <w:i/>
          <w:iCs/>
        </w:rPr>
      </w:pPr>
      <w:proofErr w:type="spellStart"/>
      <w:r w:rsidRPr="00B479AE">
        <w:rPr>
          <w:rFonts w:ascii="Cambria" w:hAnsi="Cambria" w:cs="Cambria"/>
          <w:i/>
          <w:iCs/>
        </w:rPr>
        <w:t>Ω</w:t>
      </w:r>
      <w:r w:rsidRPr="00B479AE">
        <w:rPr>
          <w:rFonts w:ascii="Baskerville Old Face" w:hAnsi="Baskerville Old Face"/>
          <w:i/>
          <w:iCs/>
        </w:rPr>
        <w:t>_blockchain</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O(n</w:t>
      </w:r>
      <w:r w:rsidRPr="00B479AE">
        <w:rPr>
          <w:rFonts w:ascii="Baskerville Old Face" w:hAnsi="Baskerville Old Face" w:cs="Baskerville Old Face"/>
          <w:i/>
          <w:iCs/>
        </w:rPr>
        <w:t>²</w:t>
      </w:r>
      <w:r w:rsidRPr="00B479AE">
        <w:rPr>
          <w:rFonts w:ascii="Baskerville Old Face" w:hAnsi="Baskerville Old Face"/>
          <w:i/>
          <w:iCs/>
        </w:rPr>
        <w:t>m)</w:t>
      </w:r>
    </w:p>
    <w:p w14:paraId="5D8129A5" w14:textId="77777777" w:rsidR="003F10E0" w:rsidRPr="005907F1" w:rsidRDefault="003F10E0" w:rsidP="003F10E0">
      <w:pPr>
        <w:spacing w:line="360" w:lineRule="auto"/>
        <w:rPr>
          <w:rFonts w:ascii="Baskerville Old Face" w:hAnsi="Baskerville Old Face"/>
          <w:i/>
          <w:iCs/>
          <w:lang w:val="it-IT"/>
        </w:rPr>
      </w:pPr>
      <w:r w:rsidRPr="00B479AE">
        <w:rPr>
          <w:rFonts w:ascii="Cambria" w:hAnsi="Cambria" w:cs="Cambria"/>
          <w:i/>
          <w:iCs/>
        </w:rPr>
        <w:t>Ω</w:t>
      </w:r>
      <w:r w:rsidRPr="005907F1">
        <w:rPr>
          <w:rFonts w:ascii="Baskerville Old Face" w:hAnsi="Baskerville Old Face"/>
          <w:i/>
          <w:iCs/>
          <w:lang w:val="it-IT"/>
        </w:rPr>
        <w:t>_agent-</w:t>
      </w:r>
      <w:proofErr w:type="spellStart"/>
      <w:r w:rsidRPr="005907F1">
        <w:rPr>
          <w:rFonts w:ascii="Baskerville Old Face" w:hAnsi="Baskerville Old Face"/>
          <w:i/>
          <w:iCs/>
          <w:lang w:val="it-IT"/>
        </w:rPr>
        <w:t>centric</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gramStart"/>
      <w:r w:rsidRPr="005907F1">
        <w:rPr>
          <w:rFonts w:ascii="Baskerville Old Face" w:hAnsi="Baskerville Old Face"/>
          <w:i/>
          <w:iCs/>
          <w:lang w:val="it-IT"/>
        </w:rPr>
        <w:t>O(</w:t>
      </w:r>
      <w:proofErr w:type="gramEnd"/>
      <w:r w:rsidRPr="005907F1">
        <w:rPr>
          <w:rFonts w:ascii="Baskerville Old Face" w:hAnsi="Baskerville Old Face"/>
          <w:i/>
          <w:iCs/>
          <w:lang w:val="it-IT"/>
        </w:rPr>
        <w:t xml:space="preserve">n </w:t>
      </w:r>
      <w:r w:rsidRPr="005907F1">
        <w:rPr>
          <w:rFonts w:ascii="Cambria" w:hAnsi="Cambria" w:cs="Cambria"/>
          <w:i/>
          <w:iCs/>
          <w:lang w:val="it-IT"/>
        </w:rPr>
        <w:t>·</w:t>
      </w:r>
      <w:r w:rsidRPr="005907F1">
        <w:rPr>
          <w:rFonts w:ascii="Baskerville Old Face" w:hAnsi="Baskerville Old Face"/>
          <w:i/>
          <w:iCs/>
          <w:lang w:val="it-IT"/>
        </w:rPr>
        <w:t xml:space="preserve"> (log m + v(</w:t>
      </w:r>
      <w:proofErr w:type="spellStart"/>
      <w:proofErr w:type="gramStart"/>
      <w:r w:rsidRPr="005907F1">
        <w:rPr>
          <w:rFonts w:ascii="Baskerville Old Face" w:hAnsi="Baskerville Old Face"/>
          <w:i/>
          <w:iCs/>
          <w:lang w:val="it-IT"/>
        </w:rPr>
        <w:t>n,m</w:t>
      </w:r>
      <w:proofErr w:type="spellEnd"/>
      <w:proofErr w:type="gramEnd"/>
      <w:r w:rsidRPr="005907F1">
        <w:rPr>
          <w:rFonts w:ascii="Baskerville Old Face" w:hAnsi="Baskerville Old Face"/>
          <w:i/>
          <w:iCs/>
          <w:lang w:val="it-IT"/>
        </w:rPr>
        <w:t>)))</w:t>
      </w:r>
    </w:p>
    <w:p w14:paraId="3F2781B3" w14:textId="77777777" w:rsidR="003F10E0" w:rsidRPr="005907F1" w:rsidRDefault="003F10E0" w:rsidP="003F10E0">
      <w:pPr>
        <w:spacing w:line="360" w:lineRule="auto"/>
        <w:rPr>
          <w:rFonts w:ascii="Baskerville Old Face" w:hAnsi="Baskerville Old Face"/>
          <w:i/>
          <w:iCs/>
          <w:lang w:val="it-IT"/>
        </w:rPr>
      </w:pPr>
      <w:r w:rsidRPr="00B479AE">
        <w:rPr>
          <w:rFonts w:ascii="Cambria" w:hAnsi="Cambria" w:cs="Cambria"/>
          <w:i/>
          <w:iCs/>
        </w:rPr>
        <w:t>Ω</w:t>
      </w:r>
      <w:r w:rsidRPr="005907F1">
        <w:rPr>
          <w:rFonts w:ascii="Baskerville Old Face" w:hAnsi="Baskerville Old Face"/>
          <w:i/>
          <w:iCs/>
          <w:lang w:val="it-IT"/>
        </w:rPr>
        <w:t>_</w:t>
      </w:r>
      <w:proofErr w:type="spellStart"/>
      <w:r w:rsidRPr="005907F1">
        <w:rPr>
          <w:rFonts w:ascii="Baskerville Old Face" w:hAnsi="Baskerville Old Face"/>
          <w:i/>
          <w:iCs/>
          <w:lang w:val="it-IT"/>
        </w:rPr>
        <w:t>node</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O((n/m) </w:t>
      </w:r>
      <w:r w:rsidRPr="005907F1">
        <w:rPr>
          <w:rFonts w:ascii="Cambria" w:hAnsi="Cambria" w:cs="Cambria"/>
          <w:i/>
          <w:iCs/>
          <w:lang w:val="it-IT"/>
        </w:rPr>
        <w:t>·</w:t>
      </w:r>
      <w:r w:rsidRPr="005907F1">
        <w:rPr>
          <w:rFonts w:ascii="Baskerville Old Face" w:hAnsi="Baskerville Old Face"/>
          <w:i/>
          <w:iCs/>
          <w:lang w:val="it-IT"/>
        </w:rPr>
        <w:t xml:space="preserve"> log m)</w:t>
      </w:r>
    </w:p>
    <w:p w14:paraId="69A772F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where:</w:t>
      </w:r>
    </w:p>
    <w:p w14:paraId="57F142E5"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n represents the number of events or transactions;</w:t>
      </w:r>
    </w:p>
    <w:p w14:paraId="5DA01FA2"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m represents the number of nodes or agents;</w:t>
      </w:r>
    </w:p>
    <w:p w14:paraId="62EA7EE3"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lastRenderedPageBreak/>
        <w:t>v(</w:t>
      </w:r>
      <w:proofErr w:type="spellStart"/>
      <w:proofErr w:type="gramStart"/>
      <w:r w:rsidRPr="00B479AE">
        <w:rPr>
          <w:rFonts w:ascii="Baskerville Old Face" w:hAnsi="Baskerville Old Face"/>
          <w:i/>
          <w:iCs/>
        </w:rPr>
        <w:t>n,m</w:t>
      </w:r>
      <w:proofErr w:type="spellEnd"/>
      <w:proofErr w:type="gramEnd"/>
      <w:r w:rsidRPr="00B479AE">
        <w:rPr>
          <w:rFonts w:ascii="Baskerville Old Face" w:hAnsi="Baskerville Old Face"/>
          <w:i/>
          <w:iCs/>
        </w:rPr>
        <w:t>) represents validation overhead under application-specific rules.</w:t>
      </w:r>
    </w:p>
    <w:p w14:paraId="5912C007"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strategic implication is simple:</w:t>
      </w:r>
    </w:p>
    <w:p w14:paraId="3F5DA628"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when validation is local and state is distributed, the system can become more capable as participation grows.</w:t>
      </w:r>
    </w:p>
    <w:p w14:paraId="06BC2FAA"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gives technical form to a deeper regenerative principle.</w:t>
      </w:r>
    </w:p>
    <w:p w14:paraId="7C7D4C25"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Life does not scale through global sameness.</w:t>
      </w:r>
    </w:p>
    <w:p w14:paraId="6DDF1AE7"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Life scales through distributed coherence.</w:t>
      </w:r>
    </w:p>
    <w:p w14:paraId="23180CAD"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 forest does not require every tree to validate every exchange.</w:t>
      </w:r>
    </w:p>
    <w:p w14:paraId="6CAB0CF4"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 soil food web does not require global consensus to circulate nutrients.</w:t>
      </w:r>
    </w:p>
    <w:p w14:paraId="791CF11C"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 community does not become resilient by forcing all actors into one identical state.</w:t>
      </w:r>
    </w:p>
    <w:p w14:paraId="665AC4C4"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becomes resilient when differentiated participants coordinate through trusted relationships, shared rules, and feedback.</w:t>
      </w:r>
    </w:p>
    <w:p w14:paraId="433B8E4F"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is why Prometheus treats agent-centric architecture as more than a software decision.</w:t>
      </w:r>
    </w:p>
    <w:p w14:paraId="5ECF573F"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is a digital expression of regenerative logic.</w:t>
      </w:r>
    </w:p>
    <w:p w14:paraId="5352F0F7"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comparison can be summarized as follows:</w:t>
      </w:r>
    </w:p>
    <w:p w14:paraId="2FF30ED8"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Data-centric architecture emphasizes global state, uniform validation, congestion control, and scarcity management.</w:t>
      </w:r>
    </w:p>
    <w:p w14:paraId="1A8D4984"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Agent-centric architecture emphasizes local state, contextual validation, distributed coherence, and capacity through participation.</w:t>
      </w:r>
    </w:p>
    <w:p w14:paraId="394A06A6"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In this sense, scarcity is often not a natural law.</w:t>
      </w:r>
    </w:p>
    <w:p w14:paraId="67EDE2E6"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is an architectural outcome.</w:t>
      </w:r>
    </w:p>
    <w:p w14:paraId="2C266E2B"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Where a system requires artificial bottlenecks, competitive inclusion, and scarce validation space in order to function, scarcity is embedded into the design.</w:t>
      </w:r>
    </w:p>
    <w:p w14:paraId="595D2E94"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lastRenderedPageBreak/>
        <w:t>Where a system allows validation to distribute across agents, contexts, and neighborhoods, capacity can increase with participation.</w:t>
      </w:r>
    </w:p>
    <w:p w14:paraId="66D0BE21"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This is the meaning of abundance within Prometheus.</w:t>
      </w:r>
    </w:p>
    <w:p w14:paraId="711AD413"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Abundance is not the absence of limits.</w:t>
      </w:r>
    </w:p>
    <w:p w14:paraId="2D46BFCF"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is the capacity of a system to increase coherence, participation, and regenerative throughput without collapsing into congestion, extraction, or artificial scarcity.</w:t>
      </w:r>
    </w:p>
    <w:p w14:paraId="0E39390D"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As Ernst Götsch expresses the deeper ecological insight:</w:t>
      </w:r>
    </w:p>
    <w:p w14:paraId="444E5AD3"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 xml:space="preserve">“We are not the intelligent </w:t>
      </w:r>
      <w:proofErr w:type="gramStart"/>
      <w:r w:rsidRPr="00B479AE">
        <w:rPr>
          <w:rFonts w:ascii="Baskerville Old Face" w:hAnsi="Baskerville Old Face"/>
          <w:i/>
          <w:iCs/>
        </w:rPr>
        <w:t>ones,</w:t>
      </w:r>
      <w:proofErr w:type="gramEnd"/>
      <w:r w:rsidRPr="00B479AE">
        <w:rPr>
          <w:rFonts w:ascii="Baskerville Old Face" w:hAnsi="Baskerville Old Face"/>
          <w:i/>
          <w:iCs/>
        </w:rPr>
        <w:t xml:space="preserve"> we are part of an intelligent system — and the difference is astonishing.”</w:t>
      </w:r>
    </w:p>
    <w:p w14:paraId="0CFF25D9"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Prometheus adopts this principle as both ecological and digital architecture.</w:t>
      </w:r>
    </w:p>
    <w:p w14:paraId="335BBD77"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 system is not designed to make every participant identical.</w:t>
      </w:r>
    </w:p>
    <w:p w14:paraId="61804A95"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It is designed to let each participant contribute validly to a larger field of coherence.</w:t>
      </w:r>
    </w:p>
    <w:p w14:paraId="11BA137E" w14:textId="3F61E3A0"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 xml:space="preserve">This is why agent-centric infrastructure, source-chain integrity, DHT-based validation,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semantics, MRV evidence, and </w:t>
      </w:r>
      <w:r w:rsidR="001C094B" w:rsidRPr="00B479AE">
        <w:rPr>
          <w:rFonts w:ascii="Baskerville Old Face" w:hAnsi="Baskerville Old Face"/>
          <w:i/>
          <w:iCs/>
        </w:rPr>
        <w:t xml:space="preserve">PRU value-analysis layer </w:t>
      </w:r>
      <w:r w:rsidRPr="00B479AE">
        <w:rPr>
          <w:rFonts w:ascii="Baskerville Old Face" w:hAnsi="Baskerville Old Face"/>
          <w:i/>
          <w:iCs/>
        </w:rPr>
        <w:t>belong to the same architecture.</w:t>
      </w:r>
    </w:p>
    <w:p w14:paraId="2A8A88B0" w14:textId="77777777" w:rsidR="003F10E0" w:rsidRPr="00B479AE" w:rsidRDefault="003F10E0" w:rsidP="003F10E0">
      <w:pPr>
        <w:spacing w:line="360" w:lineRule="auto"/>
        <w:rPr>
          <w:rFonts w:ascii="Baskerville Old Face" w:hAnsi="Baskerville Old Face"/>
          <w:i/>
          <w:iCs/>
        </w:rPr>
      </w:pPr>
      <w:r w:rsidRPr="00B479AE">
        <w:rPr>
          <w:rFonts w:ascii="Baskerville Old Face" w:hAnsi="Baskerville Old Face"/>
          <w:i/>
          <w:iCs/>
        </w:rPr>
        <w:t>They are all expressions of one design thesis:</w:t>
      </w:r>
    </w:p>
    <w:p w14:paraId="775F24C2" w14:textId="77777777" w:rsidR="003F10E0" w:rsidRPr="00B479AE" w:rsidRDefault="003F10E0" w:rsidP="008D67A4">
      <w:pPr>
        <w:spacing w:line="360" w:lineRule="auto"/>
        <w:rPr>
          <w:rFonts w:ascii="Baskerville Old Face" w:hAnsi="Baskerville Old Face"/>
          <w:i/>
          <w:iCs/>
        </w:rPr>
      </w:pPr>
      <w:r w:rsidRPr="00B479AE">
        <w:rPr>
          <w:rFonts w:ascii="Baskerville Old Face" w:hAnsi="Baskerville Old Face"/>
          <w:i/>
          <w:iCs/>
        </w:rPr>
        <w:t xml:space="preserve">regeneration scales when distributed agents can coordinate without losing context, sovereignty, evidence, or relationship. </w:t>
      </w:r>
    </w:p>
    <w:p w14:paraId="15412860" w14:textId="5F585B95"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b/>
          <w:bCs/>
          <w:i/>
          <w:iCs/>
        </w:rPr>
        <w:t>Formal Note — Complexity Analysis of Agent-Centric Abundance</w:t>
      </w:r>
    </w:p>
    <w:p w14:paraId="7FB69AF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agent-centric architecture of Prometheus can also be expressed through a formal complexity lens.</w:t>
      </w:r>
    </w:p>
    <w:p w14:paraId="1B645A30"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formal note clarifies why Prometheus treats abundance not as a rhetorical aspiration, but as an architectural property of systems designed around distributed agency, local validation, and contextual coherence.</w:t>
      </w:r>
    </w:p>
    <w:p w14:paraId="73E4B68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b/>
          <w:bCs/>
          <w:i/>
          <w:iCs/>
        </w:rPr>
        <w:t>Formal foundations: from data-centric to agent-centric systems</w:t>
      </w:r>
    </w:p>
    <w:p w14:paraId="283B6A1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Let a generalized distributed system be represented as </w:t>
      </w:r>
      <w:r w:rsidRPr="00B479AE">
        <w:rPr>
          <w:rFonts w:ascii="Cambria" w:hAnsi="Cambria" w:cs="Cambria"/>
          <w:i/>
          <w:iCs/>
        </w:rPr>
        <w:t>Ω</w:t>
      </w:r>
      <w:r w:rsidRPr="00B479AE">
        <w:rPr>
          <w:rFonts w:ascii="Baskerville Old Face" w:hAnsi="Baskerville Old Face"/>
          <w:i/>
          <w:iCs/>
        </w:rPr>
        <w:t>.</w:t>
      </w:r>
    </w:p>
    <w:p w14:paraId="0A625A77"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Let:</w:t>
      </w:r>
    </w:p>
    <w:p w14:paraId="7A3533BC"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N = {n</w:t>
      </w:r>
      <w:r w:rsidRPr="00B479AE">
        <w:rPr>
          <w:rFonts w:ascii="Cambria Math" w:hAnsi="Cambria Math" w:cs="Cambria Math"/>
          <w:i/>
          <w:iCs/>
        </w:rPr>
        <w:t>₁</w:t>
      </w:r>
      <w:r w:rsidRPr="00B479AE">
        <w:rPr>
          <w:rFonts w:ascii="Baskerville Old Face" w:hAnsi="Baskerville Old Face"/>
          <w:i/>
          <w:iCs/>
        </w:rPr>
        <w:t>, n</w:t>
      </w:r>
      <w:r w:rsidRPr="00B479AE">
        <w:rPr>
          <w:rFonts w:ascii="Cambria Math" w:hAnsi="Cambria Math" w:cs="Cambria Math"/>
          <w:i/>
          <w:iCs/>
        </w:rPr>
        <w:t>₂</w:t>
      </w:r>
      <w:r w:rsidRPr="00B479AE">
        <w:rPr>
          <w:rFonts w:ascii="Baskerville Old Face" w:hAnsi="Baskerville Old Face"/>
          <w:i/>
          <w:iCs/>
        </w:rPr>
        <w:t xml:space="preserve">, </w:t>
      </w:r>
      <w:r w:rsidRPr="00B479AE">
        <w:rPr>
          <w:rFonts w:ascii="Baskerville Old Face" w:hAnsi="Baskerville Old Face" w:cs="Baskerville Old Face"/>
          <w:i/>
          <w:iCs/>
        </w:rPr>
        <w:t>…</w:t>
      </w:r>
      <w:r w:rsidRPr="00B479AE">
        <w:rPr>
          <w:rFonts w:ascii="Baskerville Old Face" w:hAnsi="Baskerville Old Face"/>
          <w:i/>
          <w:iCs/>
        </w:rPr>
        <w:t>, n</w:t>
      </w:r>
      <w:r w:rsidRPr="00B479AE">
        <w:rPr>
          <w:rFonts w:ascii="Cambria Math" w:hAnsi="Cambria Math" w:cs="Cambria Math"/>
          <w:i/>
          <w:iCs/>
        </w:rPr>
        <w:t>ₘ</w:t>
      </w:r>
      <w:r w:rsidRPr="00B479AE">
        <w:rPr>
          <w:rFonts w:ascii="Baskerville Old Face" w:hAnsi="Baskerville Old Face"/>
          <w:i/>
          <w:iCs/>
        </w:rPr>
        <w:t>} be the set of nodes or agents;</w:t>
      </w:r>
    </w:p>
    <w:p w14:paraId="660EAF7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 each node n </w:t>
      </w:r>
      <w:proofErr w:type="gramStart"/>
      <w:r w:rsidRPr="00B479AE">
        <w:rPr>
          <w:rFonts w:ascii="Baskerville Old Face" w:hAnsi="Baskerville Old Face"/>
          <w:i/>
          <w:iCs/>
        </w:rPr>
        <w:t>contain</w:t>
      </w:r>
      <w:proofErr w:type="gramEnd"/>
      <w:r w:rsidRPr="00B479AE">
        <w:rPr>
          <w:rFonts w:ascii="Baskerville Old Face" w:hAnsi="Baskerville Old Face"/>
          <w:i/>
          <w:iCs/>
        </w:rPr>
        <w:t xml:space="preserve"> a state S</w:t>
      </w:r>
      <w:r w:rsidRPr="00B479AE">
        <w:rPr>
          <w:rFonts w:ascii="Cambria Math" w:hAnsi="Cambria Math" w:cs="Cambria Math"/>
          <w:i/>
          <w:iCs/>
        </w:rPr>
        <w:t>ₙ</w:t>
      </w:r>
      <w:r w:rsidRPr="00B479AE">
        <w:rPr>
          <w:rFonts w:ascii="Baskerville Old Face" w:hAnsi="Baskerville Old Face"/>
          <w:i/>
          <w:iCs/>
        </w:rPr>
        <w:t>;</w:t>
      </w:r>
    </w:p>
    <w:p w14:paraId="5C6DCE3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each state S</w:t>
      </w:r>
      <w:r w:rsidRPr="00B479AE">
        <w:rPr>
          <w:rFonts w:ascii="Cambria Math" w:hAnsi="Cambria Math" w:cs="Cambria Math"/>
          <w:i/>
          <w:iCs/>
        </w:rPr>
        <w:t>ₙ</w:t>
      </w:r>
      <w:r w:rsidRPr="00B479AE">
        <w:rPr>
          <w:rFonts w:ascii="Baskerville Old Face" w:hAnsi="Baskerville Old Face"/>
          <w:i/>
          <w:iCs/>
        </w:rPr>
        <w:t xml:space="preserve"> include a cryptographically secured hash-chain X</w:t>
      </w:r>
      <w:r w:rsidRPr="00B479AE">
        <w:rPr>
          <w:rFonts w:ascii="Cambria Math" w:hAnsi="Cambria Math" w:cs="Cambria Math"/>
          <w:i/>
          <w:iCs/>
        </w:rPr>
        <w:t>ₙ</w:t>
      </w:r>
      <w:r w:rsidRPr="00B479AE">
        <w:rPr>
          <w:rFonts w:ascii="Baskerville Old Face" w:hAnsi="Baskerville Old Face"/>
          <w:i/>
          <w:iCs/>
        </w:rPr>
        <w:t xml:space="preserve"> and non-chain data D</w:t>
      </w:r>
      <w:r w:rsidRPr="00B479AE">
        <w:rPr>
          <w:rFonts w:ascii="Cambria Math" w:hAnsi="Cambria Math" w:cs="Cambria Math"/>
          <w:i/>
          <w:iCs/>
        </w:rPr>
        <w:t>ₙ</w:t>
      </w:r>
      <w:r w:rsidRPr="00B479AE">
        <w:rPr>
          <w:rFonts w:ascii="Baskerville Old Face" w:hAnsi="Baskerville Old Face"/>
          <w:i/>
          <w:iCs/>
        </w:rPr>
        <w:t>;</w:t>
      </w:r>
    </w:p>
    <w:p w14:paraId="7B8D8625"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H be a cryptographically secure hash function;</w:t>
      </w:r>
    </w:p>
    <w:p w14:paraId="7F603C0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 </w:t>
      </w:r>
      <w:proofErr w:type="gramStart"/>
      <w:r w:rsidRPr="00B479AE">
        <w:rPr>
          <w:rFonts w:ascii="Baskerville Old Face" w:hAnsi="Baskerville Old Face"/>
          <w:i/>
          <w:iCs/>
        </w:rPr>
        <w:t>V(</w:t>
      </w:r>
      <w:proofErr w:type="gramEnd"/>
      <w:r w:rsidRPr="00B479AE">
        <w:rPr>
          <w:rFonts w:ascii="Baskerville Old Face" w:hAnsi="Baskerville Old Face"/>
          <w:i/>
          <w:iCs/>
        </w:rPr>
        <w:t>e, v) be a validation function determining whether an event, entry, or transaction e is valid under a given rule set v.</w:t>
      </w:r>
    </w:p>
    <w:p w14:paraId="29EC3C8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data-centric systems, such as conventional blockchain architectures, the fundamental requirement is global state consistency.</w:t>
      </w:r>
    </w:p>
    <w:p w14:paraId="66DBBCD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can be represented as:</w:t>
      </w:r>
    </w:p>
    <w:p w14:paraId="16E99413" w14:textId="77777777" w:rsidR="00F05EE7" w:rsidRPr="00B479AE" w:rsidRDefault="00F05EE7" w:rsidP="00F05EE7">
      <w:pPr>
        <w:spacing w:line="360" w:lineRule="auto"/>
        <w:rPr>
          <w:rFonts w:ascii="Baskerville Old Face" w:hAnsi="Baskerville Old Face"/>
          <w:i/>
          <w:iCs/>
        </w:rPr>
      </w:pPr>
      <w:r w:rsidRPr="00B479AE">
        <w:rPr>
          <w:rFonts w:ascii="Cambria Math" w:hAnsi="Cambria Math" w:cs="Cambria Math"/>
          <w:i/>
          <w:iCs/>
        </w:rPr>
        <w:t>∀</w:t>
      </w:r>
      <w:r w:rsidRPr="00B479AE">
        <w:rPr>
          <w:rFonts w:ascii="Baskerville Old Face" w:hAnsi="Baskerville Old Face"/>
          <w:i/>
          <w:iCs/>
        </w:rPr>
        <w:t xml:space="preserve"> n, m </w:t>
      </w:r>
      <w:r w:rsidRPr="00B479AE">
        <w:rPr>
          <w:rFonts w:ascii="Cambria Math" w:hAnsi="Cambria Math" w:cs="Cambria Math"/>
          <w:i/>
          <w:iCs/>
        </w:rPr>
        <w:t>∈</w:t>
      </w:r>
      <w:r w:rsidRPr="00B479AE">
        <w:rPr>
          <w:rFonts w:ascii="Baskerville Old Face" w:hAnsi="Baskerville Old Face"/>
          <w:i/>
          <w:iCs/>
        </w:rPr>
        <w:t xml:space="preserve"> </w:t>
      </w:r>
      <w:proofErr w:type="gramStart"/>
      <w:r w:rsidRPr="00B479AE">
        <w:rPr>
          <w:rFonts w:ascii="Baskerville Old Face" w:hAnsi="Baskerville Old Face"/>
          <w:i/>
          <w:iCs/>
        </w:rPr>
        <w:t>N :</w:t>
      </w:r>
      <w:proofErr w:type="gramEnd"/>
      <w:r w:rsidRPr="00B479AE">
        <w:rPr>
          <w:rFonts w:ascii="Baskerville Old Face" w:hAnsi="Baskerville Old Face"/>
          <w:i/>
          <w:iCs/>
        </w:rPr>
        <w:t xml:space="preserve"> X</w:t>
      </w:r>
      <w:r w:rsidRPr="00B479AE">
        <w:rPr>
          <w:rFonts w:ascii="Cambria Math" w:hAnsi="Cambria Math" w:cs="Cambria Math"/>
          <w:i/>
          <w:iCs/>
        </w:rPr>
        <w:t>ₙ</w:t>
      </w:r>
      <w:r w:rsidRPr="00B479AE">
        <w:rPr>
          <w:rFonts w:ascii="Baskerville Old Face" w:hAnsi="Baskerville Old Face"/>
          <w:i/>
          <w:iCs/>
        </w:rPr>
        <w:t xml:space="preserve"> = X</w:t>
      </w:r>
      <w:r w:rsidRPr="00B479AE">
        <w:rPr>
          <w:rFonts w:ascii="Cambria Math" w:hAnsi="Cambria Math" w:cs="Cambria Math"/>
          <w:i/>
          <w:iCs/>
        </w:rPr>
        <w:t>ₘ</w:t>
      </w:r>
    </w:p>
    <w:p w14:paraId="19E2674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means that all nodes must converge toward the same shared chain or global state.</w:t>
      </w:r>
    </w:p>
    <w:p w14:paraId="1DA20357"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sameness constraint creates structural consequences:</w:t>
      </w:r>
    </w:p>
    <w:p w14:paraId="6B66D89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redundant computation across the validation network;</w:t>
      </w:r>
    </w:p>
    <w:p w14:paraId="638F738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global coordination overhead;</w:t>
      </w:r>
    </w:p>
    <w:p w14:paraId="115063F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competition for inclusion in shared block space;</w:t>
      </w:r>
    </w:p>
    <w:p w14:paraId="541753E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congestion at the consensus layer;</w:t>
      </w:r>
    </w:p>
    <w:p w14:paraId="1DFB34C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fee pressure under demand;</w:t>
      </w:r>
    </w:p>
    <w:p w14:paraId="4924073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scarcity as a functional requirement of the architecture.</w:t>
      </w:r>
    </w:p>
    <w:p w14:paraId="0636864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Such systems can be valuable where a single global financial state is necessary.</w:t>
      </w:r>
    </w:p>
    <w:p w14:paraId="74CB1B5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However, the same design becomes structurally limited when applied to regenerative systems, where relevant truth is contextual, local, ecological, agent-specific, and time-dependent.</w:t>
      </w:r>
    </w:p>
    <w:p w14:paraId="2EE439D0"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A soil observation, planting record, biomass return, harvest event, stewardship action, or ecological audit does not require every participant in the world to validate the entire global state.</w:t>
      </w:r>
    </w:p>
    <w:p w14:paraId="048AA16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requires the correct validation context.</w:t>
      </w:r>
    </w:p>
    <w:p w14:paraId="555DBE49"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agent-centric systems, each participant maintains its own signed source chain.</w:t>
      </w:r>
    </w:p>
    <w:p w14:paraId="0859CB4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Shared reality emerges through validation rules, distributed publication, peer review, and contextual interaction.</w:t>
      </w:r>
    </w:p>
    <w:p w14:paraId="77D7B3E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architecture therefore shifts from global sameness to distributed coherence.</w:t>
      </w:r>
    </w:p>
    <w:p w14:paraId="291CF08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Each agent preserves its own history.</w:t>
      </w:r>
    </w:p>
    <w:p w14:paraId="5644DFA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Each relevant event can be validated by the appropriate neighborhood.</w:t>
      </w:r>
    </w:p>
    <w:p w14:paraId="2B461896"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system does not need all nodes to validate all events.</w:t>
      </w:r>
    </w:p>
    <w:p w14:paraId="3B2A0E6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needs relevant nodes to validate relevant events under relevant rules.</w:t>
      </w:r>
    </w:p>
    <w:p w14:paraId="577866E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b/>
          <w:bCs/>
          <w:i/>
          <w:iCs/>
        </w:rPr>
        <w:t>The neighborhood principle: validation at scale</w:t>
      </w:r>
    </w:p>
    <w:p w14:paraId="4111918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neighborhood principle is the operational inversion of global consensus.</w:t>
      </w:r>
    </w:p>
    <w:p w14:paraId="5A09A6F0" w14:textId="454A68A8"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Consider a regenerative project in which a land steward records a regenerative event: a planting action, soil test, harvest, biomass return, </w:t>
      </w:r>
      <w:r w:rsidR="00505666" w:rsidRPr="00B479AE">
        <w:rPr>
          <w:rFonts w:ascii="Baskerville Old Face" w:hAnsi="Baskerville Old Face"/>
          <w:i/>
          <w:iCs/>
        </w:rPr>
        <w:t>verified ecological performance record</w:t>
      </w:r>
      <w:r w:rsidRPr="00B479AE">
        <w:rPr>
          <w:rFonts w:ascii="Baskerville Old Face" w:hAnsi="Baskerville Old Face"/>
          <w:i/>
          <w:iCs/>
        </w:rPr>
        <w:t>, water-retention measurement, or PRU-relevant observation.</w:t>
      </w:r>
      <w:r w:rsidR="007556FF" w:rsidRPr="00B479AE">
        <w:rPr>
          <w:rFonts w:ascii="Baskerville Old Face" w:hAnsi="Baskerville Old Face"/>
          <w:i/>
          <w:iCs/>
        </w:rPr>
        <w:t xml:space="preserve"> </w:t>
      </w:r>
    </w:p>
    <w:p w14:paraId="0AC2B670" w14:textId="53E9982F" w:rsidR="007556FF" w:rsidRPr="00B479AE" w:rsidRDefault="007556FF" w:rsidP="00F05EE7">
      <w:pPr>
        <w:spacing w:line="360" w:lineRule="auto"/>
        <w:rPr>
          <w:rFonts w:ascii="Baskerville Old Face" w:hAnsi="Baskerville Old Face"/>
          <w:i/>
          <w:iCs/>
        </w:rPr>
      </w:pPr>
      <w:r w:rsidRPr="00B479AE">
        <w:rPr>
          <w:rFonts w:ascii="Baskerville Old Face" w:hAnsi="Baskerville Old Face"/>
          <w:i/>
          <w:iCs/>
        </w:rPr>
        <w:t>Ecological credit language should be treated as a future legal and methodological pathway, not as an automatic output of MRV. Prometheus may generate verified ecological performance signals, but credit issuance requires recognized methodology, registry discipline, legal structure, anti-double-counting controls, and jurisdictional review.</w:t>
      </w:r>
    </w:p>
    <w:p w14:paraId="3F56216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a blockchain-style data-centric architecture:</w:t>
      </w:r>
    </w:p>
    <w:p w14:paraId="664D1D1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the event is broadcast to the network;</w:t>
      </w:r>
    </w:p>
    <w:p w14:paraId="376150D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validation is oriented toward the global state;</w:t>
      </w:r>
    </w:p>
    <w:p w14:paraId="2B68553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the event competes for inclusion in a block or global ordering mechanism;</w:t>
      </w:r>
    </w:p>
    <w:p w14:paraId="5C9A603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 full nodes or validator classes must maintain consistency with the shared ledger;</w:t>
      </w:r>
    </w:p>
    <w:p w14:paraId="296A2F7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congestion, delay, and cost can increase when demand increases;</w:t>
      </w:r>
    </w:p>
    <w:p w14:paraId="69ACC4D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more participants may create more competition for limited validation space.</w:t>
      </w:r>
    </w:p>
    <w:p w14:paraId="24097F85"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In an agent-centric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architecture:</w:t>
      </w:r>
    </w:p>
    <w:p w14:paraId="1B6DE95C"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the event is signed by the steward;</w:t>
      </w:r>
    </w:p>
    <w:p w14:paraId="629E324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the event is added to the steward’s own source chain;</w:t>
      </w:r>
    </w:p>
    <w:p w14:paraId="69FCC9E7"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a copy is published to the distributed hash table;</w:t>
      </w:r>
    </w:p>
    <w:p w14:paraId="21DA8E8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responsibility for validation is assigned to a limited validation neighborhood;</w:t>
      </w:r>
    </w:p>
    <w:p w14:paraId="589A317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only the relevant neighborhood validates the record under application rules;</w:t>
      </w:r>
    </w:p>
    <w:p w14:paraId="2E69C34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if valid, the record is stored and made available;</w:t>
      </w:r>
    </w:p>
    <w:p w14:paraId="2A757B72"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if invalid, the record can be rejected or flagged through integrity procedures.</w:t>
      </w:r>
    </w:p>
    <w:p w14:paraId="780D998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Let r represent the resilience factor, meaning the approximate number of neighborhood nodes responsible for validating or holding a given record under application-specific rules.</w:t>
      </w:r>
    </w:p>
    <w:p w14:paraId="3CC7DD6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Let </w:t>
      </w:r>
      <w:proofErr w:type="spellStart"/>
      <w:r w:rsidRPr="00B479AE">
        <w:rPr>
          <w:rFonts w:ascii="Baskerville Old Face" w:hAnsi="Baskerville Old Face"/>
          <w:i/>
          <w:iCs/>
        </w:rPr>
        <w:t>m</w:t>
      </w:r>
      <w:proofErr w:type="spellEnd"/>
      <w:r w:rsidRPr="00B479AE">
        <w:rPr>
          <w:rFonts w:ascii="Baskerville Old Face" w:hAnsi="Baskerville Old Face"/>
          <w:i/>
          <w:iCs/>
        </w:rPr>
        <w:t xml:space="preserve"> represent the total number of nodes or agents.</w:t>
      </w:r>
    </w:p>
    <w:p w14:paraId="5A86BBD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probability that any given node is responsible for validating any given event can be expressed conceptually as:</w:t>
      </w:r>
    </w:p>
    <w:p w14:paraId="7DE23DF6"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r / m</w:t>
      </w:r>
    </w:p>
    <w:p w14:paraId="6B70126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As m increases, the validation burden on each individual node can decrease, assuming the validation neighborhoods remain appropriately distributed.</w:t>
      </w:r>
    </w:p>
    <w:p w14:paraId="457F0C5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creates the key architectural inversion:</w:t>
      </w:r>
    </w:p>
    <w:p w14:paraId="3609BA2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more participants do not necessarily create more congestion.</w:t>
      </w:r>
    </w:p>
    <w:p w14:paraId="2E383640"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More participants can create more distributed capacity.</w:t>
      </w:r>
    </w:p>
    <w:p w14:paraId="3D86104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a data-centric system, more actors may compete for the same global validation space.</w:t>
      </w:r>
    </w:p>
    <w:p w14:paraId="5B2BB4F5"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In an agent-centric system, more actors can increase the available validation, storage, and coordination surface of the network.</w:t>
      </w:r>
    </w:p>
    <w:p w14:paraId="36C9FF2F"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is why Prometheus treats agent-centric infrastructure as structurally aligned with regenerative systems.</w:t>
      </w:r>
    </w:p>
    <w:p w14:paraId="7E4F824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 regenerative network should become stronger as participation expands.</w:t>
      </w:r>
    </w:p>
    <w:p w14:paraId="4B465761" w14:textId="422E4ED1"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b/>
          <w:bCs/>
          <w:i/>
          <w:iCs/>
        </w:rPr>
        <w:t>Complexity analysis: the mathematics of abundance</w:t>
      </w:r>
    </w:p>
    <w:p w14:paraId="6492FFE0"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simplified complexity contrast can be expressed as follows.</w:t>
      </w:r>
    </w:p>
    <w:p w14:paraId="766F13D5"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For a data-centric blockchain-like system, validation and coordination costs tend toward high global coupling because the network must maintain consistency around a shared state.</w:t>
      </w:r>
    </w:p>
    <w:p w14:paraId="1E58BBF5"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Conceptually:</w:t>
      </w:r>
    </w:p>
    <w:p w14:paraId="4D2F56EE" w14:textId="77777777" w:rsidR="00F05EE7" w:rsidRPr="00B479AE" w:rsidRDefault="00F05EE7" w:rsidP="00F05EE7">
      <w:pPr>
        <w:spacing w:line="360" w:lineRule="auto"/>
        <w:rPr>
          <w:rFonts w:ascii="Baskerville Old Face" w:hAnsi="Baskerville Old Face"/>
          <w:i/>
          <w:iCs/>
        </w:rPr>
      </w:pPr>
      <w:proofErr w:type="spellStart"/>
      <w:r w:rsidRPr="00B479AE">
        <w:rPr>
          <w:rFonts w:ascii="Cambria" w:hAnsi="Cambria" w:cs="Cambria"/>
          <w:i/>
          <w:iCs/>
        </w:rPr>
        <w:t>Ω</w:t>
      </w:r>
      <w:r w:rsidRPr="00B479AE">
        <w:rPr>
          <w:rFonts w:ascii="Baskerville Old Face" w:hAnsi="Baskerville Old Face"/>
          <w:i/>
          <w:iCs/>
        </w:rPr>
        <w:t>_blockchain</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O(n</w:t>
      </w:r>
      <w:r w:rsidRPr="00B479AE">
        <w:rPr>
          <w:rFonts w:ascii="Baskerville Old Face" w:hAnsi="Baskerville Old Face" w:cs="Baskerville Old Face"/>
          <w:i/>
          <w:iCs/>
        </w:rPr>
        <w:t>²</w:t>
      </w:r>
      <w:r w:rsidRPr="00B479AE">
        <w:rPr>
          <w:rFonts w:ascii="Baskerville Old Face" w:hAnsi="Baskerville Old Face"/>
          <w:i/>
          <w:iCs/>
        </w:rPr>
        <w:t>m)</w:t>
      </w:r>
    </w:p>
    <w:p w14:paraId="2C26D9C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where:</w:t>
      </w:r>
    </w:p>
    <w:p w14:paraId="697C8D2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n represents the number of events, entries, or transactions;</w:t>
      </w:r>
    </w:p>
    <w:p w14:paraId="6A406C1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m represents the number of nodes or agents.</w:t>
      </w:r>
    </w:p>
    <w:p w14:paraId="44803E92"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For an agent-centric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system, the total system complexity can be represented conceptually as:</w:t>
      </w:r>
    </w:p>
    <w:p w14:paraId="06ED3D10" w14:textId="77777777" w:rsidR="00F05EE7" w:rsidRPr="00B479AE" w:rsidRDefault="00F05EE7" w:rsidP="00F05EE7">
      <w:pPr>
        <w:spacing w:line="360" w:lineRule="auto"/>
        <w:rPr>
          <w:rFonts w:ascii="Baskerville Old Face" w:hAnsi="Baskerville Old Face"/>
          <w:i/>
          <w:iCs/>
        </w:rPr>
      </w:pPr>
      <w:proofErr w:type="spellStart"/>
      <w:r w:rsidRPr="00B479AE">
        <w:rPr>
          <w:rFonts w:ascii="Cambria" w:hAnsi="Cambria" w:cs="Cambria"/>
          <w:i/>
          <w:iCs/>
        </w:rPr>
        <w:t>Ω</w:t>
      </w:r>
      <w:r w:rsidRPr="00B479AE">
        <w:rPr>
          <w:rFonts w:ascii="Baskerville Old Face" w:hAnsi="Baskerville Old Face"/>
          <w:i/>
          <w:iCs/>
        </w:rPr>
        <w:t>_agent</w:t>
      </w:r>
      <w:proofErr w:type="spellEnd"/>
      <w:r w:rsidRPr="00B479AE">
        <w:rPr>
          <w:rFonts w:ascii="Baskerville Old Face" w:hAnsi="Baskerville Old Face"/>
          <w:i/>
          <w:iCs/>
        </w:rPr>
        <w:t xml:space="preserve">-centric </w:t>
      </w:r>
      <w:r w:rsidRPr="00B479AE">
        <w:rPr>
          <w:rFonts w:ascii="Cambria Math" w:hAnsi="Cambria Math" w:cs="Cambria Math"/>
          <w:i/>
          <w:iCs/>
        </w:rPr>
        <w:t>∈</w:t>
      </w:r>
      <w:r w:rsidRPr="00B479AE">
        <w:rPr>
          <w:rFonts w:ascii="Baskerville Old Face" w:hAnsi="Baskerville Old Face"/>
          <w:i/>
          <w:iCs/>
        </w:rPr>
        <w:t xml:space="preserve"> </w:t>
      </w:r>
      <w:proofErr w:type="gramStart"/>
      <w:r w:rsidRPr="00B479AE">
        <w:rPr>
          <w:rFonts w:ascii="Baskerville Old Face" w:hAnsi="Baskerville Old Face"/>
          <w:i/>
          <w:iCs/>
        </w:rPr>
        <w:t>O(</w:t>
      </w:r>
      <w:proofErr w:type="gramEnd"/>
      <w:r w:rsidRPr="00B479AE">
        <w:rPr>
          <w:rFonts w:ascii="Baskerville Old Face" w:hAnsi="Baskerville Old Face"/>
          <w:i/>
          <w:iCs/>
        </w:rPr>
        <w:t xml:space="preserve">n </w:t>
      </w:r>
      <w:r w:rsidRPr="00B479AE">
        <w:rPr>
          <w:rFonts w:ascii="Cambria" w:hAnsi="Cambria" w:cs="Cambria"/>
          <w:i/>
          <w:iCs/>
        </w:rPr>
        <w:t>·</w:t>
      </w:r>
      <w:r w:rsidRPr="00B479AE">
        <w:rPr>
          <w:rFonts w:ascii="Baskerville Old Face" w:hAnsi="Baskerville Old Face"/>
          <w:i/>
          <w:iCs/>
        </w:rPr>
        <w:t xml:space="preserve"> (log m + v(</w:t>
      </w:r>
      <w:proofErr w:type="spellStart"/>
      <w:proofErr w:type="gramStart"/>
      <w:r w:rsidRPr="00B479AE">
        <w:rPr>
          <w:rFonts w:ascii="Baskerville Old Face" w:hAnsi="Baskerville Old Face"/>
          <w:i/>
          <w:iCs/>
        </w:rPr>
        <w:t>n,m</w:t>
      </w:r>
      <w:proofErr w:type="spellEnd"/>
      <w:proofErr w:type="gramEnd"/>
      <w:r w:rsidRPr="00B479AE">
        <w:rPr>
          <w:rFonts w:ascii="Baskerville Old Face" w:hAnsi="Baskerville Old Face"/>
          <w:i/>
          <w:iCs/>
        </w:rPr>
        <w:t>)))</w:t>
      </w:r>
    </w:p>
    <w:p w14:paraId="564C300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where:</w:t>
      </w:r>
    </w:p>
    <w:p w14:paraId="43DA821C"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n represents the number of events, entries, or transactions;</w:t>
      </w:r>
    </w:p>
    <w:p w14:paraId="30BE4DA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m represents the number of nodes or agents;</w:t>
      </w:r>
    </w:p>
    <w:p w14:paraId="0FB5E59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v(</w:t>
      </w:r>
      <w:proofErr w:type="spellStart"/>
      <w:proofErr w:type="gramStart"/>
      <w:r w:rsidRPr="00B479AE">
        <w:rPr>
          <w:rFonts w:ascii="Baskerville Old Face" w:hAnsi="Baskerville Old Face"/>
          <w:i/>
          <w:iCs/>
        </w:rPr>
        <w:t>n,m</w:t>
      </w:r>
      <w:proofErr w:type="spellEnd"/>
      <w:proofErr w:type="gramEnd"/>
      <w:r w:rsidRPr="00B479AE">
        <w:rPr>
          <w:rFonts w:ascii="Baskerville Old Face" w:hAnsi="Baskerville Old Face"/>
          <w:i/>
          <w:iCs/>
        </w:rPr>
        <w:t>) represents application-specific validation overhead.</w:t>
      </w:r>
    </w:p>
    <w:p w14:paraId="5034ED1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average complexity per node can be represented as:</w:t>
      </w:r>
    </w:p>
    <w:p w14:paraId="1977E658" w14:textId="77777777" w:rsidR="00F05EE7" w:rsidRPr="005907F1" w:rsidRDefault="00F05EE7" w:rsidP="00F05EE7">
      <w:pPr>
        <w:spacing w:line="360" w:lineRule="auto"/>
        <w:rPr>
          <w:rFonts w:ascii="Baskerville Old Face" w:hAnsi="Baskerville Old Face"/>
          <w:i/>
          <w:iCs/>
          <w:lang w:val="it-IT"/>
        </w:rPr>
      </w:pPr>
      <w:r w:rsidRPr="00B479AE">
        <w:rPr>
          <w:rFonts w:ascii="Cambria" w:hAnsi="Cambria" w:cs="Cambria"/>
          <w:i/>
          <w:iCs/>
        </w:rPr>
        <w:t>Ω</w:t>
      </w:r>
      <w:r w:rsidRPr="005907F1">
        <w:rPr>
          <w:rFonts w:ascii="Baskerville Old Face" w:hAnsi="Baskerville Old Face"/>
          <w:i/>
          <w:iCs/>
          <w:lang w:val="it-IT"/>
        </w:rPr>
        <w:t>_</w:t>
      </w:r>
      <w:proofErr w:type="spellStart"/>
      <w:r w:rsidRPr="005907F1">
        <w:rPr>
          <w:rFonts w:ascii="Baskerville Old Face" w:hAnsi="Baskerville Old Face"/>
          <w:i/>
          <w:iCs/>
          <w:lang w:val="it-IT"/>
        </w:rPr>
        <w:t>node</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O((n/m) </w:t>
      </w:r>
      <w:r w:rsidRPr="005907F1">
        <w:rPr>
          <w:rFonts w:ascii="Cambria" w:hAnsi="Cambria" w:cs="Cambria"/>
          <w:i/>
          <w:iCs/>
          <w:lang w:val="it-IT"/>
        </w:rPr>
        <w:t>·</w:t>
      </w:r>
      <w:r w:rsidRPr="005907F1">
        <w:rPr>
          <w:rFonts w:ascii="Baskerville Old Face" w:hAnsi="Baskerville Old Face"/>
          <w:i/>
          <w:iCs/>
          <w:lang w:val="it-IT"/>
        </w:rPr>
        <w:t xml:space="preserve"> log m)</w:t>
      </w:r>
    </w:p>
    <w:p w14:paraId="27CC7BC9"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This formulation expresses the central architectural difference.</w:t>
      </w:r>
    </w:p>
    <w:p w14:paraId="6AB5A23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a global-state architecture, adding nodes may increase total coordination burden because each node or validator class remains oriented toward the same shared state.</w:t>
      </w:r>
    </w:p>
    <w:p w14:paraId="551DDE4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an agent-centric architecture, adding nodes can distribute validation and storage responsibility across the network.</w:t>
      </w:r>
    </w:p>
    <w:p w14:paraId="75E5BEC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does not mean that costs disappear.</w:t>
      </w:r>
    </w:p>
    <w:p w14:paraId="09D5E3B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Storage, computation, networking, validation, and governance still have real metabolic costs.</w:t>
      </w:r>
    </w:p>
    <w:p w14:paraId="6D8CC4B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point is different.</w:t>
      </w:r>
    </w:p>
    <w:p w14:paraId="4C633190"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cost structure is not based on artificial scarcity at a global bottleneck.</w:t>
      </w:r>
    </w:p>
    <w:p w14:paraId="14714B0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is distributed across agents, contexts, and neighborhoods.</w:t>
      </w:r>
    </w:p>
    <w:p w14:paraId="2B5E09D1" w14:textId="4A8F359C" w:rsidR="00603555"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comparison can be summarized as follows:</w:t>
      </w:r>
      <w:r w:rsidR="00603555"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1"/>
        <w:gridCol w:w="2415"/>
        <w:gridCol w:w="2702"/>
        <w:gridCol w:w="3050"/>
      </w:tblGrid>
      <w:tr w:rsidR="00F05EE7" w:rsidRPr="00B479AE" w14:paraId="6763B6E0" w14:textId="77777777" w:rsidTr="00F05EE7">
        <w:trPr>
          <w:tblHeader/>
          <w:tblCellSpacing w:w="15" w:type="dxa"/>
        </w:trPr>
        <w:tc>
          <w:tcPr>
            <w:tcW w:w="0" w:type="auto"/>
            <w:vAlign w:val="center"/>
            <w:hideMark/>
          </w:tcPr>
          <w:p w14:paraId="32D07A51" w14:textId="77777777" w:rsidR="00F05EE7" w:rsidRPr="00B479AE" w:rsidRDefault="00F05EE7" w:rsidP="00F05EE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Dimension</w:t>
            </w:r>
          </w:p>
        </w:tc>
        <w:tc>
          <w:tcPr>
            <w:tcW w:w="0" w:type="auto"/>
            <w:vAlign w:val="center"/>
            <w:hideMark/>
          </w:tcPr>
          <w:p w14:paraId="02F1465A" w14:textId="77777777" w:rsidR="00F05EE7" w:rsidRPr="00B479AE" w:rsidRDefault="00F05EE7" w:rsidP="00F05EE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Data-centric architecture</w:t>
            </w:r>
          </w:p>
        </w:tc>
        <w:tc>
          <w:tcPr>
            <w:tcW w:w="0" w:type="auto"/>
            <w:vAlign w:val="center"/>
            <w:hideMark/>
          </w:tcPr>
          <w:p w14:paraId="7D24A4C3" w14:textId="77777777" w:rsidR="00F05EE7" w:rsidRPr="00B479AE" w:rsidRDefault="00F05EE7" w:rsidP="00F05EE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Agent-centric architecture</w:t>
            </w:r>
          </w:p>
        </w:tc>
        <w:tc>
          <w:tcPr>
            <w:tcW w:w="0" w:type="auto"/>
            <w:vAlign w:val="center"/>
            <w:hideMark/>
          </w:tcPr>
          <w:p w14:paraId="01D1C448" w14:textId="77777777" w:rsidR="00F05EE7" w:rsidRPr="00B479AE" w:rsidRDefault="00F05EE7" w:rsidP="00F05EE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Implication</w:t>
            </w:r>
          </w:p>
        </w:tc>
      </w:tr>
      <w:tr w:rsidR="00F05EE7" w:rsidRPr="00B479AE" w14:paraId="46408D55" w14:textId="77777777" w:rsidTr="00F05EE7">
        <w:trPr>
          <w:tblCellSpacing w:w="15" w:type="dxa"/>
        </w:trPr>
        <w:tc>
          <w:tcPr>
            <w:tcW w:w="0" w:type="auto"/>
            <w:vAlign w:val="center"/>
            <w:hideMark/>
          </w:tcPr>
          <w:p w14:paraId="776B9C78"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State model</w:t>
            </w:r>
          </w:p>
        </w:tc>
        <w:tc>
          <w:tcPr>
            <w:tcW w:w="0" w:type="auto"/>
            <w:vAlign w:val="center"/>
            <w:hideMark/>
          </w:tcPr>
          <w:p w14:paraId="765EAA6A"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Global shared state</w:t>
            </w:r>
          </w:p>
        </w:tc>
        <w:tc>
          <w:tcPr>
            <w:tcW w:w="0" w:type="auto"/>
            <w:vAlign w:val="center"/>
            <w:hideMark/>
          </w:tcPr>
          <w:p w14:paraId="28BCAA68"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Local source chains with shared validation</w:t>
            </w:r>
          </w:p>
        </w:tc>
        <w:tc>
          <w:tcPr>
            <w:tcW w:w="0" w:type="auto"/>
            <w:vAlign w:val="center"/>
            <w:hideMark/>
          </w:tcPr>
          <w:p w14:paraId="68E22208"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Meaning can remain contextual</w:t>
            </w:r>
          </w:p>
        </w:tc>
      </w:tr>
      <w:tr w:rsidR="00F05EE7" w:rsidRPr="00B479AE" w14:paraId="2CF9F0A6" w14:textId="77777777" w:rsidTr="00F05EE7">
        <w:trPr>
          <w:tblCellSpacing w:w="15" w:type="dxa"/>
        </w:trPr>
        <w:tc>
          <w:tcPr>
            <w:tcW w:w="0" w:type="auto"/>
            <w:vAlign w:val="center"/>
            <w:hideMark/>
          </w:tcPr>
          <w:p w14:paraId="357ADC75"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Validation scope</w:t>
            </w:r>
          </w:p>
        </w:tc>
        <w:tc>
          <w:tcPr>
            <w:tcW w:w="0" w:type="auto"/>
            <w:vAlign w:val="center"/>
            <w:hideMark/>
          </w:tcPr>
          <w:p w14:paraId="45684188"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Broad global validation</w:t>
            </w:r>
          </w:p>
        </w:tc>
        <w:tc>
          <w:tcPr>
            <w:tcW w:w="0" w:type="auto"/>
            <w:vAlign w:val="center"/>
            <w:hideMark/>
          </w:tcPr>
          <w:p w14:paraId="4BA6CDC1"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Neighborhood validation</w:t>
            </w:r>
          </w:p>
        </w:tc>
        <w:tc>
          <w:tcPr>
            <w:tcW w:w="0" w:type="auto"/>
            <w:vAlign w:val="center"/>
            <w:hideMark/>
          </w:tcPr>
          <w:p w14:paraId="59304CAA"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Validation effort can remain bounded</w:t>
            </w:r>
          </w:p>
        </w:tc>
      </w:tr>
      <w:tr w:rsidR="00F05EE7" w:rsidRPr="00B479AE" w14:paraId="354E8A15" w14:textId="77777777" w:rsidTr="00F05EE7">
        <w:trPr>
          <w:tblCellSpacing w:w="15" w:type="dxa"/>
        </w:trPr>
        <w:tc>
          <w:tcPr>
            <w:tcW w:w="0" w:type="auto"/>
            <w:vAlign w:val="center"/>
            <w:hideMark/>
          </w:tcPr>
          <w:p w14:paraId="0B91D072"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Per-node workload</w:t>
            </w:r>
          </w:p>
        </w:tc>
        <w:tc>
          <w:tcPr>
            <w:tcW w:w="0" w:type="auto"/>
            <w:vAlign w:val="center"/>
            <w:hideMark/>
          </w:tcPr>
          <w:p w14:paraId="73F66B78"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High coupling to global state</w:t>
            </w:r>
          </w:p>
        </w:tc>
        <w:tc>
          <w:tcPr>
            <w:tcW w:w="0" w:type="auto"/>
            <w:vAlign w:val="center"/>
            <w:hideMark/>
          </w:tcPr>
          <w:p w14:paraId="4F85D46D"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Distributed by relevance</w:t>
            </w:r>
          </w:p>
        </w:tc>
        <w:tc>
          <w:tcPr>
            <w:tcW w:w="0" w:type="auto"/>
            <w:vAlign w:val="center"/>
            <w:hideMark/>
          </w:tcPr>
          <w:p w14:paraId="5C3340EC"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Added nodes can reduce average burden</w:t>
            </w:r>
          </w:p>
        </w:tc>
      </w:tr>
      <w:tr w:rsidR="00F05EE7" w:rsidRPr="00B479AE" w14:paraId="4A6529FC" w14:textId="77777777" w:rsidTr="00F05EE7">
        <w:trPr>
          <w:tblCellSpacing w:w="15" w:type="dxa"/>
        </w:trPr>
        <w:tc>
          <w:tcPr>
            <w:tcW w:w="0" w:type="auto"/>
            <w:vAlign w:val="center"/>
            <w:hideMark/>
          </w:tcPr>
          <w:p w14:paraId="21141422"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Congestion pattern</w:t>
            </w:r>
          </w:p>
        </w:tc>
        <w:tc>
          <w:tcPr>
            <w:tcW w:w="0" w:type="auto"/>
            <w:vAlign w:val="center"/>
            <w:hideMark/>
          </w:tcPr>
          <w:p w14:paraId="1A55214A"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Shared bottleneck</w:t>
            </w:r>
          </w:p>
        </w:tc>
        <w:tc>
          <w:tcPr>
            <w:tcW w:w="0" w:type="auto"/>
            <w:vAlign w:val="center"/>
            <w:hideMark/>
          </w:tcPr>
          <w:p w14:paraId="4EEACB8E"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Parallel validation neighborhoods</w:t>
            </w:r>
          </w:p>
        </w:tc>
        <w:tc>
          <w:tcPr>
            <w:tcW w:w="0" w:type="auto"/>
            <w:vAlign w:val="center"/>
            <w:hideMark/>
          </w:tcPr>
          <w:p w14:paraId="208FDEDB"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Participation can increase capacity</w:t>
            </w:r>
          </w:p>
        </w:tc>
      </w:tr>
      <w:tr w:rsidR="00F05EE7" w:rsidRPr="00B479AE" w14:paraId="1C25BFA6" w14:textId="77777777" w:rsidTr="00F05EE7">
        <w:trPr>
          <w:tblCellSpacing w:w="15" w:type="dxa"/>
        </w:trPr>
        <w:tc>
          <w:tcPr>
            <w:tcW w:w="0" w:type="auto"/>
            <w:vAlign w:val="center"/>
            <w:hideMark/>
          </w:tcPr>
          <w:p w14:paraId="26088BC1"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Scarcity model</w:t>
            </w:r>
          </w:p>
        </w:tc>
        <w:tc>
          <w:tcPr>
            <w:tcW w:w="0" w:type="auto"/>
            <w:vAlign w:val="center"/>
            <w:hideMark/>
          </w:tcPr>
          <w:p w14:paraId="30E63179"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Block space / global inclusion pressure</w:t>
            </w:r>
          </w:p>
        </w:tc>
        <w:tc>
          <w:tcPr>
            <w:tcW w:w="0" w:type="auto"/>
            <w:vAlign w:val="center"/>
            <w:hideMark/>
          </w:tcPr>
          <w:p w14:paraId="0A04B7F1"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Metabolic storage and computation costs</w:t>
            </w:r>
          </w:p>
        </w:tc>
        <w:tc>
          <w:tcPr>
            <w:tcW w:w="0" w:type="auto"/>
            <w:vAlign w:val="center"/>
            <w:hideMark/>
          </w:tcPr>
          <w:p w14:paraId="721148E0"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Scarcity becomes architectural, not absolute</w:t>
            </w:r>
          </w:p>
        </w:tc>
      </w:tr>
      <w:tr w:rsidR="00F05EE7" w:rsidRPr="00B479AE" w14:paraId="1C11723A" w14:textId="77777777" w:rsidTr="00F05EE7">
        <w:trPr>
          <w:tblCellSpacing w:w="15" w:type="dxa"/>
        </w:trPr>
        <w:tc>
          <w:tcPr>
            <w:tcW w:w="0" w:type="auto"/>
            <w:vAlign w:val="center"/>
            <w:hideMark/>
          </w:tcPr>
          <w:p w14:paraId="6F3609F6"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Best fit</w:t>
            </w:r>
          </w:p>
        </w:tc>
        <w:tc>
          <w:tcPr>
            <w:tcW w:w="0" w:type="auto"/>
            <w:vAlign w:val="center"/>
            <w:hideMark/>
          </w:tcPr>
          <w:p w14:paraId="07290739"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Global financial state</w:t>
            </w:r>
          </w:p>
        </w:tc>
        <w:tc>
          <w:tcPr>
            <w:tcW w:w="0" w:type="auto"/>
            <w:vAlign w:val="center"/>
            <w:hideMark/>
          </w:tcPr>
          <w:p w14:paraId="4C06DC10"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Contextual, relational, distributed systems</w:t>
            </w:r>
          </w:p>
        </w:tc>
        <w:tc>
          <w:tcPr>
            <w:tcW w:w="0" w:type="auto"/>
            <w:vAlign w:val="center"/>
            <w:hideMark/>
          </w:tcPr>
          <w:p w14:paraId="3E354128" w14:textId="77777777" w:rsidR="00F05EE7" w:rsidRPr="00B479AE" w:rsidRDefault="00F05EE7" w:rsidP="00F05EE7">
            <w:pPr>
              <w:spacing w:line="360" w:lineRule="auto"/>
              <w:rPr>
                <w:rFonts w:ascii="Baskerville Old Face" w:hAnsi="Baskerville Old Face"/>
                <w:i/>
                <w:iCs/>
                <w:sz w:val="22"/>
                <w:szCs w:val="22"/>
              </w:rPr>
            </w:pPr>
            <w:r w:rsidRPr="00B479AE">
              <w:rPr>
                <w:rFonts w:ascii="Baskerville Old Face" w:hAnsi="Baskerville Old Face"/>
                <w:i/>
                <w:iCs/>
                <w:sz w:val="22"/>
                <w:szCs w:val="22"/>
              </w:rPr>
              <w:t>Regeneration is better served by agent-centric logic</w:t>
            </w:r>
          </w:p>
        </w:tc>
      </w:tr>
    </w:tbl>
    <w:p w14:paraId="6457D49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The fundamental result is that, when validation is local and state is distributed, system capacity can grow with participation.</w:t>
      </w:r>
    </w:p>
    <w:p w14:paraId="122867D5" w14:textId="77777777" w:rsidR="00B51EA6" w:rsidRPr="00B479AE" w:rsidRDefault="00B51EA6" w:rsidP="00F05EE7">
      <w:pPr>
        <w:spacing w:line="360" w:lineRule="auto"/>
        <w:rPr>
          <w:rFonts w:ascii="Baskerville Old Face" w:hAnsi="Baskerville Old Face"/>
          <w:b/>
          <w:bCs/>
          <w:i/>
          <w:iCs/>
        </w:rPr>
      </w:pPr>
      <w:r w:rsidRPr="00B479AE">
        <w:rPr>
          <w:rFonts w:ascii="Baskerville Old Face" w:hAnsi="Baskerville Old Face"/>
          <w:b/>
          <w:bCs/>
          <w:i/>
          <w:iCs/>
        </w:rPr>
        <w:t xml:space="preserve">This is the mathematical proof that abundance is not utopian; it is engineering. </w:t>
      </w:r>
    </w:p>
    <w:p w14:paraId="1884780F" w14:textId="58DC2FF3"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is the technical meaning of abundance in Prometheus.</w:t>
      </w:r>
    </w:p>
    <w:p w14:paraId="2CFE95F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Abundance is not the denial of limits.</w:t>
      </w:r>
    </w:p>
    <w:p w14:paraId="3DCB04C2"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is the design of systems in which participation increases the capacity for coordination, validation, learning, and regeneration.</w:t>
      </w:r>
    </w:p>
    <w:p w14:paraId="308267E2" w14:textId="51AB5856"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b/>
          <w:bCs/>
          <w:i/>
          <w:iCs/>
        </w:rPr>
        <w:t>Scarcity as a design error</w:t>
      </w:r>
    </w:p>
    <w:p w14:paraId="15D8280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 phrase “scarcity is a design error” should be understood with precision.</w:t>
      </w:r>
    </w:p>
    <w:p w14:paraId="2084C06E"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does not mean that physical limits do not exist.</w:t>
      </w:r>
    </w:p>
    <w:p w14:paraId="1FD709AA"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does not mean that energy, land, water, attention, computation, and governance are infinite.</w:t>
      </w:r>
    </w:p>
    <w:p w14:paraId="179A8019"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It means that many digital and financial systems create artificial scarcity through their architecture.</w:t>
      </w:r>
    </w:p>
    <w:p w14:paraId="1D31018C"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data-centric systems:</w:t>
      </w:r>
    </w:p>
    <w:p w14:paraId="7C150FC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block space is limited;</w:t>
      </w:r>
    </w:p>
    <w:p w14:paraId="4F0A4C49"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users compete for inclusion;</w:t>
      </w:r>
    </w:p>
    <w:p w14:paraId="591D5905"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demand increases fees;</w:t>
      </w:r>
    </w:p>
    <w:p w14:paraId="55ED001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validation is oriented toward global synchronization;</w:t>
      </w:r>
    </w:p>
    <w:p w14:paraId="002A369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scarcity is embedded into the coordination mechanism.</w:t>
      </w:r>
    </w:p>
    <w:p w14:paraId="6E7C574D"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In agent-centric systems:</w:t>
      </w:r>
    </w:p>
    <w:p w14:paraId="332E2421"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no single global bottleneck is required for every interaction;</w:t>
      </w:r>
    </w:p>
    <w:p w14:paraId="0C2CD14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validation can occur in parallel across neighborhoods;</w:t>
      </w:r>
    </w:p>
    <w:p w14:paraId="2E65F2C7"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each agent maintains its own source chain;</w:t>
      </w:r>
    </w:p>
    <w:p w14:paraId="181F8F8B"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 shared reality emerges through distributed validation;</w:t>
      </w:r>
    </w:p>
    <w:p w14:paraId="0DD2736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costs remain real but become metabolic rather than speculative.</w:t>
      </w:r>
    </w:p>
    <w:p w14:paraId="5DA22130"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This distinction is crucial for Prometheus.</w:t>
      </w:r>
    </w:p>
    <w:p w14:paraId="2FE0286C"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Regenerative systems cannot be built on architectures that require artificial scarcity as their organizing principle.</w:t>
      </w:r>
    </w:p>
    <w:p w14:paraId="457B85FC"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Life does not compete for blocks.</w:t>
      </w:r>
    </w:p>
    <w:p w14:paraId="2ECFEAB7"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Life coordinates through networks.</w:t>
      </w:r>
    </w:p>
    <w:p w14:paraId="796C43F8"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 forest does not ask every tree to synchronize every exchange through one global ledger.</w:t>
      </w:r>
    </w:p>
    <w:p w14:paraId="49788AF6"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 mycorrhizal network does not require universal consensus before redistributing nutrients.</w:t>
      </w:r>
    </w:p>
    <w:p w14:paraId="3077E199"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 community does not become resilient by reducing all members to one identical state.</w:t>
      </w:r>
    </w:p>
    <w:p w14:paraId="02168972"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Living systems scale through differentiated participation, contextual intelligence, and distributed coherence.</w:t>
      </w:r>
    </w:p>
    <w:p w14:paraId="34E3C535" w14:textId="77777777" w:rsidR="00B83D51" w:rsidRDefault="00B83D51" w:rsidP="00F05EE7">
      <w:pPr>
        <w:spacing w:line="360" w:lineRule="auto"/>
        <w:rPr>
          <w:rFonts w:ascii="Baskerville Old Face" w:hAnsi="Baskerville Old Face"/>
          <w:i/>
          <w:iCs/>
        </w:rPr>
      </w:pPr>
      <w:r w:rsidRPr="00B83D51">
        <w:rPr>
          <w:rFonts w:ascii="Baskerville Old Face" w:hAnsi="Baskerville Old Face"/>
          <w:i/>
          <w:iCs/>
        </w:rPr>
        <w:t>This principle also shapes how Prometheus frames abundance.</w:t>
      </w:r>
      <w:r w:rsidRPr="00B83D51">
        <w:rPr>
          <w:rFonts w:ascii="Baskerville Old Face" w:hAnsi="Baskerville Old Face"/>
          <w:i/>
          <w:iCs/>
        </w:rPr>
        <w:br/>
        <w:t>Intelligence is not centralized command.</w:t>
      </w:r>
      <w:r w:rsidRPr="00B83D51">
        <w:rPr>
          <w:rFonts w:ascii="Baskerville Old Face" w:hAnsi="Baskerville Old Face"/>
          <w:i/>
          <w:iCs/>
        </w:rPr>
        <w:br/>
        <w:t>It is distributed participation within a coherent living system.</w:t>
      </w:r>
      <w:r>
        <w:rPr>
          <w:rFonts w:ascii="Baskerville Old Face" w:hAnsi="Baskerville Old Face"/>
          <w:i/>
          <w:iCs/>
        </w:rPr>
        <w:t xml:space="preserve"> </w:t>
      </w:r>
    </w:p>
    <w:p w14:paraId="01DC1297" w14:textId="1030A2D7" w:rsidR="000B403C" w:rsidRDefault="000B403C" w:rsidP="00F05EE7">
      <w:pPr>
        <w:spacing w:line="360" w:lineRule="auto"/>
        <w:rPr>
          <w:rFonts w:ascii="Baskerville Old Face" w:hAnsi="Baskerville Old Face"/>
          <w:i/>
          <w:iCs/>
        </w:rPr>
      </w:pPr>
      <w:r w:rsidRPr="000B403C">
        <w:rPr>
          <w:rFonts w:ascii="Baskerville Old Face" w:hAnsi="Baskerville Old Face"/>
          <w:i/>
          <w:iCs/>
        </w:rPr>
        <w:t>Prometheus therefore does not treat abundance as the denial of limits.</w:t>
      </w:r>
      <w:r w:rsidRPr="000B403C">
        <w:rPr>
          <w:rFonts w:ascii="Baskerville Old Face" w:hAnsi="Baskerville Old Face"/>
          <w:i/>
          <w:iCs/>
        </w:rPr>
        <w:br/>
        <w:t>It treats abundance as an architectural condition: the capacity of a system to increase coordination, learning, validation, stewardship, and regenerative throughput as participation expands.</w:t>
      </w:r>
      <w:r>
        <w:rPr>
          <w:rFonts w:ascii="Baskerville Old Face" w:hAnsi="Baskerville Old Face"/>
          <w:i/>
          <w:iCs/>
        </w:rPr>
        <w:t xml:space="preserve"> </w:t>
      </w:r>
    </w:p>
    <w:p w14:paraId="0708B4E5" w14:textId="55A04DF8"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kernel therefore embeds the following thesis:</w:t>
      </w:r>
    </w:p>
    <w:p w14:paraId="74105C27"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any infrastructure that requires artificial scarcity to coordinate participation is structurally misaligned with regeneration.</w:t>
      </w:r>
    </w:p>
    <w:p w14:paraId="32AC2F6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By contrast, an infrastructure that allows participants to generate, validate, and coordinate context-specific evidence through distributed agency can support regenerative abundance.</w:t>
      </w:r>
    </w:p>
    <w:p w14:paraId="12A2E679" w14:textId="354BA080"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lastRenderedPageBreak/>
        <w:t xml:space="preserve">This is why agent-centric architecture,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-compatible logic, source-chain integrity, DHT-based validation, MRV evidence,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semantics, and </w:t>
      </w:r>
      <w:r w:rsidR="00733666" w:rsidRPr="00B479AE">
        <w:rPr>
          <w:rFonts w:ascii="Baskerville Old Face" w:hAnsi="Baskerville Old Face"/>
          <w:i/>
          <w:iCs/>
        </w:rPr>
        <w:t xml:space="preserve">PRU value-analysis layer </w:t>
      </w:r>
      <w:r w:rsidRPr="00B479AE">
        <w:rPr>
          <w:rFonts w:ascii="Baskerville Old Face" w:hAnsi="Baskerville Old Face"/>
          <w:i/>
          <w:iCs/>
        </w:rPr>
        <w:t>are not separate design choices.</w:t>
      </w:r>
    </w:p>
    <w:p w14:paraId="0E706CF4"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They are different expressions of the same architecture:</w:t>
      </w:r>
    </w:p>
    <w:p w14:paraId="0A107A93" w14:textId="77777777" w:rsidR="00F05EE7" w:rsidRPr="00B479AE" w:rsidRDefault="00F05EE7" w:rsidP="00F05EE7">
      <w:pPr>
        <w:spacing w:line="360" w:lineRule="auto"/>
        <w:rPr>
          <w:rFonts w:ascii="Baskerville Old Face" w:hAnsi="Baskerville Old Face"/>
          <w:i/>
          <w:iCs/>
        </w:rPr>
      </w:pPr>
      <w:r w:rsidRPr="00B479AE">
        <w:rPr>
          <w:rFonts w:ascii="Baskerville Old Face" w:hAnsi="Baskerville Old Face"/>
          <w:i/>
          <w:iCs/>
        </w:rPr>
        <w:t>distributed agents generating verifiable coherence without losing sovereignty, context, or relationship.</w:t>
      </w:r>
    </w:p>
    <w:p w14:paraId="2210623A" w14:textId="181212FA"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b/>
          <w:bCs/>
          <w:i/>
          <w:iCs/>
        </w:rPr>
        <w:t>Valueflows</w:t>
      </w:r>
      <w:proofErr w:type="spellEnd"/>
      <w:r w:rsidRPr="00B479AE">
        <w:rPr>
          <w:rFonts w:ascii="Baskerville Old Face" w:hAnsi="Baskerville Old Face"/>
          <w:b/>
          <w:bCs/>
          <w:i/>
          <w:iCs/>
        </w:rPr>
        <w:t xml:space="preserve"> and REA logic</w:t>
      </w:r>
    </w:p>
    <w:p w14:paraId="69950F67"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accounting provides the semantic layer through which regenerative activity can become structured.</w:t>
      </w:r>
    </w:p>
    <w:p w14:paraId="167CD57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logic is simple and powerful:</w:t>
      </w:r>
    </w:p>
    <w:p w14:paraId="4E14D63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resources are acted upon;</w:t>
      </w:r>
    </w:p>
    <w:p w14:paraId="106A11F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events transform resources;</w:t>
      </w:r>
    </w:p>
    <w:p w14:paraId="503FBD0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agents participate in those events;</w:t>
      </w:r>
    </w:p>
    <w:p w14:paraId="38433A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value emerges through relationships among resources, events, and agents.</w:t>
      </w:r>
    </w:p>
    <w:p w14:paraId="062A86A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 Prometheus, this can represent:</w:t>
      </w:r>
    </w:p>
    <w:p w14:paraId="287D3E9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 preparation;</w:t>
      </w:r>
    </w:p>
    <w:p w14:paraId="67D6F2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water-system installation;</w:t>
      </w:r>
    </w:p>
    <w:p w14:paraId="3C34760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planting;</w:t>
      </w:r>
    </w:p>
    <w:p w14:paraId="439FD0A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pruning;</w:t>
      </w:r>
    </w:p>
    <w:p w14:paraId="6513F9F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biomass return;</w:t>
      </w:r>
    </w:p>
    <w:p w14:paraId="4A69897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compost application;</w:t>
      </w:r>
    </w:p>
    <w:p w14:paraId="4DCC7DE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irrigation events;</w:t>
      </w:r>
    </w:p>
    <w:p w14:paraId="39075D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harvest;</w:t>
      </w:r>
    </w:p>
    <w:p w14:paraId="6A958D1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observation;</w:t>
      </w:r>
    </w:p>
    <w:p w14:paraId="06521F5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soil sampling;</w:t>
      </w:r>
    </w:p>
    <w:p w14:paraId="178A30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laboratory testing;</w:t>
      </w:r>
    </w:p>
    <w:p w14:paraId="2B76E9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measurement;</w:t>
      </w:r>
    </w:p>
    <w:p w14:paraId="0BF1220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w:t>
      </w:r>
    </w:p>
    <w:p w14:paraId="3CB2DC0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sale;</w:t>
      </w:r>
    </w:p>
    <w:p w14:paraId="34B0CE7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reinvestment;</w:t>
      </w:r>
    </w:p>
    <w:p w14:paraId="7DEC983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decision;</w:t>
      </w:r>
    </w:p>
    <w:p w14:paraId="78988E0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update.</w:t>
      </w:r>
    </w:p>
    <w:p w14:paraId="0F8CD1B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matters because regenerative value cannot be represented only by final outputs.</w:t>
      </w:r>
    </w:p>
    <w:p w14:paraId="285573F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must remain linked to the processes that generated it.</w:t>
      </w:r>
    </w:p>
    <w:p w14:paraId="714E2CC2"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logic allows Prometheus to move from claim-based assets to process-based assets.</w:t>
      </w:r>
    </w:p>
    <w:p w14:paraId="5F17F58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process-based asset is more credible because it preserves the path from action to evidence to value.</w:t>
      </w:r>
    </w:p>
    <w:p w14:paraId="353226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The One Human Ecosystem within the architecture</w:t>
      </w:r>
    </w:p>
    <w:p w14:paraId="5FF86E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OHE is the minimum deployable unit of regenerative infrastructure.</w:t>
      </w:r>
    </w:p>
    <w:p w14:paraId="58A49AC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Within the system architecture, it performs multiple functions at once.</w:t>
      </w:r>
    </w:p>
    <w:p w14:paraId="3DD1F0F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a biophysical unit because regeneration occurs within it.</w:t>
      </w:r>
    </w:p>
    <w:p w14:paraId="3A165AE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a production unit because food, biomass, and ecosystem outputs emerge from it.</w:t>
      </w:r>
    </w:p>
    <w:p w14:paraId="06A9E64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a data unit because observations, measurements, and audits are generated from it.</w:t>
      </w:r>
    </w:p>
    <w:p w14:paraId="3EF2DDA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It is an accounting unit because events and resources can be structured through </w:t>
      </w:r>
      <w:proofErr w:type="spellStart"/>
      <w:r w:rsidRPr="00B479AE">
        <w:rPr>
          <w:rFonts w:ascii="Baskerville Old Face" w:hAnsi="Baskerville Old Face"/>
          <w:i/>
          <w:iCs/>
        </w:rPr>
        <w:t>Valueflows</w:t>
      </w:r>
      <w:proofErr w:type="spellEnd"/>
      <w:r w:rsidRPr="00B479AE">
        <w:rPr>
          <w:rFonts w:ascii="Baskerville Old Face" w:hAnsi="Baskerville Old Face"/>
          <w:i/>
          <w:iCs/>
        </w:rPr>
        <w:t>.</w:t>
      </w:r>
    </w:p>
    <w:p w14:paraId="062EE0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an underwriting unit because verified performance can inform PRU logic.</w:t>
      </w:r>
    </w:p>
    <w:p w14:paraId="4F6F55B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a governance unit because stewardship, responsibility, and participation become visible through it.</w:t>
      </w:r>
    </w:p>
    <w:p w14:paraId="7D3774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It is a replication unit because it can be deployed across different contexts and aggregated into networks.</w:t>
      </w:r>
    </w:p>
    <w:p w14:paraId="53819AE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OHE is therefore not only an ecological design.</w:t>
      </w:r>
    </w:p>
    <w:p w14:paraId="2E20711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the smallest complete unit through which Prometheus becomes operational.</w:t>
      </w:r>
    </w:p>
    <w:p w14:paraId="2D9FBC7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Prometheus Regenerative Unit</w:t>
      </w:r>
    </w:p>
    <w:p w14:paraId="640E597A" w14:textId="3AC8AF23"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The PRU is the </w:t>
      </w:r>
      <w:r w:rsidR="00B45DD4" w:rsidRPr="00B479AE">
        <w:rPr>
          <w:rFonts w:ascii="Baskerville Old Face" w:hAnsi="Baskerville Old Face"/>
          <w:i/>
          <w:iCs/>
        </w:rPr>
        <w:t xml:space="preserve">value-analysis interface </w:t>
      </w:r>
      <w:r w:rsidRPr="00B479AE">
        <w:rPr>
          <w:rFonts w:ascii="Baskerville Old Face" w:hAnsi="Baskerville Old Face"/>
          <w:i/>
          <w:iCs/>
        </w:rPr>
        <w:t>of verified regenerative performance.</w:t>
      </w:r>
    </w:p>
    <w:p w14:paraId="158B904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represents a structured translation layer between ecological reality and capital allocation.</w:t>
      </w:r>
    </w:p>
    <w:p w14:paraId="262A263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PRU may incorporate several dimensions:</w:t>
      </w:r>
    </w:p>
    <w:p w14:paraId="3A09F27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productive output;</w:t>
      </w:r>
    </w:p>
    <w:p w14:paraId="2AA68B5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function;</w:t>
      </w:r>
    </w:p>
    <w:p w14:paraId="523BEAC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hydrological performance;</w:t>
      </w:r>
    </w:p>
    <w:p w14:paraId="5FAAEF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w:t>
      </w:r>
    </w:p>
    <w:p w14:paraId="3BB76EF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biomass cycling;</w:t>
      </w:r>
    </w:p>
    <w:p w14:paraId="0729E4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input-dependency reduction;</w:t>
      </w:r>
    </w:p>
    <w:p w14:paraId="6D1D03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resilience;</w:t>
      </w:r>
    </w:p>
    <w:p w14:paraId="0D1B6EF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integrity;</w:t>
      </w:r>
    </w:p>
    <w:p w14:paraId="707C8EC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confidence score;</w:t>
      </w:r>
    </w:p>
    <w:p w14:paraId="757E906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admissibility status;</w:t>
      </w:r>
    </w:p>
    <w:p w14:paraId="1377BCE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and operational reliability.</w:t>
      </w:r>
    </w:p>
    <w:p w14:paraId="7395D36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PRU exists because ecological performance must become comparable before it can become financeable.</w:t>
      </w:r>
    </w:p>
    <w:p w14:paraId="55DB5A0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xml:space="preserve">A soil improvement in Sicily, a water-retention gain in Spain, a biodiversity </w:t>
      </w:r>
      <w:proofErr w:type="gramStart"/>
      <w:r w:rsidRPr="00B479AE">
        <w:rPr>
          <w:rFonts w:ascii="Baskerville Old Face" w:hAnsi="Baskerville Old Face"/>
          <w:i/>
          <w:iCs/>
        </w:rPr>
        <w:t>increase</w:t>
      </w:r>
      <w:proofErr w:type="gramEnd"/>
      <w:r w:rsidRPr="00B479AE">
        <w:rPr>
          <w:rFonts w:ascii="Baskerville Old Face" w:hAnsi="Baskerville Old Face"/>
          <w:i/>
          <w:iCs/>
        </w:rPr>
        <w:t xml:space="preserve"> in Florida, and a syntropic yield improvement in another bioregion cannot become portfolio-grade unless they are translated into structured, normalized, reviewable units.</w:t>
      </w:r>
    </w:p>
    <w:p w14:paraId="5B19891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PRU does not reduce all value to money.</w:t>
      </w:r>
    </w:p>
    <w:p w14:paraId="7DAD53A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creates a disciplined interface through which verified regenerative performance can be assessed by capital.</w:t>
      </w:r>
    </w:p>
    <w:p w14:paraId="7D6F2A1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PRU value logic</w:t>
      </w:r>
    </w:p>
    <w:p w14:paraId="2CAFDC3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PRU value logic is based on the relationship between regeneration, risk, and long-term productive capacity.</w:t>
      </w:r>
    </w:p>
    <w:p w14:paraId="71A0656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As regenerative systems mature, several dynamics may improve:</w:t>
      </w:r>
    </w:p>
    <w:p w14:paraId="315DF89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quality increases;</w:t>
      </w:r>
    </w:p>
    <w:p w14:paraId="7D1624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 retention improves;</w:t>
      </w:r>
    </w:p>
    <w:p w14:paraId="557F46B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biological diversity expands;</w:t>
      </w:r>
    </w:p>
    <w:p w14:paraId="0EC845B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input dependency decreases;</w:t>
      </w:r>
    </w:p>
    <w:p w14:paraId="3427BE5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yield variance may decline;</w:t>
      </w:r>
    </w:p>
    <w:p w14:paraId="73BE24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resilience under stress may improve;</w:t>
      </w:r>
    </w:p>
    <w:p w14:paraId="609065E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management knowledge becomes more refined;</w:t>
      </w:r>
    </w:p>
    <w:p w14:paraId="1EA2C70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confidence increases;</w:t>
      </w:r>
    </w:p>
    <w:p w14:paraId="65B95B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predictability improves.</w:t>
      </w:r>
    </w:p>
    <w:p w14:paraId="12E5604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These changes may support a better risk profile.</w:t>
      </w:r>
    </w:p>
    <w:p w14:paraId="04AB43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better risk profile may support a stronger valuation, lower cost of capital, improved underwriting, and greater suitability for portfolio aggregation.</w:t>
      </w:r>
    </w:p>
    <w:p w14:paraId="394E6E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core value logic can be expressed as:</w:t>
      </w:r>
    </w:p>
    <w:p w14:paraId="10EE23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ecological coherence</w:t>
      </w:r>
      <w:r w:rsidRPr="00B479AE">
        <w:rPr>
          <w:rFonts w:ascii="Baskerville Old Face" w:hAnsi="Baskerville Old Face"/>
          <w:i/>
          <w:iCs/>
        </w:rPr>
        <w:br/>
        <w:t>stability</w:t>
      </w:r>
      <w:r w:rsidRPr="00B479AE">
        <w:rPr>
          <w:rFonts w:ascii="Baskerville Old Face" w:hAnsi="Baskerville Old Face"/>
          <w:i/>
          <w:iCs/>
        </w:rPr>
        <w:br/>
        <w:t>risk compression</w:t>
      </w:r>
      <w:r w:rsidRPr="00B479AE">
        <w:rPr>
          <w:rFonts w:ascii="Baskerville Old Face" w:hAnsi="Baskerville Old Face"/>
          <w:i/>
          <w:iCs/>
        </w:rPr>
        <w:br/>
        <w:t>financial admissibility</w:t>
      </w:r>
      <w:r w:rsidRPr="00B479AE">
        <w:rPr>
          <w:rFonts w:ascii="Baskerville Old Face" w:hAnsi="Baskerville Old Face"/>
          <w:i/>
          <w:iCs/>
        </w:rPr>
        <w:br/>
        <w:t>capital efficiency.</w:t>
      </w:r>
    </w:p>
    <w:p w14:paraId="1AC1E96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does not mean that value automatically increases.</w:t>
      </w:r>
    </w:p>
    <w:p w14:paraId="1C2400E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means that value may increase when improvement is measured, verified, confidence-adjusted, and admissible.</w:t>
      </w:r>
    </w:p>
    <w:p w14:paraId="2C43EB7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discipline is what makes PRU logic institutionally credible.</w:t>
      </w:r>
    </w:p>
    <w:p w14:paraId="44AC5778" w14:textId="71B6012C" w:rsidR="008D67A4" w:rsidRPr="00B479AE" w:rsidRDefault="000350E2" w:rsidP="008D67A4">
      <w:pPr>
        <w:spacing w:line="360" w:lineRule="auto"/>
        <w:rPr>
          <w:rFonts w:ascii="Baskerville Old Face" w:hAnsi="Baskerville Old Face"/>
          <w:i/>
          <w:iCs/>
        </w:rPr>
      </w:pPr>
      <w:r w:rsidRPr="00B479AE">
        <w:rPr>
          <w:rFonts w:ascii="Baskerville Old Face" w:hAnsi="Baskerville Old Face"/>
          <w:b/>
          <w:bCs/>
          <w:i/>
          <w:iCs/>
        </w:rPr>
        <w:t>PRU maturity classification</w:t>
      </w:r>
    </w:p>
    <w:p w14:paraId="22A47561" w14:textId="1EDAADA1"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A </w:t>
      </w:r>
      <w:r w:rsidR="000350E2" w:rsidRPr="00B479AE">
        <w:rPr>
          <w:rFonts w:ascii="Baskerville Old Face" w:hAnsi="Baskerville Old Face"/>
          <w:i/>
          <w:iCs/>
        </w:rPr>
        <w:t xml:space="preserve">PRU maturity classification </w:t>
      </w:r>
      <w:r w:rsidRPr="00B479AE">
        <w:rPr>
          <w:rFonts w:ascii="Baskerville Old Face" w:hAnsi="Baskerville Old Face"/>
          <w:i/>
          <w:iCs/>
        </w:rPr>
        <w:t>system allows verified regenerative units to be classified according to quality, evidence strength, risk, and maturity.</w:t>
      </w:r>
    </w:p>
    <w:p w14:paraId="1A37DB77" w14:textId="0F839D86" w:rsidR="008D67A4" w:rsidRPr="00B479AE" w:rsidRDefault="00EA6FBF" w:rsidP="008D67A4">
      <w:pPr>
        <w:spacing w:line="360" w:lineRule="auto"/>
        <w:rPr>
          <w:rFonts w:ascii="Baskerville Old Face" w:hAnsi="Baskerville Old Face"/>
          <w:i/>
          <w:iCs/>
        </w:rPr>
      </w:pPr>
      <w:r w:rsidRPr="00B479AE">
        <w:rPr>
          <w:rFonts w:ascii="Baskerville Old Face" w:hAnsi="Baskerville Old Face"/>
          <w:i/>
          <w:iCs/>
        </w:rPr>
        <w:t xml:space="preserve">A maturity-classification framework may include dimensions such as: </w:t>
      </w:r>
    </w:p>
    <w:p w14:paraId="6BEB13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ecological stability;</w:t>
      </w:r>
    </w:p>
    <w:p w14:paraId="3463D3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productive reliability;</w:t>
      </w:r>
    </w:p>
    <w:p w14:paraId="74A848D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hydrological resilience;</w:t>
      </w:r>
    </w:p>
    <w:p w14:paraId="76FE8F5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function;</w:t>
      </w:r>
    </w:p>
    <w:p w14:paraId="1ECD91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performance;</w:t>
      </w:r>
    </w:p>
    <w:p w14:paraId="4F489CA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resource independence;</w:t>
      </w:r>
    </w:p>
    <w:p w14:paraId="2FAEC34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integrity;</w:t>
      </w:r>
    </w:p>
    <w:p w14:paraId="5E866A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confidence score;</w:t>
      </w:r>
    </w:p>
    <w:p w14:paraId="65AB37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reliability;</w:t>
      </w:r>
    </w:p>
    <w:p w14:paraId="746A8E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history;</w:t>
      </w:r>
    </w:p>
    <w:p w14:paraId="36E44D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legal clarity;</w:t>
      </w:r>
    </w:p>
    <w:p w14:paraId="6F808E1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revenue quality.</w:t>
      </w:r>
    </w:p>
    <w:p w14:paraId="31D8D197" w14:textId="1D5A9DE9" w:rsidR="008D67A4" w:rsidRPr="00B479AE" w:rsidRDefault="009B4B5B" w:rsidP="008D67A4">
      <w:pPr>
        <w:spacing w:line="360" w:lineRule="auto"/>
        <w:rPr>
          <w:rFonts w:ascii="Baskerville Old Face" w:hAnsi="Baskerville Old Face"/>
          <w:i/>
          <w:iCs/>
        </w:rPr>
      </w:pPr>
      <w:r w:rsidRPr="00B479AE">
        <w:rPr>
          <w:rFonts w:ascii="Baskerville Old Face" w:hAnsi="Baskerville Old Face"/>
          <w:i/>
          <w:iCs/>
        </w:rPr>
        <w:t>PRU maturity classes may evolve over time as evidence accumulates</w:t>
      </w:r>
      <w:r w:rsidR="008D67A4" w:rsidRPr="00B479AE">
        <w:rPr>
          <w:rFonts w:ascii="Baskerville Old Face" w:hAnsi="Baskerville Old Face"/>
          <w:i/>
          <w:iCs/>
        </w:rPr>
        <w:t>.</w:t>
      </w:r>
    </w:p>
    <w:p w14:paraId="65ED6CC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young OHE may begin with limited confidence.</w:t>
      </w:r>
    </w:p>
    <w:p w14:paraId="6073608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As the system matures, data continuity improves.</w:t>
      </w:r>
    </w:p>
    <w:p w14:paraId="454B823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As data improves, uncertainty decreases.</w:t>
      </w:r>
    </w:p>
    <w:p w14:paraId="7CCE9FD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As uncertainty decreases, underwriting quality improves.</w:t>
      </w:r>
    </w:p>
    <w:p w14:paraId="1DD7CA1D" w14:textId="266E8B91"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This creates a dynamic </w:t>
      </w:r>
      <w:r w:rsidR="001C0DFB" w:rsidRPr="00B479AE">
        <w:rPr>
          <w:rFonts w:ascii="Baskerville Old Face" w:hAnsi="Baskerville Old Face"/>
          <w:i/>
          <w:iCs/>
        </w:rPr>
        <w:t>maturity-classification logic</w:t>
      </w:r>
      <w:r w:rsidRPr="00B479AE">
        <w:rPr>
          <w:rFonts w:ascii="Baskerville Old Face" w:hAnsi="Baskerville Old Face"/>
          <w:i/>
          <w:iCs/>
        </w:rPr>
        <w:t>:</w:t>
      </w:r>
    </w:p>
    <w:p w14:paraId="7A717281" w14:textId="1FB72BB2"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time</w:t>
      </w:r>
      <w:r w:rsidRPr="00B479AE">
        <w:rPr>
          <w:rFonts w:ascii="Baskerville Old Face" w:hAnsi="Baskerville Old Face"/>
          <w:i/>
          <w:iCs/>
        </w:rPr>
        <w:br/>
        <w:t>evidence</w:t>
      </w:r>
      <w:r w:rsidRPr="00B479AE">
        <w:rPr>
          <w:rFonts w:ascii="Baskerville Old Face" w:hAnsi="Baskerville Old Face"/>
          <w:i/>
          <w:iCs/>
        </w:rPr>
        <w:br/>
        <w:t>confidence</w:t>
      </w:r>
      <w:r w:rsidRPr="00B479AE">
        <w:rPr>
          <w:rFonts w:ascii="Baskerville Old Face" w:hAnsi="Baskerville Old Face"/>
          <w:i/>
          <w:iCs/>
        </w:rPr>
        <w:br/>
        <w:t>risk adjustment</w:t>
      </w:r>
      <w:r w:rsidRPr="00B479AE">
        <w:rPr>
          <w:rFonts w:ascii="Baskerville Old Face" w:hAnsi="Baskerville Old Face"/>
          <w:i/>
          <w:iCs/>
        </w:rPr>
        <w:br/>
      </w:r>
      <w:r w:rsidR="00BD7A8A" w:rsidRPr="00B479AE">
        <w:rPr>
          <w:rFonts w:ascii="Baskerville Old Face" w:hAnsi="Baskerville Old Face"/>
          <w:i/>
          <w:iCs/>
        </w:rPr>
        <w:t>maturity-class evolution</w:t>
      </w:r>
      <w:r w:rsidRPr="00B479AE">
        <w:rPr>
          <w:rFonts w:ascii="Baskerville Old Face" w:hAnsi="Baskerville Old Face"/>
          <w:i/>
          <w:iCs/>
        </w:rPr>
        <w:t>.</w:t>
      </w:r>
    </w:p>
    <w:p w14:paraId="6D42B30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objective is not to assign prestige.</w:t>
      </w:r>
    </w:p>
    <w:p w14:paraId="32D9F5D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objective is to make regenerative performance comparable, monitorable, and capital-admissible.</w:t>
      </w:r>
    </w:p>
    <w:p w14:paraId="6EB845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Regenerative Asset Pool</w:t>
      </w:r>
    </w:p>
    <w:p w14:paraId="2E5481F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RAP is the portfolio layer of Prometheus.</w:t>
      </w:r>
    </w:p>
    <w:p w14:paraId="7B09BA9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single regenerative unit may be valuable, but it remains exposed to local risk.</w:t>
      </w:r>
    </w:p>
    <w:p w14:paraId="3F48FE7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diversified pool of verified regenerative units can become more stable.</w:t>
      </w:r>
    </w:p>
    <w:p w14:paraId="6E57D92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RAP may aggregate PRUs across:</w:t>
      </w:r>
    </w:p>
    <w:p w14:paraId="3B327B8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sites;</w:t>
      </w:r>
    </w:p>
    <w:p w14:paraId="1ABA5D5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operators;</w:t>
      </w:r>
    </w:p>
    <w:p w14:paraId="7A9B7DE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climates;</w:t>
      </w:r>
    </w:p>
    <w:p w14:paraId="3A3A53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maturity stages;</w:t>
      </w:r>
    </w:p>
    <w:p w14:paraId="6A9E3E5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different species compositions;</w:t>
      </w:r>
    </w:p>
    <w:p w14:paraId="53CAFBC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revenue profiles;</w:t>
      </w:r>
    </w:p>
    <w:p w14:paraId="2D29EF8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legal contexts;</w:t>
      </w:r>
    </w:p>
    <w:p w14:paraId="3CD655D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different ecological functions.</w:t>
      </w:r>
    </w:p>
    <w:p w14:paraId="05A836D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portfolio structure enables risk distribution.</w:t>
      </w:r>
    </w:p>
    <w:p w14:paraId="214C4A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also enables institutional participation, because large investors rarely allocate capital efficiently to isolated micro-projects without aggregation.</w:t>
      </w:r>
    </w:p>
    <w:p w14:paraId="06CFB7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RAP converts many regenerative units into an asset base that can support reporting, underwriting, finance, insurance, guarantees, and future compliant investment products.</w:t>
      </w:r>
    </w:p>
    <w:p w14:paraId="69CBE20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Structural separation of land, operations, and capital</w:t>
      </w:r>
    </w:p>
    <w:p w14:paraId="4DAB389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requires structural separation between land, operations, governance, and capital.</w:t>
      </w:r>
    </w:p>
    <w:p w14:paraId="3CA6604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separation protects the system from speculative distortion.</w:t>
      </w:r>
    </w:p>
    <w:p w14:paraId="55C86DD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Land is the biophysical substrate.</w:t>
      </w:r>
    </w:p>
    <w:p w14:paraId="0529C5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Operations generate activity and revenue.</w:t>
      </w:r>
    </w:p>
    <w:p w14:paraId="2E8E037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MRV produces evidence.</w:t>
      </w:r>
    </w:p>
    <w:p w14:paraId="19274B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PRU translates verified performance.</w:t>
      </w:r>
    </w:p>
    <w:p w14:paraId="138AA5A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RAP aggregates units.</w:t>
      </w:r>
    </w:p>
    <w:p w14:paraId="49020F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preserves system coherence.</w:t>
      </w:r>
    </w:p>
    <w:p w14:paraId="6F23EE6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finances deployment and scaling.</w:t>
      </w:r>
    </w:p>
    <w:p w14:paraId="507EC11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Tokens or digital instruments represent defined rights only when legally structured.</w:t>
      </w:r>
    </w:p>
    <w:p w14:paraId="29C23BA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These functions must not be confused.</w:t>
      </w:r>
    </w:p>
    <w:p w14:paraId="1B76C37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 particular, land should not be treated as the primary speculative object of the system.</w:t>
      </w:r>
    </w:p>
    <w:p w14:paraId="3635919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 value of Prometheus arises from regenerative performance, not passive land appreciation.</w:t>
      </w:r>
    </w:p>
    <w:p w14:paraId="401FDE4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principle protects access, scalability, and ecological integrity.</w:t>
      </w:r>
    </w:p>
    <w:p w14:paraId="219FCE2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Land value architecture</w:t>
      </w:r>
    </w:p>
    <w:p w14:paraId="0AB5292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Land is non-replicable biophysical substrate.</w:t>
      </w:r>
    </w:p>
    <w:p w14:paraId="62F990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Its role in Prometheus is foundational, but it must be protected from speculative capture.</w:t>
      </w:r>
    </w:p>
    <w:p w14:paraId="1B1E8B4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Conventional systems often allow land to function simultaneously as productive base and speculative store of value.</w:t>
      </w:r>
    </w:p>
    <w:p w14:paraId="7DD157C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creates misalignment.</w:t>
      </w:r>
    </w:p>
    <w:p w14:paraId="6321C10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flows toward ownership and appreciation rather than stewardship and productivity.</w:t>
      </w:r>
    </w:p>
    <w:p w14:paraId="20F782C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Regenerative actors face higher access costs.</w:t>
      </w:r>
    </w:p>
    <w:p w14:paraId="52603C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Long-term ecological use is subordinated to short-term asset inflation.</w:t>
      </w:r>
    </w:p>
    <w:p w14:paraId="50FABCF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addresses this through land value architecture.</w:t>
      </w:r>
    </w:p>
    <w:p w14:paraId="3E2F753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Where appropriate, land may be structured through Community Land Trusts, stewardship agreements, long-term use rights, or other non-speculative access mechanisms.</w:t>
      </w:r>
    </w:p>
    <w:p w14:paraId="3DB0AF0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purpose is to separate land access from land speculation.</w:t>
      </w:r>
    </w:p>
    <w:p w14:paraId="3E365BA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allows capital to be directed toward ecological infrastructure, operations, MRV, stewardship, and regenerative performance rather than simply toward land acquisition.</w:t>
      </w:r>
    </w:p>
    <w:p w14:paraId="4668036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guiding principle is clear:</w:t>
      </w:r>
    </w:p>
    <w:p w14:paraId="1F5703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land anchors regeneration;</w:t>
      </w:r>
    </w:p>
    <w:p w14:paraId="683695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performance generates value;</w:t>
      </w:r>
    </w:p>
    <w:p w14:paraId="110D03B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protects access;</w:t>
      </w:r>
    </w:p>
    <w:p w14:paraId="3B54C2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scales infrastructure.</w:t>
      </w:r>
    </w:p>
    <w:p w14:paraId="3DB575D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Governance architecture</w:t>
      </w:r>
    </w:p>
    <w:p w14:paraId="7577C4A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Regenerative systems require governance capable of balancing local autonomy with systemic coherence.</w:t>
      </w:r>
    </w:p>
    <w:p w14:paraId="0EC00FF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governance is designed around stewardship, transparency, participation, and protection of the living systems that generate value.</w:t>
      </w:r>
    </w:p>
    <w:p w14:paraId="793038E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may include:</w:t>
      </w:r>
    </w:p>
    <w:p w14:paraId="4A05255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Circles;</w:t>
      </w:r>
    </w:p>
    <w:p w14:paraId="4276E9B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protocol governance;</w:t>
      </w:r>
    </w:p>
    <w:p w14:paraId="66F0697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TRBK-based participation mechanisms;</w:t>
      </w:r>
    </w:p>
    <w:p w14:paraId="300AFA9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multi-stakeholder oversight;</w:t>
      </w:r>
    </w:p>
    <w:p w14:paraId="303C05B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 governance safeguards;</w:t>
      </w:r>
    </w:p>
    <w:p w14:paraId="09B4F4D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dispute-resolution processes;</w:t>
      </w:r>
    </w:p>
    <w:p w14:paraId="7E20782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 and review committees;</w:t>
      </w:r>
    </w:p>
    <w:p w14:paraId="3EAF1B0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update procedures;</w:t>
      </w:r>
    </w:p>
    <w:p w14:paraId="5EADD7A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pilot progression gates;</w:t>
      </w:r>
    </w:p>
    <w:p w14:paraId="4E370D4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emergency response mechanisms;</w:t>
      </w:r>
    </w:p>
    <w:p w14:paraId="3104BD4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anti-capture constraints.</w:t>
      </w:r>
    </w:p>
    <w:p w14:paraId="1DDD080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governance system must support evolution without allowing semantic drift.</w:t>
      </w:r>
    </w:p>
    <w:p w14:paraId="4389F53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must allow adaptation without allowing extraction to re-enter through complexity.</w:t>
      </w:r>
    </w:p>
    <w:p w14:paraId="1E9054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the role of constitutional governance.</w:t>
      </w:r>
    </w:p>
    <w:p w14:paraId="21FE352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TRBK layer</w:t>
      </w:r>
    </w:p>
    <w:p w14:paraId="304B1C8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TRBK represents a governance, coordination, access, or participation layer within the Prometheus ecosystem.</w:t>
      </w:r>
    </w:p>
    <w:p w14:paraId="4C9303D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Its function is to align participants around regenerative contribution, stewardship, and long-term system coherence.</w:t>
      </w:r>
    </w:p>
    <w:p w14:paraId="3F075F4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TRBK should be understood as part of the coordination architecture, not as the source of ecological value.</w:t>
      </w:r>
    </w:p>
    <w:p w14:paraId="18DE9F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Ecological value originates in living-system performance.</w:t>
      </w:r>
    </w:p>
    <w:p w14:paraId="2FA63F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Verified value is translated through PRU logic.</w:t>
      </w:r>
    </w:p>
    <w:p w14:paraId="17E33B5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TRBK may support governance, participation, reputation, access, contribution tracking, or incentive alignment.</w:t>
      </w:r>
    </w:p>
    <w:p w14:paraId="036808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Its role is meaningful precisely because it remains functionally distinct from PRU, land, </w:t>
      </w:r>
      <w:proofErr w:type="spellStart"/>
      <w:r w:rsidRPr="00B479AE">
        <w:rPr>
          <w:rFonts w:ascii="Baskerville Old Face" w:hAnsi="Baskerville Old Face"/>
          <w:i/>
          <w:iCs/>
        </w:rPr>
        <w:t>HoloFuel</w:t>
      </w:r>
      <w:proofErr w:type="spellEnd"/>
      <w:r w:rsidRPr="00B479AE">
        <w:rPr>
          <w:rFonts w:ascii="Baskerville Old Face" w:hAnsi="Baskerville Old Face"/>
          <w:i/>
          <w:iCs/>
        </w:rPr>
        <w:t>, securities, and cash-flow rights.</w:t>
      </w:r>
    </w:p>
    <w:p w14:paraId="492610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separation allows TRBK to contribute to coordination without distorting the underwriting layer.</w:t>
      </w:r>
    </w:p>
    <w:p w14:paraId="5448D7DC"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b/>
          <w:bCs/>
          <w:i/>
          <w:iCs/>
        </w:rPr>
        <w:t>HoloFuel</w:t>
      </w:r>
      <w:proofErr w:type="spellEnd"/>
      <w:r w:rsidRPr="00B479AE">
        <w:rPr>
          <w:rFonts w:ascii="Baskerville Old Face" w:hAnsi="Baskerville Old Face"/>
          <w:b/>
          <w:bCs/>
          <w:i/>
          <w:iCs/>
        </w:rPr>
        <w:t xml:space="preserve"> layer</w:t>
      </w:r>
    </w:p>
    <w:p w14:paraId="098DF083"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represents an operational transaction and infrastructure layer within agent-centric digital systems.</w:t>
      </w:r>
    </w:p>
    <w:p w14:paraId="2550800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Its function is associated with hosting, computation, validation, and infrastructure operations.</w:t>
      </w:r>
    </w:p>
    <w:p w14:paraId="1C4D178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not equivalent to PRU.</w:t>
      </w:r>
    </w:p>
    <w:p w14:paraId="548BDD8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not equivalent to TRBK.</w:t>
      </w:r>
    </w:p>
    <w:p w14:paraId="14BF1F5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not equivalent to a security interest in regenerative assets.</w:t>
      </w:r>
    </w:p>
    <w:p w14:paraId="03226AD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Within Prometheus,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may support the digital metabolism of the infrastructure.</w:t>
      </w:r>
    </w:p>
    <w:p w14:paraId="5A6A1F03" w14:textId="1500DAE2"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Where PRU provides </w:t>
      </w:r>
      <w:r w:rsidR="000A3F1F" w:rsidRPr="00B479AE">
        <w:rPr>
          <w:rFonts w:ascii="Baskerville Old Face" w:hAnsi="Baskerville Old Face"/>
          <w:i/>
          <w:iCs/>
        </w:rPr>
        <w:t>analytical representation of verified regenerative performance</w:t>
      </w:r>
      <w:r w:rsidRPr="00B479AE">
        <w:rPr>
          <w:rFonts w:ascii="Baskerville Old Face" w:hAnsi="Baskerville Old Face"/>
          <w:i/>
          <w:iCs/>
        </w:rPr>
        <w:t xml:space="preserve">, and TRBK supports coordination,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supports operational flow.</w:t>
      </w:r>
    </w:p>
    <w:p w14:paraId="34348C8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layer strengthens the system by remaining clear.</w:t>
      </w:r>
    </w:p>
    <w:p w14:paraId="5F012BF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Stablecoin and fiat rails</w:t>
      </w:r>
    </w:p>
    <w:p w14:paraId="4B001FF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Compliant capital entry and settlement may require fiat or stablecoin rails.</w:t>
      </w:r>
    </w:p>
    <w:p w14:paraId="5ED6DE8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These rails can support capital allocation, operating payments, investor distributions, treasury management, and institutional integration.</w:t>
      </w:r>
    </w:p>
    <w:p w14:paraId="7424E4A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role is practical.</w:t>
      </w:r>
    </w:p>
    <w:p w14:paraId="46647FD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provide compatibility with existing financial systems.</w:t>
      </w:r>
    </w:p>
    <w:p w14:paraId="1888EBD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do not define the ontology of Prometheus.</w:t>
      </w:r>
    </w:p>
    <w:p w14:paraId="57CB77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remains grounded in regenerative performance, MRV, PRU, governance, and legal structuring.</w:t>
      </w:r>
    </w:p>
    <w:p w14:paraId="33C013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Stablecoin and fiat rails are bridges, not foundations.</w:t>
      </w:r>
    </w:p>
    <w:p w14:paraId="6ABC8E6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RWA tokenization pathway</w:t>
      </w:r>
    </w:p>
    <w:p w14:paraId="5EB0CE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supports a disciplined pathway toward real-world asset tokenization.</w:t>
      </w:r>
    </w:p>
    <w:p w14:paraId="3FE09C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pathway begins with regeneration, not with token issuance.</w:t>
      </w:r>
    </w:p>
    <w:p w14:paraId="26DB3D2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sequence is:</w:t>
      </w:r>
    </w:p>
    <w:p w14:paraId="43C4EE4F" w14:textId="124772C2"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OHE</w:t>
      </w:r>
      <w:r w:rsidRPr="00B479AE">
        <w:rPr>
          <w:rFonts w:ascii="Baskerville Old Face" w:hAnsi="Baskerville Old Face"/>
          <w:i/>
          <w:iCs/>
        </w:rPr>
        <w:br/>
        <w:t>MRV</w:t>
      </w:r>
      <w:r w:rsidRPr="00B479AE">
        <w:rPr>
          <w:rFonts w:ascii="Baskerville Old Face" w:hAnsi="Baskerville Old Face"/>
          <w:i/>
          <w:iCs/>
        </w:rPr>
        <w:br/>
        <w:t>verified indicators</w:t>
      </w:r>
      <w:r w:rsidRPr="00B479AE">
        <w:rPr>
          <w:rFonts w:ascii="Baskerville Old Face" w:hAnsi="Baskerville Old Face"/>
          <w:i/>
          <w:iCs/>
        </w:rPr>
        <w:br/>
        <w:t>PRU</w:t>
      </w:r>
      <w:r w:rsidRPr="00B479AE">
        <w:rPr>
          <w:rFonts w:ascii="Baskerville Old Face" w:hAnsi="Baskerville Old Face"/>
          <w:i/>
          <w:iCs/>
        </w:rPr>
        <w:br/>
      </w:r>
      <w:proofErr w:type="spellStart"/>
      <w:r w:rsidR="000350E2" w:rsidRPr="00B479AE">
        <w:rPr>
          <w:rFonts w:ascii="Baskerville Old Face" w:hAnsi="Baskerville Old Face"/>
          <w:i/>
          <w:iCs/>
        </w:rPr>
        <w:t>PRU</w:t>
      </w:r>
      <w:proofErr w:type="spellEnd"/>
      <w:r w:rsidR="000350E2" w:rsidRPr="00B479AE">
        <w:rPr>
          <w:rFonts w:ascii="Baskerville Old Face" w:hAnsi="Baskerville Old Face"/>
          <w:i/>
          <w:iCs/>
        </w:rPr>
        <w:t xml:space="preserve"> maturity classification </w:t>
      </w:r>
      <w:r w:rsidRPr="00B479AE">
        <w:rPr>
          <w:rFonts w:ascii="Baskerville Old Face" w:hAnsi="Baskerville Old Face"/>
          <w:i/>
          <w:iCs/>
        </w:rPr>
        <w:br/>
        <w:t>RAP</w:t>
      </w:r>
      <w:r w:rsidRPr="00B479AE">
        <w:rPr>
          <w:rFonts w:ascii="Baskerville Old Face" w:hAnsi="Baskerville Old Face"/>
          <w:i/>
          <w:iCs/>
        </w:rPr>
        <w:br/>
        <w:t>legal wrapper</w:t>
      </w:r>
      <w:r w:rsidRPr="00B479AE">
        <w:rPr>
          <w:rFonts w:ascii="Baskerville Old Face" w:hAnsi="Baskerville Old Face"/>
          <w:i/>
          <w:iCs/>
        </w:rPr>
        <w:br/>
        <w:t>compliant instrument</w:t>
      </w:r>
      <w:r w:rsidRPr="00B479AE">
        <w:rPr>
          <w:rFonts w:ascii="Baskerville Old Face" w:hAnsi="Baskerville Old Face"/>
          <w:i/>
          <w:iCs/>
        </w:rPr>
        <w:br/>
        <w:t>possible tokenized representation.</w:t>
      </w:r>
    </w:p>
    <w:p w14:paraId="74F725F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order is essential.</w:t>
      </w:r>
    </w:p>
    <w:p w14:paraId="48774E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Tokenization becomes meaningful only when it represents something already structured, verified, and legally defined.</w:t>
      </w:r>
    </w:p>
    <w:p w14:paraId="2418624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token can improve transferability, programmability, transparency, access, or settlement.</w:t>
      </w:r>
    </w:p>
    <w:p w14:paraId="567E0A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does not create ecological value by itself.</w:t>
      </w:r>
    </w:p>
    <w:p w14:paraId="3C62643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It represents value only through the rights, claims, obligations, and instruments attached to it.</w:t>
      </w:r>
    </w:p>
    <w:p w14:paraId="25AA83E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Within Prometheus, tokenization is therefore a representation layer.</w:t>
      </w:r>
    </w:p>
    <w:p w14:paraId="1993993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asset is verified regenerative infrastructure.</w:t>
      </w:r>
    </w:p>
    <w:p w14:paraId="4E6A0B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Capital formation architecture</w:t>
      </w:r>
    </w:p>
    <w:p w14:paraId="553AC32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formation within Prometheus is based on progressive evidence.</w:t>
      </w:r>
    </w:p>
    <w:p w14:paraId="4A5D0C1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Early-stage capital supports pilot deployment, MRV, operational setup, and system validation.</w:t>
      </w:r>
    </w:p>
    <w:p w14:paraId="6EA61A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Growth capital supports replication, OHE clusters, operational scaling, and improved evidence continuity.</w:t>
      </w:r>
    </w:p>
    <w:p w14:paraId="756611B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Institutional capital may support RAP portfolios, SPVs, funds, blended finance, credit facilities, or future structured products.</w:t>
      </w:r>
    </w:p>
    <w:p w14:paraId="67C236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maturity of capital should match the maturity of evidence.</w:t>
      </w:r>
    </w:p>
    <w:p w14:paraId="20BC4B0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pilot should not be presented as a fully seasoned asset.</w:t>
      </w:r>
    </w:p>
    <w:p w14:paraId="72974A7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young PRU should not be treated like a mature infrastructure bond.</w:t>
      </w:r>
    </w:p>
    <w:p w14:paraId="3110D24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RAP should not be scaled before the underlying units demonstrate sufficient verification, governance, and operational reliability.</w:t>
      </w:r>
    </w:p>
    <w:p w14:paraId="6D5F00C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follows a staged capital logic:</w:t>
      </w:r>
    </w:p>
    <w:p w14:paraId="70AD7AC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pilot capital</w:t>
      </w:r>
      <w:r w:rsidRPr="00B479AE">
        <w:rPr>
          <w:rFonts w:ascii="Baskerville Old Face" w:hAnsi="Baskerville Old Face"/>
          <w:i/>
          <w:iCs/>
        </w:rPr>
        <w:br/>
        <w:t>validation capital</w:t>
      </w:r>
      <w:r w:rsidRPr="00B479AE">
        <w:rPr>
          <w:rFonts w:ascii="Baskerville Old Face" w:hAnsi="Baskerville Old Face"/>
          <w:i/>
          <w:iCs/>
        </w:rPr>
        <w:br/>
        <w:t>growth capital</w:t>
      </w:r>
      <w:r w:rsidRPr="00B479AE">
        <w:rPr>
          <w:rFonts w:ascii="Baskerville Old Face" w:hAnsi="Baskerville Old Face"/>
          <w:i/>
          <w:iCs/>
        </w:rPr>
        <w:br/>
        <w:t>portfolio capital</w:t>
      </w:r>
      <w:r w:rsidRPr="00B479AE">
        <w:rPr>
          <w:rFonts w:ascii="Baskerville Old Face" w:hAnsi="Baskerville Old Face"/>
          <w:i/>
          <w:iCs/>
        </w:rPr>
        <w:br/>
        <w:t>institutional capital.</w:t>
      </w:r>
    </w:p>
    <w:p w14:paraId="4A4B1B4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preserves trust and reduces premature financialization.</w:t>
      </w:r>
    </w:p>
    <w:p w14:paraId="3E6137B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Data rooms and investor reporting</w:t>
      </w:r>
    </w:p>
    <w:p w14:paraId="32A292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For Prometheus to become institutional, each regenerative asset must eventually support a data room.</w:t>
      </w:r>
    </w:p>
    <w:p w14:paraId="21DB862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A Prometheus data room may include:</w:t>
      </w:r>
    </w:p>
    <w:p w14:paraId="7DB75D5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site description;</w:t>
      </w:r>
    </w:p>
    <w:p w14:paraId="7E84A92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 access structure;</w:t>
      </w:r>
    </w:p>
    <w:p w14:paraId="4259E8DA" w14:textId="77777777" w:rsidR="008D67A4" w:rsidRPr="005907F1" w:rsidRDefault="008D67A4" w:rsidP="008D67A4">
      <w:pPr>
        <w:spacing w:line="360" w:lineRule="auto"/>
        <w:rPr>
          <w:rFonts w:ascii="Baskerville Old Face" w:hAnsi="Baskerville Old Face"/>
          <w:i/>
          <w:iCs/>
          <w:lang w:val="it-IT"/>
        </w:rPr>
      </w:pPr>
      <w:r w:rsidRPr="005907F1">
        <w:rPr>
          <w:rFonts w:ascii="Baskerville Old Face" w:hAnsi="Baskerville Old Face"/>
          <w:i/>
          <w:iCs/>
          <w:lang w:val="it-IT"/>
        </w:rPr>
        <w:t>• OHE design;</w:t>
      </w:r>
    </w:p>
    <w:p w14:paraId="0E46C924" w14:textId="77777777" w:rsidR="008D67A4" w:rsidRPr="005907F1" w:rsidRDefault="008D67A4" w:rsidP="008D67A4">
      <w:pPr>
        <w:spacing w:line="360" w:lineRule="auto"/>
        <w:rPr>
          <w:rFonts w:ascii="Baskerville Old Face" w:hAnsi="Baskerville Old Face"/>
          <w:i/>
          <w:iCs/>
          <w:lang w:val="it-IT"/>
        </w:rPr>
      </w:pPr>
      <w:r w:rsidRPr="005907F1">
        <w:rPr>
          <w:rFonts w:ascii="Baskerville Old Face" w:hAnsi="Baskerville Old Face"/>
          <w:i/>
          <w:iCs/>
          <w:lang w:val="it-IT"/>
        </w:rPr>
        <w:t xml:space="preserve">• baseline </w:t>
      </w:r>
      <w:proofErr w:type="spellStart"/>
      <w:r w:rsidRPr="005907F1">
        <w:rPr>
          <w:rFonts w:ascii="Baskerville Old Face" w:hAnsi="Baskerville Old Face"/>
          <w:i/>
          <w:iCs/>
          <w:lang w:val="it-IT"/>
        </w:rPr>
        <w:t>ecological</w:t>
      </w:r>
      <w:proofErr w:type="spellEnd"/>
      <w:r w:rsidRPr="005907F1">
        <w:rPr>
          <w:rFonts w:ascii="Baskerville Old Face" w:hAnsi="Baskerville Old Face"/>
          <w:i/>
          <w:iCs/>
          <w:lang w:val="it-IT"/>
        </w:rPr>
        <w:t xml:space="preserve"> data;</w:t>
      </w:r>
    </w:p>
    <w:p w14:paraId="4C9F2AA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methodology;</w:t>
      </w:r>
    </w:p>
    <w:p w14:paraId="1134ABA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and laboratory records;</w:t>
      </w:r>
    </w:p>
    <w:p w14:paraId="2CA8FA3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satellite and drone evidence;</w:t>
      </w:r>
    </w:p>
    <w:p w14:paraId="699492D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logs;</w:t>
      </w:r>
    </w:p>
    <w:p w14:paraId="03D2CB3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structure;</w:t>
      </w:r>
    </w:p>
    <w:p w14:paraId="48CA561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legal wrapper;</w:t>
      </w:r>
    </w:p>
    <w:p w14:paraId="1555A62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financial model;</w:t>
      </w:r>
    </w:p>
    <w:p w14:paraId="11D3A19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methodology;</w:t>
      </w:r>
    </w:p>
    <w:p w14:paraId="7EEB4158" w14:textId="3322284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 </w:t>
      </w:r>
      <w:r w:rsidR="000350E2" w:rsidRPr="00B479AE">
        <w:rPr>
          <w:rFonts w:ascii="Baskerville Old Face" w:hAnsi="Baskerville Old Face"/>
          <w:i/>
          <w:iCs/>
        </w:rPr>
        <w:t>PRU maturity classification</w:t>
      </w:r>
      <w:r w:rsidRPr="00B479AE">
        <w:rPr>
          <w:rFonts w:ascii="Baskerville Old Face" w:hAnsi="Baskerville Old Face"/>
          <w:i/>
          <w:iCs/>
        </w:rPr>
        <w:t>;</w:t>
      </w:r>
    </w:p>
    <w:p w14:paraId="2236DA3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factors;</w:t>
      </w:r>
    </w:p>
    <w:p w14:paraId="2D5E0C3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insurance or guarantee information;</w:t>
      </w:r>
    </w:p>
    <w:p w14:paraId="0C07F94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investor reporting;</w:t>
      </w:r>
    </w:p>
    <w:p w14:paraId="28F28AA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 history;</w:t>
      </w:r>
    </w:p>
    <w:p w14:paraId="7BBD360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versioning;</w:t>
      </w:r>
    </w:p>
    <w:p w14:paraId="24CE87D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adverse event reporting.</w:t>
      </w:r>
    </w:p>
    <w:p w14:paraId="223DAF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creates institutional readability.</w:t>
      </w:r>
    </w:p>
    <w:p w14:paraId="337EBEA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Investors do not only invest in a narrative.</w:t>
      </w:r>
    </w:p>
    <w:p w14:paraId="206534B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They evaluate a structured evidence base.</w:t>
      </w:r>
    </w:p>
    <w:p w14:paraId="65A4D3E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Pilot-first system architecture</w:t>
      </w:r>
    </w:p>
    <w:p w14:paraId="7F6158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is developed through pilot-first discipline.</w:t>
      </w:r>
    </w:p>
    <w:p w14:paraId="54985F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pilot is not a weak version of the full system.</w:t>
      </w:r>
    </w:p>
    <w:p w14:paraId="74A11A0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the integrity test of the full system.</w:t>
      </w:r>
    </w:p>
    <w:p w14:paraId="6371ADA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pilot must demonstrate that the architecture can preserve coherence under real conditions.</w:t>
      </w:r>
    </w:p>
    <w:p w14:paraId="1B20CC5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includes:</w:t>
      </w:r>
    </w:p>
    <w:p w14:paraId="544C278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ecological deployment;</w:t>
      </w:r>
    </w:p>
    <w:p w14:paraId="089564E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workflows;</w:t>
      </w:r>
    </w:p>
    <w:p w14:paraId="664C92E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evidence;</w:t>
      </w:r>
    </w:p>
    <w:p w14:paraId="22ABE54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digital records;</w:t>
      </w:r>
    </w:p>
    <w:p w14:paraId="3788CF2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boundaries;</w:t>
      </w:r>
    </w:p>
    <w:p w14:paraId="1680FC7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translation;</w:t>
      </w:r>
    </w:p>
    <w:p w14:paraId="6D632D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reporting discipline;</w:t>
      </w:r>
    </w:p>
    <w:p w14:paraId="10C2B19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execution gates;</w:t>
      </w:r>
    </w:p>
    <w:p w14:paraId="1824D90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failure handling;</w:t>
      </w:r>
    </w:p>
    <w:p w14:paraId="58A6F18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refinement.</w:t>
      </w:r>
    </w:p>
    <w:p w14:paraId="178DB2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Pilot-first discipline prevents premature scale.</w:t>
      </w:r>
    </w:p>
    <w:p w14:paraId="321015C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protects the project from confusing future possibility with present evidence.</w:t>
      </w:r>
    </w:p>
    <w:p w14:paraId="2E1FF71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allows the system to mature through reality.</w:t>
      </w:r>
    </w:p>
    <w:p w14:paraId="1B57F77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Autopoietic regenerative intelligence</w:t>
      </w:r>
    </w:p>
    <w:p w14:paraId="18BE5C1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may evolve toward an autopoietic regenerative intelligence layer.</w:t>
      </w:r>
    </w:p>
    <w:p w14:paraId="59DFA47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This means a system capable of observing its own state, learning from feedback, identifying anomalies, supporting decision-making, and improving operations over time.</w:t>
      </w:r>
    </w:p>
    <w:p w14:paraId="73B629D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layer may integrate:</w:t>
      </w:r>
    </w:p>
    <w:p w14:paraId="2E704CE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data;</w:t>
      </w:r>
    </w:p>
    <w:p w14:paraId="25427F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logs;</w:t>
      </w:r>
    </w:p>
    <w:p w14:paraId="031E4B3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ecological models;</w:t>
      </w:r>
    </w:p>
    <w:p w14:paraId="3C384A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AI-assisted interpretation;</w:t>
      </w:r>
    </w:p>
    <w:p w14:paraId="5695DCE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feedback;</w:t>
      </w:r>
    </w:p>
    <w:p w14:paraId="4E48D6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signals;</w:t>
      </w:r>
    </w:p>
    <w:p w14:paraId="5B58B52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intervention history;</w:t>
      </w:r>
    </w:p>
    <w:p w14:paraId="752A60C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performance;</w:t>
      </w:r>
    </w:p>
    <w:p w14:paraId="75D064D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portfolio analytics.</w:t>
      </w:r>
    </w:p>
    <w:p w14:paraId="56B8D01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Its function is risk compression through learning.</w:t>
      </w:r>
    </w:p>
    <w:p w14:paraId="0B13C95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observes.</w:t>
      </w:r>
    </w:p>
    <w:p w14:paraId="111EDC6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interprets.</w:t>
      </w:r>
    </w:p>
    <w:p w14:paraId="67FB1D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recommends.</w:t>
      </w:r>
    </w:p>
    <w:p w14:paraId="27AEA5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acts through human and governance authorization.</w:t>
      </w:r>
    </w:p>
    <w:p w14:paraId="720F308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learns from outcomes.</w:t>
      </w:r>
    </w:p>
    <w:p w14:paraId="4BC5AAD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updates its models.</w:t>
      </w:r>
    </w:p>
    <w:p w14:paraId="7939025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does not make Prometheus autonomous in the legal or moral sense.</w:t>
      </w:r>
    </w:p>
    <w:p w14:paraId="1B1C32A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makes Prometheus adaptive.</w:t>
      </w:r>
    </w:p>
    <w:p w14:paraId="23CF0EC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Autopoietic intelligence supports regeneration by improving the quality of observation, decision support, and feedback over time.</w:t>
      </w:r>
    </w:p>
    <w:p w14:paraId="5975A16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AI as coordination support</w:t>
      </w:r>
    </w:p>
    <w:p w14:paraId="10BEF65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AI within Prometheus functions as coordination support.</w:t>
      </w:r>
    </w:p>
    <w:p w14:paraId="08FC56D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may help detect patterns, classify images, compare time series, identify anomalies, generate scenarios, support ecological design, flag governance risk, or assist investor reporting.</w:t>
      </w:r>
    </w:p>
    <w:p w14:paraId="539C790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AI should remain connected to evidence, model versioning, confidence scoring, and review.</w:t>
      </w:r>
    </w:p>
    <w:p w14:paraId="34DB01B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assists intelligence.</w:t>
      </w:r>
    </w:p>
    <w:p w14:paraId="50DDA7F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does not replace responsibility.</w:t>
      </w:r>
    </w:p>
    <w:p w14:paraId="62818A7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distinction matters because Prometheus is not built on artificial authority.</w:t>
      </w:r>
    </w:p>
    <w:p w14:paraId="1EA8F7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built on living systems, verified evidence, human stewardship, and disciplined governance.</w:t>
      </w:r>
    </w:p>
    <w:p w14:paraId="532AE8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AI becomes valuable when it helps these layers cooperate more effectively.</w:t>
      </w:r>
    </w:p>
    <w:p w14:paraId="738AF703" w14:textId="1D8B49FA"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b/>
          <w:bCs/>
          <w:i/>
          <w:iCs/>
        </w:rPr>
        <w:t xml:space="preserve">Technical Note </w:t>
      </w:r>
      <w:r w:rsidR="007C1C1E">
        <w:rPr>
          <w:rFonts w:ascii="Baskerville Old Face" w:hAnsi="Baskerville Old Face"/>
          <w:b/>
          <w:bCs/>
          <w:i/>
          <w:iCs/>
        </w:rPr>
        <w:t>-</w:t>
      </w:r>
      <w:r w:rsidRPr="00B479AE">
        <w:rPr>
          <w:rFonts w:ascii="Baskerville Old Face" w:hAnsi="Baskerville Old Face"/>
          <w:b/>
          <w:bCs/>
          <w:i/>
          <w:iCs/>
        </w:rPr>
        <w:t xml:space="preserve"> Cognitive Kernel and Constitutional Prompting</w:t>
      </w:r>
    </w:p>
    <w:p w14:paraId="35331DE2"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The Prometheus cognitive kernel is the coordination layer through which AI-assisted interpretation, contextual reasoning, and task formulation remain aligned with the constitutional architecture of the system.</w:t>
      </w:r>
    </w:p>
    <w:p w14:paraId="050E413F"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 should not be understood as an autonomous authority.</w:t>
      </w:r>
    </w:p>
    <w:p w14:paraId="0EE9AEB5"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 should not be understood as an executor.</w:t>
      </w:r>
    </w:p>
    <w:p w14:paraId="35E01EA9"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 should not be understood as a substitute for governance, MRV, legal review, ecological evidence, or human stewardship.</w:t>
      </w:r>
    </w:p>
    <w:p w14:paraId="7205091E"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Its role is to translate context into structured, bounded, reviewable instructions for specialized agents and workflows.</w:t>
      </w:r>
    </w:p>
    <w:p w14:paraId="463BA7ED"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At maturity, the cognitive kernel may support a pipeline such as:</w:t>
      </w:r>
    </w:p>
    <w:p w14:paraId="79A61BD1"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lastRenderedPageBreak/>
        <w:t>observation</w:t>
      </w:r>
      <w:r w:rsidRPr="00B479AE">
        <w:rPr>
          <w:rFonts w:ascii="Baskerville Old Face" w:hAnsi="Baskerville Old Face"/>
          <w:i/>
          <w:iCs/>
        </w:rPr>
        <w:br/>
        <w:t>fusion</w:t>
      </w:r>
      <w:r w:rsidRPr="00B479AE">
        <w:rPr>
          <w:rFonts w:ascii="Baskerville Old Face" w:hAnsi="Baskerville Old Face"/>
          <w:i/>
          <w:iCs/>
        </w:rPr>
        <w:br/>
        <w:t>contextual interpretation</w:t>
      </w:r>
      <w:r w:rsidRPr="00B479AE">
        <w:rPr>
          <w:rFonts w:ascii="Baskerville Old Face" w:hAnsi="Baskerville Old Face"/>
          <w:i/>
          <w:iCs/>
        </w:rPr>
        <w:br/>
        <w:t>constitutional alignment</w:t>
      </w:r>
      <w:r w:rsidRPr="00B479AE">
        <w:rPr>
          <w:rFonts w:ascii="Baskerville Old Face" w:hAnsi="Baskerville Old Face"/>
          <w:i/>
          <w:iCs/>
        </w:rPr>
        <w:br/>
        <w:t>task formulation</w:t>
      </w:r>
      <w:r w:rsidRPr="00B479AE">
        <w:rPr>
          <w:rFonts w:ascii="Baskerville Old Face" w:hAnsi="Baskerville Old Face"/>
          <w:i/>
          <w:iCs/>
        </w:rPr>
        <w:br/>
        <w:t>agent routing</w:t>
      </w:r>
      <w:r w:rsidRPr="00B479AE">
        <w:rPr>
          <w:rFonts w:ascii="Baskerville Old Face" w:hAnsi="Baskerville Old Face"/>
          <w:i/>
          <w:iCs/>
        </w:rPr>
        <w:br/>
        <w:t>human or governance review</w:t>
      </w:r>
      <w:r w:rsidRPr="00B479AE">
        <w:rPr>
          <w:rFonts w:ascii="Baskerville Old Face" w:hAnsi="Baskerville Old Face"/>
          <w:i/>
          <w:iCs/>
        </w:rPr>
        <w:br/>
        <w:t>authorized execution</w:t>
      </w:r>
      <w:r w:rsidRPr="00B479AE">
        <w:rPr>
          <w:rFonts w:ascii="Baskerville Old Face" w:hAnsi="Baskerville Old Face"/>
          <w:i/>
          <w:iCs/>
        </w:rPr>
        <w:br/>
        <w:t>feedback.</w:t>
      </w:r>
    </w:p>
    <w:p w14:paraId="74861044"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This pipeline ensures that Prometheus does not move directly from data to action.</w:t>
      </w:r>
    </w:p>
    <w:p w14:paraId="562AFDE8"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Every AI-assisted output must remain constrained by evidence, methodology, governance, risk boundaries, and reviewability.</w:t>
      </w:r>
    </w:p>
    <w:p w14:paraId="4A5B9B33"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b/>
          <w:bCs/>
          <w:i/>
          <w:iCs/>
        </w:rPr>
        <w:t>Meta-prompt engine</w:t>
      </w:r>
    </w:p>
    <w:p w14:paraId="375DDF46"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The meta-prompt engine is the structured interface through which heterogeneous evidence and system context may be converted into precise instructions for downstream agents.</w:t>
      </w:r>
    </w:p>
    <w:p w14:paraId="274B61EA"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 may receive inputs from:</w:t>
      </w:r>
    </w:p>
    <w:p w14:paraId="11F80D8D"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 MRV data;</w:t>
      </w:r>
      <w:r w:rsidRPr="00B479AE">
        <w:rPr>
          <w:rFonts w:ascii="Baskerville Old Face" w:hAnsi="Baskerville Old Face"/>
          <w:i/>
          <w:iCs/>
        </w:rPr>
        <w:br/>
        <w:t>• operational records;</w:t>
      </w:r>
      <w:r w:rsidRPr="00B479AE">
        <w:rPr>
          <w:rFonts w:ascii="Baskerville Old Face" w:hAnsi="Baskerville Old Face"/>
          <w:i/>
          <w:iCs/>
        </w:rPr>
        <w:br/>
        <w:t>• ecological indicators;</w:t>
      </w:r>
      <w:r w:rsidRPr="00B479AE">
        <w:rPr>
          <w:rFonts w:ascii="Baskerville Old Face" w:hAnsi="Baskerville Old Face"/>
          <w:i/>
          <w:iCs/>
        </w:rPr>
        <w:br/>
        <w:t>• governance context;</w:t>
      </w:r>
      <w:r w:rsidRPr="00B479AE">
        <w:rPr>
          <w:rFonts w:ascii="Baskerville Old Face" w:hAnsi="Baskerville Old Face"/>
          <w:i/>
          <w:iCs/>
        </w:rPr>
        <w:br/>
        <w:t>• risk signals;</w:t>
      </w:r>
      <w:r w:rsidRPr="00B479AE">
        <w:rPr>
          <w:rFonts w:ascii="Baskerville Old Face" w:hAnsi="Baskerville Old Face"/>
          <w:i/>
          <w:iCs/>
        </w:rPr>
        <w:br/>
        <w:t>• financial constraints;</w:t>
      </w:r>
      <w:r w:rsidRPr="00B479AE">
        <w:rPr>
          <w:rFonts w:ascii="Baskerville Old Face" w:hAnsi="Baskerville Old Face"/>
          <w:i/>
          <w:iCs/>
        </w:rPr>
        <w:br/>
        <w:t>• land and stewardship conditions;</w:t>
      </w:r>
      <w:r w:rsidRPr="00B479AE">
        <w:rPr>
          <w:rFonts w:ascii="Baskerville Old Face" w:hAnsi="Baskerville Old Face"/>
          <w:i/>
          <w:iCs/>
        </w:rPr>
        <w:br/>
        <w:t>• human-infrastructure context where voluntarily and lawfully available;</w:t>
      </w:r>
      <w:r w:rsidRPr="00B479AE">
        <w:rPr>
          <w:rFonts w:ascii="Baskerville Old Face" w:hAnsi="Baskerville Old Face"/>
          <w:i/>
          <w:iCs/>
        </w:rPr>
        <w:br/>
        <w:t>• methodology versioning;</w:t>
      </w:r>
      <w:r w:rsidRPr="00B479AE">
        <w:rPr>
          <w:rFonts w:ascii="Baskerville Old Face" w:hAnsi="Baskerville Old Face"/>
          <w:i/>
          <w:iCs/>
        </w:rPr>
        <w:br/>
        <w:t>• constitutional constraints.</w:t>
      </w:r>
    </w:p>
    <w:p w14:paraId="742C8EE5"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Its function is not to produce generic answers.</w:t>
      </w:r>
    </w:p>
    <w:p w14:paraId="6C72DBA1"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Its function is to produce context-aware, scope-aware, risk-aware, and constitutionally bounded task formulations.</w:t>
      </w:r>
    </w:p>
    <w:p w14:paraId="0D6093D2"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lastRenderedPageBreak/>
        <w:t>A regenerative design request, for example, should not be interpreted only as a request to increase output.</w:t>
      </w:r>
    </w:p>
    <w:p w14:paraId="4D139B28"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 should be interpreted in relation to water, soil, biodiversity, stewardship capacity, financial constraints, risk, timing, and long-term system coherence.</w:t>
      </w:r>
    </w:p>
    <w:p w14:paraId="04342C65"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b/>
          <w:bCs/>
          <w:i/>
          <w:iCs/>
        </w:rPr>
        <w:t>Internal pre-prompt analysis</w:t>
      </w:r>
    </w:p>
    <w:p w14:paraId="6097D084"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Before any operational prompt, the cognitive kernel should classify:</w:t>
      </w:r>
    </w:p>
    <w:p w14:paraId="3B275024"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 the domain of the request;</w:t>
      </w:r>
      <w:r w:rsidRPr="00B479AE">
        <w:rPr>
          <w:rFonts w:ascii="Baskerville Old Face" w:hAnsi="Baskerville Old Face"/>
          <w:i/>
          <w:iCs/>
        </w:rPr>
        <w:br/>
        <w:t>• the system level involved;</w:t>
      </w:r>
      <w:r w:rsidRPr="00B479AE">
        <w:rPr>
          <w:rFonts w:ascii="Baskerville Old Face" w:hAnsi="Baskerville Old Face"/>
          <w:i/>
          <w:iCs/>
        </w:rPr>
        <w:br/>
        <w:t>• the relevant evidence base;</w:t>
      </w:r>
      <w:r w:rsidRPr="00B479AE">
        <w:rPr>
          <w:rFonts w:ascii="Baskerville Old Face" w:hAnsi="Baskerville Old Face"/>
          <w:i/>
          <w:iCs/>
        </w:rPr>
        <w:br/>
        <w:t>• the ecological and governance constraints;</w:t>
      </w:r>
      <w:r w:rsidRPr="00B479AE">
        <w:rPr>
          <w:rFonts w:ascii="Baskerville Old Face" w:hAnsi="Baskerville Old Face"/>
          <w:i/>
          <w:iCs/>
        </w:rPr>
        <w:br/>
        <w:t>• the time horizon;</w:t>
      </w:r>
      <w:r w:rsidRPr="00B479AE">
        <w:rPr>
          <w:rFonts w:ascii="Baskerville Old Face" w:hAnsi="Baskerville Old Face"/>
          <w:i/>
          <w:iCs/>
        </w:rPr>
        <w:br/>
        <w:t>• the risk of acceleration beyond adaptive capacity;</w:t>
      </w:r>
      <w:r w:rsidRPr="00B479AE">
        <w:rPr>
          <w:rFonts w:ascii="Baskerville Old Face" w:hAnsi="Baskerville Old Face"/>
          <w:i/>
          <w:iCs/>
        </w:rPr>
        <w:br/>
        <w:t>• the risk of fragmentation, feedback blindness, boundary blindness, or risk transfer;</w:t>
      </w:r>
      <w:r w:rsidRPr="00B479AE">
        <w:rPr>
          <w:rFonts w:ascii="Baskerville Old Face" w:hAnsi="Baskerville Old Face"/>
          <w:i/>
          <w:iCs/>
        </w:rPr>
        <w:br/>
        <w:t>• the required review pathway.</w:t>
      </w:r>
    </w:p>
    <w:p w14:paraId="6E3A360A"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This preserves the difference between intelligence and authority.</w:t>
      </w:r>
    </w:p>
    <w:p w14:paraId="4A3809FB"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AI may structure a task.</w:t>
      </w:r>
    </w:p>
    <w:p w14:paraId="62E3AED5"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AI may identify risks.</w:t>
      </w:r>
    </w:p>
    <w:p w14:paraId="53B71A9D"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AI may propose options.</w:t>
      </w:r>
    </w:p>
    <w:p w14:paraId="3284CED4"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AI may improve clarity.</w:t>
      </w:r>
    </w:p>
    <w:p w14:paraId="2BFF7408"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AI may support decision quality.</w:t>
      </w:r>
    </w:p>
    <w:p w14:paraId="021328A8"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But AI does not independently authorize action.</w:t>
      </w:r>
    </w:p>
    <w:p w14:paraId="340B6F07"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b/>
          <w:bCs/>
          <w:i/>
          <w:iCs/>
        </w:rPr>
        <w:t>Constitutional prompting constraints</w:t>
      </w:r>
    </w:p>
    <w:p w14:paraId="35AF29A6"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Every AI-generated task formulation should remain aligned with the following constraints:</w:t>
      </w:r>
    </w:p>
    <w:p w14:paraId="1BDDA870"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 protect human dignity, community trust, and relational integrity;</w:t>
      </w:r>
      <w:r w:rsidRPr="00B479AE">
        <w:rPr>
          <w:rFonts w:ascii="Baskerville Old Face" w:hAnsi="Baskerville Old Face"/>
          <w:i/>
          <w:iCs/>
        </w:rPr>
        <w:br/>
        <w:t>• avoid manipulation, coercion, exploitation, and dehumanization;</w:t>
      </w:r>
      <w:r w:rsidRPr="00B479AE">
        <w:rPr>
          <w:rFonts w:ascii="Baskerville Old Face" w:hAnsi="Baskerville Old Face"/>
          <w:i/>
          <w:iCs/>
        </w:rPr>
        <w:br/>
        <w:t>• respect ecological limits, soil, water, biodiversity, and planetary boundaries;</w:t>
      </w:r>
      <w:r w:rsidRPr="00B479AE">
        <w:rPr>
          <w:rFonts w:ascii="Baskerville Old Face" w:hAnsi="Baskerville Old Face"/>
          <w:i/>
          <w:iCs/>
        </w:rPr>
        <w:br/>
      </w:r>
      <w:r w:rsidRPr="00B479AE">
        <w:rPr>
          <w:rFonts w:ascii="Baskerville Old Face" w:hAnsi="Baskerville Old Face"/>
          <w:i/>
          <w:iCs/>
        </w:rPr>
        <w:lastRenderedPageBreak/>
        <w:t>• avoid extractive financial dynamics, excessive leverage, and premature value inflation;</w:t>
      </w:r>
      <w:r w:rsidRPr="00B479AE">
        <w:rPr>
          <w:rFonts w:ascii="Baskerville Old Face" w:hAnsi="Baskerville Old Face"/>
          <w:i/>
          <w:iCs/>
        </w:rPr>
        <w:br/>
        <w:t>• define time horizons explicitly;</w:t>
      </w:r>
      <w:r w:rsidRPr="00B479AE">
        <w:rPr>
          <w:rFonts w:ascii="Baskerville Old Face" w:hAnsi="Baskerville Old Face"/>
          <w:i/>
          <w:iCs/>
        </w:rPr>
        <w:br/>
        <w:t>• preserve reversibility where uncertainty is high;</w:t>
      </w:r>
      <w:r w:rsidRPr="00B479AE">
        <w:rPr>
          <w:rFonts w:ascii="Baskerville Old Face" w:hAnsi="Baskerville Old Face"/>
          <w:i/>
          <w:iCs/>
        </w:rPr>
        <w:br/>
        <w:t>• respect Yeomans’ scale of permanence and water-first design logic;</w:t>
      </w:r>
      <w:r w:rsidRPr="00B479AE">
        <w:rPr>
          <w:rFonts w:ascii="Baskerville Old Face" w:hAnsi="Baskerville Old Face"/>
          <w:i/>
          <w:iCs/>
        </w:rPr>
        <w:br/>
        <w:t>• include feedback, learning, and review cycles;</w:t>
      </w:r>
      <w:r w:rsidRPr="00B479AE">
        <w:rPr>
          <w:rFonts w:ascii="Baskerville Old Face" w:hAnsi="Baskerville Old Face"/>
          <w:i/>
          <w:iCs/>
        </w:rPr>
        <w:br/>
        <w:t>• distinguish draft, proposal, review, authorized action, executed action, verified outcome, and reportable result.</w:t>
      </w:r>
    </w:p>
    <w:p w14:paraId="21939014"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This makes prompting part of institutional infrastructure rather than a casual interface.</w:t>
      </w:r>
    </w:p>
    <w:p w14:paraId="350B1C5E"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b/>
          <w:bCs/>
          <w:i/>
          <w:iCs/>
        </w:rPr>
        <w:t>Agent orchestration boundary</w:t>
      </w:r>
    </w:p>
    <w:p w14:paraId="064C1878"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Specialized agents may support ecological design, MRV interpretation, financial modeling, governance review, risk analysis, reporting, or operational planning.</w:t>
      </w:r>
    </w:p>
    <w:p w14:paraId="305370A9"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However, agent outputs must remain bounded by role, evidence, methodology, and authorization.</w:t>
      </w:r>
    </w:p>
    <w:p w14:paraId="0C15DEA9"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No agent should independently create PRU value, authorize investor-facing claims, issue tokens, modify legal rights, approve ecological interventions, or bypass governance review.</w:t>
      </w:r>
    </w:p>
    <w:p w14:paraId="3E0BB603"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The cognitive kernel therefore functions as a constitutional router.</w:t>
      </w:r>
    </w:p>
    <w:p w14:paraId="625268E7"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 helps Prometheus ask better questions, assign the right tasks, preserve context, and prevent AI outputs from drifting into unauthorized execution.</w:t>
      </w:r>
    </w:p>
    <w:p w14:paraId="0E8F61A1"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Its institutional purpose is simple:</w:t>
      </w:r>
    </w:p>
    <w:p w14:paraId="2DA10CB2"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intelligence supports coherence;</w:t>
      </w:r>
    </w:p>
    <w:p w14:paraId="1670CCC7"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coherence supports governance;</w:t>
      </w:r>
    </w:p>
    <w:p w14:paraId="006CA60B" w14:textId="77777777" w:rsidR="00B0736B" w:rsidRPr="00B479AE" w:rsidRDefault="00B0736B" w:rsidP="00B0736B">
      <w:pPr>
        <w:spacing w:line="360" w:lineRule="auto"/>
        <w:rPr>
          <w:rFonts w:ascii="Baskerville Old Face" w:hAnsi="Baskerville Old Face"/>
          <w:i/>
          <w:iCs/>
        </w:rPr>
      </w:pPr>
      <w:r w:rsidRPr="00B479AE">
        <w:rPr>
          <w:rFonts w:ascii="Baskerville Old Face" w:hAnsi="Baskerville Old Face"/>
          <w:i/>
          <w:iCs/>
        </w:rPr>
        <w:t>governance protects life.</w:t>
      </w:r>
    </w:p>
    <w:p w14:paraId="70378C3E" w14:textId="77777777" w:rsidR="004E52D2" w:rsidRPr="004E52D2" w:rsidRDefault="004E52D2" w:rsidP="004E52D2">
      <w:pPr>
        <w:spacing w:line="360" w:lineRule="auto"/>
        <w:rPr>
          <w:rFonts w:ascii="Baskerville Old Face" w:hAnsi="Baskerville Old Face"/>
          <w:b/>
          <w:bCs/>
          <w:i/>
          <w:iCs/>
        </w:rPr>
      </w:pPr>
      <w:r w:rsidRPr="004E52D2">
        <w:rPr>
          <w:rFonts w:ascii="Baskerville Old Face" w:hAnsi="Baskerville Old Face"/>
          <w:b/>
          <w:bCs/>
          <w:i/>
          <w:iCs/>
        </w:rPr>
        <w:t>Regenerative Intelligence Metabolism</w:t>
      </w:r>
    </w:p>
    <w:p w14:paraId="5056A06D"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Prometheus should not be designed as a cloud-first artificial intelligence platform.</w:t>
      </w:r>
    </w:p>
    <w:p w14:paraId="2FEF8337"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should be designed as a regenerative intelligence infrastructure with proportional computation.</w:t>
      </w:r>
    </w:p>
    <w:p w14:paraId="1289B44B" w14:textId="77777777" w:rsidR="004E52D2" w:rsidRPr="004E52D2" w:rsidRDefault="004E52D2" w:rsidP="004E52D2">
      <w:pPr>
        <w:spacing w:line="360" w:lineRule="auto"/>
        <w:rPr>
          <w:rFonts w:ascii="Baskerville Old Face" w:hAnsi="Baskerville Old Face"/>
          <w:i/>
          <w:iCs/>
        </w:rPr>
      </w:pPr>
    </w:p>
    <w:p w14:paraId="47D65685"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lastRenderedPageBreak/>
        <w:t>This means that computational intensity must remain proportional to evidentiary need, ecological relevance, privacy sensitivity, operational complexity, and governance authority.</w:t>
      </w:r>
    </w:p>
    <w:p w14:paraId="234A9481"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regenerative system should not use extractive intelligence to coordinate regeneration.</w:t>
      </w:r>
    </w:p>
    <w:p w14:paraId="6D1A1996"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For this reason, Prometheus adopts the principle of Regenerative Intelligence Metabolism.</w:t>
      </w:r>
    </w:p>
    <w:p w14:paraId="4EA981F7"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Regenerative Intelligence Metabolism is the architectural principle that intelligence should be deployed at the lowest sufficient level of computational intensity capable of producing reliable, reviewable, and context-appropriate support.</w:t>
      </w:r>
    </w:p>
    <w:p w14:paraId="08EB6A04"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The system should therefore prioritize:</w:t>
      </w:r>
    </w:p>
    <w:p w14:paraId="4EA71823"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local processing where evidence is local;</w:t>
      </w:r>
    </w:p>
    <w:p w14:paraId="28762F02"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edge AI where field data can be pre-processed near the site;</w:t>
      </w:r>
    </w:p>
    <w:p w14:paraId="7459B767"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small or quantized models where the task is narrow;</w:t>
      </w:r>
    </w:p>
    <w:p w14:paraId="4BDDAEC0"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compression, pruning, caching, batching, and energy-aware scheduling where possible;</w:t>
      </w:r>
    </w:p>
    <w:p w14:paraId="3470E73E"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model routing where different tasks require different levels of reasoning;</w:t>
      </w:r>
    </w:p>
    <w:p w14:paraId="1A6F22D1"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cloud models only where complex synthesis, reasoning, drafting, or review support requires greater capacity;</w:t>
      </w:r>
    </w:p>
    <w:p w14:paraId="2DB269E9" w14:textId="77777777" w:rsidR="004E52D2" w:rsidRPr="004E52D2" w:rsidRDefault="004E52D2" w:rsidP="004E52D2">
      <w:pPr>
        <w:spacing w:line="360" w:lineRule="auto"/>
        <w:rPr>
          <w:rFonts w:ascii="Baskerville Old Face" w:hAnsi="Baskerville Old Face"/>
          <w:i/>
          <w:iCs/>
        </w:rPr>
      </w:pPr>
      <w:proofErr w:type="spellStart"/>
      <w:r w:rsidRPr="004E52D2">
        <w:rPr>
          <w:rFonts w:ascii="Baskerville Old Face" w:hAnsi="Baskerville Old Face"/>
          <w:i/>
          <w:iCs/>
        </w:rPr>
        <w:t>Holochain</w:t>
      </w:r>
      <w:proofErr w:type="spellEnd"/>
      <w:r w:rsidRPr="004E52D2">
        <w:rPr>
          <w:rFonts w:ascii="Baskerville Old Face" w:hAnsi="Baskerville Old Face"/>
          <w:i/>
          <w:iCs/>
        </w:rPr>
        <w:t>-compatible records where provenance, agent identity, event integrity, and source-layer references matter;</w:t>
      </w:r>
    </w:p>
    <w:p w14:paraId="0125777E"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human, governance, MRV, legal, or institutional review where authority is required.</w:t>
      </w:r>
    </w:p>
    <w:p w14:paraId="7C972891"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This principle is not only environmental.</w:t>
      </w:r>
    </w:p>
    <w:p w14:paraId="6343A080"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is architectural.</w:t>
      </w:r>
    </w:p>
    <w:p w14:paraId="761C6CA4"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Living systems do not process all information through a single centralized brain.</w:t>
      </w:r>
    </w:p>
    <w:p w14:paraId="58C6D0C8"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They distribute intelligence across roots, fungi, microbes, leaves, water flows, animal behavior, human stewardship, feedback loops, and local context.</w:t>
      </w:r>
    </w:p>
    <w:p w14:paraId="5E44784C" w14:textId="77777777" w:rsidR="004E52D2" w:rsidRPr="004E52D2" w:rsidRDefault="004E52D2" w:rsidP="004E52D2">
      <w:pPr>
        <w:spacing w:line="360" w:lineRule="auto"/>
        <w:rPr>
          <w:rFonts w:ascii="Baskerville Old Face" w:hAnsi="Baskerville Old Face"/>
          <w:i/>
          <w:iCs/>
        </w:rPr>
      </w:pPr>
    </w:p>
    <w:p w14:paraId="03C7EE2E"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lastRenderedPageBreak/>
        <w:t>Prometheus should reflect the same logic.</w:t>
      </w:r>
    </w:p>
    <w:p w14:paraId="7CE28B15"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Field observations should not automatically become cloud computation.</w:t>
      </w:r>
    </w:p>
    <w:p w14:paraId="58907680"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Sensor noise should not become institutional evidence.</w:t>
      </w:r>
    </w:p>
    <w:p w14:paraId="75CFD73A"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AI output should not become ecological truth.</w:t>
      </w:r>
    </w:p>
    <w:p w14:paraId="01CDF1C6"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dashboard should not become governance authority.</w:t>
      </w:r>
    </w:p>
    <w:p w14:paraId="08D83C59"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model response should not become PRU value.</w:t>
      </w:r>
    </w:p>
    <w:p w14:paraId="2932CD15"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An automated recommendation should not become authorized execution.</w:t>
      </w:r>
    </w:p>
    <w:p w14:paraId="1ABFBF64"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The correct sequence is:</w:t>
      </w:r>
    </w:p>
    <w:p w14:paraId="25B80CFD"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 xml:space="preserve">local observation </w:t>
      </w:r>
      <w:r w:rsidRPr="004E52D2">
        <w:rPr>
          <w:rFonts w:ascii="Times New Roman" w:hAnsi="Times New Roman" w:cs="Times New Roman"/>
          <w:i/>
          <w:iCs/>
        </w:rPr>
        <w:t>→</w:t>
      </w:r>
      <w:r w:rsidRPr="004E52D2">
        <w:rPr>
          <w:rFonts w:ascii="Baskerville Old Face" w:hAnsi="Baskerville Old Face"/>
          <w:i/>
          <w:iCs/>
        </w:rPr>
        <w:t xml:space="preserve"> edge preprocessing </w:t>
      </w:r>
      <w:r w:rsidRPr="004E52D2">
        <w:rPr>
          <w:rFonts w:ascii="Times New Roman" w:hAnsi="Times New Roman" w:cs="Times New Roman"/>
          <w:i/>
          <w:iCs/>
        </w:rPr>
        <w:t>→</w:t>
      </w:r>
      <w:r w:rsidRPr="004E52D2">
        <w:rPr>
          <w:rFonts w:ascii="Baskerville Old Face" w:hAnsi="Baskerville Old Face"/>
          <w:i/>
          <w:iCs/>
        </w:rPr>
        <w:t xml:space="preserve"> evidence normalization </w:t>
      </w:r>
      <w:r w:rsidRPr="004E52D2">
        <w:rPr>
          <w:rFonts w:ascii="Times New Roman" w:hAnsi="Times New Roman" w:cs="Times New Roman"/>
          <w:i/>
          <w:iCs/>
        </w:rPr>
        <w:t>→</w:t>
      </w:r>
      <w:r w:rsidRPr="004E52D2">
        <w:rPr>
          <w:rFonts w:ascii="Baskerville Old Face" w:hAnsi="Baskerville Old Face"/>
          <w:i/>
          <w:iCs/>
        </w:rPr>
        <w:t xml:space="preserve"> provenance and confidence </w:t>
      </w:r>
      <w:r w:rsidRPr="004E52D2">
        <w:rPr>
          <w:rFonts w:ascii="Times New Roman" w:hAnsi="Times New Roman" w:cs="Times New Roman"/>
          <w:i/>
          <w:iCs/>
        </w:rPr>
        <w:t>→</w:t>
      </w:r>
      <w:r w:rsidRPr="004E52D2">
        <w:rPr>
          <w:rFonts w:ascii="Baskerville Old Face" w:hAnsi="Baskerville Old Face"/>
          <w:i/>
          <w:iCs/>
        </w:rPr>
        <w:t xml:space="preserve"> </w:t>
      </w:r>
      <w:proofErr w:type="spellStart"/>
      <w:r w:rsidRPr="004E52D2">
        <w:rPr>
          <w:rFonts w:ascii="Baskerville Old Face" w:hAnsi="Baskerville Old Face"/>
          <w:i/>
          <w:iCs/>
        </w:rPr>
        <w:t>Holochain</w:t>
      </w:r>
      <w:proofErr w:type="spellEnd"/>
      <w:r w:rsidRPr="004E52D2">
        <w:rPr>
          <w:rFonts w:ascii="Baskerville Old Face" w:hAnsi="Baskerville Old Face"/>
          <w:i/>
          <w:iCs/>
        </w:rPr>
        <w:t xml:space="preserve">-compatible event reference </w:t>
      </w:r>
      <w:r w:rsidRPr="004E52D2">
        <w:rPr>
          <w:rFonts w:ascii="Times New Roman" w:hAnsi="Times New Roman" w:cs="Times New Roman"/>
          <w:i/>
          <w:iCs/>
        </w:rPr>
        <w:t>→</w:t>
      </w:r>
      <w:r w:rsidRPr="004E52D2">
        <w:rPr>
          <w:rFonts w:ascii="Baskerville Old Face" w:hAnsi="Baskerville Old Face"/>
          <w:i/>
          <w:iCs/>
        </w:rPr>
        <w:t xml:space="preserve"> model-assisted interpretation </w:t>
      </w:r>
      <w:r w:rsidRPr="004E52D2">
        <w:rPr>
          <w:rFonts w:ascii="Times New Roman" w:hAnsi="Times New Roman" w:cs="Times New Roman"/>
          <w:i/>
          <w:iCs/>
        </w:rPr>
        <w:t>→</w:t>
      </w:r>
      <w:r w:rsidRPr="004E52D2">
        <w:rPr>
          <w:rFonts w:ascii="Baskerville Old Face" w:hAnsi="Baskerville Old Face"/>
          <w:i/>
          <w:iCs/>
        </w:rPr>
        <w:t xml:space="preserve"> evaluation </w:t>
      </w:r>
      <w:r w:rsidRPr="004E52D2">
        <w:rPr>
          <w:rFonts w:ascii="Times New Roman" w:hAnsi="Times New Roman" w:cs="Times New Roman"/>
          <w:i/>
          <w:iCs/>
        </w:rPr>
        <w:t>→</w:t>
      </w:r>
      <w:r w:rsidRPr="004E52D2">
        <w:rPr>
          <w:rFonts w:ascii="Baskerville Old Face" w:hAnsi="Baskerville Old Face"/>
          <w:i/>
          <w:iCs/>
        </w:rPr>
        <w:t xml:space="preserve"> human or governance review </w:t>
      </w:r>
      <w:r w:rsidRPr="004E52D2">
        <w:rPr>
          <w:rFonts w:ascii="Times New Roman" w:hAnsi="Times New Roman" w:cs="Times New Roman"/>
          <w:i/>
          <w:iCs/>
        </w:rPr>
        <w:t>→</w:t>
      </w:r>
      <w:r w:rsidRPr="004E52D2">
        <w:rPr>
          <w:rFonts w:ascii="Baskerville Old Face" w:hAnsi="Baskerville Old Face"/>
          <w:i/>
          <w:iCs/>
        </w:rPr>
        <w:t xml:space="preserve"> authorized action.</w:t>
      </w:r>
    </w:p>
    <w:p w14:paraId="732CD0FF"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This preserves proportionality.</w:t>
      </w:r>
    </w:p>
    <w:p w14:paraId="46A2A4DC"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soil moisture anomaly may require only local filtering and an operational alert.</w:t>
      </w:r>
    </w:p>
    <w:p w14:paraId="2A097921"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drone or NDVI observation may require edge preprocessing and later MRV review.</w:t>
      </w:r>
    </w:p>
    <w:p w14:paraId="592BD1F9"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regenerative diagnostic may require access to the Prometheus Knowledge Base and model-assisted interpretation.</w:t>
      </w:r>
    </w:p>
    <w:p w14:paraId="3E0484F5"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An investor-facing report may require stronger synthesis, legal boundaries, evidence traceability, and human review.</w:t>
      </w:r>
    </w:p>
    <w:p w14:paraId="5A910F79"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A PRU-relevant claim may require MRV admissibility, confidence scoring, methodology alignment, governance review, and legal structuring.</w:t>
      </w:r>
    </w:p>
    <w:p w14:paraId="77832D4A"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Different tasks require different levels of intelligence.</w:t>
      </w:r>
    </w:p>
    <w:p w14:paraId="47A58B69"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The smallest competent model should be used wherever possible.</w:t>
      </w:r>
    </w:p>
    <w:p w14:paraId="61AA8970"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The most powerful model should not be used merely because it is available.</w:t>
      </w:r>
    </w:p>
    <w:p w14:paraId="2D0EBD43"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lastRenderedPageBreak/>
        <w:t>This is both a cost discipline and an ecological discipline.</w:t>
      </w:r>
    </w:p>
    <w:p w14:paraId="1A1654E4"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reduces unnecessary energy demand.</w:t>
      </w:r>
    </w:p>
    <w:p w14:paraId="146E12B3"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reduces avoidable water impact associated with computation and data-center operations.</w:t>
      </w:r>
    </w:p>
    <w:p w14:paraId="138BA5BA"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reduces cloud dependency.</w:t>
      </w:r>
    </w:p>
    <w:p w14:paraId="0B36107C"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improves privacy.</w:t>
      </w:r>
    </w:p>
    <w:p w14:paraId="3FBBB202"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strengthens local resilience.</w:t>
      </w:r>
    </w:p>
    <w:p w14:paraId="4F27C765"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supports field autonomy.</w:t>
      </w:r>
    </w:p>
    <w:p w14:paraId="1C385748"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aligns artificial intelligence infrastructure with the regenerative logic that Prometheus is designed to serve.</w:t>
      </w:r>
    </w:p>
    <w:p w14:paraId="1D13DE17"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 xml:space="preserve">Prometheus may therefore use a multi-model and multi-agent architecture, including local models, quantized models, open models, fine-tuned specialist models, model routers, cloud AI systems, MCP tools, API endpoints, coding agents, and future </w:t>
      </w:r>
      <w:proofErr w:type="spellStart"/>
      <w:r w:rsidRPr="004E52D2">
        <w:rPr>
          <w:rFonts w:ascii="Baskerville Old Face" w:hAnsi="Baskerville Old Face"/>
          <w:i/>
          <w:iCs/>
        </w:rPr>
        <w:t>Holochain</w:t>
      </w:r>
      <w:proofErr w:type="spellEnd"/>
      <w:r w:rsidRPr="004E52D2">
        <w:rPr>
          <w:rFonts w:ascii="Baskerville Old Face" w:hAnsi="Baskerville Old Face"/>
          <w:i/>
          <w:iCs/>
        </w:rPr>
        <w:t>-native clients.</w:t>
      </w:r>
    </w:p>
    <w:p w14:paraId="779175D7"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However, these components must remain subordinate to the Prometheus canonical layer, MRV methodology, evidence rules, governance boundaries, legal review, and source-layer discipline.</w:t>
      </w:r>
    </w:p>
    <w:p w14:paraId="3F74A892"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Regenerative Intelligence Metabolism preserves the distinction between computational assistance and institutional authority.</w:t>
      </w:r>
    </w:p>
    <w:p w14:paraId="65A10A98"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ensures that Prometheus can become intelligent without becoming extractive, scalable without becoming centralized, automated without becoming sovereign, and powerful without abandoning proportionality.</w:t>
      </w:r>
    </w:p>
    <w:p w14:paraId="69D2C46D"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The operational principle is:</w:t>
      </w:r>
    </w:p>
    <w:p w14:paraId="38DB7A99"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edge where evidence is local;</w:t>
      </w:r>
    </w:p>
    <w:p w14:paraId="7A83D079"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small models where tasks are narrow;</w:t>
      </w:r>
    </w:p>
    <w:p w14:paraId="437A434D"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cloud where reasoning is complex;</w:t>
      </w:r>
    </w:p>
    <w:p w14:paraId="4CF331F3" w14:textId="77777777" w:rsidR="004E52D2" w:rsidRPr="004E52D2" w:rsidRDefault="004E52D2" w:rsidP="004E52D2">
      <w:pPr>
        <w:spacing w:line="360" w:lineRule="auto"/>
        <w:rPr>
          <w:rFonts w:ascii="Baskerville Old Face" w:hAnsi="Baskerville Old Face"/>
          <w:i/>
          <w:iCs/>
        </w:rPr>
      </w:pPr>
      <w:proofErr w:type="spellStart"/>
      <w:r w:rsidRPr="004E52D2">
        <w:rPr>
          <w:rFonts w:ascii="Baskerville Old Face" w:hAnsi="Baskerville Old Face"/>
          <w:i/>
          <w:iCs/>
        </w:rPr>
        <w:t>Holochain</w:t>
      </w:r>
      <w:proofErr w:type="spellEnd"/>
      <w:r w:rsidRPr="004E52D2">
        <w:rPr>
          <w:rFonts w:ascii="Baskerville Old Face" w:hAnsi="Baskerville Old Face"/>
          <w:i/>
          <w:iCs/>
        </w:rPr>
        <w:t>-compatible records where provenance matters;</w:t>
      </w:r>
    </w:p>
    <w:p w14:paraId="5294CD67"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lastRenderedPageBreak/>
        <w:t>human review where authority is required.</w:t>
      </w:r>
    </w:p>
    <w:p w14:paraId="4F9A2A88" w14:textId="77777777"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Prometheus is not a cloud-first AI platform.</w:t>
      </w:r>
    </w:p>
    <w:p w14:paraId="011ACC69" w14:textId="0CE08116" w:rsidR="004E52D2" w:rsidRPr="004E52D2" w:rsidRDefault="004E52D2" w:rsidP="004E52D2">
      <w:pPr>
        <w:spacing w:line="360" w:lineRule="auto"/>
        <w:rPr>
          <w:rFonts w:ascii="Baskerville Old Face" w:hAnsi="Baskerville Old Face"/>
          <w:i/>
          <w:iCs/>
        </w:rPr>
      </w:pPr>
      <w:r w:rsidRPr="004E52D2">
        <w:rPr>
          <w:rFonts w:ascii="Baskerville Old Face" w:hAnsi="Baskerville Old Face"/>
          <w:i/>
          <w:iCs/>
        </w:rPr>
        <w:t>It is a regenerative intelligence infrastructure with proportional computation.</w:t>
      </w:r>
    </w:p>
    <w:p w14:paraId="5CE3C0F6" w14:textId="2EE422E1" w:rsidR="004448D5" w:rsidRPr="004448D5" w:rsidRDefault="004448D5" w:rsidP="004448D5">
      <w:pPr>
        <w:spacing w:line="360" w:lineRule="auto"/>
        <w:rPr>
          <w:rFonts w:ascii="Baskerville Old Face" w:hAnsi="Baskerville Old Face"/>
          <w:b/>
          <w:bCs/>
          <w:i/>
          <w:iCs/>
        </w:rPr>
      </w:pPr>
      <w:r w:rsidRPr="004448D5">
        <w:rPr>
          <w:rFonts w:ascii="Baskerville Old Face" w:hAnsi="Baskerville Old Face"/>
          <w:b/>
          <w:bCs/>
          <w:i/>
          <w:iCs/>
        </w:rPr>
        <w:t>Universal AI Interface Boundary</w:t>
      </w:r>
    </w:p>
    <w:p w14:paraId="286E8DD6"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External AI interfaces may assist Prometheus workflows, but they do not possess constitutional, ecological, legal, financial, or governance authority within Prometheus.</w:t>
      </w:r>
    </w:p>
    <w:p w14:paraId="344416DF"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An external AI interface may support:</w:t>
      </w:r>
    </w:p>
    <w:p w14:paraId="332E3178"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 xml:space="preserve">user </w:t>
      </w:r>
      <w:proofErr w:type="spellStart"/>
      <w:r w:rsidRPr="004448D5">
        <w:rPr>
          <w:rFonts w:ascii="Baskerville Old Face" w:hAnsi="Baskerville Old Face"/>
          <w:i/>
          <w:iCs/>
          <w:lang w:val="it-IT"/>
        </w:rPr>
        <w:t>onboarding</w:t>
      </w:r>
      <w:proofErr w:type="spellEnd"/>
      <w:r w:rsidRPr="004448D5">
        <w:rPr>
          <w:rFonts w:ascii="Baskerville Old Face" w:hAnsi="Baskerville Old Face"/>
          <w:i/>
          <w:iCs/>
          <w:lang w:val="it-IT"/>
        </w:rPr>
        <w:t>;</w:t>
      </w:r>
    </w:p>
    <w:p w14:paraId="0E2C94E0" w14:textId="77777777" w:rsidR="004448D5" w:rsidRPr="004448D5" w:rsidRDefault="004448D5" w:rsidP="004448D5">
      <w:pPr>
        <w:numPr>
          <w:ilvl w:val="0"/>
          <w:numId w:val="49"/>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regenerative</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diagnostics</w:t>
      </w:r>
      <w:proofErr w:type="spellEnd"/>
      <w:r w:rsidRPr="004448D5">
        <w:rPr>
          <w:rFonts w:ascii="Baskerville Old Face" w:hAnsi="Baskerville Old Face"/>
          <w:i/>
          <w:iCs/>
          <w:lang w:val="it-IT"/>
        </w:rPr>
        <w:t>;</w:t>
      </w:r>
    </w:p>
    <w:p w14:paraId="5F580567" w14:textId="77777777" w:rsidR="004448D5" w:rsidRPr="004448D5" w:rsidRDefault="004448D5" w:rsidP="004448D5">
      <w:pPr>
        <w:numPr>
          <w:ilvl w:val="0"/>
          <w:numId w:val="49"/>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preliminary</w:t>
      </w:r>
      <w:proofErr w:type="spellEnd"/>
      <w:r w:rsidRPr="004448D5">
        <w:rPr>
          <w:rFonts w:ascii="Baskerville Old Face" w:hAnsi="Baskerville Old Face"/>
          <w:i/>
          <w:iCs/>
          <w:lang w:val="it-IT"/>
        </w:rPr>
        <w:t xml:space="preserve"> hub scoring;</w:t>
      </w:r>
    </w:p>
    <w:p w14:paraId="4ED42AD1" w14:textId="77777777" w:rsidR="004448D5" w:rsidRPr="004448D5" w:rsidRDefault="004448D5" w:rsidP="004448D5">
      <w:pPr>
        <w:numPr>
          <w:ilvl w:val="0"/>
          <w:numId w:val="49"/>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acquisition</w:t>
      </w:r>
      <w:proofErr w:type="spellEnd"/>
      <w:r w:rsidRPr="004448D5">
        <w:rPr>
          <w:rFonts w:ascii="Baskerville Old Face" w:hAnsi="Baskerville Old Face"/>
          <w:i/>
          <w:iCs/>
          <w:lang w:val="it-IT"/>
        </w:rPr>
        <w:t xml:space="preserve"> screening;</w:t>
      </w:r>
    </w:p>
    <w:p w14:paraId="3C7B6B11"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 xml:space="preserve">seller-financing scenario </w:t>
      </w:r>
      <w:proofErr w:type="spellStart"/>
      <w:r w:rsidRPr="004448D5">
        <w:rPr>
          <w:rFonts w:ascii="Baskerville Old Face" w:hAnsi="Baskerville Old Face"/>
          <w:i/>
          <w:iCs/>
          <w:lang w:val="it-IT"/>
        </w:rPr>
        <w:t>drafting</w:t>
      </w:r>
      <w:proofErr w:type="spellEnd"/>
      <w:r w:rsidRPr="004448D5">
        <w:rPr>
          <w:rFonts w:ascii="Baskerville Old Face" w:hAnsi="Baskerville Old Face"/>
          <w:i/>
          <w:iCs/>
          <w:lang w:val="it-IT"/>
        </w:rPr>
        <w:t>;</w:t>
      </w:r>
    </w:p>
    <w:p w14:paraId="65C74E87"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OHE design support;</w:t>
      </w:r>
    </w:p>
    <w:p w14:paraId="2A1C8BB4"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 xml:space="preserve">MRV checklist </w:t>
      </w:r>
      <w:proofErr w:type="spellStart"/>
      <w:r w:rsidRPr="004448D5">
        <w:rPr>
          <w:rFonts w:ascii="Baskerville Old Face" w:hAnsi="Baskerville Old Face"/>
          <w:i/>
          <w:iCs/>
          <w:lang w:val="it-IT"/>
        </w:rPr>
        <w:t>preparation</w:t>
      </w:r>
      <w:proofErr w:type="spellEnd"/>
      <w:r w:rsidRPr="004448D5">
        <w:rPr>
          <w:rFonts w:ascii="Baskerville Old Face" w:hAnsi="Baskerville Old Face"/>
          <w:i/>
          <w:iCs/>
          <w:lang w:val="it-IT"/>
        </w:rPr>
        <w:t>;</w:t>
      </w:r>
    </w:p>
    <w:p w14:paraId="24283921" w14:textId="77777777" w:rsidR="004448D5" w:rsidRPr="004448D5" w:rsidRDefault="004448D5" w:rsidP="004448D5">
      <w:pPr>
        <w:numPr>
          <w:ilvl w:val="0"/>
          <w:numId w:val="49"/>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evidence</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organization</w:t>
      </w:r>
      <w:proofErr w:type="spellEnd"/>
      <w:r w:rsidRPr="004448D5">
        <w:rPr>
          <w:rFonts w:ascii="Baskerville Old Face" w:hAnsi="Baskerville Old Face"/>
          <w:i/>
          <w:iCs/>
          <w:lang w:val="it-IT"/>
        </w:rPr>
        <w:t>;</w:t>
      </w:r>
    </w:p>
    <w:p w14:paraId="36247E6E" w14:textId="77777777" w:rsidR="004448D5" w:rsidRPr="004448D5" w:rsidRDefault="004448D5" w:rsidP="004448D5">
      <w:pPr>
        <w:numPr>
          <w:ilvl w:val="0"/>
          <w:numId w:val="49"/>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document</w:t>
      </w:r>
      <w:proofErr w:type="spellEnd"/>
      <w:r w:rsidRPr="004448D5">
        <w:rPr>
          <w:rFonts w:ascii="Baskerville Old Face" w:hAnsi="Baskerville Old Face"/>
          <w:i/>
          <w:iCs/>
          <w:lang w:val="it-IT"/>
        </w:rPr>
        <w:t xml:space="preserve"> generation;</w:t>
      </w:r>
    </w:p>
    <w:p w14:paraId="31131AD4"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 xml:space="preserve">educational </w:t>
      </w:r>
      <w:proofErr w:type="spellStart"/>
      <w:r w:rsidRPr="004448D5">
        <w:rPr>
          <w:rFonts w:ascii="Baskerville Old Face" w:hAnsi="Baskerville Old Face"/>
          <w:i/>
          <w:iCs/>
          <w:lang w:val="it-IT"/>
        </w:rPr>
        <w:t>guidance</w:t>
      </w:r>
      <w:proofErr w:type="spellEnd"/>
      <w:r w:rsidRPr="004448D5">
        <w:rPr>
          <w:rFonts w:ascii="Baskerville Old Face" w:hAnsi="Baskerville Old Face"/>
          <w:i/>
          <w:iCs/>
          <w:lang w:val="it-IT"/>
        </w:rPr>
        <w:t>;</w:t>
      </w:r>
    </w:p>
    <w:p w14:paraId="44F8FAD3"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 xml:space="preserve">governance draft </w:t>
      </w:r>
      <w:proofErr w:type="spellStart"/>
      <w:r w:rsidRPr="004448D5">
        <w:rPr>
          <w:rFonts w:ascii="Baskerville Old Face" w:hAnsi="Baskerville Old Face"/>
          <w:i/>
          <w:iCs/>
          <w:lang w:val="it-IT"/>
        </w:rPr>
        <w:t>preparation</w:t>
      </w:r>
      <w:proofErr w:type="spellEnd"/>
      <w:r w:rsidRPr="004448D5">
        <w:rPr>
          <w:rFonts w:ascii="Baskerville Old Face" w:hAnsi="Baskerville Old Face"/>
          <w:i/>
          <w:iCs/>
          <w:lang w:val="it-IT"/>
        </w:rPr>
        <w:t>;</w:t>
      </w:r>
    </w:p>
    <w:p w14:paraId="1EBB5941"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 xml:space="preserve">risk </w:t>
      </w:r>
      <w:proofErr w:type="spellStart"/>
      <w:r w:rsidRPr="004448D5">
        <w:rPr>
          <w:rFonts w:ascii="Baskerville Old Face" w:hAnsi="Baskerville Old Face"/>
          <w:i/>
          <w:iCs/>
          <w:lang w:val="it-IT"/>
        </w:rPr>
        <w:t>flagging</w:t>
      </w:r>
      <w:proofErr w:type="spellEnd"/>
      <w:r w:rsidRPr="004448D5">
        <w:rPr>
          <w:rFonts w:ascii="Baskerville Old Face" w:hAnsi="Baskerville Old Face"/>
          <w:i/>
          <w:iCs/>
          <w:lang w:val="it-IT"/>
        </w:rPr>
        <w:t>;</w:t>
      </w:r>
    </w:p>
    <w:p w14:paraId="145BDBF9" w14:textId="77777777" w:rsidR="004448D5" w:rsidRPr="004448D5" w:rsidRDefault="004448D5" w:rsidP="004448D5">
      <w:pPr>
        <w:numPr>
          <w:ilvl w:val="0"/>
          <w:numId w:val="49"/>
        </w:numPr>
        <w:spacing w:line="360" w:lineRule="auto"/>
        <w:rPr>
          <w:rFonts w:ascii="Baskerville Old Face" w:hAnsi="Baskerville Old Face"/>
          <w:i/>
          <w:iCs/>
          <w:lang w:val="it-IT"/>
        </w:rPr>
      </w:pPr>
      <w:r w:rsidRPr="004448D5">
        <w:rPr>
          <w:rFonts w:ascii="Baskerville Old Face" w:hAnsi="Baskerville Old Face"/>
          <w:i/>
          <w:iCs/>
          <w:lang w:val="it-IT"/>
        </w:rPr>
        <w:t>reporting support;</w:t>
      </w:r>
    </w:p>
    <w:p w14:paraId="23128C44" w14:textId="77777777" w:rsidR="004448D5" w:rsidRPr="004448D5" w:rsidRDefault="004448D5" w:rsidP="004448D5">
      <w:pPr>
        <w:numPr>
          <w:ilvl w:val="0"/>
          <w:numId w:val="49"/>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decision</w:t>
      </w:r>
      <w:proofErr w:type="spellEnd"/>
      <w:r w:rsidRPr="004448D5">
        <w:rPr>
          <w:rFonts w:ascii="Baskerville Old Face" w:hAnsi="Baskerville Old Face"/>
          <w:i/>
          <w:iCs/>
          <w:lang w:val="it-IT"/>
        </w:rPr>
        <w:t>-support workflows.</w:t>
      </w:r>
    </w:p>
    <w:p w14:paraId="199BD802"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lastRenderedPageBreak/>
        <w:t>These outputs remain draft, advisory, preliminary, or assistive unless and until they pass through the appropriate review pathway.</w:t>
      </w:r>
    </w:p>
    <w:p w14:paraId="0ABA8D43"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No external AI interface may independently:</w:t>
      </w:r>
    </w:p>
    <w:p w14:paraId="31C9F039"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authorize</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ecological</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intervention</w:t>
      </w:r>
      <w:proofErr w:type="spellEnd"/>
      <w:r w:rsidRPr="004448D5">
        <w:rPr>
          <w:rFonts w:ascii="Baskerville Old Face" w:hAnsi="Baskerville Old Face"/>
          <w:i/>
          <w:iCs/>
          <w:lang w:val="it-IT"/>
        </w:rPr>
        <w:t>;</w:t>
      </w:r>
    </w:p>
    <w:p w14:paraId="2B118CFB" w14:textId="77777777" w:rsidR="004448D5" w:rsidRPr="004448D5" w:rsidRDefault="004448D5" w:rsidP="004448D5">
      <w:pPr>
        <w:numPr>
          <w:ilvl w:val="0"/>
          <w:numId w:val="50"/>
        </w:numPr>
        <w:spacing w:line="360" w:lineRule="auto"/>
        <w:rPr>
          <w:rFonts w:ascii="Baskerville Old Face" w:hAnsi="Baskerville Old Face"/>
          <w:i/>
          <w:iCs/>
          <w:lang w:val="it-IT"/>
        </w:rPr>
      </w:pPr>
      <w:r w:rsidRPr="004448D5">
        <w:rPr>
          <w:rFonts w:ascii="Baskerville Old Face" w:hAnsi="Baskerville Old Face"/>
          <w:i/>
          <w:iCs/>
          <w:lang w:val="it-IT"/>
        </w:rPr>
        <w:t xml:space="preserve">validate MRV </w:t>
      </w:r>
      <w:proofErr w:type="spellStart"/>
      <w:r w:rsidRPr="004448D5">
        <w:rPr>
          <w:rFonts w:ascii="Baskerville Old Face" w:hAnsi="Baskerville Old Face"/>
          <w:i/>
          <w:iCs/>
          <w:lang w:val="it-IT"/>
        </w:rPr>
        <w:t>evidence</w:t>
      </w:r>
      <w:proofErr w:type="spellEnd"/>
      <w:r w:rsidRPr="004448D5">
        <w:rPr>
          <w:rFonts w:ascii="Baskerville Old Face" w:hAnsi="Baskerville Old Face"/>
          <w:i/>
          <w:iCs/>
          <w:lang w:val="it-IT"/>
        </w:rPr>
        <w:t>;</w:t>
      </w:r>
    </w:p>
    <w:p w14:paraId="5B5A3D97"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approve</w:t>
      </w:r>
      <w:proofErr w:type="spellEnd"/>
      <w:r w:rsidRPr="004448D5">
        <w:rPr>
          <w:rFonts w:ascii="Baskerville Old Face" w:hAnsi="Baskerville Old Face"/>
          <w:i/>
          <w:iCs/>
          <w:lang w:val="it-IT"/>
        </w:rPr>
        <w:t xml:space="preserve"> PRU </w:t>
      </w:r>
      <w:proofErr w:type="spellStart"/>
      <w:r w:rsidRPr="004448D5">
        <w:rPr>
          <w:rFonts w:ascii="Baskerville Old Face" w:hAnsi="Baskerville Old Face"/>
          <w:i/>
          <w:iCs/>
          <w:lang w:val="it-IT"/>
        </w:rPr>
        <w:t>value</w:t>
      </w:r>
      <w:proofErr w:type="spellEnd"/>
      <w:r w:rsidRPr="004448D5">
        <w:rPr>
          <w:rFonts w:ascii="Baskerville Old Face" w:hAnsi="Baskerville Old Face"/>
          <w:i/>
          <w:iCs/>
          <w:lang w:val="it-IT"/>
        </w:rPr>
        <w:t>;</w:t>
      </w:r>
    </w:p>
    <w:p w14:paraId="2FF9C3D7"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approve</w:t>
      </w:r>
      <w:proofErr w:type="spellEnd"/>
      <w:r w:rsidRPr="004448D5">
        <w:rPr>
          <w:rFonts w:ascii="Baskerville Old Face" w:hAnsi="Baskerville Old Face"/>
          <w:i/>
          <w:iCs/>
          <w:lang w:val="it-IT"/>
        </w:rPr>
        <w:t xml:space="preserve"> PRU </w:t>
      </w:r>
      <w:proofErr w:type="spellStart"/>
      <w:r w:rsidRPr="004448D5">
        <w:rPr>
          <w:rFonts w:ascii="Baskerville Old Face" w:hAnsi="Baskerville Old Face"/>
          <w:i/>
          <w:iCs/>
          <w:lang w:val="it-IT"/>
        </w:rPr>
        <w:t>maturity</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classification</w:t>
      </w:r>
      <w:proofErr w:type="spellEnd"/>
      <w:r w:rsidRPr="004448D5">
        <w:rPr>
          <w:rFonts w:ascii="Baskerville Old Face" w:hAnsi="Baskerville Old Face"/>
          <w:i/>
          <w:iCs/>
          <w:lang w:val="it-IT"/>
        </w:rPr>
        <w:t>;</w:t>
      </w:r>
    </w:p>
    <w:p w14:paraId="1BDADDDC"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approve</w:t>
      </w:r>
      <w:proofErr w:type="spellEnd"/>
      <w:r w:rsidRPr="004448D5">
        <w:rPr>
          <w:rFonts w:ascii="Baskerville Old Face" w:hAnsi="Baskerville Old Face"/>
          <w:i/>
          <w:iCs/>
          <w:lang w:val="it-IT"/>
        </w:rPr>
        <w:t xml:space="preserve"> RAP </w:t>
      </w:r>
      <w:proofErr w:type="spellStart"/>
      <w:r w:rsidRPr="004448D5">
        <w:rPr>
          <w:rFonts w:ascii="Baskerville Old Face" w:hAnsi="Baskerville Old Face"/>
          <w:i/>
          <w:iCs/>
          <w:lang w:val="it-IT"/>
        </w:rPr>
        <w:t>inclusion</w:t>
      </w:r>
      <w:proofErr w:type="spellEnd"/>
      <w:r w:rsidRPr="004448D5">
        <w:rPr>
          <w:rFonts w:ascii="Baskerville Old Face" w:hAnsi="Baskerville Old Face"/>
          <w:i/>
          <w:iCs/>
          <w:lang w:val="it-IT"/>
        </w:rPr>
        <w:t>;</w:t>
      </w:r>
    </w:p>
    <w:p w14:paraId="367DF0BA"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issue</w:t>
      </w:r>
      <w:proofErr w:type="spellEnd"/>
      <w:r w:rsidRPr="004448D5">
        <w:rPr>
          <w:rFonts w:ascii="Baskerville Old Face" w:hAnsi="Baskerville Old Face"/>
          <w:i/>
          <w:iCs/>
          <w:lang w:val="it-IT"/>
        </w:rPr>
        <w:t xml:space="preserve"> tokens;</w:t>
      </w:r>
    </w:p>
    <w:p w14:paraId="1888E511"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modify</w:t>
      </w:r>
      <w:proofErr w:type="spellEnd"/>
      <w:r w:rsidRPr="004448D5">
        <w:rPr>
          <w:rFonts w:ascii="Baskerville Old Face" w:hAnsi="Baskerville Old Face"/>
          <w:i/>
          <w:iCs/>
          <w:lang w:val="it-IT"/>
        </w:rPr>
        <w:t xml:space="preserve"> governance </w:t>
      </w:r>
      <w:proofErr w:type="spellStart"/>
      <w:r w:rsidRPr="004448D5">
        <w:rPr>
          <w:rFonts w:ascii="Baskerville Old Face" w:hAnsi="Baskerville Old Face"/>
          <w:i/>
          <w:iCs/>
          <w:lang w:val="it-IT"/>
        </w:rPr>
        <w:t>rights</w:t>
      </w:r>
      <w:proofErr w:type="spellEnd"/>
      <w:r w:rsidRPr="004448D5">
        <w:rPr>
          <w:rFonts w:ascii="Baskerville Old Face" w:hAnsi="Baskerville Old Face"/>
          <w:i/>
          <w:iCs/>
          <w:lang w:val="it-IT"/>
        </w:rPr>
        <w:t>;</w:t>
      </w:r>
    </w:p>
    <w:p w14:paraId="56C87A51" w14:textId="77777777" w:rsidR="004448D5" w:rsidRPr="004448D5" w:rsidRDefault="004448D5" w:rsidP="004448D5">
      <w:pPr>
        <w:numPr>
          <w:ilvl w:val="0"/>
          <w:numId w:val="50"/>
        </w:numPr>
        <w:spacing w:line="360" w:lineRule="auto"/>
        <w:rPr>
          <w:rFonts w:ascii="Baskerville Old Face" w:hAnsi="Baskerville Old Face"/>
          <w:i/>
          <w:iCs/>
          <w:lang w:val="it-IT"/>
        </w:rPr>
      </w:pPr>
      <w:r w:rsidRPr="004448D5">
        <w:rPr>
          <w:rFonts w:ascii="Baskerville Old Face" w:hAnsi="Baskerville Old Face"/>
          <w:i/>
          <w:iCs/>
          <w:lang w:val="it-IT"/>
        </w:rPr>
        <w:t xml:space="preserve">create </w:t>
      </w:r>
      <w:proofErr w:type="spellStart"/>
      <w:r w:rsidRPr="004448D5">
        <w:rPr>
          <w:rFonts w:ascii="Baskerville Old Face" w:hAnsi="Baskerville Old Face"/>
          <w:i/>
          <w:iCs/>
          <w:lang w:val="it-IT"/>
        </w:rPr>
        <w:t>legal</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rights</w:t>
      </w:r>
      <w:proofErr w:type="spellEnd"/>
      <w:r w:rsidRPr="004448D5">
        <w:rPr>
          <w:rFonts w:ascii="Baskerville Old Face" w:hAnsi="Baskerville Old Face"/>
          <w:i/>
          <w:iCs/>
          <w:lang w:val="it-IT"/>
        </w:rPr>
        <w:t>;</w:t>
      </w:r>
    </w:p>
    <w:p w14:paraId="640957A8" w14:textId="77777777" w:rsidR="004448D5" w:rsidRPr="004448D5" w:rsidRDefault="004448D5" w:rsidP="004448D5">
      <w:pPr>
        <w:numPr>
          <w:ilvl w:val="0"/>
          <w:numId w:val="50"/>
        </w:numPr>
        <w:spacing w:line="360" w:lineRule="auto"/>
        <w:rPr>
          <w:rFonts w:ascii="Baskerville Old Face" w:hAnsi="Baskerville Old Face"/>
          <w:i/>
          <w:iCs/>
          <w:lang w:val="it-IT"/>
        </w:rPr>
      </w:pPr>
      <w:r w:rsidRPr="004448D5">
        <w:rPr>
          <w:rFonts w:ascii="Baskerville Old Face" w:hAnsi="Baskerville Old Face"/>
          <w:i/>
          <w:iCs/>
          <w:lang w:val="it-IT"/>
        </w:rPr>
        <w:t xml:space="preserve">create </w:t>
      </w:r>
      <w:proofErr w:type="spellStart"/>
      <w:r w:rsidRPr="004448D5">
        <w:rPr>
          <w:rFonts w:ascii="Baskerville Old Face" w:hAnsi="Baskerville Old Face"/>
          <w:i/>
          <w:iCs/>
          <w:lang w:val="it-IT"/>
        </w:rPr>
        <w:t>investor-facing</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claims</w:t>
      </w:r>
      <w:proofErr w:type="spellEnd"/>
      <w:r w:rsidRPr="004448D5">
        <w:rPr>
          <w:rFonts w:ascii="Baskerville Old Face" w:hAnsi="Baskerville Old Face"/>
          <w:i/>
          <w:iCs/>
          <w:lang w:val="it-IT"/>
        </w:rPr>
        <w:t>;</w:t>
      </w:r>
    </w:p>
    <w:p w14:paraId="5574A6E4" w14:textId="77777777" w:rsidR="004448D5" w:rsidRPr="004448D5" w:rsidRDefault="004448D5" w:rsidP="004448D5">
      <w:pPr>
        <w:numPr>
          <w:ilvl w:val="0"/>
          <w:numId w:val="50"/>
        </w:numPr>
        <w:spacing w:line="360" w:lineRule="auto"/>
        <w:rPr>
          <w:rFonts w:ascii="Baskerville Old Face" w:hAnsi="Baskerville Old Face"/>
          <w:i/>
          <w:iCs/>
          <w:lang w:val="it-IT"/>
        </w:rPr>
      </w:pPr>
      <w:r w:rsidRPr="004448D5">
        <w:rPr>
          <w:rFonts w:ascii="Baskerville Old Face" w:hAnsi="Baskerville Old Face"/>
          <w:i/>
          <w:iCs/>
          <w:lang w:val="it-IT"/>
        </w:rPr>
        <w:t xml:space="preserve">determine </w:t>
      </w:r>
      <w:proofErr w:type="spellStart"/>
      <w:r w:rsidRPr="004448D5">
        <w:rPr>
          <w:rFonts w:ascii="Baskerville Old Face" w:hAnsi="Baskerville Old Face"/>
          <w:i/>
          <w:iCs/>
          <w:lang w:val="it-IT"/>
        </w:rPr>
        <w:t>financial</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admissibility</w:t>
      </w:r>
      <w:proofErr w:type="spellEnd"/>
      <w:r w:rsidRPr="004448D5">
        <w:rPr>
          <w:rFonts w:ascii="Baskerville Old Face" w:hAnsi="Baskerville Old Face"/>
          <w:i/>
          <w:iCs/>
          <w:lang w:val="it-IT"/>
        </w:rPr>
        <w:t>;</w:t>
      </w:r>
    </w:p>
    <w:p w14:paraId="77335104" w14:textId="77777777" w:rsidR="004448D5" w:rsidRPr="004448D5" w:rsidRDefault="004448D5" w:rsidP="004448D5">
      <w:pPr>
        <w:numPr>
          <w:ilvl w:val="0"/>
          <w:numId w:val="50"/>
        </w:numPr>
        <w:spacing w:line="360" w:lineRule="auto"/>
        <w:rPr>
          <w:rFonts w:ascii="Baskerville Old Face" w:hAnsi="Baskerville Old Face"/>
          <w:i/>
          <w:iCs/>
          <w:lang w:val="it-IT"/>
        </w:rPr>
      </w:pPr>
      <w:r w:rsidRPr="004448D5">
        <w:rPr>
          <w:rFonts w:ascii="Baskerville Old Face" w:hAnsi="Baskerville Old Face"/>
          <w:i/>
          <w:iCs/>
          <w:lang w:val="it-IT"/>
        </w:rPr>
        <w:t xml:space="preserve">bypass </w:t>
      </w:r>
      <w:proofErr w:type="spellStart"/>
      <w:r w:rsidRPr="004448D5">
        <w:rPr>
          <w:rFonts w:ascii="Baskerville Old Face" w:hAnsi="Baskerville Old Face"/>
          <w:i/>
          <w:iCs/>
          <w:lang w:val="it-IT"/>
        </w:rPr>
        <w:t>legal</w:t>
      </w:r>
      <w:proofErr w:type="spellEnd"/>
      <w:r w:rsidRPr="004448D5">
        <w:rPr>
          <w:rFonts w:ascii="Baskerville Old Face" w:hAnsi="Baskerville Old Face"/>
          <w:i/>
          <w:iCs/>
          <w:lang w:val="it-IT"/>
        </w:rPr>
        <w:t xml:space="preserve"> review;</w:t>
      </w:r>
    </w:p>
    <w:p w14:paraId="06B7FEA4" w14:textId="77777777" w:rsidR="004448D5" w:rsidRPr="004448D5" w:rsidRDefault="004448D5" w:rsidP="004448D5">
      <w:pPr>
        <w:numPr>
          <w:ilvl w:val="0"/>
          <w:numId w:val="50"/>
        </w:numPr>
        <w:spacing w:line="360" w:lineRule="auto"/>
        <w:rPr>
          <w:rFonts w:ascii="Baskerville Old Face" w:hAnsi="Baskerville Old Face"/>
          <w:i/>
          <w:iCs/>
          <w:lang w:val="it-IT"/>
        </w:rPr>
      </w:pPr>
      <w:r w:rsidRPr="004448D5">
        <w:rPr>
          <w:rFonts w:ascii="Baskerville Old Face" w:hAnsi="Baskerville Old Face"/>
          <w:i/>
          <w:iCs/>
          <w:lang w:val="it-IT"/>
        </w:rPr>
        <w:t>bypass governance review;</w:t>
      </w:r>
    </w:p>
    <w:p w14:paraId="5BB09A8A" w14:textId="77777777" w:rsidR="004448D5" w:rsidRPr="004448D5" w:rsidRDefault="004448D5" w:rsidP="004448D5">
      <w:pPr>
        <w:numPr>
          <w:ilvl w:val="0"/>
          <w:numId w:val="50"/>
        </w:numPr>
        <w:spacing w:line="360" w:lineRule="auto"/>
        <w:rPr>
          <w:rFonts w:ascii="Baskerville Old Face" w:hAnsi="Baskerville Old Face"/>
          <w:i/>
          <w:iCs/>
        </w:rPr>
      </w:pPr>
      <w:r w:rsidRPr="004448D5">
        <w:rPr>
          <w:rFonts w:ascii="Baskerville Old Face" w:hAnsi="Baskerville Old Face"/>
          <w:i/>
          <w:iCs/>
        </w:rPr>
        <w:t>bypass human review where required;</w:t>
      </w:r>
    </w:p>
    <w:p w14:paraId="21258C7B" w14:textId="77777777" w:rsidR="004448D5" w:rsidRPr="004448D5" w:rsidRDefault="004448D5" w:rsidP="004448D5">
      <w:pPr>
        <w:numPr>
          <w:ilvl w:val="0"/>
          <w:numId w:val="50"/>
        </w:numPr>
        <w:spacing w:line="360" w:lineRule="auto"/>
        <w:rPr>
          <w:rFonts w:ascii="Baskerville Old Face" w:hAnsi="Baskerville Old Face"/>
          <w:i/>
          <w:iCs/>
        </w:rPr>
      </w:pPr>
      <w:r w:rsidRPr="004448D5">
        <w:rPr>
          <w:rFonts w:ascii="Baskerville Old Face" w:hAnsi="Baskerville Old Face"/>
          <w:i/>
          <w:iCs/>
        </w:rPr>
        <w:t xml:space="preserve">replace </w:t>
      </w:r>
      <w:proofErr w:type="spellStart"/>
      <w:r w:rsidRPr="004448D5">
        <w:rPr>
          <w:rFonts w:ascii="Baskerville Old Face" w:hAnsi="Baskerville Old Face"/>
          <w:i/>
          <w:iCs/>
        </w:rPr>
        <w:t>Holochain</w:t>
      </w:r>
      <w:proofErr w:type="spellEnd"/>
      <w:r w:rsidRPr="004448D5">
        <w:rPr>
          <w:rFonts w:ascii="Baskerville Old Face" w:hAnsi="Baskerville Old Face"/>
          <w:i/>
          <w:iCs/>
        </w:rPr>
        <w:t>-compatible source-chain records;</w:t>
      </w:r>
    </w:p>
    <w:p w14:paraId="388B1730" w14:textId="77777777" w:rsidR="004448D5" w:rsidRPr="004448D5" w:rsidRDefault="004448D5" w:rsidP="004448D5">
      <w:pPr>
        <w:numPr>
          <w:ilvl w:val="0"/>
          <w:numId w:val="50"/>
        </w:numPr>
        <w:spacing w:line="360" w:lineRule="auto"/>
        <w:rPr>
          <w:rFonts w:ascii="Baskerville Old Face" w:hAnsi="Baskerville Old Face"/>
          <w:i/>
          <w:iCs/>
          <w:lang w:val="it-IT"/>
        </w:rPr>
      </w:pPr>
      <w:proofErr w:type="spellStart"/>
      <w:r w:rsidRPr="004448D5">
        <w:rPr>
          <w:rFonts w:ascii="Baskerville Old Face" w:hAnsi="Baskerville Old Face"/>
          <w:i/>
          <w:iCs/>
          <w:lang w:val="it-IT"/>
        </w:rPr>
        <w:t>redefine</w:t>
      </w:r>
      <w:proofErr w:type="spellEnd"/>
      <w:r w:rsidRPr="004448D5">
        <w:rPr>
          <w:rFonts w:ascii="Baskerville Old Face" w:hAnsi="Baskerville Old Face"/>
          <w:i/>
          <w:iCs/>
          <w:lang w:val="it-IT"/>
        </w:rPr>
        <w:t xml:space="preserve"> </w:t>
      </w:r>
      <w:proofErr w:type="spellStart"/>
      <w:r w:rsidRPr="004448D5">
        <w:rPr>
          <w:rFonts w:ascii="Baskerville Old Face" w:hAnsi="Baskerville Old Face"/>
          <w:i/>
          <w:iCs/>
          <w:lang w:val="it-IT"/>
        </w:rPr>
        <w:t>canonical</w:t>
      </w:r>
      <w:proofErr w:type="spellEnd"/>
      <w:r w:rsidRPr="004448D5">
        <w:rPr>
          <w:rFonts w:ascii="Baskerville Old Face" w:hAnsi="Baskerville Old Face"/>
          <w:i/>
          <w:iCs/>
          <w:lang w:val="it-IT"/>
        </w:rPr>
        <w:t xml:space="preserve"> Prometheus </w:t>
      </w:r>
      <w:proofErr w:type="spellStart"/>
      <w:r w:rsidRPr="004448D5">
        <w:rPr>
          <w:rFonts w:ascii="Baskerville Old Face" w:hAnsi="Baskerville Old Face"/>
          <w:i/>
          <w:iCs/>
          <w:lang w:val="it-IT"/>
        </w:rPr>
        <w:t>terminology</w:t>
      </w:r>
      <w:proofErr w:type="spellEnd"/>
      <w:r w:rsidRPr="004448D5">
        <w:rPr>
          <w:rFonts w:ascii="Baskerville Old Face" w:hAnsi="Baskerville Old Face"/>
          <w:i/>
          <w:iCs/>
          <w:lang w:val="it-IT"/>
        </w:rPr>
        <w:t>;</w:t>
      </w:r>
    </w:p>
    <w:p w14:paraId="4B05515F" w14:textId="77777777" w:rsidR="004448D5" w:rsidRPr="004448D5" w:rsidRDefault="004448D5" w:rsidP="004448D5">
      <w:pPr>
        <w:numPr>
          <w:ilvl w:val="0"/>
          <w:numId w:val="50"/>
        </w:numPr>
        <w:spacing w:line="360" w:lineRule="auto"/>
        <w:rPr>
          <w:rFonts w:ascii="Baskerville Old Face" w:hAnsi="Baskerville Old Face"/>
          <w:i/>
          <w:iCs/>
        </w:rPr>
      </w:pPr>
      <w:r w:rsidRPr="004448D5">
        <w:rPr>
          <w:rFonts w:ascii="Baskerville Old Face" w:hAnsi="Baskerville Old Face"/>
          <w:i/>
          <w:iCs/>
        </w:rPr>
        <w:t>silently modify the constitutional meaning of the White Paper.</w:t>
      </w:r>
    </w:p>
    <w:p w14:paraId="260F878C"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The correct pathway is:</w:t>
      </w:r>
    </w:p>
    <w:p w14:paraId="3CCFDE20"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 xml:space="preserve">external AI output </w:t>
      </w:r>
      <w:r w:rsidRPr="004448D5">
        <w:rPr>
          <w:rFonts w:ascii="Times New Roman" w:hAnsi="Times New Roman" w:cs="Times New Roman"/>
          <w:i/>
          <w:iCs/>
        </w:rPr>
        <w:t>→</w:t>
      </w:r>
      <w:r w:rsidRPr="004448D5">
        <w:rPr>
          <w:rFonts w:ascii="Baskerville Old Face" w:hAnsi="Baskerville Old Face"/>
          <w:i/>
          <w:iCs/>
        </w:rPr>
        <w:t xml:space="preserve"> draft or recommendation </w:t>
      </w:r>
      <w:r w:rsidRPr="004448D5">
        <w:rPr>
          <w:rFonts w:ascii="Times New Roman" w:hAnsi="Times New Roman" w:cs="Times New Roman"/>
          <w:i/>
          <w:iCs/>
        </w:rPr>
        <w:t>→</w:t>
      </w:r>
      <w:r w:rsidRPr="004448D5">
        <w:rPr>
          <w:rFonts w:ascii="Baskerville Old Face" w:hAnsi="Baskerville Old Face"/>
          <w:i/>
          <w:iCs/>
        </w:rPr>
        <w:t xml:space="preserve"> evidence review </w:t>
      </w:r>
      <w:r w:rsidRPr="004448D5">
        <w:rPr>
          <w:rFonts w:ascii="Times New Roman" w:hAnsi="Times New Roman" w:cs="Times New Roman"/>
          <w:i/>
          <w:iCs/>
        </w:rPr>
        <w:t>→</w:t>
      </w:r>
      <w:r w:rsidRPr="004448D5">
        <w:rPr>
          <w:rFonts w:ascii="Baskerville Old Face" w:hAnsi="Baskerville Old Face"/>
          <w:i/>
          <w:iCs/>
        </w:rPr>
        <w:t xml:space="preserve"> methodology review </w:t>
      </w:r>
      <w:r w:rsidRPr="004448D5">
        <w:rPr>
          <w:rFonts w:ascii="Times New Roman" w:hAnsi="Times New Roman" w:cs="Times New Roman"/>
          <w:i/>
          <w:iCs/>
        </w:rPr>
        <w:t>→</w:t>
      </w:r>
      <w:r w:rsidRPr="004448D5">
        <w:rPr>
          <w:rFonts w:ascii="Baskerville Old Face" w:hAnsi="Baskerville Old Face"/>
          <w:i/>
          <w:iCs/>
        </w:rPr>
        <w:t xml:space="preserve"> human or governance review </w:t>
      </w:r>
      <w:r w:rsidRPr="004448D5">
        <w:rPr>
          <w:rFonts w:ascii="Times New Roman" w:hAnsi="Times New Roman" w:cs="Times New Roman"/>
          <w:i/>
          <w:iCs/>
        </w:rPr>
        <w:t>→</w:t>
      </w:r>
      <w:r w:rsidRPr="004448D5">
        <w:rPr>
          <w:rFonts w:ascii="Baskerville Old Face" w:hAnsi="Baskerville Old Face"/>
          <w:i/>
          <w:iCs/>
        </w:rPr>
        <w:t xml:space="preserve"> legal review where required </w:t>
      </w:r>
      <w:r w:rsidRPr="004448D5">
        <w:rPr>
          <w:rFonts w:ascii="Times New Roman" w:hAnsi="Times New Roman" w:cs="Times New Roman"/>
          <w:i/>
          <w:iCs/>
        </w:rPr>
        <w:t>→</w:t>
      </w:r>
      <w:r w:rsidRPr="004448D5">
        <w:rPr>
          <w:rFonts w:ascii="Baskerville Old Face" w:hAnsi="Baskerville Old Face"/>
          <w:i/>
          <w:iCs/>
        </w:rPr>
        <w:t xml:space="preserve"> authorized action </w:t>
      </w:r>
      <w:r w:rsidRPr="004448D5">
        <w:rPr>
          <w:rFonts w:ascii="Times New Roman" w:hAnsi="Times New Roman" w:cs="Times New Roman"/>
          <w:i/>
          <w:iCs/>
        </w:rPr>
        <w:t>→</w:t>
      </w:r>
      <w:r w:rsidRPr="004448D5">
        <w:rPr>
          <w:rFonts w:ascii="Baskerville Old Face" w:hAnsi="Baskerville Old Face"/>
          <w:i/>
          <w:iCs/>
        </w:rPr>
        <w:t xml:space="preserve"> executed action </w:t>
      </w:r>
      <w:r w:rsidRPr="004448D5">
        <w:rPr>
          <w:rFonts w:ascii="Times New Roman" w:hAnsi="Times New Roman" w:cs="Times New Roman"/>
          <w:i/>
          <w:iCs/>
        </w:rPr>
        <w:t>→</w:t>
      </w:r>
      <w:r w:rsidRPr="004448D5">
        <w:rPr>
          <w:rFonts w:ascii="Baskerville Old Face" w:hAnsi="Baskerville Old Face"/>
          <w:i/>
          <w:iCs/>
        </w:rPr>
        <w:t xml:space="preserve"> verified outcome </w:t>
      </w:r>
      <w:r w:rsidRPr="004448D5">
        <w:rPr>
          <w:rFonts w:ascii="Times New Roman" w:hAnsi="Times New Roman" w:cs="Times New Roman"/>
          <w:i/>
          <w:iCs/>
        </w:rPr>
        <w:t>→</w:t>
      </w:r>
      <w:r w:rsidRPr="004448D5">
        <w:rPr>
          <w:rFonts w:ascii="Baskerville Old Face" w:hAnsi="Baskerville Old Face"/>
          <w:i/>
          <w:iCs/>
        </w:rPr>
        <w:t xml:space="preserve"> reportable result.</w:t>
      </w:r>
    </w:p>
    <w:p w14:paraId="0D894A6B"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lastRenderedPageBreak/>
        <w:t>This boundary preserves the difference between intelligence and authority.</w:t>
      </w:r>
    </w:p>
    <w:p w14:paraId="66F8A7B6"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AI may increase access.</w:t>
      </w:r>
      <w:r w:rsidRPr="004448D5">
        <w:rPr>
          <w:rFonts w:ascii="Baskerville Old Face" w:hAnsi="Baskerville Old Face"/>
          <w:i/>
          <w:iCs/>
        </w:rPr>
        <w:br/>
        <w:t>AI may increase clarity.</w:t>
      </w:r>
      <w:r w:rsidRPr="004448D5">
        <w:rPr>
          <w:rFonts w:ascii="Baskerville Old Face" w:hAnsi="Baskerville Old Face"/>
          <w:i/>
          <w:iCs/>
        </w:rPr>
        <w:br/>
        <w:t>AI may increase speed.</w:t>
      </w:r>
      <w:r w:rsidRPr="004448D5">
        <w:rPr>
          <w:rFonts w:ascii="Baskerville Old Face" w:hAnsi="Baskerville Old Face"/>
          <w:i/>
          <w:iCs/>
        </w:rPr>
        <w:br/>
        <w:t>AI may increase coordination.</w:t>
      </w:r>
      <w:r w:rsidRPr="004448D5">
        <w:rPr>
          <w:rFonts w:ascii="Baskerville Old Face" w:hAnsi="Baskerville Old Face"/>
          <w:i/>
          <w:iCs/>
        </w:rPr>
        <w:br/>
        <w:t>AI may increase learning.</w:t>
      </w:r>
    </w:p>
    <w:p w14:paraId="6C46DDD6"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But within Prometheus, only evidence, methodology, governance, legal structure, and human stewardship may authorize the transition from interpretation to action, from claim to indicator, from indicator to admissible value, and from admissible value to capital-facing use.</w:t>
      </w:r>
    </w:p>
    <w:p w14:paraId="75B94A15"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The operational rule is:</w:t>
      </w:r>
    </w:p>
    <w:p w14:paraId="605C04D5" w14:textId="77777777" w:rsidR="004448D5" w:rsidRPr="004448D5" w:rsidRDefault="004448D5" w:rsidP="004448D5">
      <w:pPr>
        <w:spacing w:line="360" w:lineRule="auto"/>
        <w:rPr>
          <w:rFonts w:ascii="Baskerville Old Face" w:hAnsi="Baskerville Old Face"/>
          <w:i/>
          <w:iCs/>
        </w:rPr>
      </w:pPr>
      <w:r w:rsidRPr="004448D5">
        <w:rPr>
          <w:rFonts w:ascii="Baskerville Old Face" w:hAnsi="Baskerville Old Face"/>
          <w:i/>
          <w:iCs/>
        </w:rPr>
        <w:t>External AI can open the door.</w:t>
      </w:r>
      <w:r w:rsidRPr="004448D5">
        <w:rPr>
          <w:rFonts w:ascii="Baskerville Old Face" w:hAnsi="Baskerville Old Face"/>
          <w:i/>
          <w:iCs/>
        </w:rPr>
        <w:br/>
        <w:t>It cannot become the source of truth.</w:t>
      </w:r>
    </w:p>
    <w:p w14:paraId="3030CB86" w14:textId="5BB5458A"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System synthesis</w:t>
      </w:r>
    </w:p>
    <w:p w14:paraId="5AFC941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Prometheus architecture can be summarized as follows:</w:t>
      </w:r>
    </w:p>
    <w:p w14:paraId="26CB24D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OHE generates regeneration.</w:t>
      </w:r>
    </w:p>
    <w:p w14:paraId="5A50C2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MRV observes regeneration.</w:t>
      </w:r>
    </w:p>
    <w:p w14:paraId="673D52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Provenance preserves evidence integrity.</w:t>
      </w:r>
    </w:p>
    <w:p w14:paraId="36914931"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structures regenerative events.</w:t>
      </w:r>
    </w:p>
    <w:p w14:paraId="7EB1ABD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PRU translates verified performance.</w:t>
      </w:r>
    </w:p>
    <w:p w14:paraId="011A95E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RAP aggregates verified units.</w:t>
      </w:r>
    </w:p>
    <w:p w14:paraId="73F4778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preserves coherence.</w:t>
      </w:r>
    </w:p>
    <w:p w14:paraId="049A8F5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scales deployment.</w:t>
      </w:r>
    </w:p>
    <w:p w14:paraId="387A20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Digital infrastructure supports coordination.</w:t>
      </w:r>
    </w:p>
    <w:p w14:paraId="404824C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AI assists learning.</w:t>
      </w:r>
    </w:p>
    <w:p w14:paraId="2AB869E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Tokenization may represent verified and legally structured value.</w:t>
      </w:r>
    </w:p>
    <w:p w14:paraId="7FC444F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architecture is not linear in practice.</w:t>
      </w:r>
    </w:p>
    <w:p w14:paraId="2796CDD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cyclical.</w:t>
      </w:r>
    </w:p>
    <w:p w14:paraId="5F6277C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Regeneration produces evidence.</w:t>
      </w:r>
    </w:p>
    <w:p w14:paraId="5F9B127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Evidence informs governance.</w:t>
      </w:r>
    </w:p>
    <w:p w14:paraId="5B2070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improves operations.</w:t>
      </w:r>
    </w:p>
    <w:p w14:paraId="068399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Operations improve ecological performance.</w:t>
      </w:r>
    </w:p>
    <w:p w14:paraId="01AEE95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Improved performance strengthens PRU quality.</w:t>
      </w:r>
    </w:p>
    <w:p w14:paraId="2E399E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Stronger PRUs support better capital allocation.</w:t>
      </w:r>
    </w:p>
    <w:p w14:paraId="738602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supports more regeneration.</w:t>
      </w:r>
    </w:p>
    <w:p w14:paraId="7722FA9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the regenerative loop.</w:t>
      </w:r>
    </w:p>
    <w:p w14:paraId="13F5A55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Transition to the next part</w:t>
      </w:r>
    </w:p>
    <w:p w14:paraId="51D5C7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architecture defines how Prometheus connects life, evidence, governance, technology, and capital.</w:t>
      </w:r>
    </w:p>
    <w:p w14:paraId="1153C78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next part turns to the operational ecosystem.</w:t>
      </w:r>
    </w:p>
    <w:p w14:paraId="561B59B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If Part IV explains how the architecture is structured, Part V explains how actors participate in it.</w:t>
      </w:r>
    </w:p>
    <w:p w14:paraId="724CC39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becomes real through Earth Custodians, Circular Producers, Digital Guarantors, Capital Allocators, auditors, protocol stewards, communities, and the operational processes that allow regeneration to become measurable and scalable.</w:t>
      </w:r>
    </w:p>
    <w:p w14:paraId="7DF5CB11" w14:textId="0819CEC8" w:rsidR="008D67A4" w:rsidRPr="00B479AE" w:rsidRDefault="008D67A4" w:rsidP="008D67A4">
      <w:pPr>
        <w:spacing w:line="360" w:lineRule="auto"/>
        <w:rPr>
          <w:rFonts w:ascii="Baskerville Old Face" w:hAnsi="Baskerville Old Face"/>
          <w:i/>
          <w:iCs/>
        </w:rPr>
      </w:pPr>
    </w:p>
    <w:p w14:paraId="0DE0B6F5" w14:textId="20D5FF87" w:rsidR="008D67A4" w:rsidRPr="00B479AE" w:rsidRDefault="008D67A4" w:rsidP="002B4800">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V</w:t>
      </w:r>
      <w:r w:rsidR="002B4800"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Operational Ecosystem</w:t>
      </w:r>
    </w:p>
    <w:p w14:paraId="00D791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From architecture to deployment</w:t>
      </w:r>
    </w:p>
    <w:p w14:paraId="68F1B8F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becomes real through operation.</w:t>
      </w:r>
    </w:p>
    <w:p w14:paraId="1C51BD7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A regenerative system cannot remain only a theory, a map, a protocol, a model, or a financial thesis.</w:t>
      </w:r>
    </w:p>
    <w:p w14:paraId="06DD519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must be deployed through people, land, processes, evidence, governance, and capital discipline.</w:t>
      </w:r>
    </w:p>
    <w:p w14:paraId="7390213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operational ecosystem of Prometheus defines how regenerative activity is implemented, measured, verified, coordinated, and scaled across real territories.</w:t>
      </w:r>
    </w:p>
    <w:p w14:paraId="7B5806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ecosystem is designed around a simple principle:</w:t>
      </w:r>
    </w:p>
    <w:p w14:paraId="7AEB8D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regeneration must be achievable at the unit level, measurable at the evidence level, governable at the community level, and financeable at the portfolio level.</w:t>
      </w:r>
    </w:p>
    <w:p w14:paraId="39AC2D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translates the architecture described in the previous part into roles, workflows, feedback loops, baselines, deployment phases, and operational responsibilities.</w:t>
      </w:r>
    </w:p>
    <w:p w14:paraId="1D5EE42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operational ecosystem is not a secondary layer.</w:t>
      </w:r>
    </w:p>
    <w:p w14:paraId="5C62CF1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the place where the thesis is tested.</w:t>
      </w:r>
    </w:p>
    <w:p w14:paraId="55B028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Operational principle</w:t>
      </w:r>
    </w:p>
    <w:p w14:paraId="61FE8F5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operational principle of Prometheus is:</w:t>
      </w:r>
    </w:p>
    <w:p w14:paraId="7DCDAA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bounded deployment before scale.</w:t>
      </w:r>
    </w:p>
    <w:p w14:paraId="5619F09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system designed to regenerate living systems must prove that it can preserve coherence under real conditions.</w:t>
      </w:r>
    </w:p>
    <w:p w14:paraId="3C30866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requires a disciplined progression from pilot to cluster, from cluster to bioregional network, and from bioregional network to portfolio-scale infrastructure.</w:t>
      </w:r>
    </w:p>
    <w:p w14:paraId="2CA045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stage must generate evidence.</w:t>
      </w:r>
    </w:p>
    <w:p w14:paraId="1B89C40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stage must preserve governance clarity.</w:t>
      </w:r>
    </w:p>
    <w:p w14:paraId="0F33339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stage must maintain MRV integrity.</w:t>
      </w:r>
    </w:p>
    <w:p w14:paraId="3A4EEDE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stage must avoid inflating future potential into present value.</w:t>
      </w:r>
    </w:p>
    <w:p w14:paraId="0109FD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the operational meaning of pilot-first discipline.</w:t>
      </w:r>
    </w:p>
    <w:p w14:paraId="774E187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Pilot-first does not mean small ambition.</w:t>
      </w:r>
    </w:p>
    <w:p w14:paraId="0A0E9E8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means fidelity to reality.</w:t>
      </w:r>
    </w:p>
    <w:p w14:paraId="22821D16" w14:textId="05D54A9D" w:rsidR="00D47F4B" w:rsidRPr="00B479AE" w:rsidRDefault="00D47F4B" w:rsidP="00D47F4B">
      <w:pPr>
        <w:spacing w:line="360" w:lineRule="auto"/>
        <w:rPr>
          <w:rFonts w:ascii="Baskerville Old Face" w:hAnsi="Baskerville Old Face"/>
          <w:b/>
          <w:bCs/>
          <w:i/>
          <w:iCs/>
        </w:rPr>
      </w:pPr>
      <w:r w:rsidRPr="00B479AE">
        <w:rPr>
          <w:rFonts w:ascii="Baskerville Old Face" w:hAnsi="Baskerville Old Face"/>
          <w:b/>
          <w:bCs/>
          <w:i/>
          <w:iCs/>
        </w:rPr>
        <w:t>Stewardship Activation Layer</w:t>
      </w:r>
    </w:p>
    <w:p w14:paraId="303A7CD2"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Prometheus includes a Stewardship Activation Layer.</w:t>
      </w:r>
    </w:p>
    <w:p w14:paraId="4ED3524A"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This layer describes the social and operational pathway through which regenerative participation matures from awareness into measurable contribution.</w:t>
      </w:r>
    </w:p>
    <w:p w14:paraId="1C08BE19"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The activation sequence is:</w:t>
      </w:r>
    </w:p>
    <w:p w14:paraId="16717710"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 xml:space="preserve">awareness </w:t>
      </w:r>
      <w:r w:rsidRPr="00B479AE">
        <w:rPr>
          <w:rFonts w:ascii="Times New Roman" w:hAnsi="Times New Roman" w:cs="Times New Roman"/>
          <w:i/>
          <w:iCs/>
        </w:rPr>
        <w:t>→</w:t>
      </w:r>
      <w:r w:rsidRPr="00B479AE">
        <w:rPr>
          <w:rFonts w:ascii="Baskerville Old Face" w:hAnsi="Baskerville Old Face"/>
          <w:i/>
          <w:iCs/>
        </w:rPr>
        <w:t xml:space="preserve"> stewardship participation </w:t>
      </w:r>
      <w:r w:rsidRPr="00B479AE">
        <w:rPr>
          <w:rFonts w:ascii="Times New Roman" w:hAnsi="Times New Roman" w:cs="Times New Roman"/>
          <w:i/>
          <w:iCs/>
        </w:rPr>
        <w:t>→</w:t>
      </w:r>
      <w:r w:rsidRPr="00B479AE">
        <w:rPr>
          <w:rFonts w:ascii="Baskerville Old Face" w:hAnsi="Baskerville Old Face"/>
          <w:i/>
          <w:iCs/>
        </w:rPr>
        <w:t xml:space="preserve"> local production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trust </w:t>
      </w:r>
      <w:r w:rsidRPr="00B479AE">
        <w:rPr>
          <w:rFonts w:ascii="Times New Roman" w:hAnsi="Times New Roman" w:cs="Times New Roman"/>
          <w:i/>
          <w:iCs/>
        </w:rPr>
        <w:t>→</w:t>
      </w:r>
      <w:r w:rsidRPr="00B479AE">
        <w:rPr>
          <w:rFonts w:ascii="Baskerville Old Face" w:hAnsi="Baskerville Old Face"/>
          <w:i/>
          <w:iCs/>
        </w:rPr>
        <w:t xml:space="preserve"> surplus reinvestment </w:t>
      </w:r>
      <w:r w:rsidRPr="00B479AE">
        <w:rPr>
          <w:rFonts w:ascii="Times New Roman" w:hAnsi="Times New Roman" w:cs="Times New Roman"/>
          <w:i/>
          <w:iCs/>
        </w:rPr>
        <w:t>→</w:t>
      </w:r>
      <w:r w:rsidRPr="00B479AE">
        <w:rPr>
          <w:rFonts w:ascii="Baskerville Old Face" w:hAnsi="Baskerville Old Face"/>
          <w:i/>
          <w:iCs/>
        </w:rPr>
        <w:t xml:space="preserve"> expanded regeneration.</w:t>
      </w:r>
    </w:p>
    <w:p w14:paraId="19F15A36"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Awareness creates the possibility of choice.</w:t>
      </w:r>
    </w:p>
    <w:p w14:paraId="5B1E8256"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Stewardship participation converts awareness into responsibility.</w:t>
      </w:r>
    </w:p>
    <w:p w14:paraId="3C7B0A57"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Local production converts responsibility into visible action.</w:t>
      </w:r>
    </w:p>
    <w:p w14:paraId="57487110"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Evidence converts action into trust.</w:t>
      </w:r>
    </w:p>
    <w:p w14:paraId="11265B44"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Trust allows communities, institutions, and capital allocators to support further deployment.</w:t>
      </w:r>
    </w:p>
    <w:p w14:paraId="0787FB20"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Surplus reinvestment converts local success into expanded regeneration.</w:t>
      </w:r>
    </w:p>
    <w:p w14:paraId="06B9AFAE"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The Stewardship Activation Layer is operational, not ideological.</w:t>
      </w:r>
    </w:p>
    <w:p w14:paraId="1C954A67"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It does not create political affiliation, religious identity, financial entitlement, token rights, PRU value, public-claim authority, or investor-facing eligibility by itself.</w:t>
      </w:r>
    </w:p>
    <w:p w14:paraId="265420FE" w14:textId="77777777" w:rsidR="008B3841" w:rsidRPr="00B479AE" w:rsidRDefault="008B3841" w:rsidP="008B3841">
      <w:pPr>
        <w:spacing w:line="360" w:lineRule="auto"/>
        <w:rPr>
          <w:rFonts w:ascii="Baskerville Old Face" w:hAnsi="Baskerville Old Face"/>
          <w:i/>
          <w:iCs/>
        </w:rPr>
      </w:pPr>
      <w:r w:rsidRPr="00B479AE">
        <w:rPr>
          <w:rFonts w:ascii="Baskerville Old Face" w:hAnsi="Baskerville Old Face"/>
          <w:i/>
          <w:iCs/>
        </w:rPr>
        <w:t>Its purpose is to make regeneration socially executable before it becomes institutionally scalable.</w:t>
      </w:r>
    </w:p>
    <w:p w14:paraId="6DE54124" w14:textId="0952F998"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 xml:space="preserve">The </w:t>
      </w:r>
      <w:r w:rsidR="008B3841" w:rsidRPr="00B479AE">
        <w:rPr>
          <w:rFonts w:ascii="Baskerville Old Face" w:hAnsi="Baskerville Old Face"/>
          <w:b/>
          <w:bCs/>
          <w:i/>
          <w:iCs/>
        </w:rPr>
        <w:t>O</w:t>
      </w:r>
      <w:r w:rsidRPr="00B479AE">
        <w:rPr>
          <w:rFonts w:ascii="Baskerville Old Face" w:hAnsi="Baskerville Old Face"/>
          <w:b/>
          <w:bCs/>
          <w:i/>
          <w:iCs/>
        </w:rPr>
        <w:t xml:space="preserve">perational </w:t>
      </w:r>
      <w:r w:rsidR="008B3841" w:rsidRPr="00B479AE">
        <w:rPr>
          <w:rFonts w:ascii="Baskerville Old Face" w:hAnsi="Baskerville Old Face"/>
          <w:b/>
          <w:bCs/>
          <w:i/>
          <w:iCs/>
        </w:rPr>
        <w:t>U</w:t>
      </w:r>
      <w:r w:rsidRPr="00B479AE">
        <w:rPr>
          <w:rFonts w:ascii="Baskerville Old Face" w:hAnsi="Baskerville Old Face"/>
          <w:b/>
          <w:bCs/>
          <w:i/>
          <w:iCs/>
        </w:rPr>
        <w:t>nit</w:t>
      </w:r>
    </w:p>
    <w:p w14:paraId="0F00EB9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One Human Ecosystem is the minimum deployable operational unit of Prometheus.</w:t>
      </w:r>
    </w:p>
    <w:p w14:paraId="315A5D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where ecological design, stewardship, MRV, data generation, production, governance, and future PRU translation converge.</w:t>
      </w:r>
    </w:p>
    <w:p w14:paraId="72AF2A8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Each OHE should be treated as a bounded regenerative unit with defined characteristics:</w:t>
      </w:r>
    </w:p>
    <w:p w14:paraId="44FF99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site identity;</w:t>
      </w:r>
    </w:p>
    <w:p w14:paraId="1CB33AC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 access structure;</w:t>
      </w:r>
    </w:p>
    <w:p w14:paraId="22E1A0E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design plan;</w:t>
      </w:r>
    </w:p>
    <w:p w14:paraId="44E5BC5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baseline ecological condition;</w:t>
      </w:r>
    </w:p>
    <w:p w14:paraId="3C7839D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responsibility;</w:t>
      </w:r>
    </w:p>
    <w:p w14:paraId="6B4ECE5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implementation timeline;</w:t>
      </w:r>
    </w:p>
    <w:p w14:paraId="494E70B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monitoring protocol;</w:t>
      </w:r>
    </w:p>
    <w:p w14:paraId="6145F9A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records;</w:t>
      </w:r>
    </w:p>
    <w:p w14:paraId="5487AD8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verification pathway;</w:t>
      </w:r>
    </w:p>
    <w:p w14:paraId="7419B5F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performance indicators;</w:t>
      </w:r>
    </w:p>
    <w:p w14:paraId="1965AF7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profile;</w:t>
      </w:r>
    </w:p>
    <w:p w14:paraId="6D09956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eligibility pathway.</w:t>
      </w:r>
    </w:p>
    <w:p w14:paraId="23B4EE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makes the OHE operationally legible.</w:t>
      </w:r>
    </w:p>
    <w:p w14:paraId="6F2AAD9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becomes possible to ask:</w:t>
      </w:r>
    </w:p>
    <w:p w14:paraId="5351B72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what was the starting condition;</w:t>
      </w:r>
    </w:p>
    <w:p w14:paraId="00ECD3A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what interventions were performed;</w:t>
      </w:r>
    </w:p>
    <w:p w14:paraId="188057C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what evidence was generated;</w:t>
      </w:r>
    </w:p>
    <w:p w14:paraId="0EB44A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what changed over time;</w:t>
      </w:r>
    </w:p>
    <w:p w14:paraId="35927B1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who was responsible;</w:t>
      </w:r>
    </w:p>
    <w:p w14:paraId="4F891C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which indicators improved;</w:t>
      </w:r>
    </w:p>
    <w:p w14:paraId="5A08D60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which risks emerged;</w:t>
      </w:r>
    </w:p>
    <w:p w14:paraId="2007EC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which claims became admissible;</w:t>
      </w:r>
    </w:p>
    <w:p w14:paraId="6AF619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which claims remained unverified.</w:t>
      </w:r>
    </w:p>
    <w:p w14:paraId="7E42674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how regeneration moves from intention to infrastructure.</w:t>
      </w:r>
    </w:p>
    <w:p w14:paraId="5481836F" w14:textId="6AD16614"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Actor-based ecosystem</w:t>
      </w:r>
    </w:p>
    <w:p w14:paraId="079C15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operates through a coordinated set of actors.</w:t>
      </w:r>
    </w:p>
    <w:p w14:paraId="09EE400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These actors are not merely participants in a platform.</w:t>
      </w:r>
    </w:p>
    <w:p w14:paraId="141C03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are functional roles within a regenerative infrastructure system.</w:t>
      </w:r>
    </w:p>
    <w:p w14:paraId="11C1D18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role contributes to a specific layer of value formation.</w:t>
      </w:r>
    </w:p>
    <w:p w14:paraId="538F170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principal actor categories are:</w:t>
      </w:r>
    </w:p>
    <w:p w14:paraId="337462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Earth Custodians;</w:t>
      </w:r>
    </w:p>
    <w:p w14:paraId="12E38B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Circular Producers;</w:t>
      </w:r>
    </w:p>
    <w:p w14:paraId="3E7DF98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Digital Guarantors;</w:t>
      </w:r>
    </w:p>
    <w:p w14:paraId="01DB2FC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Capital Allocators;</w:t>
      </w:r>
    </w:p>
    <w:p w14:paraId="50C4967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Auditors and Verifiers;</w:t>
      </w:r>
    </w:p>
    <w:p w14:paraId="20CC734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Protocol Stewards;</w:t>
      </w:r>
    </w:p>
    <w:p w14:paraId="5E6E34F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Communities and Beneficiaries;</w:t>
      </w:r>
    </w:p>
    <w:p w14:paraId="44F1E17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Institutional Partners.</w:t>
      </w:r>
    </w:p>
    <w:p w14:paraId="0E63328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Together, these actors form the living, operational, digital, financial, and governance ecosystem of Prometheus.</w:t>
      </w:r>
    </w:p>
    <w:p w14:paraId="0E96238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Earth Custodians</w:t>
      </w:r>
    </w:p>
    <w:p w14:paraId="30DE04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Earth Custodians are responsible for the physical implementation and stewardship of regenerative systems.</w:t>
      </w:r>
    </w:p>
    <w:p w14:paraId="5071CC3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They operate at the biophysical layer.</w:t>
      </w:r>
    </w:p>
    <w:p w14:paraId="38B4AC0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responsibilities may include:</w:t>
      </w:r>
    </w:p>
    <w:p w14:paraId="0637818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designing and managing OHEs;</w:t>
      </w:r>
    </w:p>
    <w:p w14:paraId="1A70BF6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preparing land and water systems;</w:t>
      </w:r>
    </w:p>
    <w:p w14:paraId="726AD3F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planting and maintaining syntropic systems;</w:t>
      </w:r>
    </w:p>
    <w:p w14:paraId="075187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implementing soil regeneration practices;</w:t>
      </w:r>
    </w:p>
    <w:p w14:paraId="5DB55C6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managing biomass cycling;</w:t>
      </w:r>
    </w:p>
    <w:p w14:paraId="11A78F6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protecting biodiversity;</w:t>
      </w:r>
    </w:p>
    <w:p w14:paraId="64341E2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recording operational events;</w:t>
      </w:r>
    </w:p>
    <w:p w14:paraId="3E76AF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observing ecological changes;</w:t>
      </w:r>
    </w:p>
    <w:p w14:paraId="6A34542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supporting MRV procedures;</w:t>
      </w:r>
    </w:p>
    <w:p w14:paraId="748CD2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preserving land-stewardship discipline.</w:t>
      </w:r>
    </w:p>
    <w:p w14:paraId="597D07C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Earth Custodians are the primary human interface between living systems and Prometheus.</w:t>
      </w:r>
    </w:p>
    <w:p w14:paraId="2C9F5D6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do not merely manage land.</w:t>
      </w:r>
    </w:p>
    <w:p w14:paraId="78CE9C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steward the conditions through which regenerative performance becomes possible.</w:t>
      </w:r>
    </w:p>
    <w:p w14:paraId="2963EA4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work generates the first layer of evidence.</w:t>
      </w:r>
    </w:p>
    <w:p w14:paraId="792072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Earth Custodians, Prometheus remains abstract.</w:t>
      </w:r>
    </w:p>
    <w:p w14:paraId="6CC6190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 them, regeneration becomes operational.</w:t>
      </w:r>
    </w:p>
    <w:p w14:paraId="06BAE36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Circular Producers</w:t>
      </w:r>
    </w:p>
    <w:p w14:paraId="4AB2D9B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Circular Producers transform regenerative outputs into useful goods, services, and local economic flows.</w:t>
      </w:r>
    </w:p>
    <w:p w14:paraId="4A57C9A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operate at the economic transformation layer.</w:t>
      </w:r>
    </w:p>
    <w:p w14:paraId="24E0DD8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Their activities may include:</w:t>
      </w:r>
    </w:p>
    <w:p w14:paraId="619F11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processing agricultural outputs;</w:t>
      </w:r>
    </w:p>
    <w:p w14:paraId="2E7BDC0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creating local value-added products;</w:t>
      </w:r>
    </w:p>
    <w:p w14:paraId="60B5464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supporting regenerative food systems;</w:t>
      </w:r>
    </w:p>
    <w:p w14:paraId="2556A33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integrating circular supply chains;</w:t>
      </w:r>
    </w:p>
    <w:p w14:paraId="07BFFAA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reducing waste;</w:t>
      </w:r>
    </w:p>
    <w:p w14:paraId="6B00913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transforming biomass into productive inputs;</w:t>
      </w:r>
    </w:p>
    <w:p w14:paraId="0FCEF68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developing educational or experiential services;</w:t>
      </w:r>
    </w:p>
    <w:p w14:paraId="11D5022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linking OHE outputs to local markets;</w:t>
      </w:r>
    </w:p>
    <w:p w14:paraId="33C0228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reinforcing territorial value circulation.</w:t>
      </w:r>
    </w:p>
    <w:p w14:paraId="6CF8794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Circular Producers help ensure that regenerative output does not remain isolated.</w:t>
      </w:r>
    </w:p>
    <w:p w14:paraId="13510DB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convert ecological productivity into usable economic flows while preserving the integrity of the system.</w:t>
      </w:r>
    </w:p>
    <w:p w14:paraId="278790B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role is essential for moving from ecological restoration to regenerative economy.</w:t>
      </w:r>
    </w:p>
    <w:p w14:paraId="16C7FD5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Digital Guarantors</w:t>
      </w:r>
    </w:p>
    <w:p w14:paraId="114F07A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Digital Guarantors support the integrity of the data, verification, and coordination layers.</w:t>
      </w:r>
    </w:p>
    <w:p w14:paraId="1FE4DCE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operate at the trust infrastructure layer.</w:t>
      </w:r>
    </w:p>
    <w:p w14:paraId="29FC020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responsibilities may include:</w:t>
      </w:r>
    </w:p>
    <w:p w14:paraId="43E5CA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maintaining digital infrastructure;</w:t>
      </w:r>
    </w:p>
    <w:p w14:paraId="6183B34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validating data flows;</w:t>
      </w:r>
    </w:p>
    <w:p w14:paraId="14816A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 supporting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workflows;</w:t>
      </w:r>
    </w:p>
    <w:p w14:paraId="43E499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preserving source-chain integrity;</w:t>
      </w:r>
    </w:p>
    <w:p w14:paraId="33DDC20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monitoring system uptime;</w:t>
      </w:r>
    </w:p>
    <w:p w14:paraId="5D68AC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checking data consistency;</w:t>
      </w:r>
    </w:p>
    <w:p w14:paraId="13AAD7E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 supporting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 event structures;</w:t>
      </w:r>
    </w:p>
    <w:p w14:paraId="1C2A067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maintaining dashboards or interfaces;</w:t>
      </w:r>
    </w:p>
    <w:p w14:paraId="134626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helping detect anomalies;</w:t>
      </w:r>
    </w:p>
    <w:p w14:paraId="053EA86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supporting auditability.</w:t>
      </w:r>
    </w:p>
    <w:p w14:paraId="4FCE627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Digital Guarantors do not create ecological value directly.</w:t>
      </w:r>
    </w:p>
    <w:p w14:paraId="3BA41E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help ensure that ecological value can be trusted, reviewed, and coordinated.</w:t>
      </w:r>
    </w:p>
    <w:p w14:paraId="223ED2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work transforms raw activity into reliable infrastructure.</w:t>
      </w:r>
    </w:p>
    <w:p w14:paraId="5F10EBA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Capital Allocators</w:t>
      </w:r>
    </w:p>
    <w:p w14:paraId="272E06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Allocators enable deployment, scaling, and continuity by directing financial resources toward regenerative infrastructure.</w:t>
      </w:r>
    </w:p>
    <w:p w14:paraId="2BBFB84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operate at the financial allocation layer.</w:t>
      </w:r>
    </w:p>
    <w:p w14:paraId="750D6B6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may include:</w:t>
      </w:r>
    </w:p>
    <w:p w14:paraId="1EDF73E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family offices;</w:t>
      </w:r>
    </w:p>
    <w:p w14:paraId="7D6DC15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impact investors;</w:t>
      </w:r>
    </w:p>
    <w:p w14:paraId="769E82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climate funds;</w:t>
      </w:r>
    </w:p>
    <w:p w14:paraId="3A06A03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development finance institutions;</w:t>
      </w:r>
    </w:p>
    <w:p w14:paraId="2B3D920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philanthropic capital;</w:t>
      </w:r>
    </w:p>
    <w:p w14:paraId="7418294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public entities;</w:t>
      </w:r>
    </w:p>
    <w:p w14:paraId="5DF36F1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insurance and reinsurance actors;</w:t>
      </w:r>
    </w:p>
    <w:p w14:paraId="5EFA96E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banks and credit providers;</w:t>
      </w:r>
    </w:p>
    <w:p w14:paraId="4E7C27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infrastructure funds;</w:t>
      </w:r>
    </w:p>
    <w:p w14:paraId="0BFBEFA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future RWA and tokenized asset investors.</w:t>
      </w:r>
    </w:p>
    <w:p w14:paraId="5B2625E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Allocators do not generate regeneration by themselves.</w:t>
      </w:r>
    </w:p>
    <w:p w14:paraId="6189AE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enable the conditions through which regeneration can be deployed, verified, expanded, and structured.</w:t>
      </w:r>
    </w:p>
    <w:p w14:paraId="79F516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role is to allocate capital according to evidence, risk, governance, and long-term regenerative performance.</w:t>
      </w:r>
    </w:p>
    <w:p w14:paraId="4A7FB2C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Within Prometheus, capital allocation should be guided by:</w:t>
      </w:r>
    </w:p>
    <w:p w14:paraId="1FF9CE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quality;</w:t>
      </w:r>
    </w:p>
    <w:p w14:paraId="4D6E92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integrity;</w:t>
      </w:r>
    </w:p>
    <w:p w14:paraId="25F1C5B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evidence continuity;</w:t>
      </w:r>
    </w:p>
    <w:p w14:paraId="4739CAD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reliability;</w:t>
      </w:r>
    </w:p>
    <w:p w14:paraId="0F27E5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history;</w:t>
      </w:r>
    </w:p>
    <w:p w14:paraId="08A918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site risk;</w:t>
      </w:r>
    </w:p>
    <w:p w14:paraId="5A0AF9B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portfolio diversification;</w:t>
      </w:r>
    </w:p>
    <w:p w14:paraId="7219C38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legal clarity;</w:t>
      </w:r>
    </w:p>
    <w:p w14:paraId="616F162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revenue quality;</w:t>
      </w:r>
    </w:p>
    <w:p w14:paraId="7DB145E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resilience potential.</w:t>
      </w:r>
    </w:p>
    <w:p w14:paraId="14D3C58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shifts capital from extraction potential to regenerative capacity.</w:t>
      </w:r>
    </w:p>
    <w:p w14:paraId="1B4D83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becomes more intelligent when it follows verified life-enhancing performance.</w:t>
      </w:r>
    </w:p>
    <w:p w14:paraId="07B75C4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Auditors and Verifiers</w:t>
      </w:r>
    </w:p>
    <w:p w14:paraId="205B5F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Auditors and Verifiers provide independent or semi-independent review of ecological, operational, technical, financial, and governance evidence.</w:t>
      </w:r>
    </w:p>
    <w:p w14:paraId="6C6FEBB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They operate at the assurance layer.</w:t>
      </w:r>
    </w:p>
    <w:p w14:paraId="1CB3AC7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responsibilities may include:</w:t>
      </w:r>
    </w:p>
    <w:p w14:paraId="33EC465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reviewing MRV protocols;</w:t>
      </w:r>
    </w:p>
    <w:p w14:paraId="0A53742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validating sampling methods;</w:t>
      </w:r>
    </w:p>
    <w:p w14:paraId="3E9B383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checking laboratory documentation;</w:t>
      </w:r>
    </w:p>
    <w:p w14:paraId="63C82CC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reviewing sensor calibration and data integrity;</w:t>
      </w:r>
    </w:p>
    <w:p w14:paraId="1169F0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assessing satellite or drone evidence;</w:t>
      </w:r>
    </w:p>
    <w:p w14:paraId="28442E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verifying operational logs;</w:t>
      </w:r>
    </w:p>
    <w:p w14:paraId="5ABD153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evaluating no-double-counting controls;</w:t>
      </w:r>
    </w:p>
    <w:p w14:paraId="22E423E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reviewing PRU methodology compliance;</w:t>
      </w:r>
    </w:p>
    <w:p w14:paraId="2541C92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checking governance procedures;</w:t>
      </w:r>
    </w:p>
    <w:p w14:paraId="67CEC9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assessing investor reporting;</w:t>
      </w:r>
    </w:p>
    <w:p w14:paraId="031599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identifying evidence gaps.</w:t>
      </w:r>
    </w:p>
    <w:p w14:paraId="6EACE26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role is fundamental for institutional credibility.</w:t>
      </w:r>
    </w:p>
    <w:p w14:paraId="7977C0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cannot rely only on self-declared regeneration.</w:t>
      </w:r>
    </w:p>
    <w:p w14:paraId="022968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must create pathways for independent review.</w:t>
      </w:r>
    </w:p>
    <w:p w14:paraId="0999E01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Auditors and Verifiers strengthen the system by making trust reviewable.</w:t>
      </w:r>
    </w:p>
    <w:p w14:paraId="6F37C9E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Protocol Stewards</w:t>
      </w:r>
    </w:p>
    <w:p w14:paraId="4A4955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Protocol Stewards protect the coherence of the Prometheus architecture.</w:t>
      </w:r>
    </w:p>
    <w:p w14:paraId="7A69F7A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operate at the constitutional and methodology layer.</w:t>
      </w:r>
    </w:p>
    <w:p w14:paraId="4E4F18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responsibilities may include:</w:t>
      </w:r>
    </w:p>
    <w:p w14:paraId="4B73E3F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maintaining canonical definitions;</w:t>
      </w:r>
    </w:p>
    <w:p w14:paraId="37FC8E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reviewing methodology updates;</w:t>
      </w:r>
    </w:p>
    <w:p w14:paraId="6F062BB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 preserving separation between PRU,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land, governance, and investor exposure;</w:t>
      </w:r>
    </w:p>
    <w:p w14:paraId="5AC8FB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preventing semantic drift;</w:t>
      </w:r>
    </w:p>
    <w:p w14:paraId="6B71CBC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maintaining release discipline;</w:t>
      </w:r>
    </w:p>
    <w:p w14:paraId="07A29FD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safeguarding verification-first principles;</w:t>
      </w:r>
    </w:p>
    <w:p w14:paraId="04DB480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governing connector updates;</w:t>
      </w:r>
    </w:p>
    <w:p w14:paraId="6B6752F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reviewing AI model boundaries;</w:t>
      </w:r>
    </w:p>
    <w:p w14:paraId="75E5C0F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supporting dispute resolution;</w:t>
      </w:r>
    </w:p>
    <w:p w14:paraId="0A27ABD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aligning implementation with constitutional principles.</w:t>
      </w:r>
    </w:p>
    <w:p w14:paraId="2EF89CF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Protocol Stewards are not controllers of life.</w:t>
      </w:r>
    </w:p>
    <w:p w14:paraId="12AB8B1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are guardians of coherence.</w:t>
      </w:r>
    </w:p>
    <w:p w14:paraId="5A041B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role is to ensure that the system can evolve without losing its meaning.</w:t>
      </w:r>
    </w:p>
    <w:p w14:paraId="6A9504B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Communities and Beneficiaries</w:t>
      </w:r>
    </w:p>
    <w:p w14:paraId="71E2C45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Communities and beneficiaries represent the social and territorial layer of Prometheus.</w:t>
      </w:r>
    </w:p>
    <w:p w14:paraId="2393DC2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are not passive recipients of impact.</w:t>
      </w:r>
    </w:p>
    <w:p w14:paraId="7A70CE9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are participants in the regenerative field.</w:t>
      </w:r>
    </w:p>
    <w:p w14:paraId="54B2EA5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involvement may include:</w:t>
      </w:r>
    </w:p>
    <w:p w14:paraId="6ED6253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local food participation;</w:t>
      </w:r>
    </w:p>
    <w:p w14:paraId="285F70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support;</w:t>
      </w:r>
    </w:p>
    <w:p w14:paraId="705D42E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educational engagement;</w:t>
      </w:r>
    </w:p>
    <w:p w14:paraId="44DBA7F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community governance;</w:t>
      </w:r>
    </w:p>
    <w:p w14:paraId="39C7ED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cooperative production;</w:t>
      </w:r>
    </w:p>
    <w:p w14:paraId="45F1EC6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health and nutrition programs;</w:t>
      </w:r>
    </w:p>
    <w:p w14:paraId="6D06261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local knowledge contribution;</w:t>
      </w:r>
    </w:p>
    <w:p w14:paraId="1FF147C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social resilience building;</w:t>
      </w:r>
    </w:p>
    <w:p w14:paraId="065B994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feedback on system effects.</w:t>
      </w:r>
    </w:p>
    <w:p w14:paraId="0314EA0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A regenerative infrastructure that excludes </w:t>
      </w:r>
      <w:proofErr w:type="gramStart"/>
      <w:r w:rsidRPr="00B479AE">
        <w:rPr>
          <w:rFonts w:ascii="Baskerville Old Face" w:hAnsi="Baskerville Old Face"/>
          <w:i/>
          <w:iCs/>
        </w:rPr>
        <w:t>communities</w:t>
      </w:r>
      <w:proofErr w:type="gramEnd"/>
      <w:r w:rsidRPr="00B479AE">
        <w:rPr>
          <w:rFonts w:ascii="Baskerville Old Face" w:hAnsi="Baskerville Old Face"/>
          <w:i/>
          <w:iCs/>
        </w:rPr>
        <w:t xml:space="preserve"> risks reproducing extraction under a new language.</w:t>
      </w:r>
    </w:p>
    <w:p w14:paraId="5463CE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treats communities as part of the living context in which value is generated.</w:t>
      </w:r>
    </w:p>
    <w:p w14:paraId="13FDFBB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health of the system depends not only on ecological metrics, but also on the quality of relationships it supports.</w:t>
      </w:r>
    </w:p>
    <w:p w14:paraId="11AEF6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Institutional Partners</w:t>
      </w:r>
    </w:p>
    <w:p w14:paraId="003BDD1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Institutional Partners may include universities, research centers, laboratories, public agencies, municipalities, NGOs, certification bodies, technology providers, financial institutions, and infrastructure operators.</w:t>
      </w:r>
    </w:p>
    <w:p w14:paraId="139E8D6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can support:</w:t>
      </w:r>
    </w:p>
    <w:p w14:paraId="44A4A46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scientific validation;</w:t>
      </w:r>
    </w:p>
    <w:p w14:paraId="7B43094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legal structuring;</w:t>
      </w:r>
    </w:p>
    <w:p w14:paraId="55C754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methodology;</w:t>
      </w:r>
    </w:p>
    <w:p w14:paraId="5B03F0A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public procurement;</w:t>
      </w:r>
    </w:p>
    <w:p w14:paraId="4134166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education;</w:t>
      </w:r>
    </w:p>
    <w:p w14:paraId="064D32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health-system integration;</w:t>
      </w:r>
    </w:p>
    <w:p w14:paraId="5A9E2A4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research;</w:t>
      </w:r>
    </w:p>
    <w:p w14:paraId="00C9DE2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and water testing;</w:t>
      </w:r>
    </w:p>
    <w:p w14:paraId="5B5C8C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climate adaptation planning;</w:t>
      </w:r>
    </w:p>
    <w:p w14:paraId="08995AF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blended finance;</w:t>
      </w:r>
    </w:p>
    <w:p w14:paraId="7E439C9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mitigation;</w:t>
      </w:r>
    </w:p>
    <w:p w14:paraId="02DBCF3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policy alignment.</w:t>
      </w:r>
    </w:p>
    <w:p w14:paraId="45A909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Their role is to connect Prometheus to broader institutional ecosystems.</w:t>
      </w:r>
    </w:p>
    <w:p w14:paraId="00DD9CB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regenerative asset class cannot mature in isolation.</w:t>
      </w:r>
    </w:p>
    <w:p w14:paraId="50D2BC1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requires scientific, legal, financial, and public legitimacy.</w:t>
      </w:r>
    </w:p>
    <w:p w14:paraId="3F87093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Baseline and regenerative delta</w:t>
      </w:r>
    </w:p>
    <w:p w14:paraId="3A78504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Every OHE begins with a baseline.</w:t>
      </w:r>
    </w:p>
    <w:p w14:paraId="34AC857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baseline defines the starting condition of the system before regenerative intervention.</w:t>
      </w:r>
    </w:p>
    <w:p w14:paraId="5988FF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may include:</w:t>
      </w:r>
    </w:p>
    <w:p w14:paraId="77C344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condition;</w:t>
      </w:r>
    </w:p>
    <w:p w14:paraId="193A69A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organic matter;</w:t>
      </w:r>
    </w:p>
    <w:p w14:paraId="70F46A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organic carbon;</w:t>
      </w:r>
    </w:p>
    <w:p w14:paraId="6BB26F0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pH;</w:t>
      </w:r>
    </w:p>
    <w:p w14:paraId="375B164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bulk density;</w:t>
      </w:r>
    </w:p>
    <w:p w14:paraId="3C7239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 infiltration;</w:t>
      </w:r>
    </w:p>
    <w:p w14:paraId="05053A5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moisture;</w:t>
      </w:r>
    </w:p>
    <w:p w14:paraId="349CEA2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vegetation cover;</w:t>
      </w:r>
    </w:p>
    <w:p w14:paraId="02D001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w:t>
      </w:r>
    </w:p>
    <w:p w14:paraId="00DE5C4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productivity;</w:t>
      </w:r>
    </w:p>
    <w:p w14:paraId="6D874D1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land-use history;</w:t>
      </w:r>
    </w:p>
    <w:p w14:paraId="7AA448E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input dependency;</w:t>
      </w:r>
    </w:p>
    <w:p w14:paraId="0B8DBAE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hydrological context;</w:t>
      </w:r>
    </w:p>
    <w:p w14:paraId="5747386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microclimate;</w:t>
      </w:r>
    </w:p>
    <w:p w14:paraId="624BD27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constraints;</w:t>
      </w:r>
    </w:p>
    <w:p w14:paraId="11D6BD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social and governance context.</w:t>
      </w:r>
    </w:p>
    <w:p w14:paraId="7637A5D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baseline is essential because regeneration is measured as change over time.</w:t>
      </w:r>
    </w:p>
    <w:p w14:paraId="4FE2C71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That change is the regenerative delta.</w:t>
      </w:r>
    </w:p>
    <w:p w14:paraId="49FD3D1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regenerative delta describes the difference between the starting condition and the verified condition after intervention.</w:t>
      </w:r>
    </w:p>
    <w:p w14:paraId="131D4C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may be positive, neutral, or negative.</w:t>
      </w:r>
    </w:p>
    <w:p w14:paraId="660CF70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matters.</w:t>
      </w:r>
    </w:p>
    <w:p w14:paraId="1A6EE08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does not assume improvement by declaration.</w:t>
      </w:r>
    </w:p>
    <w:p w14:paraId="2AA7777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observes whether improvement occurs.</w:t>
      </w:r>
    </w:p>
    <w:p w14:paraId="759F49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credible regenerative delta must be:</w:t>
      </w:r>
    </w:p>
    <w:p w14:paraId="7AC6421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measured;</w:t>
      </w:r>
    </w:p>
    <w:p w14:paraId="22E2865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time-bounded;</w:t>
      </w:r>
    </w:p>
    <w:p w14:paraId="67484F3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source-linked;</w:t>
      </w:r>
    </w:p>
    <w:p w14:paraId="5C13866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confidence-scored;</w:t>
      </w:r>
    </w:p>
    <w:p w14:paraId="7418420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methodologically consistent;</w:t>
      </w:r>
    </w:p>
    <w:p w14:paraId="61AA2F9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comparable over time;</w:t>
      </w:r>
    </w:p>
    <w:p w14:paraId="58F038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reviewed where necessary;</w:t>
      </w:r>
    </w:p>
    <w:p w14:paraId="12B74A4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connected to admissibility rules.</w:t>
      </w:r>
    </w:p>
    <w:p w14:paraId="1CA853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regenerative delta is the operational bridge between intervention and value.</w:t>
      </w:r>
    </w:p>
    <w:p w14:paraId="00A529B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lastRenderedPageBreak/>
        <w:t>Operational process flow</w:t>
      </w:r>
    </w:p>
    <w:p w14:paraId="5B3EE7D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operates through a cyclical process.</w:t>
      </w:r>
    </w:p>
    <w:p w14:paraId="1750F5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process allows regenerative systems to be deployed, observed, verified, improved, and eventually scaled.</w:t>
      </w:r>
    </w:p>
    <w:p w14:paraId="17D6DAA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1 — Site identification</w:t>
      </w:r>
    </w:p>
    <w:p w14:paraId="288E2E9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first phase identifies the site or unit where regenerative deployment may occur.</w:t>
      </w:r>
    </w:p>
    <w:p w14:paraId="719DA04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includes ecological, legal, operational, and social screening.</w:t>
      </w:r>
    </w:p>
    <w:p w14:paraId="471BC78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Key questions include:</w:t>
      </w:r>
    </w:p>
    <w:p w14:paraId="0FC31F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is the land context?</w:t>
      </w:r>
    </w:p>
    <w:p w14:paraId="4B9868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is the current ecological condition?</w:t>
      </w:r>
    </w:p>
    <w:p w14:paraId="30E2EFD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are the access rights?</w:t>
      </w:r>
    </w:p>
    <w:p w14:paraId="0D18714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are the climatic constraints?</w:t>
      </w:r>
    </w:p>
    <w:p w14:paraId="7DBED75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are the hydrological dynamics?</w:t>
      </w:r>
    </w:p>
    <w:p w14:paraId="1D58B6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are the operational risks?</w:t>
      </w:r>
    </w:p>
    <w:p w14:paraId="6F4E904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Who are the stewards?</w:t>
      </w:r>
    </w:p>
    <w:p w14:paraId="3401102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is the intended use case?</w:t>
      </w:r>
    </w:p>
    <w:p w14:paraId="27D4F8B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What data can be collected?</w:t>
      </w:r>
    </w:p>
    <w:p w14:paraId="3057455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2 — Baseline assessment</w:t>
      </w:r>
    </w:p>
    <w:p w14:paraId="1F0B52C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second phase establishes the baseline.</w:t>
      </w:r>
    </w:p>
    <w:p w14:paraId="1072622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includes measurement, observation, documentation, and initial evidence capture.</w:t>
      </w:r>
    </w:p>
    <w:p w14:paraId="0F2D045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Baseline assessment should include enough information to make future change measurable.</w:t>
      </w:r>
    </w:p>
    <w:p w14:paraId="4D0BFC4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weak baseline weakens future claims.</w:t>
      </w:r>
    </w:p>
    <w:p w14:paraId="5FD93F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A strong baseline strengthens the entire PRU pathway.</w:t>
      </w:r>
    </w:p>
    <w:p w14:paraId="3D4459FC" w14:textId="77777777" w:rsidR="002E5EB1" w:rsidRDefault="002E5EB1" w:rsidP="008D67A4">
      <w:pPr>
        <w:spacing w:line="360" w:lineRule="auto"/>
        <w:rPr>
          <w:rFonts w:ascii="Baskerville Old Face" w:hAnsi="Baskerville Old Face"/>
          <w:b/>
          <w:bCs/>
          <w:i/>
          <w:iCs/>
        </w:rPr>
      </w:pPr>
    </w:p>
    <w:p w14:paraId="2C64FA72" w14:textId="5D3B0BE6"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3 — Design and planning</w:t>
      </w:r>
    </w:p>
    <w:p w14:paraId="38E8BA1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third phase designs the regenerative intervention.</w:t>
      </w:r>
    </w:p>
    <w:p w14:paraId="5336B8B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includes:</w:t>
      </w:r>
    </w:p>
    <w:p w14:paraId="755890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OHE layout;</w:t>
      </w:r>
    </w:p>
    <w:p w14:paraId="61A8B66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 design;</w:t>
      </w:r>
    </w:p>
    <w:p w14:paraId="206A785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species selection;</w:t>
      </w:r>
    </w:p>
    <w:p w14:paraId="2F97832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successional sequencing;</w:t>
      </w:r>
    </w:p>
    <w:p w14:paraId="628FA8C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stratification strategy;</w:t>
      </w:r>
    </w:p>
    <w:p w14:paraId="3C4A3E1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improvement plan;</w:t>
      </w:r>
    </w:p>
    <w:p w14:paraId="073DF9B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enhancement;</w:t>
      </w:r>
    </w:p>
    <w:p w14:paraId="6FA19BC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placement;</w:t>
      </w:r>
    </w:p>
    <w:p w14:paraId="25E1E0E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sampling plan;</w:t>
      </w:r>
    </w:p>
    <w:p w14:paraId="657E06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workflow;</w:t>
      </w:r>
    </w:p>
    <w:p w14:paraId="2EC6EE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responsibilities;</w:t>
      </w:r>
    </w:p>
    <w:p w14:paraId="20C0763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mitigation;</w:t>
      </w:r>
    </w:p>
    <w:p w14:paraId="1282E0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budget and deployment timeline.</w:t>
      </w:r>
    </w:p>
    <w:p w14:paraId="41EBC99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Design is where ecological intelligence becomes operational intent.</w:t>
      </w:r>
    </w:p>
    <w:p w14:paraId="0DA1BB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4 — Implementation</w:t>
      </w:r>
    </w:p>
    <w:p w14:paraId="109F9A4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fourth phase activates the regenerative system.</w:t>
      </w:r>
    </w:p>
    <w:p w14:paraId="55EDE47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may include:</w:t>
      </w:r>
    </w:p>
    <w:p w14:paraId="22637B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land preparation;</w:t>
      </w:r>
    </w:p>
    <w:p w14:paraId="5D8CAE1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earthworks or water-retention structures;</w:t>
      </w:r>
    </w:p>
    <w:p w14:paraId="7900313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planting;</w:t>
      </w:r>
    </w:p>
    <w:p w14:paraId="176D5BB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mulching;</w:t>
      </w:r>
    </w:p>
    <w:p w14:paraId="5964F0D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compost or organic input application;</w:t>
      </w:r>
    </w:p>
    <w:p w14:paraId="10796F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installation;</w:t>
      </w:r>
    </w:p>
    <w:p w14:paraId="1DC9C94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irrigation setup;</w:t>
      </w:r>
    </w:p>
    <w:p w14:paraId="613B5B2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corridor creation;</w:t>
      </w:r>
    </w:p>
    <w:p w14:paraId="3D2476A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training;</w:t>
      </w:r>
    </w:p>
    <w:p w14:paraId="3AE9BBB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activation;</w:t>
      </w:r>
    </w:p>
    <w:p w14:paraId="33D23DE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initial documentation.</w:t>
      </w:r>
    </w:p>
    <w:p w14:paraId="239DC77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Implementation events should be recorded as structured operational evidence.</w:t>
      </w:r>
    </w:p>
    <w:p w14:paraId="76FB21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5 — Monitoring</w:t>
      </w:r>
    </w:p>
    <w:p w14:paraId="1B38D8A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fifth phase observes system performance over time.</w:t>
      </w:r>
    </w:p>
    <w:p w14:paraId="6EDCE85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Monitoring may include:</w:t>
      </w:r>
    </w:p>
    <w:p w14:paraId="2BCB4C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readings;</w:t>
      </w:r>
    </w:p>
    <w:p w14:paraId="3146332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laboratory testing;</w:t>
      </w:r>
    </w:p>
    <w:p w14:paraId="6D25CB3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field observations;</w:t>
      </w:r>
    </w:p>
    <w:p w14:paraId="5DF0F7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satellite or drone imagery;</w:t>
      </w:r>
    </w:p>
    <w:p w14:paraId="0043CA3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photographic records;</w:t>
      </w:r>
    </w:p>
    <w:p w14:paraId="43B1041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yield tracking;</w:t>
      </w:r>
    </w:p>
    <w:p w14:paraId="78F76A2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surveys;</w:t>
      </w:r>
    </w:p>
    <w:p w14:paraId="46AF78E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operational logs;</w:t>
      </w:r>
    </w:p>
    <w:p w14:paraId="54BE65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reports;</w:t>
      </w:r>
    </w:p>
    <w:p w14:paraId="2747C33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weather and climate data.</w:t>
      </w:r>
    </w:p>
    <w:p w14:paraId="0718591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Monitoring transforms ecological change into evidence.</w:t>
      </w:r>
    </w:p>
    <w:p w14:paraId="4C1F825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6 — Verification</w:t>
      </w:r>
    </w:p>
    <w:p w14:paraId="6FD8A83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sixth phase evaluates evidence quality and consistency.</w:t>
      </w:r>
    </w:p>
    <w:p w14:paraId="65BA00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Verification may include:</w:t>
      </w:r>
    </w:p>
    <w:p w14:paraId="2BB4E30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data validation;</w:t>
      </w:r>
    </w:p>
    <w:p w14:paraId="5576D61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cross-source comparison;</w:t>
      </w:r>
    </w:p>
    <w:p w14:paraId="4B0019E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calibration checks;</w:t>
      </w:r>
    </w:p>
    <w:p w14:paraId="5DEF96A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auditor review;</w:t>
      </w:r>
    </w:p>
    <w:p w14:paraId="4B74552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review;</w:t>
      </w:r>
    </w:p>
    <w:p w14:paraId="48F4492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no-double-counting checks;</w:t>
      </w:r>
    </w:p>
    <w:p w14:paraId="5EA76B0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confidence scoring;</w:t>
      </w:r>
    </w:p>
    <w:p w14:paraId="57C0FFA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anomaly detection;</w:t>
      </w:r>
    </w:p>
    <w:p w14:paraId="221C47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review.</w:t>
      </w:r>
    </w:p>
    <w:p w14:paraId="31F24B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Verification transforms evidence into trusted indicators.</w:t>
      </w:r>
    </w:p>
    <w:p w14:paraId="3741DF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7 — PRU translation</w:t>
      </w:r>
    </w:p>
    <w:p w14:paraId="7524BAE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seventh phase translates verified indicators into PRU-relevant logic.</w:t>
      </w:r>
    </w:p>
    <w:p w14:paraId="1D23F2A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does not mean every indicator becomes financial value.</w:t>
      </w:r>
    </w:p>
    <w:p w14:paraId="160B8A30" w14:textId="77777777" w:rsidR="009348E4" w:rsidRPr="00B479AE" w:rsidRDefault="009348E4" w:rsidP="008D67A4">
      <w:pPr>
        <w:spacing w:line="360" w:lineRule="auto"/>
        <w:rPr>
          <w:rFonts w:ascii="Baskerville Old Face" w:hAnsi="Baskerville Old Face"/>
          <w:i/>
          <w:iCs/>
        </w:rPr>
      </w:pPr>
      <w:r w:rsidRPr="00B479AE">
        <w:rPr>
          <w:rFonts w:ascii="Baskerville Old Face" w:hAnsi="Baskerville Old Face"/>
          <w:i/>
          <w:iCs/>
        </w:rPr>
        <w:t xml:space="preserve">Only indicators meeting admissibility thresholds may contribute to PRU value analysis, maturity classification, or reporting. </w:t>
      </w:r>
    </w:p>
    <w:p w14:paraId="7529E43E" w14:textId="61019DB1"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This phase requires discipline.</w:t>
      </w:r>
    </w:p>
    <w:p w14:paraId="63261C7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system must distinguish between observed improvement, verified improvement, and financially admissible improvement.</w:t>
      </w:r>
    </w:p>
    <w:p w14:paraId="481F5B3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8 — Reporting and governance review</w:t>
      </w:r>
    </w:p>
    <w:p w14:paraId="75FA761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eighth phase presents results to relevant actors.</w:t>
      </w:r>
    </w:p>
    <w:p w14:paraId="2490290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may include:</w:t>
      </w:r>
    </w:p>
    <w:p w14:paraId="49834DC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reports;</w:t>
      </w:r>
    </w:p>
    <w:p w14:paraId="4D4ADF3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reports;</w:t>
      </w:r>
    </w:p>
    <w:p w14:paraId="4C63509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dashboards;</w:t>
      </w:r>
    </w:p>
    <w:p w14:paraId="1916E55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investor reports;</w:t>
      </w:r>
    </w:p>
    <w:p w14:paraId="1E689DC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updates;</w:t>
      </w:r>
    </w:p>
    <w:p w14:paraId="2E78F7F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dashboards;</w:t>
      </w:r>
    </w:p>
    <w:p w14:paraId="71CC919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review;</w:t>
      </w:r>
    </w:p>
    <w:p w14:paraId="4FF970A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notes;</w:t>
      </w:r>
    </w:p>
    <w:p w14:paraId="2F63454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adverse event reports.</w:t>
      </w:r>
    </w:p>
    <w:p w14:paraId="0E659EB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Reporting allows the system to learn.</w:t>
      </w:r>
    </w:p>
    <w:p w14:paraId="6B87B2B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review allows the system to adapt.</w:t>
      </w:r>
    </w:p>
    <w:p w14:paraId="4FE012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Phase 9 — Reinvestment and improvement</w:t>
      </w:r>
    </w:p>
    <w:p w14:paraId="6234F05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ninth phase channels learning and value back into the system.</w:t>
      </w:r>
    </w:p>
    <w:p w14:paraId="23F5CF4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may include:</w:t>
      </w:r>
    </w:p>
    <w:p w14:paraId="281E29D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design adjustments;</w:t>
      </w:r>
    </w:p>
    <w:p w14:paraId="2838F74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additional planting;</w:t>
      </w:r>
    </w:p>
    <w:p w14:paraId="2C73192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soil interventions;</w:t>
      </w:r>
    </w:p>
    <w:p w14:paraId="569926D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water-system improvement;</w:t>
      </w:r>
    </w:p>
    <w:p w14:paraId="4C73E3F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training;</w:t>
      </w:r>
    </w:p>
    <w:p w14:paraId="14FE519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upgrades;</w:t>
      </w:r>
    </w:p>
    <w:p w14:paraId="7B8D61F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refinement;</w:t>
      </w:r>
    </w:p>
    <w:p w14:paraId="79F4964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community programs;</w:t>
      </w:r>
    </w:p>
    <w:p w14:paraId="3735EF5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capital reinvestment;</w:t>
      </w:r>
    </w:p>
    <w:p w14:paraId="2B2BDCC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new OHE deployment.</w:t>
      </w:r>
    </w:p>
    <w:p w14:paraId="4CC2C2D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Regeneration becomes infrastructure when the system learns how to improve itself.</w:t>
      </w:r>
    </w:p>
    <w:p w14:paraId="66BABE6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Network formation</w:t>
      </w:r>
    </w:p>
    <w:p w14:paraId="252743A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Individual OHE units gain greater significance when connected.</w:t>
      </w:r>
    </w:p>
    <w:p w14:paraId="6E5ADCB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single OHE can demonstrate local regenerative performance.</w:t>
      </w:r>
    </w:p>
    <w:p w14:paraId="2ED164A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cluster of OHE units can support shared learning, biodiversity corridors, local food systems, cooperative production, and community resilience.</w:t>
      </w:r>
    </w:p>
    <w:p w14:paraId="320EC8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bioregional network can support hydrological coherence, landscape restoration, supply-chain integration, institutional reporting, and portfolio-level resilience.</w:t>
      </w:r>
    </w:p>
    <w:p w14:paraId="7C32EB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scales through network formation rather than centralization.</w:t>
      </w:r>
    </w:p>
    <w:p w14:paraId="48731E6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progression may be expressed as:</w:t>
      </w:r>
    </w:p>
    <w:p w14:paraId="0361AE3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OHE</w:t>
      </w:r>
      <w:r w:rsidRPr="00B479AE">
        <w:rPr>
          <w:rFonts w:ascii="Baskerville Old Face" w:hAnsi="Baskerville Old Face"/>
          <w:i/>
          <w:iCs/>
        </w:rPr>
        <w:br/>
        <w:t>local cluster</w:t>
      </w:r>
      <w:r w:rsidRPr="00B479AE">
        <w:rPr>
          <w:rFonts w:ascii="Baskerville Old Face" w:hAnsi="Baskerville Old Face"/>
          <w:i/>
          <w:iCs/>
        </w:rPr>
        <w:br/>
        <w:t>community network</w:t>
      </w:r>
      <w:r w:rsidRPr="00B479AE">
        <w:rPr>
          <w:rFonts w:ascii="Baskerville Old Face" w:hAnsi="Baskerville Old Face"/>
          <w:i/>
          <w:iCs/>
        </w:rPr>
        <w:br/>
        <w:t>bioregional system</w:t>
      </w:r>
      <w:r w:rsidRPr="00B479AE">
        <w:rPr>
          <w:rFonts w:ascii="Baskerville Old Face" w:hAnsi="Baskerville Old Face"/>
          <w:i/>
          <w:iCs/>
        </w:rPr>
        <w:br/>
        <w:t>Regenerative Asset Pool</w:t>
      </w:r>
      <w:r w:rsidRPr="00B479AE">
        <w:rPr>
          <w:rFonts w:ascii="Baskerville Old Face" w:hAnsi="Baskerville Old Face"/>
          <w:i/>
          <w:iCs/>
        </w:rPr>
        <w:br/>
        <w:t>institutional regenerative infrastructure.</w:t>
      </w:r>
    </w:p>
    <w:p w14:paraId="5565E75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Each level adds complexity.</w:t>
      </w:r>
    </w:p>
    <w:p w14:paraId="416919F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level must preserve evidence, governance, and ecological coherence.</w:t>
      </w:r>
    </w:p>
    <w:p w14:paraId="78163A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goal is not to make every unit identical.</w:t>
      </w:r>
    </w:p>
    <w:p w14:paraId="07D7C02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goal is to make diverse units interoperable.</w:t>
      </w:r>
    </w:p>
    <w:p w14:paraId="7AF420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Local clusters</w:t>
      </w:r>
    </w:p>
    <w:p w14:paraId="02879B9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Local clusters connect OHE units within a shared territory.</w:t>
      </w:r>
    </w:p>
    <w:p w14:paraId="2768A82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may support:</w:t>
      </w:r>
    </w:p>
    <w:p w14:paraId="7506BD4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shared equipment;</w:t>
      </w:r>
    </w:p>
    <w:p w14:paraId="1E981B9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collective learning;</w:t>
      </w:r>
    </w:p>
    <w:p w14:paraId="4C68598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cooperative labor;</w:t>
      </w:r>
    </w:p>
    <w:p w14:paraId="5A3FAE2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joint processing;</w:t>
      </w:r>
    </w:p>
    <w:p w14:paraId="58087EF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local distribution;</w:t>
      </w:r>
    </w:p>
    <w:p w14:paraId="58FB5B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shared MRV infrastructure;</w:t>
      </w:r>
    </w:p>
    <w:p w14:paraId="3DFA45B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 corridors;</w:t>
      </w:r>
    </w:p>
    <w:p w14:paraId="455217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water-system coordination;</w:t>
      </w:r>
    </w:p>
    <w:p w14:paraId="79570AF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community programs;</w:t>
      </w:r>
    </w:p>
    <w:p w14:paraId="1B4DCC0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local governance.</w:t>
      </w:r>
    </w:p>
    <w:p w14:paraId="1298F7E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Clusters reduce isolation.</w:t>
      </w:r>
    </w:p>
    <w:p w14:paraId="116ACD6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allow regenerative units to become part of territorial infrastructure.</w:t>
      </w:r>
    </w:p>
    <w:p w14:paraId="4955DD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Bioregional systems</w:t>
      </w:r>
    </w:p>
    <w:p w14:paraId="7E10FB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Bioregional systems connect clusters across ecological and cultural landscapes.</w:t>
      </w:r>
    </w:p>
    <w:p w14:paraId="6C7EE70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may coordinate:</w:t>
      </w:r>
    </w:p>
    <w:p w14:paraId="5B728AE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watershed restoration;</w:t>
      </w:r>
    </w:p>
    <w:p w14:paraId="5447AE2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species corridors;</w:t>
      </w:r>
    </w:p>
    <w:p w14:paraId="5CF055F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regional food systems;</w:t>
      </w:r>
    </w:p>
    <w:p w14:paraId="0B1F02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landscape-level biodiversity;</w:t>
      </w:r>
    </w:p>
    <w:p w14:paraId="3FAE038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local economic development;</w:t>
      </w:r>
    </w:p>
    <w:p w14:paraId="11CAB87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institutional partnerships;</w:t>
      </w:r>
    </w:p>
    <w:p w14:paraId="2912DC2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aggregated MRV;</w:t>
      </w:r>
    </w:p>
    <w:p w14:paraId="5394D63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regional PRU portfolios;</w:t>
      </w:r>
    </w:p>
    <w:p w14:paraId="0FEA636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diversification;</w:t>
      </w:r>
    </w:p>
    <w:p w14:paraId="2DF4507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public-private finance.</w:t>
      </w:r>
    </w:p>
    <w:p w14:paraId="10BED9B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Bioregional scaling is essential because living systems do not stop at property boundaries.</w:t>
      </w:r>
    </w:p>
    <w:p w14:paraId="04B313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Water flows across land.</w:t>
      </w:r>
    </w:p>
    <w:p w14:paraId="64EFB8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Pollinators move across territories.</w:t>
      </w:r>
    </w:p>
    <w:p w14:paraId="5B8D0A4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Biodiversity requires continuity.</w:t>
      </w:r>
    </w:p>
    <w:p w14:paraId="4CD05DE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Markets require networks.</w:t>
      </w:r>
    </w:p>
    <w:p w14:paraId="70AF100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Governance requires context.</w:t>
      </w:r>
    </w:p>
    <w:p w14:paraId="0707B8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treats the bioregion as a natural scale for regenerative infrastructure.</w:t>
      </w:r>
    </w:p>
    <w:p w14:paraId="4E32C24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Feedback loops</w:t>
      </w:r>
    </w:p>
    <w:p w14:paraId="0C536B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operates through feedback loops.</w:t>
      </w:r>
    </w:p>
    <w:p w14:paraId="7753653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Feedback is the mechanism through which the system learns.</w:t>
      </w:r>
    </w:p>
    <w:p w14:paraId="555F7F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core feedback loops include:</w:t>
      </w:r>
    </w:p>
    <w:p w14:paraId="4BA816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Ecological feedback</w:t>
      </w:r>
    </w:p>
    <w:p w14:paraId="0A7F4B4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Soil, water, biodiversity, biomass, and productivity indicators reveal whether the system is regenerating, stagnating, or degrading.</w:t>
      </w:r>
    </w:p>
    <w:p w14:paraId="5078B5D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Operational feedback</w:t>
      </w:r>
    </w:p>
    <w:p w14:paraId="41E4F66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Logs, workflows, delays, costs, labor requirements, and intervention outcomes reveal whether implementation is effective.</w:t>
      </w:r>
    </w:p>
    <w:p w14:paraId="07CD02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Governance feedback</w:t>
      </w:r>
    </w:p>
    <w:p w14:paraId="5EE27D2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Participation, conflict, decision quality, quorum, stewardship reliability, and community trust reveal whether the governance layer is coherent.</w:t>
      </w:r>
    </w:p>
    <w:p w14:paraId="31E89A3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Financial feedback</w:t>
      </w:r>
    </w:p>
    <w:p w14:paraId="4371D1C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Costs, revenues, reserves, cash flow, PRU quality, investor reporting, and capital availability reveal whether the system is economically sustainable.</w:t>
      </w:r>
    </w:p>
    <w:p w14:paraId="008A95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Verification feedback</w:t>
      </w:r>
    </w:p>
    <w:p w14:paraId="5FA14AE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Evidence gaps, sensor failures, methodology weaknesses, confidence scores, and audit findings reveal whether the MRV layer is credible.</w:t>
      </w:r>
    </w:p>
    <w:p w14:paraId="49C4A9E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Together, these feedback loops make Prometheus adaptive.</w:t>
      </w:r>
    </w:p>
    <w:p w14:paraId="18B6407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allow the system to correct itself before failure becomes systemic.</w:t>
      </w:r>
    </w:p>
    <w:p w14:paraId="22D39DE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Operational readiness</w:t>
      </w:r>
    </w:p>
    <w:p w14:paraId="2B5E434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should advance through explicit readiness conditions.</w:t>
      </w:r>
    </w:p>
    <w:p w14:paraId="5A4794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Operational readiness may include:</w:t>
      </w:r>
    </w:p>
    <w:p w14:paraId="0715AB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clear site boundaries;</w:t>
      </w:r>
    </w:p>
    <w:p w14:paraId="655B9DC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documented land access;</w:t>
      </w:r>
    </w:p>
    <w:p w14:paraId="06C074F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assigned stewardship responsibility;</w:t>
      </w:r>
    </w:p>
    <w:p w14:paraId="205519B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baseline data collection;</w:t>
      </w:r>
    </w:p>
    <w:p w14:paraId="7BC8CC2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deployment plan;</w:t>
      </w:r>
    </w:p>
    <w:p w14:paraId="614D27B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plan;</w:t>
      </w:r>
    </w:p>
    <w:p w14:paraId="67F8B9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budget and resource availability;</w:t>
      </w:r>
    </w:p>
    <w:p w14:paraId="4BF4E5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process;</w:t>
      </w:r>
    </w:p>
    <w:p w14:paraId="0D17D45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register;</w:t>
      </w:r>
    </w:p>
    <w:p w14:paraId="663A51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runbook;</w:t>
      </w:r>
    </w:p>
    <w:p w14:paraId="6642FBD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data management process;</w:t>
      </w:r>
    </w:p>
    <w:p w14:paraId="32C53F5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review and reporting schedule.</w:t>
      </w:r>
    </w:p>
    <w:p w14:paraId="541B3E8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site should not be treated as PRU-ready simply because it has regenerative potential.</w:t>
      </w:r>
    </w:p>
    <w:p w14:paraId="343A7FA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Potential must mature through evidence and operations.</w:t>
      </w:r>
    </w:p>
    <w:p w14:paraId="434130B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Readiness protects the system from premature claims.</w:t>
      </w:r>
    </w:p>
    <w:p w14:paraId="36F6DC0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Execution gates</w:t>
      </w:r>
    </w:p>
    <w:p w14:paraId="3763186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Execution gates help preserve discipline.</w:t>
      </w:r>
    </w:p>
    <w:p w14:paraId="6FAC4C4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gate is a formal point at which the system reviews whether progression is justified.</w:t>
      </w:r>
    </w:p>
    <w:p w14:paraId="3FF6713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Possible gate outcomes include:</w:t>
      </w:r>
    </w:p>
    <w:p w14:paraId="6C61505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proceed;</w:t>
      </w:r>
    </w:p>
    <w:p w14:paraId="6C534CB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proceed with conditions;</w:t>
      </w:r>
    </w:p>
    <w:p w14:paraId="52B36D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manual review;</w:t>
      </w:r>
    </w:p>
    <w:p w14:paraId="488F44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pause;</w:t>
      </w:r>
    </w:p>
    <w:p w14:paraId="3B42AD5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redesign;</w:t>
      </w:r>
    </w:p>
    <w:p w14:paraId="08001B0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reject;</w:t>
      </w:r>
    </w:p>
    <w:p w14:paraId="071A89A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archive.</w:t>
      </w:r>
    </w:p>
    <w:p w14:paraId="201FB3E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Execution gates may apply to:</w:t>
      </w:r>
    </w:p>
    <w:p w14:paraId="7B45251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site onboarding;</w:t>
      </w:r>
    </w:p>
    <w:p w14:paraId="26ABE4F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baseline approval;</w:t>
      </w:r>
    </w:p>
    <w:p w14:paraId="2B7B2E2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deployment approval;</w:t>
      </w:r>
    </w:p>
    <w:p w14:paraId="2FA6228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activation;</w:t>
      </w:r>
    </w:p>
    <w:p w14:paraId="13883E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eligibility;</w:t>
      </w:r>
    </w:p>
    <w:p w14:paraId="6CCA3FC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RAP inclusion;</w:t>
      </w:r>
    </w:p>
    <w:p w14:paraId="25FE67A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investor reporting;</w:t>
      </w:r>
    </w:p>
    <w:p w14:paraId="2BDC275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updates;</w:t>
      </w:r>
    </w:p>
    <w:p w14:paraId="37DE50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tokenized representation;</w:t>
      </w:r>
    </w:p>
    <w:p w14:paraId="66C16B2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portfolio expansion.</w:t>
      </w:r>
    </w:p>
    <w:p w14:paraId="2538780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prevents the system from moving automatically from narrative to finance.</w:t>
      </w:r>
    </w:p>
    <w:p w14:paraId="0262967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progression must pass through evidence and governance.</w:t>
      </w:r>
    </w:p>
    <w:p w14:paraId="1B3323D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Operational records</w:t>
      </w:r>
    </w:p>
    <w:p w14:paraId="13F34D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Operational records are essential to the Prometheus evidence fabric.</w:t>
      </w:r>
    </w:p>
    <w:p w14:paraId="77E2707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They document what happened, when, where, by whom, and under which conditions.</w:t>
      </w:r>
    </w:p>
    <w:p w14:paraId="45011C4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Relevant records may include:</w:t>
      </w:r>
    </w:p>
    <w:p w14:paraId="56A7DA7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planting events;</w:t>
      </w:r>
    </w:p>
    <w:p w14:paraId="0073EF6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pruning events;</w:t>
      </w:r>
    </w:p>
    <w:p w14:paraId="7AB5024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irrigation events;</w:t>
      </w:r>
    </w:p>
    <w:p w14:paraId="0D25949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compost applications;</w:t>
      </w:r>
    </w:p>
    <w:p w14:paraId="75C35E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biomass return;</w:t>
      </w:r>
    </w:p>
    <w:p w14:paraId="630FD37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harvest logs;</w:t>
      </w:r>
    </w:p>
    <w:p w14:paraId="7130608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pest observations;</w:t>
      </w:r>
    </w:p>
    <w:p w14:paraId="67F5301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disease observations;</w:t>
      </w:r>
    </w:p>
    <w:p w14:paraId="444353D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soil sampling;</w:t>
      </w:r>
    </w:p>
    <w:p w14:paraId="65F4961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 testing;</w:t>
      </w:r>
    </w:p>
    <w:p w14:paraId="732E6CD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maintenance;</w:t>
      </w:r>
    </w:p>
    <w:p w14:paraId="571212F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calibration events;</w:t>
      </w:r>
    </w:p>
    <w:p w14:paraId="6B6ED45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equipment failures;</w:t>
      </w:r>
    </w:p>
    <w:p w14:paraId="15D5E1E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labor records;</w:t>
      </w:r>
    </w:p>
    <w:p w14:paraId="494941E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decisions;</w:t>
      </w:r>
    </w:p>
    <w:p w14:paraId="1A71F7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audits;</w:t>
      </w:r>
    </w:p>
    <w:p w14:paraId="2134FA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corrective actions.</w:t>
      </w:r>
    </w:p>
    <w:p w14:paraId="08792BB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These records should be structured in ways compatible with provenance, </w:t>
      </w:r>
      <w:proofErr w:type="spellStart"/>
      <w:r w:rsidRPr="00B479AE">
        <w:rPr>
          <w:rFonts w:ascii="Baskerville Old Face" w:hAnsi="Baskerville Old Face"/>
          <w:i/>
          <w:iCs/>
        </w:rPr>
        <w:t>Valueflows</w:t>
      </w:r>
      <w:proofErr w:type="spellEnd"/>
      <w:r w:rsidRPr="00B479AE">
        <w:rPr>
          <w:rFonts w:ascii="Baskerville Old Face" w:hAnsi="Baskerville Old Face"/>
          <w:i/>
          <w:iCs/>
        </w:rPr>
        <w:t>, and PRU methodology.</w:t>
      </w:r>
    </w:p>
    <w:p w14:paraId="2B8F548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operational record is where stewardship becomes reviewable.</w:t>
      </w:r>
    </w:p>
    <w:p w14:paraId="34AA0C8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Data room formation</w:t>
      </w:r>
    </w:p>
    <w:p w14:paraId="7AAFF9F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mature regenerative unit should progressively develop a data room.</w:t>
      </w:r>
    </w:p>
    <w:p w14:paraId="4C16B31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data room is the organized body of evidence through which the system becomes readable to auditors, partners, capital allocators, and institutions.</w:t>
      </w:r>
    </w:p>
    <w:p w14:paraId="1DE1FC3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Prometheus data room may contain:</w:t>
      </w:r>
    </w:p>
    <w:p w14:paraId="019653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site overview;</w:t>
      </w:r>
    </w:p>
    <w:p w14:paraId="7EFDF27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 access documentation;</w:t>
      </w:r>
    </w:p>
    <w:p w14:paraId="6F4BB5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baseline report;</w:t>
      </w:r>
    </w:p>
    <w:p w14:paraId="466C54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design plan;</w:t>
      </w:r>
    </w:p>
    <w:p w14:paraId="44F2FB6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implementation records;</w:t>
      </w:r>
    </w:p>
    <w:p w14:paraId="38A2B7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MRV protocol;</w:t>
      </w:r>
    </w:p>
    <w:p w14:paraId="556AFA2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inventory;</w:t>
      </w:r>
    </w:p>
    <w:p w14:paraId="040B3DC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laboratory reports;</w:t>
      </w:r>
    </w:p>
    <w:p w14:paraId="3E4EAB9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satellite or drone evidence;</w:t>
      </w:r>
    </w:p>
    <w:p w14:paraId="6B1918E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operational logs;</w:t>
      </w:r>
    </w:p>
    <w:p w14:paraId="3CDCD1A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documentation;</w:t>
      </w:r>
    </w:p>
    <w:p w14:paraId="7E6399A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risk register;</w:t>
      </w:r>
    </w:p>
    <w:p w14:paraId="4E0A9F6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financial model;</w:t>
      </w:r>
    </w:p>
    <w:p w14:paraId="0891A5C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PRU methodology;</w:t>
      </w:r>
    </w:p>
    <w:p w14:paraId="5690C2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confidence scoring;</w:t>
      </w:r>
    </w:p>
    <w:p w14:paraId="0A850C4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audit records;</w:t>
      </w:r>
    </w:p>
    <w:p w14:paraId="2D34738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investor reporting;</w:t>
      </w:r>
    </w:p>
    <w:p w14:paraId="503FFD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adverse event history;</w:t>
      </w:r>
    </w:p>
    <w:p w14:paraId="41F83E1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methodology versions.</w:t>
      </w:r>
    </w:p>
    <w:p w14:paraId="6B73076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data room is not bureaucracy.</w:t>
      </w:r>
    </w:p>
    <w:p w14:paraId="36EF7E0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the memory of the asset.</w:t>
      </w:r>
    </w:p>
    <w:p w14:paraId="1CC22E8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it, value remains hard to underwrite.</w:t>
      </w:r>
    </w:p>
    <w:p w14:paraId="607ED68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 it, regenerative infrastructure becomes legible.</w:t>
      </w:r>
    </w:p>
    <w:p w14:paraId="7CF9578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Operational economics</w:t>
      </w:r>
    </w:p>
    <w:p w14:paraId="049ED4D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The operational ecosystem must generate economic viability.</w:t>
      </w:r>
    </w:p>
    <w:p w14:paraId="5C591C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Regeneration cannot scale if it remains structurally dependent on permanent subsidy.</w:t>
      </w:r>
    </w:p>
    <w:p w14:paraId="61B270E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therefore recognizes multiple possible operational revenue streams:</w:t>
      </w:r>
    </w:p>
    <w:p w14:paraId="15A27A5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hospitality;</w:t>
      </w:r>
    </w:p>
    <w:p w14:paraId="153BC0A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food production;</w:t>
      </w:r>
    </w:p>
    <w:p w14:paraId="3059D1B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agroforestry products;</w:t>
      </w:r>
    </w:p>
    <w:p w14:paraId="00CED1D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education and training;</w:t>
      </w:r>
    </w:p>
    <w:p w14:paraId="1954EAB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ecological design services;</w:t>
      </w:r>
    </w:p>
    <w:p w14:paraId="69BD3E8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regenerative experiences;</w:t>
      </w:r>
    </w:p>
    <w:p w14:paraId="1C13BFE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data and MRV services;</w:t>
      </w:r>
    </w:p>
    <w:p w14:paraId="3CB5EBC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ecosystem-service contracts;</w:t>
      </w:r>
    </w:p>
    <w:p w14:paraId="2A2298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public procurement;</w:t>
      </w:r>
    </w:p>
    <w:p w14:paraId="0C4C6E6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health and nutrition programs;</w:t>
      </w:r>
    </w:p>
    <w:p w14:paraId="6B332F6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institutional partnerships;</w:t>
      </w:r>
    </w:p>
    <w:p w14:paraId="25AEEDD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future PRU-linked financial structuring.</w:t>
      </w:r>
    </w:p>
    <w:p w14:paraId="42E7468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Not every deployment will use every revenue stream.</w:t>
      </w:r>
    </w:p>
    <w:p w14:paraId="3D8927F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Each site must define its own operational model.</w:t>
      </w:r>
    </w:p>
    <w:p w14:paraId="51D026A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key principle is that PRU logic supports underwriting and comparability, but it should not replace real operational viability.</w:t>
      </w:r>
    </w:p>
    <w:p w14:paraId="39676CF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Cash flow matters.</w:t>
      </w:r>
    </w:p>
    <w:p w14:paraId="4FCB540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Stewardship matters.</w:t>
      </w:r>
    </w:p>
    <w:p w14:paraId="46649C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Evidence matters.</w:t>
      </w:r>
    </w:p>
    <w:p w14:paraId="1CD912B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Legal structure matters.</w:t>
      </w:r>
    </w:p>
    <w:p w14:paraId="4EAFF4F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Together, they create </w:t>
      </w:r>
      <w:proofErr w:type="spellStart"/>
      <w:r w:rsidRPr="00B479AE">
        <w:rPr>
          <w:rFonts w:ascii="Baskerville Old Face" w:hAnsi="Baskerville Old Face"/>
          <w:i/>
          <w:iCs/>
        </w:rPr>
        <w:t>financeability</w:t>
      </w:r>
      <w:proofErr w:type="spellEnd"/>
      <w:r w:rsidRPr="00B479AE">
        <w:rPr>
          <w:rFonts w:ascii="Baskerville Old Face" w:hAnsi="Baskerville Old Face"/>
          <w:i/>
          <w:iCs/>
        </w:rPr>
        <w:t>.</w:t>
      </w:r>
    </w:p>
    <w:p w14:paraId="4F554C3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Capital allocation at the operational level</w:t>
      </w:r>
    </w:p>
    <w:p w14:paraId="1659EB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enters the operational ecosystem to support deployment and scaling.</w:t>
      </w:r>
    </w:p>
    <w:p w14:paraId="12B790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may fund:</w:t>
      </w:r>
    </w:p>
    <w:p w14:paraId="2729C31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land access structuring;</w:t>
      </w:r>
    </w:p>
    <w:p w14:paraId="082DD62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site preparation;</w:t>
      </w:r>
    </w:p>
    <w:p w14:paraId="617E0BC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OHE installation;</w:t>
      </w:r>
    </w:p>
    <w:p w14:paraId="3B96E18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 systems;</w:t>
      </w:r>
    </w:p>
    <w:p w14:paraId="2656EB2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planting and materials;</w:t>
      </w:r>
    </w:p>
    <w:p w14:paraId="6F87513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sensors and MRV tools;</w:t>
      </w:r>
    </w:p>
    <w:p w14:paraId="3542967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digital infrastructure;</w:t>
      </w:r>
    </w:p>
    <w:p w14:paraId="5693797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stewardship training;</w:t>
      </w:r>
    </w:p>
    <w:p w14:paraId="72A8D94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operating reserves;</w:t>
      </w:r>
    </w:p>
    <w:p w14:paraId="52A5227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setup;</w:t>
      </w:r>
    </w:p>
    <w:p w14:paraId="2428BBD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reporting systems;</w:t>
      </w:r>
    </w:p>
    <w:p w14:paraId="49BB54A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data room formation;</w:t>
      </w:r>
    </w:p>
    <w:p w14:paraId="32AAE52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replication.</w:t>
      </w:r>
    </w:p>
    <w:p w14:paraId="6124FCC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should be deployed according to stage.</w:t>
      </w:r>
    </w:p>
    <w:p w14:paraId="630142D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Early capital supports proof.</w:t>
      </w:r>
    </w:p>
    <w:p w14:paraId="426D297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Growth capital supports replication.</w:t>
      </w:r>
    </w:p>
    <w:p w14:paraId="70DB7B8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Institutional capital supports portfolios.</w:t>
      </w:r>
    </w:p>
    <w:p w14:paraId="2F1F2C6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This staged logic protects both the investor and the living system.</w:t>
      </w:r>
    </w:p>
    <w:p w14:paraId="59F772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is not designed to pull capital ahead of evidence.</w:t>
      </w:r>
    </w:p>
    <w:p w14:paraId="04F0F88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designed to let evidence progressively improve the quality of capital.</w:t>
      </w:r>
    </w:p>
    <w:p w14:paraId="2B7B7DA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Risk at the operational level</w:t>
      </w:r>
    </w:p>
    <w:p w14:paraId="3B90605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Operational risk is unavoidable.</w:t>
      </w:r>
    </w:p>
    <w:p w14:paraId="2CCD8A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does not hide it.</w:t>
      </w:r>
    </w:p>
    <w:p w14:paraId="6445669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structures it.</w:t>
      </w:r>
    </w:p>
    <w:p w14:paraId="557DC8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Key operational risks include:</w:t>
      </w:r>
    </w:p>
    <w:p w14:paraId="5594376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poor site selection;</w:t>
      </w:r>
    </w:p>
    <w:p w14:paraId="321D30D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weak design;</w:t>
      </w:r>
    </w:p>
    <w:p w14:paraId="24E6C50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insufficient stewardship;</w:t>
      </w:r>
    </w:p>
    <w:p w14:paraId="4422589E"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drought;</w:t>
      </w:r>
    </w:p>
    <w:p w14:paraId="74AE778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pest or disease pressure;</w:t>
      </w:r>
    </w:p>
    <w:p w14:paraId="642C062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delayed ecological maturity;</w:t>
      </w:r>
    </w:p>
    <w:p w14:paraId="07F4E21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failure;</w:t>
      </w:r>
    </w:p>
    <w:p w14:paraId="5892FAC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incomplete data;</w:t>
      </w:r>
    </w:p>
    <w:p w14:paraId="19AB7D6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conflict;</w:t>
      </w:r>
    </w:p>
    <w:p w14:paraId="62F5F15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cost overruns;</w:t>
      </w:r>
    </w:p>
    <w:p w14:paraId="10378CA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market access limitations;</w:t>
      </w:r>
    </w:p>
    <w:p w14:paraId="3E1C203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regulatory complexity;</w:t>
      </w:r>
    </w:p>
    <w:p w14:paraId="580D8CC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capital timing mismatch;</w:t>
      </w:r>
    </w:p>
    <w:p w14:paraId="1ADE15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overstatement of future value.</w:t>
      </w:r>
    </w:p>
    <w:p w14:paraId="54E8780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Each risk must be connected to mitigation.</w:t>
      </w:r>
    </w:p>
    <w:p w14:paraId="755142F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Examples include:</w:t>
      </w:r>
    </w:p>
    <w:p w14:paraId="4982CD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conservative site screening;</w:t>
      </w:r>
    </w:p>
    <w:p w14:paraId="3A1F1E9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phased deployment;</w:t>
      </w:r>
    </w:p>
    <w:p w14:paraId="56E5B29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water-first design;</w:t>
      </w:r>
    </w:p>
    <w:p w14:paraId="450130F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biodiversity-based risk distribution;</w:t>
      </w:r>
    </w:p>
    <w:p w14:paraId="59C0FD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operator training;</w:t>
      </w:r>
    </w:p>
    <w:p w14:paraId="5BBB9CB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contingency reserves;</w:t>
      </w:r>
    </w:p>
    <w:p w14:paraId="4777645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sensor redundancy;</w:t>
      </w:r>
    </w:p>
    <w:p w14:paraId="4A50DA8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third-party verification;</w:t>
      </w:r>
    </w:p>
    <w:p w14:paraId="1ADC827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governance procedures;</w:t>
      </w:r>
    </w:p>
    <w:p w14:paraId="188556F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financial stress testing;</w:t>
      </w:r>
    </w:p>
    <w:p w14:paraId="4E65E56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clear reporting boundaries.</w:t>
      </w:r>
    </w:p>
    <w:p w14:paraId="361E3F3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Risk discipline is not the enemy of regeneration.</w:t>
      </w:r>
    </w:p>
    <w:p w14:paraId="416BED8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the way regeneration becomes investable.</w:t>
      </w:r>
    </w:p>
    <w:p w14:paraId="648552D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Operational scalability</w:t>
      </w:r>
    </w:p>
    <w:p w14:paraId="69C84F1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scales through repeatable units, not centralized uniformity.</w:t>
      </w:r>
    </w:p>
    <w:p w14:paraId="448FBDD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OHE provides a replicable pattern.</w:t>
      </w:r>
    </w:p>
    <w:p w14:paraId="5971A9D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MRV layer provides evidence continuity.</w:t>
      </w:r>
    </w:p>
    <w:p w14:paraId="788D1EFA" w14:textId="77777777" w:rsidR="008D67A4" w:rsidRPr="00B479AE" w:rsidRDefault="008D67A4" w:rsidP="008D67A4">
      <w:pPr>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provides semantic structure.</w:t>
      </w:r>
    </w:p>
    <w:p w14:paraId="58EA4B6A" w14:textId="33C8BC45"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xml:space="preserve">PRU provides </w:t>
      </w:r>
      <w:r w:rsidR="005920C4" w:rsidRPr="00B479AE">
        <w:rPr>
          <w:rFonts w:ascii="Baskerville Old Face" w:hAnsi="Baskerville Old Face"/>
          <w:i/>
          <w:iCs/>
        </w:rPr>
        <w:t>the institutional interface between regeneration and capital</w:t>
      </w:r>
      <w:r w:rsidRPr="00B479AE">
        <w:rPr>
          <w:rFonts w:ascii="Baskerville Old Face" w:hAnsi="Baskerville Old Face"/>
          <w:i/>
          <w:iCs/>
        </w:rPr>
        <w:t>.</w:t>
      </w:r>
    </w:p>
    <w:p w14:paraId="2F5BFF3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RAP provides portfolio aggregation.</w:t>
      </w:r>
    </w:p>
    <w:p w14:paraId="775BD04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Governance provides coherence.</w:t>
      </w:r>
    </w:p>
    <w:p w14:paraId="18521D1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Capital provides deployment capacity.</w:t>
      </w:r>
    </w:p>
    <w:p w14:paraId="2131F6F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AI may improve learning across deployments.</w:t>
      </w:r>
    </w:p>
    <w:p w14:paraId="14DBF06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As more units are deployed, the system can learn from variations in climate, design, species, management, revenue, and governance.</w:t>
      </w:r>
    </w:p>
    <w:p w14:paraId="54A3036C"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creates a knowledge flywheel.</w:t>
      </w:r>
    </w:p>
    <w:p w14:paraId="0CC73C2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More deployments generate more data.</w:t>
      </w:r>
    </w:p>
    <w:p w14:paraId="525C3A1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More data improves models.</w:t>
      </w:r>
    </w:p>
    <w:p w14:paraId="372CDFC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Better models improve design.</w:t>
      </w:r>
    </w:p>
    <w:p w14:paraId="4F92300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Better design improves performance.</w:t>
      </w:r>
    </w:p>
    <w:p w14:paraId="36489E9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Better performance improves PRU quality.</w:t>
      </w:r>
    </w:p>
    <w:p w14:paraId="1AF89C8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Improved PRU quality supports better capital allocation.</w:t>
      </w:r>
    </w:p>
    <w:p w14:paraId="4E99140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Better capital allocation enables more deployments.</w:t>
      </w:r>
    </w:p>
    <w:p w14:paraId="61A1FA2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the operational spiral of Prometheus.</w:t>
      </w:r>
    </w:p>
    <w:p w14:paraId="1E05969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Pilot-first discipline</w:t>
      </w:r>
    </w:p>
    <w:p w14:paraId="576DCC3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pilot is the first serious test of the Prometheus architecture.</w:t>
      </w:r>
    </w:p>
    <w:p w14:paraId="2A40DCE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pilot should prove several things:</w:t>
      </w:r>
    </w:p>
    <w:p w14:paraId="15688D13"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regeneration can be implemented under defined conditions;</w:t>
      </w:r>
    </w:p>
    <w:p w14:paraId="66F8D9FB"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baseline data can be collected;</w:t>
      </w:r>
    </w:p>
    <w:p w14:paraId="73CF6858"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MRV can be operationalized;</w:t>
      </w:r>
    </w:p>
    <w:p w14:paraId="76E2E2F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stewardship can be documented;</w:t>
      </w:r>
    </w:p>
    <w:p w14:paraId="792A064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digital records can preserve provenance;</w:t>
      </w:r>
    </w:p>
    <w:p w14:paraId="5C3ED470"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 that governance can remain coherent;</w:t>
      </w:r>
    </w:p>
    <w:p w14:paraId="7168AB0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financial logic can remain grounded;</w:t>
      </w:r>
    </w:p>
    <w:p w14:paraId="5775D2F4"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PRU translation can occur without inflation;</w:t>
      </w:r>
    </w:p>
    <w:p w14:paraId="5E2AC97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reporting can be produced;</w:t>
      </w:r>
    </w:p>
    <w:p w14:paraId="2A7F802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 that lessons can be integrated.</w:t>
      </w:r>
    </w:p>
    <w:p w14:paraId="7863E1D5"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A pilot is successful not because it validates every future claim.</w:t>
      </w:r>
    </w:p>
    <w:p w14:paraId="2ADB92C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successful if it creates a trustworthy pathway from observation to improvement to verified value.</w:t>
      </w:r>
    </w:p>
    <w:p w14:paraId="449AB36F"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From operational ecosystem to asset class</w:t>
      </w:r>
    </w:p>
    <w:p w14:paraId="7DE28CA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operational ecosystem is where Prometheus earns the right to become financeable.</w:t>
      </w:r>
    </w:p>
    <w:p w14:paraId="773BC38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operations, asset-class language remains abstract.</w:t>
      </w:r>
    </w:p>
    <w:p w14:paraId="4AC8130A"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evidence, PRU remains theoretical.</w:t>
      </w:r>
    </w:p>
    <w:p w14:paraId="788F451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governance, capital becomes dangerous.</w:t>
      </w:r>
    </w:p>
    <w:p w14:paraId="2B5B6B9D"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cash flow or value pathways, investment remains fragile.</w:t>
      </w:r>
    </w:p>
    <w:p w14:paraId="6D3C261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Without data rooms, institutional trust remains limited.</w:t>
      </w:r>
    </w:p>
    <w:p w14:paraId="378E7289"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Prometheus becomes a candidate asset class only when regenerative systems operate, generate evidence, demonstrate improvements, support governance, and produce financial pathways that can be underwritten.</w:t>
      </w:r>
    </w:p>
    <w:p w14:paraId="6ECCC982"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This is why the operational ecosystem is central.</w:t>
      </w:r>
    </w:p>
    <w:p w14:paraId="415B74F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It is the bridge between vision and market.</w:t>
      </w:r>
    </w:p>
    <w:p w14:paraId="6CA3019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b/>
          <w:bCs/>
          <w:i/>
          <w:iCs/>
        </w:rPr>
        <w:t>Transition to the next part</w:t>
      </w:r>
    </w:p>
    <w:p w14:paraId="44800FB6"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operational ecosystem shows how Prometheus becomes real through actors, sites, evidence, governance, and deployment discipline.</w:t>
      </w:r>
    </w:p>
    <w:p w14:paraId="7FE792A7"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t>The next part defines the financial transformation more directly.</w:t>
      </w:r>
    </w:p>
    <w:p w14:paraId="71F21331" w14:textId="77777777" w:rsidR="008D67A4" w:rsidRPr="00B479AE" w:rsidRDefault="008D67A4" w:rsidP="008D67A4">
      <w:pPr>
        <w:spacing w:line="360" w:lineRule="auto"/>
        <w:rPr>
          <w:rFonts w:ascii="Baskerville Old Face" w:hAnsi="Baskerville Old Face"/>
          <w:i/>
          <w:iCs/>
        </w:rPr>
      </w:pPr>
      <w:r w:rsidRPr="00B479AE">
        <w:rPr>
          <w:rFonts w:ascii="Baskerville Old Face" w:hAnsi="Baskerville Old Face"/>
          <w:i/>
          <w:iCs/>
        </w:rPr>
        <w:lastRenderedPageBreak/>
        <w:t>It explains how verified regenerative value becomes an asset class, how PRU functions as the translation layer, how RAP creates portfolio logic, and how capital can participate in regenerative infrastructure without detaching value from life.</w:t>
      </w:r>
    </w:p>
    <w:p w14:paraId="78D8AB5A" w14:textId="1BE6FDFF" w:rsidR="00504071" w:rsidRDefault="00504071" w:rsidP="00504071">
      <w:pPr>
        <w:spacing w:line="360" w:lineRule="auto"/>
        <w:rPr>
          <w:rFonts w:ascii="Baskerville Old Face" w:hAnsi="Baskerville Old Face"/>
          <w:i/>
          <w:iCs/>
        </w:rPr>
      </w:pPr>
    </w:p>
    <w:p w14:paraId="150EFD4F" w14:textId="77777777" w:rsidR="0027178C" w:rsidRPr="00B479AE" w:rsidRDefault="0027178C" w:rsidP="00504071">
      <w:pPr>
        <w:spacing w:line="360" w:lineRule="auto"/>
        <w:rPr>
          <w:rFonts w:ascii="Baskerville Old Face" w:hAnsi="Baskerville Old Face"/>
          <w:i/>
          <w:iCs/>
        </w:rPr>
      </w:pPr>
    </w:p>
    <w:p w14:paraId="01793917" w14:textId="114A8F21" w:rsidR="00504071" w:rsidRPr="00B479AE" w:rsidRDefault="00504071" w:rsidP="009B650E">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VI</w:t>
      </w:r>
      <w:r w:rsidR="009B650E"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Regenerative Value as an Asset Class</w:t>
      </w:r>
    </w:p>
    <w:p w14:paraId="228FD18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From regeneration to investable value</w:t>
      </w:r>
    </w:p>
    <w:p w14:paraId="02667F1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Regenerative value is the measurable enhancement of living systems that increases the long-term productive capacity, resilience, and stability of a territory.</w:t>
      </w:r>
    </w:p>
    <w:p w14:paraId="3126602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emerges through soil regeneration, water-cycle stabilization, biodiversity restoration, biomass accumulation, nutritional production, human stewardship, and reduced dependency on extractive inputs.</w:t>
      </w:r>
    </w:p>
    <w:p w14:paraId="28444CC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These processes create real economic effects.</w:t>
      </w:r>
    </w:p>
    <w:p w14:paraId="5F41ED0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can increase productivity.</w:t>
      </w:r>
    </w:p>
    <w:p w14:paraId="7F301F3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can reduce exposure to drought, erosion, biological simplification, supply-chain fragility, and input volatility.</w:t>
      </w:r>
    </w:p>
    <w:p w14:paraId="742A838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can improve local food resilience.</w:t>
      </w:r>
    </w:p>
    <w:p w14:paraId="1E03D5E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can support health-oriented systems.</w:t>
      </w:r>
    </w:p>
    <w:p w14:paraId="1431403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can strengthen territorial stability.</w:t>
      </w:r>
    </w:p>
    <w:p w14:paraId="4078E37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can reduce long-term risk.</w:t>
      </w:r>
    </w:p>
    <w:p w14:paraId="78BACDC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Yet traditional financial systems have struggled to recognize this value because it is distributed, multidimensional, slow-maturing, context-dependent, and historically difficult to measure.</w:t>
      </w:r>
    </w:p>
    <w:p w14:paraId="31762A8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xml:space="preserve">Prometheus addresses this gap by creating the architecture through which regenerative performance becomes observable, verifiable, comparable, </w:t>
      </w:r>
      <w:proofErr w:type="spellStart"/>
      <w:r w:rsidRPr="00B479AE">
        <w:rPr>
          <w:rFonts w:ascii="Baskerville Old Face" w:hAnsi="Baskerville Old Face"/>
          <w:i/>
          <w:iCs/>
        </w:rPr>
        <w:t>underwritable</w:t>
      </w:r>
      <w:proofErr w:type="spellEnd"/>
      <w:r w:rsidRPr="00B479AE">
        <w:rPr>
          <w:rFonts w:ascii="Baskerville Old Face" w:hAnsi="Baskerville Old Face"/>
          <w:i/>
          <w:iCs/>
        </w:rPr>
        <w:t>, and eventually investable.</w:t>
      </w:r>
    </w:p>
    <w:p w14:paraId="1D4B77C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is the function of the Prometheus Regenerative Unit.</w:t>
      </w:r>
    </w:p>
    <w:p w14:paraId="733FFB17" w14:textId="023CF3D0"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lastRenderedPageBreak/>
        <w:t>The financial translation problem</w:t>
      </w:r>
    </w:p>
    <w:p w14:paraId="7C69F218"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Living systems generate value in ways that conventional finance often fails to recognize.</w:t>
      </w:r>
    </w:p>
    <w:p w14:paraId="0779700B"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A forest may increase water retention, improve microclimate, support biodiversity, produce food, reduce erosion, and stabilize soil.</w:t>
      </w:r>
    </w:p>
    <w:p w14:paraId="58CC0A12"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A syntropic agroforestry system may generate yield while also increasing organic matter, reducing external inputs, improving resilience, and supporting ecological cooperation.</w:t>
      </w:r>
    </w:p>
    <w:p w14:paraId="26AB3799"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A healthy soil may reduce risk more effectively than a financial hedge, because it changes the biophysical conditions under which productivity occurs.</w:t>
      </w:r>
    </w:p>
    <w:p w14:paraId="1180A102"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Yet these forms of value do not automatically become financially legible, institutionally admissible, or capital-ready.</w:t>
      </w:r>
    </w:p>
    <w:p w14:paraId="0EAD7497"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They require a translation layer capable of distinguishing evidence from narrative, ecological improvement from financial value, verified performance from legal rights, and systemic relevance from investor entitlement.</w:t>
      </w:r>
    </w:p>
    <w:p w14:paraId="2F5E7470"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This is the function of the Prometheus Regenerative Unit.</w:t>
      </w:r>
    </w:p>
    <w:p w14:paraId="55A5AD46"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The PRU is the value-analysis interface of verified regenerative performance.</w:t>
      </w:r>
    </w:p>
    <w:p w14:paraId="4FF5464C"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It represents a structured translation layer between ecological reality and capital allocation.</w:t>
      </w:r>
    </w:p>
    <w:p w14:paraId="0F96B2B8"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The PRU may incorporate several dimensions:</w:t>
      </w:r>
    </w:p>
    <w:p w14:paraId="2352FFE8"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productive output;</w:t>
      </w:r>
    </w:p>
    <w:p w14:paraId="42303090"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soil function;</w:t>
      </w:r>
    </w:p>
    <w:p w14:paraId="4DC3D084"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hydrological performance;</w:t>
      </w:r>
    </w:p>
    <w:p w14:paraId="6C232760"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biodiversity;</w:t>
      </w:r>
    </w:p>
    <w:p w14:paraId="1BAA7C66"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biomass cycling;</w:t>
      </w:r>
    </w:p>
    <w:p w14:paraId="76730588"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input-dependency reduction;</w:t>
      </w:r>
    </w:p>
    <w:p w14:paraId="35A82041"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resilience;</w:t>
      </w:r>
    </w:p>
    <w:p w14:paraId="0DEA1C2F"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lastRenderedPageBreak/>
        <w:t>• MRV integrity;</w:t>
      </w:r>
    </w:p>
    <w:p w14:paraId="6947DDE3"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confidence score;</w:t>
      </w:r>
    </w:p>
    <w:p w14:paraId="05182AC1"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admissibility status;</w:t>
      </w:r>
    </w:p>
    <w:p w14:paraId="0B2CE710"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governance and operational reliability.</w:t>
      </w:r>
    </w:p>
    <w:p w14:paraId="54A90616"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The PRU exists because ecological performance must become comparable before it can become financeable.</w:t>
      </w:r>
    </w:p>
    <w:p w14:paraId="735B5973"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xml:space="preserve">A soil improvement in Sicily, a water-retention gain in Spain, a biodiversity </w:t>
      </w:r>
      <w:proofErr w:type="gramStart"/>
      <w:r w:rsidRPr="00B479AE">
        <w:rPr>
          <w:rFonts w:ascii="Baskerville Old Face" w:hAnsi="Baskerville Old Face"/>
          <w:i/>
          <w:iCs/>
        </w:rPr>
        <w:t>increase</w:t>
      </w:r>
      <w:proofErr w:type="gramEnd"/>
      <w:r w:rsidRPr="00B479AE">
        <w:rPr>
          <w:rFonts w:ascii="Baskerville Old Face" w:hAnsi="Baskerville Old Face"/>
          <w:i/>
          <w:iCs/>
        </w:rPr>
        <w:t xml:space="preserve"> in Florida, and a syntropic yield improvement in another bioregion cannot become portfolio-grade unless they are translated into structured, normalized, reviewable, and admissible analytical units.</w:t>
      </w:r>
    </w:p>
    <w:p w14:paraId="12837A5B"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The PRU does not reduce all value to money.</w:t>
      </w:r>
    </w:p>
    <w:p w14:paraId="58F9A5FC"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It creates a disciplined analytical interface through which verified regenerative performance can be assessed by capital without detaching value from the living system that generated it.</w:t>
      </w:r>
    </w:p>
    <w:p w14:paraId="7C61A5D6"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PRU value analysis may occur only when evidence is methodology-aligned, confidence-scored, reviewable, admissible, and legally bounded where required.</w:t>
      </w:r>
    </w:p>
    <w:p w14:paraId="4923F528"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The correct sequence is:</w:t>
      </w:r>
    </w:p>
    <w:p w14:paraId="0380E776" w14:textId="77777777" w:rsidR="0079701E" w:rsidRPr="00B479AE" w:rsidRDefault="0079701E" w:rsidP="0079701E">
      <w:pPr>
        <w:spacing w:line="360" w:lineRule="auto"/>
        <w:rPr>
          <w:rFonts w:ascii="Baskerville Old Face" w:hAnsi="Baskerville Old Face"/>
          <w:i/>
          <w:iCs/>
        </w:rPr>
      </w:pPr>
      <w:r w:rsidRPr="00B479AE">
        <w:rPr>
          <w:rFonts w:ascii="Baskerville Old Face" w:hAnsi="Baskerville Old Face"/>
          <w:i/>
          <w:iCs/>
        </w:rPr>
        <w:t xml:space="preserve">verified regenerative performance </w:t>
      </w:r>
      <w:r w:rsidRPr="00B479AE">
        <w:rPr>
          <w:rFonts w:ascii="Times New Roman" w:hAnsi="Times New Roman" w:cs="Times New Roman"/>
          <w:i/>
          <w:iCs/>
        </w:rPr>
        <w:t>→</w:t>
      </w:r>
      <w:r w:rsidRPr="00B479AE">
        <w:rPr>
          <w:rFonts w:ascii="Baskerville Old Face" w:hAnsi="Baskerville Old Face"/>
          <w:i/>
          <w:iCs/>
        </w:rPr>
        <w:t xml:space="preserve"> structured analytical layer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capital-readiness</w:t>
      </w:r>
    </w:p>
    <w:p w14:paraId="117B7212" w14:textId="301CB9BE" w:rsidR="00504071" w:rsidRPr="00B479AE" w:rsidRDefault="00CB2F0E" w:rsidP="00504071">
      <w:pPr>
        <w:spacing w:line="360" w:lineRule="auto"/>
        <w:rPr>
          <w:rFonts w:ascii="Baskerville Old Face" w:hAnsi="Baskerville Old Face"/>
          <w:i/>
          <w:iCs/>
        </w:rPr>
      </w:pPr>
      <w:r w:rsidRPr="00B479AE">
        <w:rPr>
          <w:rFonts w:ascii="Baskerville Old Face" w:hAnsi="Baskerville Old Face"/>
          <w:b/>
          <w:bCs/>
          <w:i/>
          <w:iCs/>
        </w:rPr>
        <w:t xml:space="preserve">PRU as analytical interface, not extraction </w:t>
      </w:r>
    </w:p>
    <w:p w14:paraId="78F92E04"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The PRU must preserve a direct relationship with its ecological source.</w:t>
      </w:r>
    </w:p>
    <w:p w14:paraId="35E0EEF4"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It does not detach value from the living system.</w:t>
      </w:r>
    </w:p>
    <w:p w14:paraId="3E5F600A"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It represents verified performance generated by that system.</w:t>
      </w:r>
    </w:p>
    <w:p w14:paraId="1510F454"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This distinction is essential.</w:t>
      </w:r>
    </w:p>
    <w:p w14:paraId="4F63F2AB"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A regenerative financial architecture becomes extractive when financial interpretation separates from the living processes that support it.</w:t>
      </w:r>
    </w:p>
    <w:p w14:paraId="5BEB5E89"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lastRenderedPageBreak/>
        <w:t>Prometheus is designed to prevent that separation.</w:t>
      </w:r>
    </w:p>
    <w:p w14:paraId="01388B2B"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Every PRU should remain linked to:</w:t>
      </w:r>
    </w:p>
    <w:p w14:paraId="33531010"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originating site or OHE;</w:t>
      </w:r>
    </w:p>
    <w:p w14:paraId="42A6C49D"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baseline condition;</w:t>
      </w:r>
    </w:p>
    <w:p w14:paraId="0F994C69"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MRV evidence;</w:t>
      </w:r>
    </w:p>
    <w:p w14:paraId="4C9CADBF"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methodology version;</w:t>
      </w:r>
    </w:p>
    <w:p w14:paraId="05411F1C"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confidence score;</w:t>
      </w:r>
    </w:p>
    <w:p w14:paraId="48AFA9F1"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governance context;</w:t>
      </w:r>
    </w:p>
    <w:p w14:paraId="17578FFD"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operational records;</w:t>
      </w:r>
    </w:p>
    <w:p w14:paraId="2A8EE716"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admissibility status;</w:t>
      </w:r>
    </w:p>
    <w:p w14:paraId="14E57F7E"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risk profile;</w:t>
      </w:r>
    </w:p>
    <w:p w14:paraId="3CF4C8AF" w14:textId="77777777"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 its no-double-counting controls.</w:t>
      </w:r>
    </w:p>
    <w:p w14:paraId="2D8D414E" w14:textId="0DB808B0" w:rsidR="00CB2F0E" w:rsidRPr="00B479AE" w:rsidRDefault="00CB2F0E" w:rsidP="00CB2F0E">
      <w:pPr>
        <w:spacing w:line="360" w:lineRule="auto"/>
        <w:rPr>
          <w:rFonts w:ascii="Baskerville Old Face" w:hAnsi="Baskerville Old Face"/>
          <w:i/>
          <w:iCs/>
        </w:rPr>
      </w:pPr>
      <w:r w:rsidRPr="00B479AE">
        <w:rPr>
          <w:rFonts w:ascii="Baskerville Old Face" w:hAnsi="Baskerville Old Face"/>
          <w:i/>
          <w:iCs/>
        </w:rPr>
        <w:t>This makes the PRU a reviewable analytical representation of verified regenerative performance rather than a free-floating claim.</w:t>
      </w:r>
    </w:p>
    <w:p w14:paraId="6F38E70E" w14:textId="53CAFE5E"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PRU value stack</w:t>
      </w:r>
    </w:p>
    <w:p w14:paraId="7504EC6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PRU value stack is organized by epistemic strength and financial admissibility.</w:t>
      </w:r>
    </w:p>
    <w:p w14:paraId="58ED65C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Not every form of value has the same maturity.</w:t>
      </w:r>
    </w:p>
    <w:p w14:paraId="266799E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therefore distinguishes among different layers of value.</w:t>
      </w:r>
    </w:p>
    <w:p w14:paraId="6F89103B" w14:textId="0FD5A6F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Layer 1 — Core productive value</w:t>
      </w:r>
    </w:p>
    <w:p w14:paraId="7840A04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Core productive value is the most directly observable and cash-relevant layer.</w:t>
      </w:r>
    </w:p>
    <w:p w14:paraId="625236A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may include:</w:t>
      </w:r>
    </w:p>
    <w:p w14:paraId="0706D98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food production;</w:t>
      </w:r>
    </w:p>
    <w:p w14:paraId="2CD36FA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hospitality revenues;</w:t>
      </w:r>
    </w:p>
    <w:p w14:paraId="467007B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agroforestry products;</w:t>
      </w:r>
    </w:p>
    <w:p w14:paraId="52E465A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biomass outputs;</w:t>
      </w:r>
    </w:p>
    <w:p w14:paraId="1F1C624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education and training services;</w:t>
      </w:r>
    </w:p>
    <w:p w14:paraId="1EF40B6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regenerative experiences;</w:t>
      </w:r>
    </w:p>
    <w:p w14:paraId="13652ED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local market sales;</w:t>
      </w:r>
    </w:p>
    <w:p w14:paraId="2BC2436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operational cost reduction;</w:t>
      </w:r>
    </w:p>
    <w:p w14:paraId="56A0655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household food substitution where measurable.</w:t>
      </w:r>
    </w:p>
    <w:p w14:paraId="625D7B4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layer is closest to ordinary financial underwriting because it can be linked to actual or projected cash flows.</w:t>
      </w:r>
    </w:p>
    <w:p w14:paraId="374FFCA2" w14:textId="0CBDC907" w:rsidR="00504071" w:rsidRPr="002E5EB1" w:rsidRDefault="00504071" w:rsidP="00504071">
      <w:pPr>
        <w:spacing w:line="360" w:lineRule="auto"/>
        <w:rPr>
          <w:rFonts w:ascii="Baskerville Old Face" w:hAnsi="Baskerville Old Face"/>
          <w:i/>
          <w:iCs/>
        </w:rPr>
      </w:pPr>
      <w:r w:rsidRPr="00B479AE">
        <w:rPr>
          <w:rFonts w:ascii="Baskerville Old Face" w:hAnsi="Baskerville Old Face"/>
          <w:i/>
          <w:iCs/>
        </w:rPr>
        <w:t>It forms the base of financial modeling.</w:t>
      </w:r>
      <w:r w:rsidR="005C576E" w:rsidRPr="00B479AE">
        <w:rPr>
          <w:rFonts w:ascii="Baskerville Old Face" w:hAnsi="Baskerville Old Face"/>
          <w:i/>
          <w:iCs/>
        </w:rPr>
        <w:t xml:space="preserve"> </w:t>
      </w:r>
    </w:p>
    <w:p w14:paraId="0EDB7B8A" w14:textId="77777777" w:rsidR="005C576E" w:rsidRPr="002E5EB1" w:rsidRDefault="005C576E" w:rsidP="005C576E">
      <w:pPr>
        <w:spacing w:line="360" w:lineRule="auto"/>
        <w:rPr>
          <w:rFonts w:ascii="Baskerville Old Face" w:hAnsi="Baskerville Old Face"/>
          <w:i/>
          <w:iCs/>
        </w:rPr>
      </w:pPr>
      <w:r w:rsidRPr="002E5EB1">
        <w:rPr>
          <w:rFonts w:ascii="Baskerville Old Face" w:hAnsi="Baskerville Old Face"/>
          <w:i/>
          <w:iCs/>
        </w:rPr>
        <w:t>Industrial Value Logic vs Prometheus Value Logic</w:t>
      </w:r>
    </w:p>
    <w:p w14:paraId="151F20CC" w14:textId="77777777" w:rsidR="005C576E" w:rsidRPr="002E5EB1" w:rsidRDefault="005C576E" w:rsidP="005C576E">
      <w:pPr>
        <w:spacing w:line="360" w:lineRule="auto"/>
        <w:rPr>
          <w:rFonts w:ascii="Baskerville Old Face" w:hAnsi="Baskerville Old Face"/>
          <w:i/>
          <w:iCs/>
        </w:rPr>
      </w:pPr>
      <w:r w:rsidRPr="002E5EB1">
        <w:rPr>
          <w:rFonts w:ascii="Baskerville Old Face" w:hAnsi="Baskerville Old Face"/>
          <w:i/>
          <w:iCs/>
        </w:rPr>
        <w:t>Conventional economic systems usually interpret value through a linear production sequence:</w:t>
      </w:r>
    </w:p>
    <w:p w14:paraId="6639E668" w14:textId="77777777" w:rsidR="005C576E" w:rsidRPr="002E5EB1" w:rsidRDefault="005C576E" w:rsidP="005C576E">
      <w:pPr>
        <w:spacing w:line="360" w:lineRule="auto"/>
        <w:rPr>
          <w:rFonts w:ascii="Baskerville Old Face" w:hAnsi="Baskerville Old Face"/>
          <w:i/>
          <w:iCs/>
        </w:rPr>
      </w:pPr>
      <w:r w:rsidRPr="002E5EB1">
        <w:rPr>
          <w:rFonts w:ascii="Baskerville Old Face" w:hAnsi="Baskerville Old Face"/>
          <w:i/>
          <w:iCs/>
        </w:rPr>
        <w:t xml:space="preserve">Input </w:t>
      </w:r>
      <w:r w:rsidRPr="002E5EB1">
        <w:rPr>
          <w:rFonts w:ascii="Times New Roman" w:hAnsi="Times New Roman" w:cs="Times New Roman"/>
          <w:i/>
          <w:iCs/>
        </w:rPr>
        <w:t>→</w:t>
      </w:r>
      <w:r w:rsidRPr="002E5EB1">
        <w:rPr>
          <w:rFonts w:ascii="Baskerville Old Face" w:hAnsi="Baskerville Old Face"/>
          <w:i/>
          <w:iCs/>
        </w:rPr>
        <w:t xml:space="preserve"> Output </w:t>
      </w:r>
      <w:r w:rsidRPr="002E5EB1">
        <w:rPr>
          <w:rFonts w:ascii="Times New Roman" w:hAnsi="Times New Roman" w:cs="Times New Roman"/>
          <w:i/>
          <w:iCs/>
        </w:rPr>
        <w:t>→</w:t>
      </w:r>
      <w:r w:rsidRPr="002E5EB1">
        <w:rPr>
          <w:rFonts w:ascii="Baskerville Old Face" w:hAnsi="Baskerville Old Face"/>
          <w:i/>
          <w:iCs/>
        </w:rPr>
        <w:t xml:space="preserve"> Revenue</w:t>
      </w:r>
    </w:p>
    <w:p w14:paraId="56491BBE"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This sequence is useful for simple industrial accounting.</w:t>
      </w:r>
    </w:p>
    <w:p w14:paraId="4DBA1A72"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It is insufficient for regenerative infrastructure.</w:t>
      </w:r>
    </w:p>
    <w:p w14:paraId="779559C2"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In a regenerative system, value does not arise only from the conversion of inputs into outputs.</w:t>
      </w:r>
    </w:p>
    <w:p w14:paraId="37A15938"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It arises from the increasing coherence of the living system that produces those outputs.</w:t>
      </w:r>
    </w:p>
    <w:p w14:paraId="43E888FE" w14:textId="77777777" w:rsidR="005C576E" w:rsidRPr="002E5EB1" w:rsidRDefault="005C576E" w:rsidP="005C576E">
      <w:pPr>
        <w:spacing w:line="360" w:lineRule="auto"/>
        <w:rPr>
          <w:rFonts w:ascii="Baskerville Old Face" w:hAnsi="Baskerville Old Face"/>
          <w:i/>
          <w:iCs/>
        </w:rPr>
      </w:pPr>
      <w:r w:rsidRPr="00B479AE">
        <w:rPr>
          <w:rFonts w:ascii="Baskerville Old Face" w:hAnsi="Baskerville Old Face"/>
          <w:i/>
          <w:iCs/>
        </w:rPr>
        <w:t>Prometheus therefore uses a deeper value sequence:</w:t>
      </w:r>
    </w:p>
    <w:p w14:paraId="4ADC5556" w14:textId="77777777" w:rsidR="005C576E" w:rsidRPr="002E5EB1" w:rsidRDefault="005C576E" w:rsidP="005C576E">
      <w:pPr>
        <w:spacing w:line="360" w:lineRule="auto"/>
        <w:rPr>
          <w:rFonts w:ascii="Baskerville Old Face" w:hAnsi="Baskerville Old Face"/>
          <w:i/>
          <w:iCs/>
        </w:rPr>
      </w:pPr>
      <w:r w:rsidRPr="002E5EB1">
        <w:rPr>
          <w:rFonts w:ascii="Baskerville Old Face" w:hAnsi="Baskerville Old Face"/>
          <w:i/>
          <w:iCs/>
        </w:rPr>
        <w:t xml:space="preserve">Biological Capital </w:t>
      </w:r>
      <w:r w:rsidRPr="002E5EB1">
        <w:rPr>
          <w:rFonts w:ascii="Times New Roman" w:hAnsi="Times New Roman" w:cs="Times New Roman"/>
          <w:i/>
          <w:iCs/>
        </w:rPr>
        <w:t>→</w:t>
      </w:r>
      <w:r w:rsidRPr="002E5EB1">
        <w:rPr>
          <w:rFonts w:ascii="Baskerville Old Face" w:hAnsi="Baskerville Old Face"/>
          <w:i/>
          <w:iCs/>
        </w:rPr>
        <w:t xml:space="preserve"> Ecological Order </w:t>
      </w:r>
      <w:r w:rsidRPr="002E5EB1">
        <w:rPr>
          <w:rFonts w:ascii="Times New Roman" w:hAnsi="Times New Roman" w:cs="Times New Roman"/>
          <w:i/>
          <w:iCs/>
        </w:rPr>
        <w:t>→</w:t>
      </w:r>
      <w:r w:rsidRPr="002E5EB1">
        <w:rPr>
          <w:rFonts w:ascii="Baskerville Old Face" w:hAnsi="Baskerville Old Face"/>
          <w:i/>
          <w:iCs/>
        </w:rPr>
        <w:t xml:space="preserve"> MRV Indices </w:t>
      </w:r>
      <w:r w:rsidRPr="002E5EB1">
        <w:rPr>
          <w:rFonts w:ascii="Times New Roman" w:hAnsi="Times New Roman" w:cs="Times New Roman"/>
          <w:i/>
          <w:iCs/>
        </w:rPr>
        <w:t>→</w:t>
      </w:r>
      <w:r w:rsidRPr="002E5EB1">
        <w:rPr>
          <w:rFonts w:ascii="Baskerville Old Face" w:hAnsi="Baskerville Old Face"/>
          <w:i/>
          <w:iCs/>
        </w:rPr>
        <w:t xml:space="preserve"> Financial Value</w:t>
      </w:r>
    </w:p>
    <w:p w14:paraId="01C28EA6"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This sequence changes the meaning of value formation.</w:t>
      </w:r>
    </w:p>
    <w:p w14:paraId="1FE737F2"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lastRenderedPageBreak/>
        <w:t>Biological capital refers to the living capacity of the system: soil, water, biodiversity, roots, biomass, microbial life, mycorrhizal relationships, ecological succession, and human stewardship.</w:t>
      </w:r>
    </w:p>
    <w:p w14:paraId="0459F6E4"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Ecological order refers to the increasing organization, resilience, productivity, and coherence of those living relationships over time.</w:t>
      </w:r>
    </w:p>
    <w:p w14:paraId="0A61473F"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MRV indices translate this ecological order into observable, measurable, confidence-scored, and reviewable indicators.</w:t>
      </w:r>
    </w:p>
    <w:p w14:paraId="50F6FB20"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Financial value may emerge only after these indicators become verified, admissible, legally interpretable, and institutionally usable.</w:t>
      </w:r>
    </w:p>
    <w:p w14:paraId="2E0CE027"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The difference is structural.</w:t>
      </w:r>
    </w:p>
    <w:p w14:paraId="3F0016BA"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The industrial sequence asks:</w:t>
      </w:r>
    </w:p>
    <w:p w14:paraId="0174C041"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how much output can be produced from the input?</w:t>
      </w:r>
    </w:p>
    <w:p w14:paraId="7700398E"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The Prometheus sequence asks:</w:t>
      </w:r>
    </w:p>
    <w:p w14:paraId="5EACE26A"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how much future productive capacity is the system generating while it produces?</w:t>
      </w:r>
    </w:p>
    <w:p w14:paraId="2976DC31"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This distinction is foundational.</w:t>
      </w:r>
    </w:p>
    <w:p w14:paraId="4FEA1BEA"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A system that produces output while degrading soil, water, biodiversity, human health, or resilience may generate short-term revenue while destroying long-term value.</w:t>
      </w:r>
    </w:p>
    <w:p w14:paraId="633DD139"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A regenerative system produces while increasing the capacity of the system to keep producing.</w:t>
      </w:r>
    </w:p>
    <w:p w14:paraId="55906327" w14:textId="77777777" w:rsidR="005C576E" w:rsidRPr="002E5EB1" w:rsidRDefault="005C576E" w:rsidP="005C576E">
      <w:pPr>
        <w:spacing w:line="360" w:lineRule="auto"/>
        <w:rPr>
          <w:rFonts w:ascii="Baskerville Old Face" w:hAnsi="Baskerville Old Face"/>
          <w:i/>
          <w:iCs/>
        </w:rPr>
      </w:pPr>
      <w:r w:rsidRPr="00B479AE">
        <w:rPr>
          <w:rFonts w:ascii="Baskerville Old Face" w:hAnsi="Baskerville Old Face"/>
          <w:i/>
          <w:iCs/>
        </w:rPr>
        <w:t>The Prometheus value logic may therefore be summarized as:</w:t>
      </w:r>
    </w:p>
    <w:p w14:paraId="1F38BB24" w14:textId="77777777" w:rsidR="005C576E" w:rsidRPr="002E5EB1" w:rsidRDefault="005C576E" w:rsidP="005C576E">
      <w:pPr>
        <w:spacing w:line="360" w:lineRule="auto"/>
        <w:rPr>
          <w:rFonts w:ascii="Baskerville Old Face" w:hAnsi="Baskerville Old Face"/>
          <w:i/>
          <w:iCs/>
        </w:rPr>
      </w:pPr>
      <w:r w:rsidRPr="002E5EB1">
        <w:rPr>
          <w:rFonts w:ascii="Baskerville Old Face" w:hAnsi="Baskerville Old Face"/>
          <w:i/>
          <w:iCs/>
        </w:rPr>
        <w:t xml:space="preserve">resilience </w:t>
      </w:r>
      <w:r w:rsidRPr="002E5EB1">
        <w:rPr>
          <w:rFonts w:ascii="Times New Roman" w:hAnsi="Times New Roman" w:cs="Times New Roman"/>
          <w:i/>
          <w:iCs/>
        </w:rPr>
        <w:t>→</w:t>
      </w:r>
      <w:r w:rsidRPr="002E5EB1">
        <w:rPr>
          <w:rFonts w:ascii="Baskerville Old Face" w:hAnsi="Baskerville Old Face"/>
          <w:i/>
          <w:iCs/>
        </w:rPr>
        <w:t xml:space="preserve"> variance </w:t>
      </w:r>
      <w:r w:rsidRPr="002E5EB1">
        <w:rPr>
          <w:rFonts w:ascii="Times New Roman" w:hAnsi="Times New Roman" w:cs="Times New Roman"/>
          <w:i/>
          <w:iCs/>
        </w:rPr>
        <w:t>↓</w:t>
      </w:r>
      <w:r w:rsidRPr="002E5EB1">
        <w:rPr>
          <w:rFonts w:ascii="Baskerville Old Face" w:hAnsi="Baskerville Old Face"/>
          <w:i/>
          <w:iCs/>
        </w:rPr>
        <w:t xml:space="preserve"> </w:t>
      </w:r>
      <w:r w:rsidRPr="002E5EB1">
        <w:rPr>
          <w:rFonts w:ascii="Times New Roman" w:hAnsi="Times New Roman" w:cs="Times New Roman"/>
          <w:i/>
          <w:iCs/>
        </w:rPr>
        <w:t>→</w:t>
      </w:r>
      <w:r w:rsidRPr="002E5EB1">
        <w:rPr>
          <w:rFonts w:ascii="Baskerville Old Face" w:hAnsi="Baskerville Old Face"/>
          <w:i/>
          <w:iCs/>
        </w:rPr>
        <w:t xml:space="preserve"> risk </w:t>
      </w:r>
      <w:r w:rsidRPr="002E5EB1">
        <w:rPr>
          <w:rFonts w:ascii="Times New Roman" w:hAnsi="Times New Roman" w:cs="Times New Roman"/>
          <w:i/>
          <w:iCs/>
        </w:rPr>
        <w:t>↓</w:t>
      </w:r>
      <w:r w:rsidRPr="002E5EB1">
        <w:rPr>
          <w:rFonts w:ascii="Baskerville Old Face" w:hAnsi="Baskerville Old Face"/>
          <w:i/>
          <w:iCs/>
        </w:rPr>
        <w:t xml:space="preserve"> </w:t>
      </w:r>
      <w:r w:rsidRPr="002E5EB1">
        <w:rPr>
          <w:rFonts w:ascii="Times New Roman" w:hAnsi="Times New Roman" w:cs="Times New Roman"/>
          <w:i/>
          <w:iCs/>
        </w:rPr>
        <w:t>→</w:t>
      </w:r>
      <w:r w:rsidRPr="002E5EB1">
        <w:rPr>
          <w:rFonts w:ascii="Baskerville Old Face" w:hAnsi="Baskerville Old Face"/>
          <w:i/>
          <w:iCs/>
        </w:rPr>
        <w:t xml:space="preserve"> value </w:t>
      </w:r>
      <w:r w:rsidRPr="002E5EB1">
        <w:rPr>
          <w:rFonts w:ascii="Times New Roman" w:hAnsi="Times New Roman" w:cs="Times New Roman"/>
          <w:i/>
          <w:iCs/>
        </w:rPr>
        <w:t>↑</w:t>
      </w:r>
    </w:p>
    <w:p w14:paraId="5E70241A"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This does not mean that value automatically increases whenever a system is called regenerative.</w:t>
      </w:r>
    </w:p>
    <w:p w14:paraId="0F25D2FD"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It means that verified increases in resilience may reduce variance, verified reductions in variance may reduce specific risk factors, and verified risk compression may support stronger capital-readiness.</w:t>
      </w:r>
    </w:p>
    <w:p w14:paraId="391BE9B6"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The chain remains evidence-bound:</w:t>
      </w:r>
    </w:p>
    <w:p w14:paraId="7EE1AEA0"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lastRenderedPageBreak/>
        <w:t>resilience must be observed;</w:t>
      </w:r>
      <w:r w:rsidRPr="00B479AE">
        <w:rPr>
          <w:rFonts w:ascii="Baskerville Old Face" w:hAnsi="Baskerville Old Face"/>
          <w:i/>
          <w:iCs/>
        </w:rPr>
        <w:br/>
        <w:t>variance must be measured;</w:t>
      </w:r>
      <w:r w:rsidRPr="00B479AE">
        <w:rPr>
          <w:rFonts w:ascii="Baskerville Old Face" w:hAnsi="Baskerville Old Face"/>
          <w:i/>
          <w:iCs/>
        </w:rPr>
        <w:br/>
        <w:t>risk reduction must be analyzed;</w:t>
      </w:r>
      <w:r w:rsidRPr="00B479AE">
        <w:rPr>
          <w:rFonts w:ascii="Baskerville Old Face" w:hAnsi="Baskerville Old Face"/>
          <w:i/>
          <w:iCs/>
        </w:rPr>
        <w:br/>
        <w:t>value relevance must be reviewed;</w:t>
      </w:r>
      <w:r w:rsidRPr="00B479AE">
        <w:rPr>
          <w:rFonts w:ascii="Baskerville Old Face" w:hAnsi="Baskerville Old Face"/>
          <w:i/>
          <w:iCs/>
        </w:rPr>
        <w:br/>
        <w:t>financial use must be legally structured.</w:t>
      </w:r>
    </w:p>
    <w:p w14:paraId="32F52337" w14:textId="77777777" w:rsidR="005C576E" w:rsidRPr="00B479AE" w:rsidRDefault="005C576E" w:rsidP="005C576E">
      <w:pPr>
        <w:spacing w:line="360" w:lineRule="auto"/>
        <w:rPr>
          <w:rFonts w:ascii="Baskerville Old Face" w:hAnsi="Baskerville Old Face"/>
          <w:i/>
          <w:iCs/>
        </w:rPr>
      </w:pPr>
      <w:r w:rsidRPr="00B479AE">
        <w:rPr>
          <w:rFonts w:ascii="Baskerville Old Face" w:hAnsi="Baskerville Old Face"/>
          <w:i/>
          <w:iCs/>
        </w:rPr>
        <w:t xml:space="preserve">This is how Prometheus transforms regeneration from narrative into </w:t>
      </w:r>
      <w:proofErr w:type="spellStart"/>
      <w:r w:rsidRPr="00B479AE">
        <w:rPr>
          <w:rFonts w:ascii="Baskerville Old Face" w:hAnsi="Baskerville Old Face"/>
          <w:i/>
          <w:iCs/>
        </w:rPr>
        <w:t>underwritable</w:t>
      </w:r>
      <w:proofErr w:type="spellEnd"/>
      <w:r w:rsidRPr="00B479AE">
        <w:rPr>
          <w:rFonts w:ascii="Baskerville Old Face" w:hAnsi="Baskerville Old Face"/>
          <w:i/>
          <w:iCs/>
        </w:rPr>
        <w:t xml:space="preserve"> infrastructure.</w:t>
      </w:r>
    </w:p>
    <w:p w14:paraId="129BAD8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Layer 2 — Ecological performance value</w:t>
      </w:r>
    </w:p>
    <w:p w14:paraId="795C728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Ecological performance value derives from verified improvements in living-system function.</w:t>
      </w:r>
    </w:p>
    <w:p w14:paraId="6AA35DA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may include:</w:t>
      </w:r>
    </w:p>
    <w:p w14:paraId="184C554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soil organic carbon improvement;</w:t>
      </w:r>
    </w:p>
    <w:p w14:paraId="4370C34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water retention;</w:t>
      </w:r>
    </w:p>
    <w:p w14:paraId="57FFB0D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infiltration gains;</w:t>
      </w:r>
    </w:p>
    <w:p w14:paraId="072FF73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biodiversity enhancement;</w:t>
      </w:r>
    </w:p>
    <w:p w14:paraId="562C651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input dependency reduction;</w:t>
      </w:r>
    </w:p>
    <w:p w14:paraId="002E978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productive stability;</w:t>
      </w:r>
    </w:p>
    <w:p w14:paraId="1677885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resilience under stress;</w:t>
      </w:r>
    </w:p>
    <w:p w14:paraId="02B5F58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biomass cycling;</w:t>
      </w:r>
    </w:p>
    <w:p w14:paraId="199828C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microclimate effects;</w:t>
      </w:r>
    </w:p>
    <w:p w14:paraId="7D61B1F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reduced erosion;</w:t>
      </w:r>
    </w:p>
    <w:p w14:paraId="27F653C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ecosystem-service potential.</w:t>
      </w:r>
    </w:p>
    <w:p w14:paraId="2FF95BC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layer becomes financially relevant only when linked to MRV, confidence scoring, recognized methodologies, contracts, crediting pathways, avoided-cost pathways, insurance logic, procurement logic, or investment underwriting criteria.</w:t>
      </w:r>
    </w:p>
    <w:p w14:paraId="0C43A52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Its value is significant, but it must remain evidence-constrained.</w:t>
      </w:r>
    </w:p>
    <w:p w14:paraId="1A22E52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lastRenderedPageBreak/>
        <w:t>Layer 3 — Systemic and health-related value</w:t>
      </w:r>
    </w:p>
    <w:p w14:paraId="47BD5D1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Systemic value includes broader effects such as improved nutritional quality, human movement, nature exposure, social coherence, preventive health potential, and territorial resilience.</w:t>
      </w:r>
    </w:p>
    <w:p w14:paraId="46A9DC8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xml:space="preserve">This layer may be strategically powerful, especially through </w:t>
      </w:r>
      <w:proofErr w:type="spellStart"/>
      <w:r w:rsidRPr="00B479AE">
        <w:rPr>
          <w:rFonts w:ascii="Baskerville Old Face" w:hAnsi="Baskerville Old Face"/>
          <w:i/>
          <w:iCs/>
        </w:rPr>
        <w:t>SyntroGIFT</w:t>
      </w:r>
      <w:proofErr w:type="spellEnd"/>
      <w:r w:rsidRPr="00B479AE">
        <w:rPr>
          <w:rFonts w:ascii="Baskerville Old Face" w:hAnsi="Baskerville Old Face"/>
          <w:i/>
          <w:iCs/>
        </w:rPr>
        <w:t>, public-health partnerships, food-as-medicine programs, insurer collaboration, or public procurement.</w:t>
      </w:r>
    </w:p>
    <w:p w14:paraId="7D7D18D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However, it should remain outside base-case financial cash flows unless a contractual, institutional, or measurable monetization pathway exists.</w:t>
      </w:r>
    </w:p>
    <w:p w14:paraId="432E604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discipline protects credibility.</w:t>
      </w:r>
    </w:p>
    <w:p w14:paraId="6531110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can recognize systemic value without overstating liquidity.</w:t>
      </w:r>
    </w:p>
    <w:p w14:paraId="3627BA63" w14:textId="77777777" w:rsidR="005816F9" w:rsidRPr="00B479AE" w:rsidRDefault="005816F9" w:rsidP="005816F9">
      <w:pPr>
        <w:spacing w:line="360" w:lineRule="auto"/>
        <w:rPr>
          <w:rFonts w:ascii="Baskerville Old Face" w:hAnsi="Baskerville Old Face"/>
          <w:i/>
          <w:iCs/>
        </w:rPr>
      </w:pPr>
      <w:proofErr w:type="spellStart"/>
      <w:r w:rsidRPr="00B479AE">
        <w:rPr>
          <w:rFonts w:ascii="Baskerville Old Face" w:hAnsi="Baskerville Old Face"/>
          <w:b/>
          <w:bCs/>
          <w:i/>
          <w:iCs/>
        </w:rPr>
        <w:t>SyntroGIFT</w:t>
      </w:r>
      <w:proofErr w:type="spellEnd"/>
      <w:r w:rsidRPr="00B479AE">
        <w:rPr>
          <w:rFonts w:ascii="Baskerville Old Face" w:hAnsi="Baskerville Old Face"/>
          <w:b/>
          <w:bCs/>
          <w:i/>
          <w:iCs/>
        </w:rPr>
        <w:t xml:space="preserve"> as a Systemic Value Layer</w:t>
      </w:r>
    </w:p>
    <w:p w14:paraId="46CFD897" w14:textId="77777777" w:rsidR="00383EF8" w:rsidRPr="00B479AE" w:rsidRDefault="00383EF8" w:rsidP="00383EF8">
      <w:pPr>
        <w:spacing w:line="360" w:lineRule="auto"/>
        <w:rPr>
          <w:rFonts w:ascii="Baskerville Old Face" w:hAnsi="Baskerville Old Face"/>
          <w:i/>
          <w:iCs/>
        </w:rPr>
      </w:pP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represents the systemic value layer that emerges when the One Human Ecosystem is interpreted not only as an agroecological unit, but also as a preventive-health, metabolic-resilience, educational, hospitality, and community-coherence infrastructure.</w:t>
      </w:r>
    </w:p>
    <w:p w14:paraId="2EB4E429"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Its central claim is deliberately conservative.</w:t>
      </w:r>
    </w:p>
    <w:p w14:paraId="6CA1C16C"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An OHE does not automatically generate healthcare savings.</w:t>
      </w:r>
    </w:p>
    <w:p w14:paraId="148645D9"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does not create medical claims.</w:t>
      </w:r>
    </w:p>
    <w:p w14:paraId="7E3241D0"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does not replace clinical care.</w:t>
      </w:r>
    </w:p>
    <w:p w14:paraId="6913BA4D"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does not prescribe treatment.</w:t>
      </w:r>
    </w:p>
    <w:p w14:paraId="34DF11FC"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does not convert nutrition, movement, nature exposure, social coherence, or wellbeing into immediate financial value.</w:t>
      </w:r>
    </w:p>
    <w:p w14:paraId="6CC1CD9B"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xml:space="preserve">Rather,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identifies a systemic alignment among determinants that modern systems often separate, commodify, finance, and treat downstream:</w:t>
      </w:r>
    </w:p>
    <w:p w14:paraId="61F9A413"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food quality;</w:t>
      </w:r>
    </w:p>
    <w:p w14:paraId="411854FA"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functional movement;</w:t>
      </w:r>
    </w:p>
    <w:p w14:paraId="5D80E01F"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lastRenderedPageBreak/>
        <w:t>• nature exposure;</w:t>
      </w:r>
    </w:p>
    <w:p w14:paraId="3422F548"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social and behavioral coherence;</w:t>
      </w:r>
    </w:p>
    <w:p w14:paraId="3C2893D6"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preventive-health potential;</w:t>
      </w:r>
    </w:p>
    <w:p w14:paraId="7BBC59EC"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educational experience;</w:t>
      </w:r>
    </w:p>
    <w:p w14:paraId="03D2A321"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hospitality and wellness context;</w:t>
      </w:r>
    </w:p>
    <w:p w14:paraId="42C8EE26"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community resilience;</w:t>
      </w:r>
    </w:p>
    <w:p w14:paraId="3164F46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research and public-health relevance.</w:t>
      </w:r>
    </w:p>
    <w:p w14:paraId="09001F8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When these determinants are recomposed within a regenerative living system, the OHE may support healthier conditions for human metabolism, wellbeing, participation, learning, stewardship, and long-term territorial resilience.</w:t>
      </w:r>
    </w:p>
    <w:p w14:paraId="64C571C6"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xml:space="preserve">This makes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strategically significant within the Prometheus architecture.</w:t>
      </w:r>
    </w:p>
    <w:p w14:paraId="05AAB7F0"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may connect regenerative food systems, functional movement, living environments, social coherence, preventive-health pathways, public procurement, hospitality, education, wellness, research partnerships, insurer conversations, and municipal resilience programs into a broader systemic-value layer.</w:t>
      </w:r>
    </w:p>
    <w:p w14:paraId="015F2119"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However, this upside remains outside base-case value analysis, financial modeling, PRU value analysis, investor reporting, and capital-readiness interpretation unless supported by verified data, recognized methodologies, explicit contractual or institutional arrangements, appropriate medical or public-health governance where relevant, and a measurable monetization or avoided-cost pathway.</w:t>
      </w:r>
    </w:p>
    <w:p w14:paraId="3985645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Potential pathways may include:</w:t>
      </w:r>
    </w:p>
    <w:p w14:paraId="4D66660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public procurement;</w:t>
      </w:r>
    </w:p>
    <w:p w14:paraId="6C64B703"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insurer partnerships;</w:t>
      </w:r>
    </w:p>
    <w:p w14:paraId="6ECDEF30"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food-as-medicine programs;</w:t>
      </w:r>
    </w:p>
    <w:p w14:paraId="6D5E0370"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preventive-health initiatives;</w:t>
      </w:r>
    </w:p>
    <w:p w14:paraId="4AB6DB6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education;</w:t>
      </w:r>
    </w:p>
    <w:p w14:paraId="640B875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lastRenderedPageBreak/>
        <w:t>• hospitality;</w:t>
      </w:r>
    </w:p>
    <w:p w14:paraId="2953B95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wellness services;</w:t>
      </w:r>
    </w:p>
    <w:p w14:paraId="0BF958C8"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research partnerships;</w:t>
      </w:r>
    </w:p>
    <w:p w14:paraId="77CFA9E6"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municipal resilience programs;</w:t>
      </w:r>
    </w:p>
    <w:p w14:paraId="74B5D410"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community-health pilots;</w:t>
      </w:r>
    </w:p>
    <w:p w14:paraId="7E955F39"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public-sector or institutional programs;</w:t>
      </w:r>
    </w:p>
    <w:p w14:paraId="4372FFD3"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other legally and methodologically reviewable structures.</w:t>
      </w:r>
    </w:p>
    <w:p w14:paraId="2DCD0DB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xml:space="preserve">Until such pathways are established, the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layer should be treated as strategic upside, research potential, partnership architecture, systemic-value intelligence, and future optionality.</w:t>
      </w:r>
    </w:p>
    <w:p w14:paraId="2E939A3E"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should not be treated as automatic financial value, medical savings, PRU value, investor return, health-credit issuance, insurance value, public reimbursement, or capital-facing entitlement.</w:t>
      </w:r>
    </w:p>
    <w:p w14:paraId="6F910CEB"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The correct interpretation is:</w:t>
      </w:r>
    </w:p>
    <w:p w14:paraId="2AA98FC1"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systemic health potential may inform strategy;</w:t>
      </w:r>
    </w:p>
    <w:p w14:paraId="45FCA6AB"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verified data may support methodology;</w:t>
      </w:r>
    </w:p>
    <w:p w14:paraId="0892D9DF"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institutional agreements may support monetization;</w:t>
      </w:r>
    </w:p>
    <w:p w14:paraId="04BCFB2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medical or public-health governance may support admissibility;</w:t>
      </w:r>
    </w:p>
    <w:p w14:paraId="60FB06E4"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legal and contractual structure may support capital-facing use;</w:t>
      </w:r>
    </w:p>
    <w:p w14:paraId="194433DE"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but no health-economic upside enters base-case financial interpretation merely because the regenerative system is conceptually aligned with wellbeing.</w:t>
      </w:r>
    </w:p>
    <w:p w14:paraId="688699B9"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layer is therefore not a medical protocol.</w:t>
      </w:r>
    </w:p>
    <w:p w14:paraId="0EC43264"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is not a therapeutic claim.</w:t>
      </w:r>
    </w:p>
    <w:p w14:paraId="17CDD430"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is not a substitute for physicians, nutritionists, public-health authorities, clinical research, insurer underwriting, or recognized health-economic methodology.</w:t>
      </w:r>
    </w:p>
    <w:p w14:paraId="4E51EF3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lastRenderedPageBreak/>
        <w:t>It is a systemic value hypothesis: regenerative ecosystems may create healthier human conditions when food, movement, nature exposure, learning, stewardship, and social coherence are reintegrated into one operational environment.</w:t>
      </w:r>
    </w:p>
    <w:p w14:paraId="38529FD1"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xml:space="preserve">Within Prometheus,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can inform:</w:t>
      </w:r>
    </w:p>
    <w:p w14:paraId="54C9ED6A"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public-health partnerships;</w:t>
      </w:r>
    </w:p>
    <w:p w14:paraId="61A5E933"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food-as-medicine pilots;</w:t>
      </w:r>
    </w:p>
    <w:p w14:paraId="34F046BC"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community resilience programs;</w:t>
      </w:r>
    </w:p>
    <w:p w14:paraId="00D661C8"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hospitality and wellness experiences;</w:t>
      </w:r>
    </w:p>
    <w:p w14:paraId="3B71F41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educational models;</w:t>
      </w:r>
    </w:p>
    <w:p w14:paraId="1DAD3C2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research design;</w:t>
      </w:r>
    </w:p>
    <w:p w14:paraId="19E92213"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insurer or public-sector conversations;</w:t>
      </w:r>
    </w:p>
    <w:p w14:paraId="1FCCE315"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 future systemic value accounting.</w:t>
      </w:r>
    </w:p>
    <w:p w14:paraId="12306E9B"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Its institutional boundary is clear:</w:t>
      </w:r>
    </w:p>
    <w:p w14:paraId="670FD8D8" w14:textId="77777777" w:rsidR="00383EF8" w:rsidRPr="00B479AE" w:rsidRDefault="00383EF8" w:rsidP="00383EF8">
      <w:pPr>
        <w:spacing w:line="360" w:lineRule="auto"/>
        <w:rPr>
          <w:rFonts w:ascii="Baskerville Old Face" w:hAnsi="Baskerville Old Face"/>
          <w:i/>
          <w:iCs/>
        </w:rPr>
      </w:pP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can support strategic upside, research, partnership design, and future systemic-value pathways.</w:t>
      </w:r>
    </w:p>
    <w:p w14:paraId="65FEBA92" w14:textId="77777777" w:rsidR="00383EF8" w:rsidRPr="00B479AE" w:rsidRDefault="00383EF8" w:rsidP="00383EF8">
      <w:pPr>
        <w:spacing w:line="360" w:lineRule="auto"/>
        <w:rPr>
          <w:rFonts w:ascii="Baskerville Old Face" w:hAnsi="Baskerville Old Face"/>
          <w:i/>
          <w:iCs/>
        </w:rPr>
      </w:pPr>
      <w:r w:rsidRPr="00B479AE">
        <w:rPr>
          <w:rFonts w:ascii="Baskerville Old Face" w:hAnsi="Baskerville Old Face"/>
          <w:i/>
          <w:iCs/>
        </w:rPr>
        <w:t>It cannot support PRU value, investor return, medical savings, health-credit issuance, public reimbursement, or capital-facing entitlement unless evidence, methodology, legal structure, institutional validation, and appropriate governance make that value admissible.</w:t>
      </w:r>
    </w:p>
    <w:p w14:paraId="26666BEB" w14:textId="1C57C803"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Layer 4 — Portfolio and resilience value</w:t>
      </w:r>
    </w:p>
    <w:p w14:paraId="4246E95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Portfolio and resilience value emerges when multiple verified regenerative units are aggregated.</w:t>
      </w:r>
    </w:p>
    <w:p w14:paraId="3571A53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single OHE may carry local risks.</w:t>
      </w:r>
    </w:p>
    <w:p w14:paraId="63DAF75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diversified pool of OHE-linked PRUs can create a more stable risk profile.</w:t>
      </w:r>
    </w:p>
    <w:p w14:paraId="624F4A0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Portfolio value may arise from:</w:t>
      </w:r>
    </w:p>
    <w:p w14:paraId="16D6BED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diversification across sites;</w:t>
      </w:r>
    </w:p>
    <w:p w14:paraId="4763F39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diversification across climates;</w:t>
      </w:r>
    </w:p>
    <w:p w14:paraId="60854F4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diversification across species;</w:t>
      </w:r>
    </w:p>
    <w:p w14:paraId="754066E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diversification across operators;</w:t>
      </w:r>
    </w:p>
    <w:p w14:paraId="42B8D0F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diversification across revenue streams;</w:t>
      </w:r>
    </w:p>
    <w:p w14:paraId="4736336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reduced correlation;</w:t>
      </w:r>
    </w:p>
    <w:p w14:paraId="055DF64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improved evidence continuity;</w:t>
      </w:r>
    </w:p>
    <w:p w14:paraId="00BE5DDD" w14:textId="7C1824A6"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xml:space="preserve">• </w:t>
      </w:r>
      <w:r w:rsidR="00B33ACB" w:rsidRPr="00B479AE">
        <w:rPr>
          <w:rFonts w:ascii="Baskerville Old Face" w:hAnsi="Baskerville Old Face"/>
          <w:i/>
          <w:iCs/>
        </w:rPr>
        <w:t>maturity-class evolution over time</w:t>
      </w:r>
      <w:r w:rsidRPr="00B479AE">
        <w:rPr>
          <w:rFonts w:ascii="Baskerville Old Face" w:hAnsi="Baskerville Old Face"/>
          <w:i/>
          <w:iCs/>
        </w:rPr>
        <w:t>;</w:t>
      </w:r>
    </w:p>
    <w:p w14:paraId="222386C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improved underwriting confidence;</w:t>
      </w:r>
    </w:p>
    <w:p w14:paraId="47F57F0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potential insurance or guarantee structures.</w:t>
      </w:r>
    </w:p>
    <w:p w14:paraId="3017A1A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layer becomes central to Regenerative Asset Pools.</w:t>
      </w:r>
    </w:p>
    <w:p w14:paraId="15A22F6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Admissibility constraints</w:t>
      </w:r>
    </w:p>
    <w:p w14:paraId="0A008BA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PRU value does not aggregate every attractive claim.</w:t>
      </w:r>
    </w:p>
    <w:p w14:paraId="51FA89B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admits value only when defined conditions are met.</w:t>
      </w:r>
    </w:p>
    <w:p w14:paraId="1381271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Each PRU-relevant component must satisfy the following constraints:</w:t>
      </w:r>
    </w:p>
    <w:p w14:paraId="5CC5646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measurability;</w:t>
      </w:r>
    </w:p>
    <w:p w14:paraId="1BA90B4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provenance;</w:t>
      </w:r>
    </w:p>
    <w:p w14:paraId="3F233A9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verification;</w:t>
      </w:r>
    </w:p>
    <w:p w14:paraId="458AFCA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confidence scoring;</w:t>
      </w:r>
    </w:p>
    <w:p w14:paraId="000C92E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methodology alignment;</w:t>
      </w:r>
    </w:p>
    <w:p w14:paraId="7D6C6CC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no-double-counting;</w:t>
      </w:r>
    </w:p>
    <w:p w14:paraId="4395E55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legal clarity;</w:t>
      </w:r>
    </w:p>
    <w:p w14:paraId="688CE49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financial relevance;</w:t>
      </w:r>
    </w:p>
    <w:p w14:paraId="002A83D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reporting discipline;</w:t>
      </w:r>
    </w:p>
    <w:p w14:paraId="7A0FD8A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reviewability.</w:t>
      </w:r>
    </w:p>
    <w:p w14:paraId="4CF7051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value component that cannot meet these conditions may remain relevant to narrative, strategy, research, or future development.</w:t>
      </w:r>
    </w:p>
    <w:p w14:paraId="3B8C033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should not be treated as financially admissible PRU value.</w:t>
      </w:r>
    </w:p>
    <w:p w14:paraId="05648BC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is the line between vision and underwriting.</w:t>
      </w:r>
    </w:p>
    <w:p w14:paraId="7D543F7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must remain capable of both.</w:t>
      </w:r>
    </w:p>
    <w:p w14:paraId="2413AC12" w14:textId="5DB804C6"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PRU value function</w:t>
      </w:r>
    </w:p>
    <w:p w14:paraId="21BD017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PRU value function is not a fixed universal formula at this stage.</w:t>
      </w:r>
    </w:p>
    <w:p w14:paraId="6AEECEC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is a methodology framework.</w:t>
      </w:r>
    </w:p>
    <w:p w14:paraId="4030C173" w14:textId="5B3F6D9C" w:rsidR="00317015" w:rsidRPr="00B479AE" w:rsidRDefault="00317015" w:rsidP="00504071">
      <w:pPr>
        <w:spacing w:line="360" w:lineRule="auto"/>
        <w:rPr>
          <w:rFonts w:ascii="Baskerville Old Face" w:hAnsi="Baskerville Old Face"/>
          <w:i/>
          <w:iCs/>
        </w:rPr>
      </w:pPr>
      <w:r w:rsidRPr="00B479AE">
        <w:rPr>
          <w:rFonts w:ascii="Baskerville Old Face" w:hAnsi="Baskerville Old Face"/>
          <w:i/>
          <w:iCs/>
        </w:rPr>
        <w:t>Its purpose is to organize how verified regenerative performance can inform PRU value analysis, maturity classification, risk interpretation, underwriting readability, and capital allocation.</w:t>
      </w:r>
    </w:p>
    <w:p w14:paraId="71F05AE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simplified conceptual structure may be expressed as:</w:t>
      </w:r>
    </w:p>
    <w:p w14:paraId="2CDCA6D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PRU Value = Base Productive Value × Regenerative Performance Adjustment × Confidence Adjustment × Admissibility Factor</w:t>
      </w:r>
    </w:p>
    <w:p w14:paraId="27F8514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Where:</w:t>
      </w:r>
    </w:p>
    <w:p w14:paraId="7C53EBB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Base Productive Value represents observable and cash-relevant output;</w:t>
      </w:r>
    </w:p>
    <w:p w14:paraId="3A867EC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Regenerative Performance Adjustment reflects verified ecological performance;</w:t>
      </w:r>
    </w:p>
    <w:p w14:paraId="54BB8F0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Confidence Adjustment reflects evidence quality and uncertainty;</w:t>
      </w:r>
    </w:p>
    <w:p w14:paraId="033EA94D" w14:textId="39D2B979" w:rsidR="00FC6249" w:rsidRPr="00B479AE" w:rsidRDefault="00FC6249" w:rsidP="00504071">
      <w:pPr>
        <w:spacing w:line="360" w:lineRule="auto"/>
        <w:rPr>
          <w:rFonts w:ascii="Baskerville Old Face" w:hAnsi="Baskerville Old Face"/>
          <w:i/>
          <w:iCs/>
        </w:rPr>
      </w:pPr>
      <w:r w:rsidRPr="00B479AE">
        <w:rPr>
          <w:rFonts w:ascii="Baskerville Old Face" w:hAnsi="Baskerville Old Face"/>
          <w:i/>
          <w:iCs/>
        </w:rPr>
        <w:t>Admissibility Factor determines which components may enter PRU value analysis or capital-readiness</w:t>
      </w:r>
      <w:r w:rsidR="000A1FA7" w:rsidRPr="00B479AE">
        <w:rPr>
          <w:rFonts w:ascii="Baskerville Old Face" w:hAnsi="Baskerville Old Face"/>
          <w:i/>
          <w:iCs/>
        </w:rPr>
        <w:t xml:space="preserve"> assessment</w:t>
      </w:r>
      <w:r w:rsidRPr="00B479AE">
        <w:rPr>
          <w:rFonts w:ascii="Baskerville Old Face" w:hAnsi="Baskerville Old Face"/>
          <w:i/>
          <w:iCs/>
        </w:rPr>
        <w:t>.</w:t>
      </w:r>
    </w:p>
    <w:p w14:paraId="1599E7E0" w14:textId="4E3931F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More detailed PRU methodologies may incorporate indices such as:</w:t>
      </w:r>
    </w:p>
    <w:p w14:paraId="4C61292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Syntropic Resilience Index;</w:t>
      </w:r>
    </w:p>
    <w:p w14:paraId="4675BB6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Regenerative Productivity Index;</w:t>
      </w:r>
    </w:p>
    <w:p w14:paraId="2DA240C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Cooperative Ecological Surplus Index;</w:t>
      </w:r>
    </w:p>
    <w:p w14:paraId="449B98D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MRV Integrity Score;</w:t>
      </w:r>
    </w:p>
    <w:p w14:paraId="204235D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Input Dependency Reduction;</w:t>
      </w:r>
    </w:p>
    <w:p w14:paraId="2718172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Hydrological Resilience Score;</w:t>
      </w:r>
    </w:p>
    <w:p w14:paraId="623D06C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Soil Metabolic Capacity;</w:t>
      </w:r>
    </w:p>
    <w:p w14:paraId="5A3A422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Biodiversity Function Score;</w:t>
      </w:r>
    </w:p>
    <w:p w14:paraId="0807E88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Operational Reliability;</w:t>
      </w:r>
    </w:p>
    <w:p w14:paraId="32700BD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Governance Quality;</w:t>
      </w:r>
    </w:p>
    <w:p w14:paraId="0F81E7B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Legal Readiness.</w:t>
      </w:r>
    </w:p>
    <w:p w14:paraId="05A2C6A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methodology must remain versioned, reviewable, and conservative enough to support institutional trust.</w:t>
      </w:r>
    </w:p>
    <w:p w14:paraId="50AAA09F" w14:textId="5CDC30C4"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Syntropic Resilience Index</w:t>
      </w:r>
    </w:p>
    <w:p w14:paraId="3CE0CBF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Syntropic Resilience Index measures the internal adaptive capacity of a regenerative unit.</w:t>
      </w:r>
    </w:p>
    <w:p w14:paraId="16FD217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may include:</w:t>
      </w:r>
    </w:p>
    <w:p w14:paraId="07F9933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soil organic matter;</w:t>
      </w:r>
    </w:p>
    <w:p w14:paraId="0C90AB2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soil structure;</w:t>
      </w:r>
    </w:p>
    <w:p w14:paraId="25029D4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microbial activity;</w:t>
      </w:r>
    </w:p>
    <w:p w14:paraId="7059A4A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earthworm activity;</w:t>
      </w:r>
    </w:p>
    <w:p w14:paraId="3A0DB8E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infiltration rate;</w:t>
      </w:r>
    </w:p>
    <w:p w14:paraId="3B7AB4C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water retention;</w:t>
      </w:r>
    </w:p>
    <w:p w14:paraId="6D77229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vegetation structure;</w:t>
      </w:r>
    </w:p>
    <w:p w14:paraId="0E77004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biomass cycling;</w:t>
      </w:r>
    </w:p>
    <w:p w14:paraId="0653772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species diversity;</w:t>
      </w:r>
    </w:p>
    <w:p w14:paraId="4B0E92D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drought response;</w:t>
      </w:r>
    </w:p>
    <w:p w14:paraId="092532F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recovery after disturbance.</w:t>
      </w:r>
    </w:p>
    <w:p w14:paraId="732182F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Its financial relevance lies in risk compression.</w:t>
      </w:r>
    </w:p>
    <w:p w14:paraId="67AA88B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more resilient system may show lower variance, lower input dependency, and greater operational stability.</w:t>
      </w:r>
    </w:p>
    <w:p w14:paraId="144B8A8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Regenerative Productivity Index</w:t>
      </w:r>
    </w:p>
    <w:p w14:paraId="310D4F4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Regenerative Productivity Index measures productive performance adjusted for ecological quality.</w:t>
      </w:r>
    </w:p>
    <w:p w14:paraId="66A73D8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may include:</w:t>
      </w:r>
    </w:p>
    <w:p w14:paraId="38EFF24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edible biomass output;</w:t>
      </w:r>
    </w:p>
    <w:p w14:paraId="682E7B4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crop diversity;</w:t>
      </w:r>
    </w:p>
    <w:p w14:paraId="5A3BA1A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seasonal yield distribution;</w:t>
      </w:r>
    </w:p>
    <w:p w14:paraId="3CB4E46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yield stability;</w:t>
      </w:r>
    </w:p>
    <w:p w14:paraId="02ABE6E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nutritional potential;</w:t>
      </w:r>
    </w:p>
    <w:p w14:paraId="17C582A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input efficiency;</w:t>
      </w:r>
    </w:p>
    <w:p w14:paraId="0F31577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productivity per unit of water;</w:t>
      </w:r>
    </w:p>
    <w:p w14:paraId="72F5868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productivity per unit of external input;</w:t>
      </w:r>
    </w:p>
    <w:p w14:paraId="50371DD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productive maturation over time.</w:t>
      </w:r>
    </w:p>
    <w:p w14:paraId="6D80CCD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Its financial relevance lies in the relationship between output and system health.</w:t>
      </w:r>
    </w:p>
    <w:p w14:paraId="013F717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A system that produces while degrading itself is not regenerative.</w:t>
      </w:r>
    </w:p>
    <w:p w14:paraId="79F05A0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system that produces while strengthening its foundations is.</w:t>
      </w:r>
    </w:p>
    <w:p w14:paraId="14BBF96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Cooperative Ecological Surplus Index</w:t>
      </w:r>
    </w:p>
    <w:p w14:paraId="0A5A839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Cooperative Ecological Surplus Index measures the surplus generated by biological relationships.</w:t>
      </w:r>
    </w:p>
    <w:p w14:paraId="4D75DAD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may include the value created through:</w:t>
      </w:r>
    </w:p>
    <w:p w14:paraId="3D5863E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mycorrhizal networks;</w:t>
      </w:r>
    </w:p>
    <w:p w14:paraId="02FDAF4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stratification;</w:t>
      </w:r>
    </w:p>
    <w:p w14:paraId="5939CAC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complementary root systems;</w:t>
      </w:r>
    </w:p>
    <w:p w14:paraId="1925E10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biodiversity;</w:t>
      </w:r>
    </w:p>
    <w:p w14:paraId="5D37CAF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pollination;</w:t>
      </w:r>
    </w:p>
    <w:p w14:paraId="40729A1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pest regulation;</w:t>
      </w:r>
    </w:p>
    <w:p w14:paraId="078DF97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biomass cycling;</w:t>
      </w:r>
    </w:p>
    <w:p w14:paraId="6CA8EC6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microclimate buffering;</w:t>
      </w:r>
    </w:p>
    <w:p w14:paraId="2782FE6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cooperative plant guilds;</w:t>
      </w:r>
    </w:p>
    <w:p w14:paraId="676638A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reduced competition for external inputs.</w:t>
      </w:r>
    </w:p>
    <w:p w14:paraId="5797BE2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key question is whether the system generates more stability, resilience, or productive capacity than simplified isolated components would suggest.</w:t>
      </w:r>
    </w:p>
    <w:p w14:paraId="7366981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index is especially important because it captures the distinctive intelligence of syntropic and regenerative systems.</w:t>
      </w:r>
    </w:p>
    <w:p w14:paraId="41E56D7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MRV Integrity Score</w:t>
      </w:r>
    </w:p>
    <w:p w14:paraId="19A64B0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MRV Integrity Score measures the strength of the evidence architecture supporting PRU claims.</w:t>
      </w:r>
    </w:p>
    <w:p w14:paraId="1B98ED4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may consider:</w:t>
      </w:r>
    </w:p>
    <w:p w14:paraId="54D2F32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baseline quality;</w:t>
      </w:r>
    </w:p>
    <w:p w14:paraId="3BC670B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sampling consistency;</w:t>
      </w:r>
    </w:p>
    <w:p w14:paraId="46DEDEA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sensor reliability;</w:t>
      </w:r>
    </w:p>
    <w:p w14:paraId="6F10225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laboratory documentation;</w:t>
      </w:r>
    </w:p>
    <w:p w14:paraId="5901C7C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remote-sensing continuity;</w:t>
      </w:r>
    </w:p>
    <w:p w14:paraId="345B1B3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field-audit quality;</w:t>
      </w:r>
    </w:p>
    <w:p w14:paraId="262F6CE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data lineage;</w:t>
      </w:r>
    </w:p>
    <w:p w14:paraId="04720A6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methodology versioning;</w:t>
      </w:r>
    </w:p>
    <w:p w14:paraId="2604D5A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confidence scoring;</w:t>
      </w:r>
    </w:p>
    <w:p w14:paraId="228513C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third-party verification;</w:t>
      </w:r>
    </w:p>
    <w:p w14:paraId="665578C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provenance integrity;</w:t>
      </w:r>
    </w:p>
    <w:p w14:paraId="7807A4A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no-double-counting safeguards.</w:t>
      </w:r>
    </w:p>
    <w:p w14:paraId="5843F77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score is fundamental because capital should not rely only on ecological promise.</w:t>
      </w:r>
    </w:p>
    <w:p w14:paraId="4278E8E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should rely on the quality of evidence.</w:t>
      </w:r>
    </w:p>
    <w:p w14:paraId="338B652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Risk compression</w:t>
      </w:r>
    </w:p>
    <w:p w14:paraId="05B5038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One of the strongest financial implications of regeneration is risk compression.</w:t>
      </w:r>
    </w:p>
    <w:p w14:paraId="0C54406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regenerative system can reduce risk when it improves the conditions that make future production more reliable.</w:t>
      </w:r>
    </w:p>
    <w:p w14:paraId="1736C53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Risk may decrease as:</w:t>
      </w:r>
    </w:p>
    <w:p w14:paraId="2B39CCF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soil buffers drought;</w:t>
      </w:r>
    </w:p>
    <w:p w14:paraId="6378F9B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biodiversity distributes ecological functions;</w:t>
      </w:r>
    </w:p>
    <w:p w14:paraId="3310E77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water retention improves;</w:t>
      </w:r>
    </w:p>
    <w:p w14:paraId="2A8C1E4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input dependency declines;</w:t>
      </w:r>
    </w:p>
    <w:p w14:paraId="5C72CBD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crop diversity reduces concentration risk;</w:t>
      </w:r>
    </w:p>
    <w:p w14:paraId="3B037BA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ecosystem health reduces pest and disease vulnerability;</w:t>
      </w:r>
    </w:p>
    <w:p w14:paraId="0FAABEF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operational knowledge improves;</w:t>
      </w:r>
    </w:p>
    <w:p w14:paraId="246D87D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data continuity increases;</w:t>
      </w:r>
    </w:p>
    <w:p w14:paraId="19000E3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governance becomes more reliable.</w:t>
      </w:r>
    </w:p>
    <w:p w14:paraId="322EB4D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can be expressed conceptually as:</w:t>
      </w:r>
    </w:p>
    <w:p w14:paraId="44DC79E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ecological coherence increases;</w:t>
      </w:r>
    </w:p>
    <w:p w14:paraId="593DEFB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variance decreases;</w:t>
      </w:r>
    </w:p>
    <w:p w14:paraId="3822BE1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predictability improves;</w:t>
      </w:r>
    </w:p>
    <w:p w14:paraId="27E33413" w14:textId="0662513D"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xml:space="preserve">risk premium </w:t>
      </w:r>
      <w:r w:rsidR="00A86E17" w:rsidRPr="00B479AE">
        <w:rPr>
          <w:rFonts w:ascii="Baskerville Old Face" w:hAnsi="Baskerville Old Face"/>
          <w:i/>
          <w:iCs/>
        </w:rPr>
        <w:t xml:space="preserve">may </w:t>
      </w:r>
      <w:r w:rsidRPr="00B479AE">
        <w:rPr>
          <w:rFonts w:ascii="Baskerville Old Face" w:hAnsi="Baskerville Old Face"/>
          <w:i/>
          <w:iCs/>
        </w:rPr>
        <w:t>decline;</w:t>
      </w:r>
    </w:p>
    <w:p w14:paraId="52518DD3" w14:textId="0C0FBC39" w:rsidR="00504071" w:rsidRPr="00B479AE" w:rsidRDefault="00A86E17" w:rsidP="00504071">
      <w:pPr>
        <w:spacing w:line="360" w:lineRule="auto"/>
        <w:rPr>
          <w:rFonts w:ascii="Baskerville Old Face" w:hAnsi="Baskerville Old Face"/>
          <w:i/>
          <w:iCs/>
        </w:rPr>
      </w:pPr>
      <w:r w:rsidRPr="00B479AE">
        <w:rPr>
          <w:rFonts w:ascii="Baskerville Old Face" w:hAnsi="Baskerville Old Face"/>
          <w:i/>
          <w:iCs/>
        </w:rPr>
        <w:t>capital-readiness quality may improve</w:t>
      </w:r>
      <w:r w:rsidR="00504071" w:rsidRPr="00B479AE">
        <w:rPr>
          <w:rFonts w:ascii="Baskerville Old Face" w:hAnsi="Baskerville Old Face"/>
          <w:i/>
          <w:iCs/>
        </w:rPr>
        <w:t>.</w:t>
      </w:r>
    </w:p>
    <w:p w14:paraId="1DBAB81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Risk compression must be demonstrated, not assumed.</w:t>
      </w:r>
    </w:p>
    <w:p w14:paraId="1F34F51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becomes financially relevant only when supported by evidence over time.</w:t>
      </w:r>
    </w:p>
    <w:p w14:paraId="4DAA552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Time-positive asset dynamics</w:t>
      </w:r>
    </w:p>
    <w:p w14:paraId="1A92B4E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Many conventional assets depreciate with time.</w:t>
      </w:r>
    </w:p>
    <w:p w14:paraId="0932F10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Buildings require maintenance.</w:t>
      </w:r>
    </w:p>
    <w:p w14:paraId="0255CE6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Machines lose efficiency.</w:t>
      </w:r>
    </w:p>
    <w:p w14:paraId="30DCCB2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Industrial systems often need replacement.</w:t>
      </w:r>
    </w:p>
    <w:p w14:paraId="216A0FF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Degraded agricultural systems may require increasing inputs to maintain output.</w:t>
      </w:r>
    </w:p>
    <w:p w14:paraId="7CF3C9E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Regenerative systems may follow a different dynamic when properly designed and managed.</w:t>
      </w:r>
    </w:p>
    <w:p w14:paraId="2F94915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As soil improves, water retention can increase.</w:t>
      </w:r>
    </w:p>
    <w:p w14:paraId="7198469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As biodiversity expands, resilience can strengthen.</w:t>
      </w:r>
    </w:p>
    <w:p w14:paraId="79D7F69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As biomass cycles, fertility can compound.</w:t>
      </w:r>
    </w:p>
    <w:p w14:paraId="6D1C482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As stewardship improves, interventions become more precise.</w:t>
      </w:r>
    </w:p>
    <w:p w14:paraId="710A35F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As data accumulates, uncertainty can decrease.</w:t>
      </w:r>
    </w:p>
    <w:p w14:paraId="2FC577E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As uncertainty decreases, underwriting quality can improve.</w:t>
      </w:r>
    </w:p>
    <w:p w14:paraId="4594FEA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creates the possibility of time-positive asset dynamics.</w:t>
      </w:r>
    </w:p>
    <w:p w14:paraId="7FF9450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Time-positive does not mean automatic appreciation.</w:t>
      </w:r>
    </w:p>
    <w:p w14:paraId="18DAC00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means that under verified regenerative conditions, the system may become more valuable as it matures.</w:t>
      </w:r>
    </w:p>
    <w:p w14:paraId="1B06220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is one of the defining characteristics of regenerative infrastructure.</w:t>
      </w:r>
    </w:p>
    <w:p w14:paraId="5553B9E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Regenerative Asset Pool</w:t>
      </w:r>
    </w:p>
    <w:p w14:paraId="080F096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Regenerative Asset Pool, or RAP, is the portfolio structure through which verified PRUs become institutional.</w:t>
      </w:r>
    </w:p>
    <w:p w14:paraId="43E8FA1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RAP aggregates PRUs across multiple regenerative units.</w:t>
      </w:r>
    </w:p>
    <w:p w14:paraId="237E315C" w14:textId="20616C35"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may include different geographies, climates, operators, maturity stages, species designs, revenue channels, and legal wrappers.</w:t>
      </w:r>
      <w:r w:rsidR="002E5EB1">
        <w:rPr>
          <w:rFonts w:ascii="Baskerville Old Face" w:hAnsi="Baskerville Old Face"/>
          <w:i/>
          <w:iCs/>
        </w:rPr>
        <w:t xml:space="preserve"> </w:t>
      </w:r>
      <w:r w:rsidRPr="00B479AE">
        <w:rPr>
          <w:rFonts w:ascii="Baskerville Old Face" w:hAnsi="Baskerville Old Face"/>
          <w:i/>
          <w:iCs/>
        </w:rPr>
        <w:t>The purpose of a RAP is to create:</w:t>
      </w:r>
    </w:p>
    <w:p w14:paraId="3B3866A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diversification;</w:t>
      </w:r>
    </w:p>
    <w:p w14:paraId="7DC79C9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risk distribution;</w:t>
      </w:r>
    </w:p>
    <w:p w14:paraId="6DCE367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portfolio monitoring;</w:t>
      </w:r>
    </w:p>
    <w:p w14:paraId="1B0CAB0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investor reporting;</w:t>
      </w:r>
    </w:p>
    <w:p w14:paraId="500A1B1C" w14:textId="675FBA21"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xml:space="preserve">• </w:t>
      </w:r>
      <w:r w:rsidR="001C0DFB" w:rsidRPr="00B479AE">
        <w:rPr>
          <w:rFonts w:ascii="Baskerville Old Face" w:hAnsi="Baskerville Old Face"/>
          <w:i/>
          <w:iCs/>
        </w:rPr>
        <w:t>maturity-classification logic</w:t>
      </w:r>
      <w:r w:rsidRPr="00B479AE">
        <w:rPr>
          <w:rFonts w:ascii="Baskerville Old Face" w:hAnsi="Baskerville Old Face"/>
          <w:i/>
          <w:iCs/>
        </w:rPr>
        <w:t>;</w:t>
      </w:r>
    </w:p>
    <w:p w14:paraId="2EBEECC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insurance or guarantee compatibility;</w:t>
      </w:r>
    </w:p>
    <w:p w14:paraId="6D8E151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capital deployment scale;</w:t>
      </w:r>
    </w:p>
    <w:p w14:paraId="7ECCC15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future securitization readiness;</w:t>
      </w:r>
    </w:p>
    <w:p w14:paraId="10211AD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institutional asset management.</w:t>
      </w:r>
    </w:p>
    <w:p w14:paraId="6110736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RAP is the bridge between project-level regeneration and portfolio-level finance.</w:t>
      </w:r>
    </w:p>
    <w:p w14:paraId="4F288F4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single regenerative unit can prove the model.</w:t>
      </w:r>
    </w:p>
    <w:p w14:paraId="620CCA7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RAP can scale it.</w:t>
      </w:r>
    </w:p>
    <w:p w14:paraId="1FBF275F" w14:textId="4D7939F8"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Portfolio construction</w:t>
      </w:r>
    </w:p>
    <w:p w14:paraId="0356249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RAP portfolio construction should consider multiple dimensions.</w:t>
      </w:r>
    </w:p>
    <w:p w14:paraId="1AC61D0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Geographic diversification</w:t>
      </w:r>
    </w:p>
    <w:p w14:paraId="3D54788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Different sites reduce exposure to local climate, regulatory, operational, or market shocks.</w:t>
      </w:r>
    </w:p>
    <w:p w14:paraId="6CA0847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Ecological diversification</w:t>
      </w:r>
    </w:p>
    <w:p w14:paraId="6507D17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Different species, designs, soil contexts, water systems, and biodiversity profiles reduce biological concentration risk.</w:t>
      </w:r>
    </w:p>
    <w:p w14:paraId="77FC315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Maturity diversification</w:t>
      </w:r>
    </w:p>
    <w:p w14:paraId="20FD2E9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Young systems may offer growth potential.</w:t>
      </w:r>
    </w:p>
    <w:p w14:paraId="2BF1575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Mature systems may offer evidence continuity and greater stability.</w:t>
      </w:r>
    </w:p>
    <w:p w14:paraId="64B12B9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Operator diversification</w:t>
      </w:r>
    </w:p>
    <w:p w14:paraId="7BE2A23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Different operators reduce dependence on one stewardship team.</w:t>
      </w:r>
    </w:p>
    <w:p w14:paraId="4075E7B4" w14:textId="3157F86C"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Revenue diversification</w:t>
      </w:r>
    </w:p>
    <w:p w14:paraId="0646C86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Hospitality, food, ecosystem services, education, data, procurement, and other revenues may behave differently across contexts.</w:t>
      </w:r>
    </w:p>
    <w:p w14:paraId="64839D84" w14:textId="0CB8CF88"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MRV diversification</w:t>
      </w:r>
    </w:p>
    <w:p w14:paraId="283EB95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Different evidence sources and verification methods strengthen the reliability of portfolio-level reporting.</w:t>
      </w:r>
    </w:p>
    <w:p w14:paraId="0958A65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The objective is not complexity for its own sake.</w:t>
      </w:r>
    </w:p>
    <w:p w14:paraId="28F1C40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objective is resilience.</w:t>
      </w:r>
    </w:p>
    <w:p w14:paraId="471B1C9A" w14:textId="77777777" w:rsidR="00CC71FB" w:rsidRPr="00B479AE" w:rsidRDefault="00CC71FB" w:rsidP="00CC71FB">
      <w:pPr>
        <w:spacing w:line="360" w:lineRule="auto"/>
        <w:rPr>
          <w:rFonts w:ascii="Baskerville Old Face" w:hAnsi="Baskerville Old Face"/>
          <w:b/>
          <w:bCs/>
          <w:i/>
          <w:iCs/>
        </w:rPr>
      </w:pPr>
      <w:r w:rsidRPr="00B479AE">
        <w:rPr>
          <w:rFonts w:ascii="Baskerville Old Face" w:hAnsi="Baskerville Old Face"/>
          <w:b/>
          <w:bCs/>
          <w:i/>
          <w:iCs/>
        </w:rPr>
        <w:t>PRU Maturity Classification</w:t>
      </w:r>
    </w:p>
    <w:p w14:paraId="76250C12" w14:textId="77777777" w:rsidR="00CC71FB" w:rsidRPr="00B479AE" w:rsidRDefault="00CC71FB" w:rsidP="00CC71FB">
      <w:pPr>
        <w:spacing w:line="360" w:lineRule="auto"/>
        <w:rPr>
          <w:rFonts w:ascii="Baskerville Old Face" w:hAnsi="Baskerville Old Face"/>
          <w:i/>
          <w:iCs/>
        </w:rPr>
      </w:pPr>
      <w:r w:rsidRPr="00B479AE">
        <w:rPr>
          <w:rFonts w:ascii="Baskerville Old Face" w:hAnsi="Baskerville Old Face"/>
          <w:i/>
          <w:iCs/>
        </w:rPr>
        <w:t>A PRU maturity classification system is necessary for institutional comparability.</w:t>
      </w:r>
    </w:p>
    <w:p w14:paraId="064CFD5D" w14:textId="77777777" w:rsidR="00CC71FB" w:rsidRPr="00B479AE" w:rsidRDefault="00CC71FB" w:rsidP="00CC71FB">
      <w:pPr>
        <w:spacing w:line="360" w:lineRule="auto"/>
        <w:rPr>
          <w:rFonts w:ascii="Baskerville Old Face" w:hAnsi="Baskerville Old Face"/>
          <w:i/>
          <w:iCs/>
        </w:rPr>
      </w:pPr>
      <w:r w:rsidRPr="00B479AE">
        <w:rPr>
          <w:rFonts w:ascii="Baskerville Old Face" w:hAnsi="Baskerville Old Face"/>
          <w:i/>
          <w:iCs/>
        </w:rPr>
        <w:t>The classification should evaluate ecological performance, evidence quality, methodology maturity, governance reliability, operational history, legal readiness, and capital-readiness.</w:t>
      </w:r>
    </w:p>
    <w:p w14:paraId="27DBE07D" w14:textId="73088540" w:rsidR="00B50E92" w:rsidRDefault="00CC71FB" w:rsidP="00CC71FB">
      <w:pPr>
        <w:spacing w:line="360" w:lineRule="auto"/>
        <w:rPr>
          <w:rFonts w:ascii="Baskerville Old Face" w:hAnsi="Baskerville Old Face"/>
          <w:i/>
          <w:iCs/>
        </w:rPr>
      </w:pPr>
      <w:r w:rsidRPr="00B479AE">
        <w:rPr>
          <w:rFonts w:ascii="Baskerville Old Face" w:hAnsi="Baskerville Old Face"/>
          <w:i/>
          <w:iCs/>
        </w:rPr>
        <w:t>The operative Prometheus-native maturity scale is:</w:t>
      </w:r>
      <w:r w:rsidR="002C2DB3">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4916"/>
        <w:gridCol w:w="2807"/>
      </w:tblGrid>
      <w:tr w:rsidR="00CC71FB" w:rsidRPr="00B479AE" w14:paraId="7AD36814" w14:textId="77777777" w:rsidTr="00CC71FB">
        <w:trPr>
          <w:tblHeader/>
          <w:tblCellSpacing w:w="15" w:type="dxa"/>
        </w:trPr>
        <w:tc>
          <w:tcPr>
            <w:tcW w:w="0" w:type="auto"/>
            <w:vAlign w:val="center"/>
            <w:hideMark/>
          </w:tcPr>
          <w:p w14:paraId="1FDBC8CD" w14:textId="77777777" w:rsidR="00CC71FB" w:rsidRPr="00B479AE" w:rsidRDefault="00CC71FB" w:rsidP="00CC71F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PRU maturity class</w:t>
            </w:r>
          </w:p>
        </w:tc>
        <w:tc>
          <w:tcPr>
            <w:tcW w:w="0" w:type="auto"/>
            <w:vAlign w:val="center"/>
            <w:hideMark/>
          </w:tcPr>
          <w:p w14:paraId="4DB3257B" w14:textId="77777777" w:rsidR="00CC71FB" w:rsidRPr="00B479AE" w:rsidRDefault="00CC71FB" w:rsidP="00CC71F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6CB1C4AF" w14:textId="77777777" w:rsidR="00CC71FB" w:rsidRPr="00B479AE" w:rsidRDefault="00CC71FB" w:rsidP="00CC71F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w:t>
            </w:r>
          </w:p>
        </w:tc>
      </w:tr>
      <w:tr w:rsidR="00CC71FB" w:rsidRPr="00B479AE" w14:paraId="364EC95D" w14:textId="77777777" w:rsidTr="00CC71FB">
        <w:trPr>
          <w:tblCellSpacing w:w="15" w:type="dxa"/>
        </w:trPr>
        <w:tc>
          <w:tcPr>
            <w:tcW w:w="0" w:type="auto"/>
            <w:vAlign w:val="center"/>
            <w:hideMark/>
          </w:tcPr>
          <w:p w14:paraId="1B4CC6DF"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PRU-R0 — Conceptual</w:t>
            </w:r>
          </w:p>
        </w:tc>
        <w:tc>
          <w:tcPr>
            <w:tcW w:w="0" w:type="auto"/>
            <w:vAlign w:val="center"/>
            <w:hideMark/>
          </w:tcPr>
          <w:p w14:paraId="6B76195F"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Methodology or project thesis exists, but evidence is preliminary</w:t>
            </w:r>
          </w:p>
        </w:tc>
        <w:tc>
          <w:tcPr>
            <w:tcW w:w="0" w:type="auto"/>
            <w:vAlign w:val="center"/>
            <w:hideMark/>
          </w:tcPr>
          <w:p w14:paraId="2CB852D7"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and pilot design</w:t>
            </w:r>
          </w:p>
        </w:tc>
      </w:tr>
      <w:tr w:rsidR="00CC71FB" w:rsidRPr="00B479AE" w14:paraId="6CA399C1" w14:textId="77777777" w:rsidTr="00CC71FB">
        <w:trPr>
          <w:tblCellSpacing w:w="15" w:type="dxa"/>
        </w:trPr>
        <w:tc>
          <w:tcPr>
            <w:tcW w:w="0" w:type="auto"/>
            <w:vAlign w:val="center"/>
            <w:hideMark/>
          </w:tcPr>
          <w:p w14:paraId="078FC4AA"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PRU-R1 — Observed</w:t>
            </w:r>
          </w:p>
        </w:tc>
        <w:tc>
          <w:tcPr>
            <w:tcW w:w="0" w:type="auto"/>
            <w:vAlign w:val="center"/>
            <w:hideMark/>
          </w:tcPr>
          <w:p w14:paraId="31785300"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Field observations and early records exist</w:t>
            </w:r>
          </w:p>
        </w:tc>
        <w:tc>
          <w:tcPr>
            <w:tcW w:w="0" w:type="auto"/>
            <w:vAlign w:val="center"/>
            <w:hideMark/>
          </w:tcPr>
          <w:p w14:paraId="7014E50A"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Internal monitoring and learning</w:t>
            </w:r>
          </w:p>
        </w:tc>
      </w:tr>
      <w:tr w:rsidR="00CC71FB" w:rsidRPr="00B479AE" w14:paraId="3BED6400" w14:textId="77777777" w:rsidTr="00CC71FB">
        <w:trPr>
          <w:tblCellSpacing w:w="15" w:type="dxa"/>
        </w:trPr>
        <w:tc>
          <w:tcPr>
            <w:tcW w:w="0" w:type="auto"/>
            <w:vAlign w:val="center"/>
            <w:hideMark/>
          </w:tcPr>
          <w:p w14:paraId="5B4E7B52"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PRU-R2 — Evidence-backed</w:t>
            </w:r>
          </w:p>
        </w:tc>
        <w:tc>
          <w:tcPr>
            <w:tcW w:w="0" w:type="auto"/>
            <w:vAlign w:val="center"/>
            <w:hideMark/>
          </w:tcPr>
          <w:p w14:paraId="6CDDDC84"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with provenance supports selected indicators</w:t>
            </w:r>
          </w:p>
        </w:tc>
        <w:tc>
          <w:tcPr>
            <w:tcW w:w="0" w:type="auto"/>
            <w:vAlign w:val="center"/>
            <w:hideMark/>
          </w:tcPr>
          <w:p w14:paraId="1661AB18"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MRV development and pilot reporting</w:t>
            </w:r>
          </w:p>
        </w:tc>
      </w:tr>
      <w:tr w:rsidR="00CC71FB" w:rsidRPr="00B479AE" w14:paraId="46392D18" w14:textId="77777777" w:rsidTr="00CC71FB">
        <w:trPr>
          <w:tblCellSpacing w:w="15" w:type="dxa"/>
        </w:trPr>
        <w:tc>
          <w:tcPr>
            <w:tcW w:w="0" w:type="auto"/>
            <w:vAlign w:val="center"/>
            <w:hideMark/>
          </w:tcPr>
          <w:p w14:paraId="1D223B41"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PRU-R3 — MRV-admissible</w:t>
            </w:r>
          </w:p>
        </w:tc>
        <w:tc>
          <w:tcPr>
            <w:tcW w:w="0" w:type="auto"/>
            <w:vAlign w:val="center"/>
            <w:hideMark/>
          </w:tcPr>
          <w:p w14:paraId="4547EBA1"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meets MRV methodology under defined scope</w:t>
            </w:r>
          </w:p>
        </w:tc>
        <w:tc>
          <w:tcPr>
            <w:tcW w:w="0" w:type="auto"/>
            <w:vAlign w:val="center"/>
            <w:hideMark/>
          </w:tcPr>
          <w:p w14:paraId="7327501C"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Controlled reporting and institutional diligence</w:t>
            </w:r>
          </w:p>
        </w:tc>
      </w:tr>
      <w:tr w:rsidR="00CC71FB" w:rsidRPr="00B479AE" w14:paraId="23A5827C" w14:textId="77777777" w:rsidTr="00CC71FB">
        <w:trPr>
          <w:tblCellSpacing w:w="15" w:type="dxa"/>
        </w:trPr>
        <w:tc>
          <w:tcPr>
            <w:tcW w:w="0" w:type="auto"/>
            <w:vAlign w:val="center"/>
            <w:hideMark/>
          </w:tcPr>
          <w:p w14:paraId="1A83D35A"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PRU-R4 — PRU-eligible</w:t>
            </w:r>
          </w:p>
        </w:tc>
        <w:tc>
          <w:tcPr>
            <w:tcW w:w="0" w:type="auto"/>
            <w:vAlign w:val="center"/>
            <w:hideMark/>
          </w:tcPr>
          <w:p w14:paraId="4E4FF12C"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may support PRU analysis under approved methodology</w:t>
            </w:r>
          </w:p>
        </w:tc>
        <w:tc>
          <w:tcPr>
            <w:tcW w:w="0" w:type="auto"/>
            <w:vAlign w:val="center"/>
            <w:hideMark/>
          </w:tcPr>
          <w:p w14:paraId="6BE3F7C7"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 report and capital-readiness review</w:t>
            </w:r>
          </w:p>
        </w:tc>
      </w:tr>
      <w:tr w:rsidR="00CC71FB" w:rsidRPr="00B479AE" w14:paraId="5F6F4123" w14:textId="77777777" w:rsidTr="00CC71FB">
        <w:trPr>
          <w:tblCellSpacing w:w="15" w:type="dxa"/>
        </w:trPr>
        <w:tc>
          <w:tcPr>
            <w:tcW w:w="0" w:type="auto"/>
            <w:vAlign w:val="center"/>
            <w:hideMark/>
          </w:tcPr>
          <w:p w14:paraId="1F8B85D2"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PRU-R5 — Reviewed</w:t>
            </w:r>
          </w:p>
        </w:tc>
        <w:tc>
          <w:tcPr>
            <w:tcW w:w="0" w:type="auto"/>
            <w:vAlign w:val="center"/>
            <w:hideMark/>
          </w:tcPr>
          <w:p w14:paraId="46999AA9"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 analysis has undergone appropriate review</w:t>
            </w:r>
          </w:p>
        </w:tc>
        <w:tc>
          <w:tcPr>
            <w:tcW w:w="0" w:type="auto"/>
            <w:vAlign w:val="center"/>
            <w:hideMark/>
          </w:tcPr>
          <w:p w14:paraId="0DCF2947"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Portfolio screening and underwriting support</w:t>
            </w:r>
          </w:p>
        </w:tc>
      </w:tr>
      <w:tr w:rsidR="00CC71FB" w:rsidRPr="00B479AE" w14:paraId="1D5AF504" w14:textId="77777777" w:rsidTr="00CC71FB">
        <w:trPr>
          <w:tblCellSpacing w:w="15" w:type="dxa"/>
        </w:trPr>
        <w:tc>
          <w:tcPr>
            <w:tcW w:w="0" w:type="auto"/>
            <w:vAlign w:val="center"/>
            <w:hideMark/>
          </w:tcPr>
          <w:p w14:paraId="4A22CC55"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PRU-R6 — Structured-ready</w:t>
            </w:r>
          </w:p>
        </w:tc>
        <w:tc>
          <w:tcPr>
            <w:tcW w:w="0" w:type="auto"/>
            <w:vAlign w:val="center"/>
            <w:hideMark/>
          </w:tcPr>
          <w:p w14:paraId="3405B2F2"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Legal, governance, MRV, and reporting elements are sufficiently mature for structuring review</w:t>
            </w:r>
          </w:p>
        </w:tc>
        <w:tc>
          <w:tcPr>
            <w:tcW w:w="0" w:type="auto"/>
            <w:vAlign w:val="center"/>
            <w:hideMark/>
          </w:tcPr>
          <w:p w14:paraId="59AEAE20"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Possible legal instrument design</w:t>
            </w:r>
          </w:p>
        </w:tc>
      </w:tr>
      <w:tr w:rsidR="00CC71FB" w:rsidRPr="00B479AE" w14:paraId="4C6D3CC1" w14:textId="77777777" w:rsidTr="00CC71FB">
        <w:trPr>
          <w:tblCellSpacing w:w="15" w:type="dxa"/>
        </w:trPr>
        <w:tc>
          <w:tcPr>
            <w:tcW w:w="0" w:type="auto"/>
            <w:vAlign w:val="center"/>
            <w:hideMark/>
          </w:tcPr>
          <w:p w14:paraId="457669CD"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PRU-R7 — Legally structured</w:t>
            </w:r>
          </w:p>
        </w:tc>
        <w:tc>
          <w:tcPr>
            <w:tcW w:w="0" w:type="auto"/>
            <w:vAlign w:val="center"/>
            <w:hideMark/>
          </w:tcPr>
          <w:p w14:paraId="6AC5C505"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PRU logic is connected to a compliant legal instrument</w:t>
            </w:r>
          </w:p>
        </w:tc>
        <w:tc>
          <w:tcPr>
            <w:tcW w:w="0" w:type="auto"/>
            <w:vAlign w:val="center"/>
            <w:hideMark/>
          </w:tcPr>
          <w:p w14:paraId="40245211" w14:textId="77777777" w:rsidR="00CC71FB" w:rsidRPr="00B479AE" w:rsidRDefault="00CC71FB" w:rsidP="00CC71FB">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Controlled capital deployment </w:t>
            </w:r>
            <w:proofErr w:type="gramStart"/>
            <w:r w:rsidRPr="00B479AE">
              <w:rPr>
                <w:rFonts w:ascii="Baskerville Old Face" w:hAnsi="Baskerville Old Face"/>
                <w:i/>
                <w:iCs/>
                <w:sz w:val="22"/>
                <w:szCs w:val="22"/>
              </w:rPr>
              <w:t>where</w:t>
            </w:r>
            <w:proofErr w:type="gramEnd"/>
            <w:r w:rsidRPr="00B479AE">
              <w:rPr>
                <w:rFonts w:ascii="Baskerville Old Face" w:hAnsi="Baskerville Old Face"/>
                <w:i/>
                <w:iCs/>
                <w:sz w:val="22"/>
                <w:szCs w:val="22"/>
              </w:rPr>
              <w:t xml:space="preserve"> permitted</w:t>
            </w:r>
          </w:p>
        </w:tc>
      </w:tr>
    </w:tbl>
    <w:p w14:paraId="1526C1BA"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Classification criteria may include:</w:t>
      </w:r>
    </w:p>
    <w:p w14:paraId="0AE2B9F1"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lastRenderedPageBreak/>
        <w:t>ecological performance;</w:t>
      </w:r>
      <w:r w:rsidRPr="00B479AE">
        <w:rPr>
          <w:rFonts w:ascii="Baskerville Old Face" w:hAnsi="Baskerville Old Face"/>
          <w:i/>
          <w:iCs/>
        </w:rPr>
        <w:br/>
        <w:t>productive stability;</w:t>
      </w:r>
      <w:r w:rsidRPr="00B479AE">
        <w:rPr>
          <w:rFonts w:ascii="Baskerville Old Face" w:hAnsi="Baskerville Old Face"/>
          <w:i/>
          <w:iCs/>
        </w:rPr>
        <w:br/>
        <w:t>hydrological resilience;</w:t>
      </w:r>
      <w:r w:rsidRPr="00B479AE">
        <w:rPr>
          <w:rFonts w:ascii="Baskerville Old Face" w:hAnsi="Baskerville Old Face"/>
          <w:i/>
          <w:iCs/>
        </w:rPr>
        <w:br/>
        <w:t>soil function;</w:t>
      </w:r>
      <w:r w:rsidRPr="00B479AE">
        <w:rPr>
          <w:rFonts w:ascii="Baskerville Old Face" w:hAnsi="Baskerville Old Face"/>
          <w:i/>
          <w:iCs/>
        </w:rPr>
        <w:br/>
        <w:t>biodiversity;</w:t>
      </w:r>
      <w:r w:rsidRPr="00B479AE">
        <w:rPr>
          <w:rFonts w:ascii="Baskerville Old Face" w:hAnsi="Baskerville Old Face"/>
          <w:i/>
          <w:iCs/>
        </w:rPr>
        <w:br/>
        <w:t>input independence;</w:t>
      </w:r>
      <w:r w:rsidRPr="00B479AE">
        <w:rPr>
          <w:rFonts w:ascii="Baskerville Old Face" w:hAnsi="Baskerville Old Face"/>
          <w:i/>
          <w:iCs/>
        </w:rPr>
        <w:br/>
        <w:t>MRV integrity;</w:t>
      </w:r>
      <w:r w:rsidRPr="00B479AE">
        <w:rPr>
          <w:rFonts w:ascii="Baskerville Old Face" w:hAnsi="Baskerville Old Face"/>
          <w:i/>
          <w:iCs/>
        </w:rPr>
        <w:br/>
        <w:t>confidence score;</w:t>
      </w:r>
      <w:r w:rsidRPr="00B479AE">
        <w:rPr>
          <w:rFonts w:ascii="Baskerville Old Face" w:hAnsi="Baskerville Old Face"/>
          <w:i/>
          <w:iCs/>
        </w:rPr>
        <w:br/>
        <w:t>operational history;</w:t>
      </w:r>
      <w:r w:rsidRPr="00B479AE">
        <w:rPr>
          <w:rFonts w:ascii="Baskerville Old Face" w:hAnsi="Baskerville Old Face"/>
          <w:i/>
          <w:iCs/>
        </w:rPr>
        <w:br/>
        <w:t>governance reliability;</w:t>
      </w:r>
      <w:r w:rsidRPr="00B479AE">
        <w:rPr>
          <w:rFonts w:ascii="Baskerville Old Face" w:hAnsi="Baskerville Old Face"/>
          <w:i/>
          <w:iCs/>
        </w:rPr>
        <w:br/>
        <w:t>legal structure;</w:t>
      </w:r>
      <w:r w:rsidRPr="00B479AE">
        <w:rPr>
          <w:rFonts w:ascii="Baskerville Old Face" w:hAnsi="Baskerville Old Face"/>
          <w:i/>
          <w:iCs/>
        </w:rPr>
        <w:br/>
        <w:t>revenue quality;</w:t>
      </w:r>
      <w:r w:rsidRPr="00B479AE">
        <w:rPr>
          <w:rFonts w:ascii="Baskerville Old Face" w:hAnsi="Baskerville Old Face"/>
          <w:i/>
          <w:iCs/>
        </w:rPr>
        <w:br/>
        <w:t>adverse event history;</w:t>
      </w:r>
      <w:r w:rsidRPr="00B479AE">
        <w:rPr>
          <w:rFonts w:ascii="Baskerville Old Face" w:hAnsi="Baskerville Old Face"/>
          <w:i/>
          <w:iCs/>
        </w:rPr>
        <w:br/>
        <w:t>portfolio fit.</w:t>
      </w:r>
    </w:p>
    <w:p w14:paraId="3703FCF6"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These classes are analytical maturity classes.</w:t>
      </w:r>
    </w:p>
    <w:p w14:paraId="2F0C3BDD"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They are not official credit ratings.</w:t>
      </w:r>
    </w:p>
    <w:p w14:paraId="0361669B"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They are not securities ratings.</w:t>
      </w:r>
    </w:p>
    <w:p w14:paraId="4AA9E934"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They are not regulated investment ratings.</w:t>
      </w:r>
    </w:p>
    <w:p w14:paraId="73643FC3"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They are not guarantees.</w:t>
      </w:r>
    </w:p>
    <w:p w14:paraId="67EF0DCE"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They are not promises of return.</w:t>
      </w:r>
    </w:p>
    <w:p w14:paraId="433AF928"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The threshold for inclusion in more institutional pools may be set at a minimum Prometheus-native maturity class, such as PRU-R4, PRU-R5, or PRU-R6, depending on methodology maturity, MRV admissibility, legal structure, investor mandate, and portfolio-governance requirements.</w:t>
      </w:r>
    </w:p>
    <w:p w14:paraId="4875432E"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A PRU maturity class is not a moral judgment.</w:t>
      </w:r>
    </w:p>
    <w:p w14:paraId="559F18C5"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It is an institutional readiness tool.</w:t>
      </w:r>
    </w:p>
    <w:p w14:paraId="53862E55" w14:textId="77777777" w:rsidR="00C37A2A" w:rsidRPr="00B479AE" w:rsidRDefault="00C37A2A" w:rsidP="00C37A2A">
      <w:pPr>
        <w:spacing w:line="360" w:lineRule="auto"/>
        <w:rPr>
          <w:rFonts w:ascii="Baskerville Old Face" w:hAnsi="Baskerville Old Face"/>
          <w:i/>
          <w:iCs/>
        </w:rPr>
      </w:pPr>
      <w:r w:rsidRPr="00B479AE">
        <w:rPr>
          <w:rFonts w:ascii="Baskerville Old Face" w:hAnsi="Baskerville Old Face"/>
          <w:i/>
          <w:iCs/>
        </w:rPr>
        <w:t>It helps capital understand evidence, maturity, and risk without detaching value from ecology.</w:t>
      </w:r>
    </w:p>
    <w:p w14:paraId="5350E054" w14:textId="7A1206A8" w:rsidR="00504071" w:rsidRPr="00B479AE" w:rsidRDefault="007113D5" w:rsidP="00504071">
      <w:pPr>
        <w:spacing w:line="360" w:lineRule="auto"/>
        <w:rPr>
          <w:rFonts w:ascii="Baskerville Old Face" w:hAnsi="Baskerville Old Face"/>
          <w:i/>
          <w:iCs/>
        </w:rPr>
      </w:pPr>
      <w:r w:rsidRPr="00B479AE">
        <w:rPr>
          <w:rFonts w:ascii="Baskerville Old Face" w:hAnsi="Baskerville Old Face"/>
          <w:b/>
          <w:bCs/>
          <w:i/>
          <w:iCs/>
        </w:rPr>
        <w:t xml:space="preserve">PRU Maturity Evolution </w:t>
      </w:r>
    </w:p>
    <w:p w14:paraId="0F468983"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lastRenderedPageBreak/>
        <w:t>PRU maturity classes should evolve over time.</w:t>
      </w:r>
    </w:p>
    <w:p w14:paraId="201615B9"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A new regenerative unit may begin with limited data and therefore lower confidence.</w:t>
      </w:r>
    </w:p>
    <w:p w14:paraId="0A4C175A"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If the system performs well, accumulates evidence, improves ecological indicators, reduces variance, and maintains governance discipline, its maturity class may improve.</w:t>
      </w:r>
    </w:p>
    <w:p w14:paraId="24289391"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If the system underperforms, loses data integrity, experiences governance failure, fails to meet ecological thresholds, or weakens its legal, operational, or MRV basis, its maturity class may decline.</w:t>
      </w:r>
    </w:p>
    <w:p w14:paraId="43B1DA2C"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This dynamic process is essential.</w:t>
      </w:r>
    </w:p>
    <w:p w14:paraId="190BA22D"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Regenerative finance should reward actual maturation, not static projection.</w:t>
      </w:r>
    </w:p>
    <w:p w14:paraId="6E596A2B"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The PRU maturity-classification system therefore creates incentives for long-term stewardship, evidence continuity, governance reliability, and verified ecological improvement.</w:t>
      </w:r>
    </w:p>
    <w:p w14:paraId="774ADAF2" w14:textId="77777777" w:rsidR="007113D5" w:rsidRPr="002E5EB1" w:rsidRDefault="007113D5" w:rsidP="007113D5">
      <w:pPr>
        <w:spacing w:line="360" w:lineRule="auto"/>
        <w:rPr>
          <w:rFonts w:ascii="Baskerville Old Face" w:hAnsi="Baskerville Old Face"/>
          <w:i/>
          <w:iCs/>
        </w:rPr>
      </w:pPr>
      <w:r w:rsidRPr="00B479AE">
        <w:rPr>
          <w:rFonts w:ascii="Baskerville Old Face" w:hAnsi="Baskerville Old Face"/>
          <w:i/>
          <w:iCs/>
        </w:rPr>
        <w:t>The maturity evolution pathway may be summarized as:</w:t>
      </w:r>
    </w:p>
    <w:p w14:paraId="0DBE6257" w14:textId="77777777" w:rsidR="007113D5" w:rsidRPr="002E5EB1" w:rsidRDefault="007113D5" w:rsidP="007113D5">
      <w:pPr>
        <w:spacing w:line="360" w:lineRule="auto"/>
        <w:rPr>
          <w:rFonts w:ascii="Baskerville Old Face" w:hAnsi="Baskerville Old Face"/>
          <w:i/>
          <w:iCs/>
        </w:rPr>
      </w:pPr>
      <w:r w:rsidRPr="002E5EB1">
        <w:rPr>
          <w:rFonts w:ascii="Baskerville Old Face" w:hAnsi="Baskerville Old Face"/>
          <w:i/>
          <w:iCs/>
        </w:rPr>
        <w:t xml:space="preserve">time </w:t>
      </w:r>
      <w:r w:rsidRPr="002E5EB1">
        <w:rPr>
          <w:rFonts w:ascii="Times New Roman" w:hAnsi="Times New Roman" w:cs="Times New Roman"/>
          <w:i/>
          <w:iCs/>
        </w:rPr>
        <w:t>→</w:t>
      </w:r>
      <w:r w:rsidRPr="002E5EB1">
        <w:rPr>
          <w:rFonts w:ascii="Baskerville Old Face" w:hAnsi="Baskerville Old Face"/>
          <w:i/>
          <w:iCs/>
        </w:rPr>
        <w:t xml:space="preserve"> evidence </w:t>
      </w:r>
      <w:r w:rsidRPr="002E5EB1">
        <w:rPr>
          <w:rFonts w:ascii="Times New Roman" w:hAnsi="Times New Roman" w:cs="Times New Roman"/>
          <w:i/>
          <w:iCs/>
        </w:rPr>
        <w:t>→</w:t>
      </w:r>
      <w:r w:rsidRPr="002E5EB1">
        <w:rPr>
          <w:rFonts w:ascii="Baskerville Old Face" w:hAnsi="Baskerville Old Face"/>
          <w:i/>
          <w:iCs/>
        </w:rPr>
        <w:t xml:space="preserve"> confidence </w:t>
      </w:r>
      <w:r w:rsidRPr="002E5EB1">
        <w:rPr>
          <w:rFonts w:ascii="Times New Roman" w:hAnsi="Times New Roman" w:cs="Times New Roman"/>
          <w:i/>
          <w:iCs/>
        </w:rPr>
        <w:t>→</w:t>
      </w:r>
      <w:r w:rsidRPr="002E5EB1">
        <w:rPr>
          <w:rFonts w:ascii="Baskerville Old Face" w:hAnsi="Baskerville Old Face"/>
          <w:i/>
          <w:iCs/>
        </w:rPr>
        <w:t xml:space="preserve"> risk adjustment </w:t>
      </w:r>
      <w:r w:rsidRPr="002E5EB1">
        <w:rPr>
          <w:rFonts w:ascii="Times New Roman" w:hAnsi="Times New Roman" w:cs="Times New Roman"/>
          <w:i/>
          <w:iCs/>
        </w:rPr>
        <w:t>→</w:t>
      </w:r>
      <w:r w:rsidRPr="002E5EB1">
        <w:rPr>
          <w:rFonts w:ascii="Baskerville Old Face" w:hAnsi="Baskerville Old Face"/>
          <w:i/>
          <w:iCs/>
        </w:rPr>
        <w:t xml:space="preserve"> maturity-class evolution</w:t>
      </w:r>
    </w:p>
    <w:p w14:paraId="5BCF50C9" w14:textId="77777777" w:rsidR="007113D5" w:rsidRPr="00B479AE" w:rsidRDefault="007113D5" w:rsidP="007113D5">
      <w:pPr>
        <w:spacing w:line="360" w:lineRule="auto"/>
        <w:rPr>
          <w:rFonts w:ascii="Baskerville Old Face" w:hAnsi="Baskerville Old Face"/>
          <w:i/>
          <w:iCs/>
        </w:rPr>
      </w:pPr>
      <w:r w:rsidRPr="00B479AE">
        <w:rPr>
          <w:rFonts w:ascii="Baskerville Old Face" w:hAnsi="Baskerville Old Face"/>
          <w:i/>
          <w:iCs/>
        </w:rPr>
        <w:t>The objective is not to assign prestige.</w:t>
      </w:r>
    </w:p>
    <w:p w14:paraId="3B5B1D2A" w14:textId="7B186C34" w:rsidR="007113D5" w:rsidRDefault="007113D5" w:rsidP="007113D5">
      <w:pPr>
        <w:spacing w:line="360" w:lineRule="auto"/>
        <w:rPr>
          <w:rFonts w:ascii="Baskerville Old Face" w:hAnsi="Baskerville Old Face"/>
          <w:i/>
          <w:iCs/>
        </w:rPr>
      </w:pPr>
      <w:r w:rsidRPr="00B479AE">
        <w:rPr>
          <w:rFonts w:ascii="Baskerville Old Face" w:hAnsi="Baskerville Old Face"/>
          <w:i/>
          <w:iCs/>
        </w:rPr>
        <w:t>The objective is to make regenerative performance comparable, monitorable, reviewable, and capital-admissible without presenting Prometheus maturity classes as regulated credit ratings, securities ratings, or investment ratings.</w:t>
      </w:r>
      <w:r w:rsidR="0027178C">
        <w:rPr>
          <w:rFonts w:ascii="Baskerville Old Face" w:hAnsi="Baskerville Old Face"/>
          <w:i/>
          <w:iCs/>
        </w:rPr>
        <w:t xml:space="preserve"> </w:t>
      </w:r>
    </w:p>
    <w:p w14:paraId="0AC8D15E" w14:textId="77777777" w:rsidR="00676D74" w:rsidRPr="00B479AE" w:rsidRDefault="00676D74" w:rsidP="00676D74">
      <w:pPr>
        <w:spacing w:line="360" w:lineRule="auto"/>
        <w:rPr>
          <w:rFonts w:ascii="Baskerville Old Face" w:hAnsi="Baskerville Old Face"/>
          <w:b/>
          <w:bCs/>
          <w:i/>
          <w:iCs/>
        </w:rPr>
      </w:pPr>
      <w:r w:rsidRPr="00B479AE">
        <w:rPr>
          <w:rFonts w:ascii="Baskerville Old Face" w:hAnsi="Baskerville Old Face"/>
          <w:b/>
          <w:bCs/>
          <w:i/>
          <w:iCs/>
        </w:rPr>
        <w:t>Investor Reporting Architecture</w:t>
      </w:r>
    </w:p>
    <w:p w14:paraId="149E0199" w14:textId="77777777" w:rsidR="00676D74" w:rsidRPr="00B479AE" w:rsidRDefault="00676D74" w:rsidP="00676D74">
      <w:pPr>
        <w:spacing w:line="360" w:lineRule="auto"/>
        <w:rPr>
          <w:rFonts w:ascii="Baskerville Old Face" w:hAnsi="Baskerville Old Face"/>
          <w:i/>
          <w:iCs/>
        </w:rPr>
      </w:pPr>
      <w:r w:rsidRPr="00B479AE">
        <w:rPr>
          <w:rFonts w:ascii="Baskerville Old Face" w:hAnsi="Baskerville Old Face"/>
          <w:i/>
          <w:iCs/>
        </w:rPr>
        <w:t>Investor reporting within Prometheus should integrate financial, ecological, operational, governance, legal, and risk data.</w:t>
      </w:r>
    </w:p>
    <w:p w14:paraId="5548276A" w14:textId="34174172" w:rsidR="00676D74" w:rsidRDefault="00676D74" w:rsidP="00676D74">
      <w:pPr>
        <w:spacing w:line="360" w:lineRule="auto"/>
        <w:rPr>
          <w:rFonts w:ascii="Baskerville Old Face" w:hAnsi="Baskerville Old Face"/>
          <w:i/>
          <w:iCs/>
        </w:rPr>
      </w:pPr>
      <w:r w:rsidRPr="00B479AE">
        <w:rPr>
          <w:rFonts w:ascii="Baskerville Old Face" w:hAnsi="Baskerville Old Face"/>
          <w:i/>
          <w:iCs/>
        </w:rPr>
        <w:t>A mature report may include the following components:</w:t>
      </w:r>
      <w:r w:rsidR="002C2DB3">
        <w:rPr>
          <w:rFonts w:ascii="Baskerville Old Face" w:hAnsi="Baskerville Old Face"/>
          <w:i/>
          <w:iCs/>
        </w:rPr>
        <w:t xml:space="preserve"> </w:t>
      </w:r>
    </w:p>
    <w:p w14:paraId="54A9AD6C" w14:textId="77777777" w:rsidR="00550ABB" w:rsidRDefault="00550ABB" w:rsidP="00676D74">
      <w:pPr>
        <w:spacing w:line="360" w:lineRule="auto"/>
        <w:rPr>
          <w:rFonts w:ascii="Baskerville Old Face" w:hAnsi="Baskerville Old Face"/>
          <w:i/>
          <w:iCs/>
        </w:rPr>
      </w:pPr>
    </w:p>
    <w:p w14:paraId="15CC9A1A" w14:textId="77777777" w:rsidR="00550ABB" w:rsidRDefault="00550ABB" w:rsidP="00676D74">
      <w:pPr>
        <w:spacing w:line="360" w:lineRule="auto"/>
        <w:rPr>
          <w:rFonts w:ascii="Baskerville Old Face" w:hAnsi="Baskerville Old Face"/>
          <w:i/>
          <w:iCs/>
        </w:rPr>
      </w:pPr>
    </w:p>
    <w:p w14:paraId="79C4DE64" w14:textId="77777777" w:rsidR="00550ABB" w:rsidRDefault="00550ABB" w:rsidP="00676D74">
      <w:pPr>
        <w:spacing w:line="360" w:lineRule="auto"/>
        <w:rPr>
          <w:rFonts w:ascii="Baskerville Old Face" w:hAnsi="Baskerville Old Face"/>
          <w:i/>
          <w:iCs/>
        </w:rPr>
      </w:pPr>
    </w:p>
    <w:p w14:paraId="324E6004" w14:textId="77777777" w:rsidR="00550ABB" w:rsidRDefault="00550ABB" w:rsidP="00676D74">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6939"/>
      </w:tblGrid>
      <w:tr w:rsidR="002067CD" w:rsidRPr="00B479AE" w14:paraId="143DE476" w14:textId="77777777" w:rsidTr="00D71AA3">
        <w:trPr>
          <w:tblHeader/>
          <w:tblCellSpacing w:w="15" w:type="dxa"/>
        </w:trPr>
        <w:tc>
          <w:tcPr>
            <w:tcW w:w="2644" w:type="dxa"/>
            <w:vAlign w:val="center"/>
            <w:hideMark/>
          </w:tcPr>
          <w:p w14:paraId="2A70B34A" w14:textId="77777777" w:rsidR="002067CD" w:rsidRPr="00B479AE" w:rsidRDefault="002067CD" w:rsidP="002067CD">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lastRenderedPageBreak/>
              <w:t>Reporting component</w:t>
            </w:r>
          </w:p>
        </w:tc>
        <w:tc>
          <w:tcPr>
            <w:tcW w:w="6894" w:type="dxa"/>
            <w:vAlign w:val="center"/>
            <w:hideMark/>
          </w:tcPr>
          <w:p w14:paraId="409AF88C" w14:textId="77777777" w:rsidR="002067CD" w:rsidRPr="00B479AE" w:rsidRDefault="002067CD" w:rsidP="002067CD">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Purpose</w:t>
            </w:r>
          </w:p>
        </w:tc>
      </w:tr>
      <w:tr w:rsidR="002067CD" w:rsidRPr="00B479AE" w14:paraId="2D0D3CCB" w14:textId="77777777" w:rsidTr="00D71AA3">
        <w:trPr>
          <w:tblCellSpacing w:w="15" w:type="dxa"/>
        </w:trPr>
        <w:tc>
          <w:tcPr>
            <w:tcW w:w="2644" w:type="dxa"/>
            <w:vAlign w:val="center"/>
            <w:hideMark/>
          </w:tcPr>
          <w:p w14:paraId="25722EED" w14:textId="06F797A6" w:rsidR="002067CD" w:rsidRPr="00B479AE" w:rsidRDefault="00E83CD3"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NAV or indicative value analysis</w:t>
            </w:r>
          </w:p>
        </w:tc>
        <w:tc>
          <w:tcPr>
            <w:tcW w:w="6894" w:type="dxa"/>
            <w:vAlign w:val="center"/>
            <w:hideMark/>
          </w:tcPr>
          <w:p w14:paraId="287F0C72" w14:textId="06C9B3A8" w:rsidR="00DC1A30" w:rsidRPr="00B479AE" w:rsidRDefault="00DC1A30"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financial position or value interpretation where legally and methodologically appropriate</w:t>
            </w:r>
          </w:p>
        </w:tc>
      </w:tr>
      <w:tr w:rsidR="002067CD" w:rsidRPr="00B479AE" w14:paraId="304504BD" w14:textId="77777777" w:rsidTr="00D71AA3">
        <w:trPr>
          <w:tblCellSpacing w:w="15" w:type="dxa"/>
        </w:trPr>
        <w:tc>
          <w:tcPr>
            <w:tcW w:w="2644" w:type="dxa"/>
            <w:vAlign w:val="center"/>
            <w:hideMark/>
          </w:tcPr>
          <w:p w14:paraId="6FE2073E" w14:textId="2E467A32"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PRU score</w:t>
            </w:r>
            <w:r w:rsidR="00F440C7" w:rsidRPr="00B479AE">
              <w:rPr>
                <w:rFonts w:ascii="Baskerville Old Face" w:hAnsi="Baskerville Old Face"/>
                <w:i/>
                <w:iCs/>
                <w:sz w:val="18"/>
                <w:szCs w:val="18"/>
              </w:rPr>
              <w:t>,</w:t>
            </w:r>
            <w:r w:rsidR="00F440C7" w:rsidRPr="00B479AE">
              <w:rPr>
                <w:sz w:val="18"/>
                <w:szCs w:val="18"/>
              </w:rPr>
              <w:t xml:space="preserve"> </w:t>
            </w:r>
            <w:r w:rsidR="00F440C7" w:rsidRPr="00B479AE">
              <w:rPr>
                <w:rFonts w:ascii="Baskerville Old Face" w:hAnsi="Baskerville Old Face"/>
                <w:i/>
                <w:iCs/>
                <w:sz w:val="18"/>
                <w:szCs w:val="18"/>
              </w:rPr>
              <w:t>where methodology supports such use</w:t>
            </w:r>
          </w:p>
        </w:tc>
        <w:tc>
          <w:tcPr>
            <w:tcW w:w="6894" w:type="dxa"/>
            <w:vAlign w:val="center"/>
            <w:hideMark/>
          </w:tcPr>
          <w:p w14:paraId="4D3CCB03" w14:textId="08AA8823" w:rsidR="002067CD" w:rsidRPr="00B479AE" w:rsidRDefault="00F440C7"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Summarizes regenerative performance under an applicable methodology </w:t>
            </w:r>
          </w:p>
        </w:tc>
      </w:tr>
      <w:tr w:rsidR="002067CD" w:rsidRPr="00B479AE" w14:paraId="796453C8" w14:textId="77777777" w:rsidTr="00D71AA3">
        <w:trPr>
          <w:tblCellSpacing w:w="15" w:type="dxa"/>
        </w:trPr>
        <w:tc>
          <w:tcPr>
            <w:tcW w:w="2644" w:type="dxa"/>
            <w:vAlign w:val="center"/>
            <w:hideMark/>
          </w:tcPr>
          <w:p w14:paraId="62D3878C"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PRU maturity class</w:t>
            </w:r>
          </w:p>
        </w:tc>
        <w:tc>
          <w:tcPr>
            <w:tcW w:w="6894" w:type="dxa"/>
            <w:vAlign w:val="center"/>
            <w:hideMark/>
          </w:tcPr>
          <w:p w14:paraId="6803EB3C"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readiness level, such as PRU-R0 through PRU-R7</w:t>
            </w:r>
          </w:p>
        </w:tc>
      </w:tr>
      <w:tr w:rsidR="002067CD" w:rsidRPr="00B479AE" w14:paraId="2F236388" w14:textId="77777777" w:rsidTr="00D71AA3">
        <w:trPr>
          <w:tblCellSpacing w:w="15" w:type="dxa"/>
        </w:trPr>
        <w:tc>
          <w:tcPr>
            <w:tcW w:w="2644" w:type="dxa"/>
            <w:vAlign w:val="center"/>
            <w:hideMark/>
          </w:tcPr>
          <w:p w14:paraId="18EF0A95"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MRV confidence score</w:t>
            </w:r>
          </w:p>
        </w:tc>
        <w:tc>
          <w:tcPr>
            <w:tcW w:w="6894" w:type="dxa"/>
            <w:vAlign w:val="center"/>
            <w:hideMark/>
          </w:tcPr>
          <w:p w14:paraId="2575B166"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Indicates evidence strength</w:t>
            </w:r>
          </w:p>
        </w:tc>
      </w:tr>
      <w:tr w:rsidR="002067CD" w:rsidRPr="00B479AE" w14:paraId="46D8A19E" w14:textId="77777777" w:rsidTr="00D71AA3">
        <w:trPr>
          <w:tblCellSpacing w:w="15" w:type="dxa"/>
        </w:trPr>
        <w:tc>
          <w:tcPr>
            <w:tcW w:w="2644" w:type="dxa"/>
            <w:vAlign w:val="center"/>
            <w:hideMark/>
          </w:tcPr>
          <w:p w14:paraId="7BAE2B33"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Ecological delta</w:t>
            </w:r>
          </w:p>
        </w:tc>
        <w:tc>
          <w:tcPr>
            <w:tcW w:w="6894" w:type="dxa"/>
            <w:vAlign w:val="center"/>
            <w:hideMark/>
          </w:tcPr>
          <w:p w14:paraId="63BC38B7"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change in ecological indicators over time</w:t>
            </w:r>
          </w:p>
        </w:tc>
      </w:tr>
      <w:tr w:rsidR="002067CD" w:rsidRPr="00B479AE" w14:paraId="5ACC2C32" w14:textId="77777777" w:rsidTr="00D71AA3">
        <w:trPr>
          <w:tblCellSpacing w:w="15" w:type="dxa"/>
        </w:trPr>
        <w:tc>
          <w:tcPr>
            <w:tcW w:w="2644" w:type="dxa"/>
            <w:vAlign w:val="center"/>
            <w:hideMark/>
          </w:tcPr>
          <w:p w14:paraId="7FBCFBC4"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Cash-flow performance</w:t>
            </w:r>
          </w:p>
        </w:tc>
        <w:tc>
          <w:tcPr>
            <w:tcW w:w="6894" w:type="dxa"/>
            <w:vAlign w:val="center"/>
            <w:hideMark/>
          </w:tcPr>
          <w:p w14:paraId="10139873"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operational financial performance</w:t>
            </w:r>
          </w:p>
        </w:tc>
      </w:tr>
      <w:tr w:rsidR="002067CD" w:rsidRPr="00B479AE" w14:paraId="5B147540" w14:textId="77777777" w:rsidTr="00D71AA3">
        <w:trPr>
          <w:tblCellSpacing w:w="15" w:type="dxa"/>
        </w:trPr>
        <w:tc>
          <w:tcPr>
            <w:tcW w:w="2644" w:type="dxa"/>
            <w:vAlign w:val="center"/>
            <w:hideMark/>
          </w:tcPr>
          <w:p w14:paraId="65C871BF"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Revenue breakdown</w:t>
            </w:r>
          </w:p>
        </w:tc>
        <w:tc>
          <w:tcPr>
            <w:tcW w:w="6894" w:type="dxa"/>
            <w:vAlign w:val="center"/>
            <w:hideMark/>
          </w:tcPr>
          <w:p w14:paraId="55C0A8B1"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Distinguishes productive, service, contractual, and other revenues</w:t>
            </w:r>
          </w:p>
        </w:tc>
      </w:tr>
      <w:tr w:rsidR="002067CD" w:rsidRPr="00B479AE" w14:paraId="55C637C9" w14:textId="77777777" w:rsidTr="00D71AA3">
        <w:trPr>
          <w:tblCellSpacing w:w="15" w:type="dxa"/>
        </w:trPr>
        <w:tc>
          <w:tcPr>
            <w:tcW w:w="2644" w:type="dxa"/>
            <w:vAlign w:val="center"/>
            <w:hideMark/>
          </w:tcPr>
          <w:p w14:paraId="3AE3081E"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Operating costs</w:t>
            </w:r>
          </w:p>
        </w:tc>
        <w:tc>
          <w:tcPr>
            <w:tcW w:w="6894" w:type="dxa"/>
            <w:vAlign w:val="center"/>
            <w:hideMark/>
          </w:tcPr>
          <w:p w14:paraId="32BB4802"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cost structure</w:t>
            </w:r>
          </w:p>
        </w:tc>
      </w:tr>
      <w:tr w:rsidR="002067CD" w:rsidRPr="00B479AE" w14:paraId="1351CECB" w14:textId="77777777" w:rsidTr="00D71AA3">
        <w:trPr>
          <w:tblCellSpacing w:w="15" w:type="dxa"/>
        </w:trPr>
        <w:tc>
          <w:tcPr>
            <w:tcW w:w="2644" w:type="dxa"/>
            <w:vAlign w:val="center"/>
            <w:hideMark/>
          </w:tcPr>
          <w:p w14:paraId="305709AA"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Reserves</w:t>
            </w:r>
          </w:p>
        </w:tc>
        <w:tc>
          <w:tcPr>
            <w:tcW w:w="6894" w:type="dxa"/>
            <w:vAlign w:val="center"/>
            <w:hideMark/>
          </w:tcPr>
          <w:p w14:paraId="161A8AF6"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risk-buffering capacity</w:t>
            </w:r>
          </w:p>
        </w:tc>
      </w:tr>
      <w:tr w:rsidR="002067CD" w:rsidRPr="00B479AE" w14:paraId="60B75573" w14:textId="77777777" w:rsidTr="00D71AA3">
        <w:trPr>
          <w:tblCellSpacing w:w="15" w:type="dxa"/>
        </w:trPr>
        <w:tc>
          <w:tcPr>
            <w:tcW w:w="2644" w:type="dxa"/>
            <w:vAlign w:val="center"/>
            <w:hideMark/>
          </w:tcPr>
          <w:p w14:paraId="447709E7"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Reinvestment</w:t>
            </w:r>
          </w:p>
        </w:tc>
        <w:tc>
          <w:tcPr>
            <w:tcW w:w="6894" w:type="dxa"/>
            <w:vAlign w:val="center"/>
            <w:hideMark/>
          </w:tcPr>
          <w:p w14:paraId="25C3B9B0"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capital returned into regenerative capacity</w:t>
            </w:r>
          </w:p>
        </w:tc>
      </w:tr>
      <w:tr w:rsidR="002067CD" w:rsidRPr="00B479AE" w14:paraId="4F90F907" w14:textId="77777777" w:rsidTr="00D71AA3">
        <w:trPr>
          <w:tblCellSpacing w:w="15" w:type="dxa"/>
        </w:trPr>
        <w:tc>
          <w:tcPr>
            <w:tcW w:w="2644" w:type="dxa"/>
            <w:vAlign w:val="center"/>
            <w:hideMark/>
          </w:tcPr>
          <w:p w14:paraId="745605AD"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Risk dashboard</w:t>
            </w:r>
          </w:p>
        </w:tc>
        <w:tc>
          <w:tcPr>
            <w:tcW w:w="6894" w:type="dxa"/>
            <w:vAlign w:val="center"/>
            <w:hideMark/>
          </w:tcPr>
          <w:p w14:paraId="2324A314" w14:textId="082F3283" w:rsidR="005E5059" w:rsidRPr="00B479AE" w:rsidRDefault="005E5059" w:rsidP="002067CD">
            <w:pPr>
              <w:spacing w:line="360" w:lineRule="auto"/>
              <w:rPr>
                <w:rFonts w:ascii="Baskerville Old Face" w:hAnsi="Baskerville Old Face"/>
                <w:i/>
                <w:iCs/>
                <w:sz w:val="18"/>
                <w:szCs w:val="18"/>
              </w:rPr>
            </w:pPr>
            <w:r w:rsidRPr="005E5059">
              <w:rPr>
                <w:rFonts w:ascii="Baskerville Old Face" w:hAnsi="Baskerville Old Face"/>
                <w:i/>
                <w:iCs/>
                <w:sz w:val="18"/>
                <w:szCs w:val="18"/>
              </w:rPr>
              <w:t>Shows financial, operational, ecological, legal, and governance risk signals</w:t>
            </w:r>
          </w:p>
        </w:tc>
      </w:tr>
      <w:tr w:rsidR="002067CD" w:rsidRPr="00B479AE" w14:paraId="4B0825AD" w14:textId="77777777" w:rsidTr="00D71AA3">
        <w:trPr>
          <w:tblCellSpacing w:w="15" w:type="dxa"/>
        </w:trPr>
        <w:tc>
          <w:tcPr>
            <w:tcW w:w="2644" w:type="dxa"/>
            <w:vAlign w:val="center"/>
            <w:hideMark/>
          </w:tcPr>
          <w:p w14:paraId="07AE5551"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Adverse events</w:t>
            </w:r>
          </w:p>
        </w:tc>
        <w:tc>
          <w:tcPr>
            <w:tcW w:w="6894" w:type="dxa"/>
            <w:vAlign w:val="center"/>
            <w:hideMark/>
          </w:tcPr>
          <w:p w14:paraId="460BBAC0"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drought, fire, disease, governance failure, data issues, or other material events</w:t>
            </w:r>
          </w:p>
        </w:tc>
      </w:tr>
      <w:tr w:rsidR="002067CD" w:rsidRPr="00B479AE" w14:paraId="1B235B50" w14:textId="77777777" w:rsidTr="00D71AA3">
        <w:trPr>
          <w:tblCellSpacing w:w="15" w:type="dxa"/>
        </w:trPr>
        <w:tc>
          <w:tcPr>
            <w:tcW w:w="2644" w:type="dxa"/>
            <w:vAlign w:val="center"/>
            <w:hideMark/>
          </w:tcPr>
          <w:p w14:paraId="129A3418"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Methodology version</w:t>
            </w:r>
          </w:p>
        </w:tc>
        <w:tc>
          <w:tcPr>
            <w:tcW w:w="6894" w:type="dxa"/>
            <w:vAlign w:val="center"/>
            <w:hideMark/>
          </w:tcPr>
          <w:p w14:paraId="40CD32D1"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which PRU / MRV method was used</w:t>
            </w:r>
          </w:p>
        </w:tc>
      </w:tr>
      <w:tr w:rsidR="002067CD" w:rsidRPr="00B479AE" w14:paraId="4D7A376F" w14:textId="77777777" w:rsidTr="00D71AA3">
        <w:trPr>
          <w:tblCellSpacing w:w="15" w:type="dxa"/>
        </w:trPr>
        <w:tc>
          <w:tcPr>
            <w:tcW w:w="2644" w:type="dxa"/>
            <w:vAlign w:val="center"/>
            <w:hideMark/>
          </w:tcPr>
          <w:p w14:paraId="3672C84E"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Audit status</w:t>
            </w:r>
          </w:p>
        </w:tc>
        <w:tc>
          <w:tcPr>
            <w:tcW w:w="6894" w:type="dxa"/>
            <w:vAlign w:val="center"/>
            <w:hideMark/>
          </w:tcPr>
          <w:p w14:paraId="6C7B33AC"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internal, third-party, or pending review status</w:t>
            </w:r>
          </w:p>
        </w:tc>
      </w:tr>
      <w:tr w:rsidR="002067CD" w:rsidRPr="00B479AE" w14:paraId="37560799" w14:textId="77777777" w:rsidTr="00D71AA3">
        <w:trPr>
          <w:tblCellSpacing w:w="15" w:type="dxa"/>
        </w:trPr>
        <w:tc>
          <w:tcPr>
            <w:tcW w:w="2644" w:type="dxa"/>
            <w:vAlign w:val="center"/>
            <w:hideMark/>
          </w:tcPr>
          <w:p w14:paraId="64AD712B"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No-double-counting statement</w:t>
            </w:r>
          </w:p>
        </w:tc>
        <w:tc>
          <w:tcPr>
            <w:tcW w:w="6894" w:type="dxa"/>
            <w:vAlign w:val="center"/>
            <w:hideMark/>
          </w:tcPr>
          <w:p w14:paraId="6CDB6246"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against incompatible claims</w:t>
            </w:r>
          </w:p>
        </w:tc>
      </w:tr>
      <w:tr w:rsidR="002067CD" w:rsidRPr="00B479AE" w14:paraId="6C53A043" w14:textId="77777777" w:rsidTr="00D71AA3">
        <w:trPr>
          <w:tblCellSpacing w:w="15" w:type="dxa"/>
        </w:trPr>
        <w:tc>
          <w:tcPr>
            <w:tcW w:w="2644" w:type="dxa"/>
            <w:vAlign w:val="center"/>
            <w:hideMark/>
          </w:tcPr>
          <w:p w14:paraId="7A6E4F45"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Legal wrapper status</w:t>
            </w:r>
          </w:p>
        </w:tc>
        <w:tc>
          <w:tcPr>
            <w:tcW w:w="6894" w:type="dxa"/>
            <w:vAlign w:val="center"/>
            <w:hideMark/>
          </w:tcPr>
          <w:p w14:paraId="74E41056"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whether any instrument is legally structured</w:t>
            </w:r>
          </w:p>
        </w:tc>
      </w:tr>
      <w:tr w:rsidR="002067CD" w:rsidRPr="00B479AE" w14:paraId="38EFE2AE" w14:textId="77777777" w:rsidTr="00D71AA3">
        <w:trPr>
          <w:tblCellSpacing w:w="15" w:type="dxa"/>
        </w:trPr>
        <w:tc>
          <w:tcPr>
            <w:tcW w:w="2644" w:type="dxa"/>
            <w:vAlign w:val="center"/>
            <w:hideMark/>
          </w:tcPr>
          <w:p w14:paraId="5F380F44"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Portfolio composition</w:t>
            </w:r>
          </w:p>
        </w:tc>
        <w:tc>
          <w:tcPr>
            <w:tcW w:w="6894" w:type="dxa"/>
            <w:vAlign w:val="center"/>
            <w:hideMark/>
          </w:tcPr>
          <w:p w14:paraId="04AE9752"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Shows RAP diversification by site, maturity, operator, geography, and evidence quality</w:t>
            </w:r>
          </w:p>
        </w:tc>
      </w:tr>
      <w:tr w:rsidR="002067CD" w:rsidRPr="00B479AE" w14:paraId="0E4D211E" w14:textId="77777777" w:rsidTr="00D71AA3">
        <w:trPr>
          <w:tblCellSpacing w:w="15" w:type="dxa"/>
        </w:trPr>
        <w:tc>
          <w:tcPr>
            <w:tcW w:w="2644" w:type="dxa"/>
            <w:vAlign w:val="center"/>
            <w:hideMark/>
          </w:tcPr>
          <w:p w14:paraId="65D80866"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ESG / nature disclosure compatibility</w:t>
            </w:r>
          </w:p>
        </w:tc>
        <w:tc>
          <w:tcPr>
            <w:tcW w:w="6894" w:type="dxa"/>
            <w:vAlign w:val="center"/>
            <w:hideMark/>
          </w:tcPr>
          <w:p w14:paraId="2BC70D11" w14:textId="77777777" w:rsidR="002067CD" w:rsidRPr="00B479AE" w:rsidRDefault="002067CD"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Supports institutional reporting where applicable</w:t>
            </w:r>
          </w:p>
        </w:tc>
      </w:tr>
      <w:tr w:rsidR="002067CD" w:rsidRPr="00B479AE" w14:paraId="7A8EBC5A" w14:textId="77777777" w:rsidTr="00D71AA3">
        <w:trPr>
          <w:tblCellSpacing w:w="15" w:type="dxa"/>
        </w:trPr>
        <w:tc>
          <w:tcPr>
            <w:tcW w:w="2644" w:type="dxa"/>
            <w:vAlign w:val="center"/>
            <w:hideMark/>
          </w:tcPr>
          <w:p w14:paraId="3FFC2A81" w14:textId="586FF377" w:rsidR="002067CD" w:rsidRPr="00B479AE" w:rsidRDefault="00D71AA3"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Claim traceability and disclosure boundary</w:t>
            </w:r>
          </w:p>
        </w:tc>
        <w:tc>
          <w:tcPr>
            <w:tcW w:w="6894" w:type="dxa"/>
            <w:vAlign w:val="center"/>
            <w:hideMark/>
          </w:tcPr>
          <w:p w14:paraId="47F76FF4" w14:textId="560DC87A" w:rsidR="002067CD" w:rsidRPr="00B479AE" w:rsidRDefault="00D71AA3" w:rsidP="002067CD">
            <w:pPr>
              <w:spacing w:line="360" w:lineRule="auto"/>
              <w:rPr>
                <w:rFonts w:ascii="Baskerville Old Face" w:hAnsi="Baskerville Old Face"/>
                <w:i/>
                <w:iCs/>
                <w:sz w:val="18"/>
                <w:szCs w:val="18"/>
              </w:rPr>
            </w:pPr>
            <w:r w:rsidRPr="00B479AE">
              <w:rPr>
                <w:rFonts w:ascii="Baskerville Old Face" w:hAnsi="Baskerville Old Face"/>
                <w:i/>
                <w:iCs/>
                <w:sz w:val="18"/>
                <w:szCs w:val="18"/>
              </w:rPr>
              <w:t>Links claims to evidence, review, legal structure, and permitted disclosure status</w:t>
            </w:r>
          </w:p>
        </w:tc>
      </w:tr>
    </w:tbl>
    <w:p w14:paraId="059CA61A" w14:textId="77777777" w:rsidR="00676D74" w:rsidRPr="00B479AE" w:rsidRDefault="00676D74" w:rsidP="00676D74">
      <w:pPr>
        <w:spacing w:line="360" w:lineRule="auto"/>
        <w:rPr>
          <w:rFonts w:ascii="Baskerville Old Face" w:hAnsi="Baskerville Old Face"/>
          <w:i/>
          <w:iCs/>
        </w:rPr>
      </w:pPr>
      <w:r w:rsidRPr="00B479AE">
        <w:rPr>
          <w:rFonts w:ascii="Baskerville Old Face" w:hAnsi="Baskerville Old Face"/>
          <w:i/>
          <w:iCs/>
        </w:rPr>
        <w:lastRenderedPageBreak/>
        <w:t>This reporting architecture allows institutional capital to evaluate regenerative infrastructure with seriousness while preserving the distinction between evidence, value, legal rights, and investment exposure.</w:t>
      </w:r>
    </w:p>
    <w:p w14:paraId="3EB1892F" w14:textId="1BB1F788"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Regenerative infrastructure assets</w:t>
      </w:r>
    </w:p>
    <w:p w14:paraId="69F32ED9" w14:textId="269B6676"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defines regenerative infrastructure assets as real-world assets whose value is linked to verified improvement in living-system performance.</w:t>
      </w:r>
      <w:r w:rsidR="00503079" w:rsidRPr="00B479AE">
        <w:rPr>
          <w:rFonts w:ascii="Baskerville Old Face" w:hAnsi="Baskerville Old Face"/>
          <w:i/>
          <w:iCs/>
        </w:rPr>
        <w:t xml:space="preserve"> </w:t>
      </w:r>
      <w:r w:rsidRPr="00B479AE">
        <w:rPr>
          <w:rFonts w:ascii="Baskerville Old Face" w:hAnsi="Baskerville Old Face"/>
          <w:i/>
          <w:iCs/>
        </w:rPr>
        <w:t>These assets are distinct from conventional asset categories, while sharing certain features with them.</w:t>
      </w:r>
    </w:p>
    <w:p w14:paraId="3159229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are territorial like real estate.</w:t>
      </w:r>
    </w:p>
    <w:p w14:paraId="4391841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are long-duration like infrastructure.</w:t>
      </w:r>
    </w:p>
    <w:p w14:paraId="4085B39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are productive like agriculture.</w:t>
      </w:r>
    </w:p>
    <w:p w14:paraId="644748A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are risk-sensitive like private credit.</w:t>
      </w:r>
    </w:p>
    <w:p w14:paraId="1DBBDDC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are ecological like nature finance.</w:t>
      </w:r>
    </w:p>
    <w:p w14:paraId="4B3704D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They are data-rich like digital infrastructure.</w:t>
      </w:r>
    </w:p>
    <w:p w14:paraId="47D798F9" w14:textId="7F1778E9" w:rsidR="00394CA0" w:rsidRPr="00B479AE" w:rsidRDefault="00394CA0" w:rsidP="00504071">
      <w:pPr>
        <w:spacing w:line="360" w:lineRule="auto"/>
        <w:rPr>
          <w:rFonts w:ascii="Baskerville Old Face" w:hAnsi="Baskerville Old Face"/>
          <w:i/>
          <w:iCs/>
        </w:rPr>
      </w:pPr>
      <w:r w:rsidRPr="00B479AE">
        <w:rPr>
          <w:rFonts w:ascii="Baskerville Old Face" w:hAnsi="Baskerville Old Face"/>
          <w:i/>
          <w:iCs/>
        </w:rPr>
        <w:t>They may become representable through compliant real-world asset structures where legal, evidentiary, and institutional conditions allow.</w:t>
      </w:r>
    </w:p>
    <w:p w14:paraId="4F03973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Their distinctive feature is that value derives from verified regeneration.</w:t>
      </w:r>
    </w:p>
    <w:p w14:paraId="57CCDAF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positions Prometheus as a candidate framework for a new asset class:</w:t>
      </w:r>
    </w:p>
    <w:p w14:paraId="68FA1D16" w14:textId="1CB0768E" w:rsidR="00504071" w:rsidRDefault="00504071" w:rsidP="00504071">
      <w:pPr>
        <w:spacing w:line="360" w:lineRule="auto"/>
        <w:rPr>
          <w:rFonts w:ascii="Baskerville Old Face" w:hAnsi="Baskerville Old Face"/>
          <w:i/>
          <w:iCs/>
        </w:rPr>
      </w:pPr>
      <w:r w:rsidRPr="00B479AE">
        <w:rPr>
          <w:rFonts w:ascii="Baskerville Old Face" w:hAnsi="Baskerville Old Face"/>
          <w:i/>
          <w:iCs/>
        </w:rPr>
        <w:t>verified regenerative infrastructure.</w:t>
      </w:r>
      <w:r w:rsidR="0077031A" w:rsidRPr="00B479AE">
        <w:rPr>
          <w:rFonts w:ascii="Baskerville Old Face" w:hAnsi="Baskerville Old Face"/>
          <w:i/>
          <w:iCs/>
        </w:rPr>
        <w:t xml:space="preserve"> </w:t>
      </w:r>
    </w:p>
    <w:p w14:paraId="774AE232"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Regenerative Asset Management Infrastructure</w:t>
      </w:r>
    </w:p>
    <w:p w14:paraId="0ED48C88"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should not initially be understood as a regulated asset manager.</w:t>
      </w:r>
    </w:p>
    <w:p w14:paraId="0B1FF455"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It should be understood as a Regenerative Asset Management Infrastructure: an evidence-first architecture through which regenerative real-world assets may be identified, structured, verified, monitored, classified, compared, reported, and prepared for future portfolio formation, institutional diligence, compliant capital allocation, and legally structured asset-management activity where permitted.</w:t>
      </w:r>
    </w:p>
    <w:p w14:paraId="63ED19D3"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lastRenderedPageBreak/>
        <w:t>This distinction is essential.</w:t>
      </w:r>
    </w:p>
    <w:p w14:paraId="1A048F4B"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An asset manager, investment adviser, fund manager, broker-dealer, fiduciary, discretionary portfolio manager, securities issuer, or operator of regulated investment products may be subject to specific legal, regulatory, licensing, disclosure, custody, fiduciary, suitability, marketing, reporting, and investor-protection obligations.</w:t>
      </w:r>
    </w:p>
    <w:p w14:paraId="3BF9E958"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at the infrastructure layer, does not itself create investor exposure, manage client assets, provide discretionary investment management, issue securities, guarantee returns, operate an investment fund, provide regulated investment advice, act as broker-dealer, custody investor assets, or authorize financial products.</w:t>
      </w:r>
    </w:p>
    <w:p w14:paraId="7D79982D"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Its role is prior, foundational, and infrastructural.</w:t>
      </w:r>
    </w:p>
    <w:p w14:paraId="3CCFF3EE"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creates the evidentiary, methodological, governance, interoperability, data-room, MRV, PRU-readiness, RAP-readiness, reporting, risk-interpretation, and capital-readiness conditions through which regenerative assets may become institutionally understandable, comparable, monitorable, reviewable, and potentially manageable by appropriately authorized entities under applicable legal and regulatory frameworks.</w:t>
      </w:r>
    </w:p>
    <w:p w14:paraId="10CDB56D"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In this sense, Prometheus is not initially the manager of regenerative assets.</w:t>
      </w:r>
    </w:p>
    <w:p w14:paraId="3EB5C068"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It is the infrastructure through which regenerative assets become manageable.</w:t>
      </w:r>
    </w:p>
    <w:p w14:paraId="5DA33D41"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The operational sequence is:</w:t>
      </w:r>
    </w:p>
    <w:p w14:paraId="5A71E0E5"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 xml:space="preserve">living system </w:t>
      </w:r>
      <w:r w:rsidRPr="004C2984">
        <w:rPr>
          <w:rFonts w:ascii="Times New Roman" w:hAnsi="Times New Roman" w:cs="Times New Roman"/>
          <w:i/>
          <w:iCs/>
        </w:rPr>
        <w:t>→</w:t>
      </w:r>
      <w:r w:rsidRPr="004C2984">
        <w:rPr>
          <w:rFonts w:ascii="Baskerville Old Face" w:hAnsi="Baskerville Old Face"/>
          <w:i/>
          <w:iCs/>
        </w:rPr>
        <w:t xml:space="preserve"> MRV evidence </w:t>
      </w:r>
      <w:r w:rsidRPr="004C2984">
        <w:rPr>
          <w:rFonts w:ascii="Times New Roman" w:hAnsi="Times New Roman" w:cs="Times New Roman"/>
          <w:i/>
          <w:iCs/>
        </w:rPr>
        <w:t>→</w:t>
      </w:r>
      <w:r w:rsidRPr="004C2984">
        <w:rPr>
          <w:rFonts w:ascii="Baskerville Old Face" w:hAnsi="Baskerville Old Face"/>
          <w:i/>
          <w:iCs/>
        </w:rPr>
        <w:t xml:space="preserve"> verified indicators </w:t>
      </w:r>
      <w:r w:rsidRPr="004C2984">
        <w:rPr>
          <w:rFonts w:ascii="Times New Roman" w:hAnsi="Times New Roman" w:cs="Times New Roman"/>
          <w:i/>
          <w:iCs/>
        </w:rPr>
        <w:t>→</w:t>
      </w:r>
      <w:r w:rsidRPr="004C2984">
        <w:rPr>
          <w:rFonts w:ascii="Baskerville Old Face" w:hAnsi="Baskerville Old Face"/>
          <w:i/>
          <w:iCs/>
        </w:rPr>
        <w:t xml:space="preserve"> PRU analysis </w:t>
      </w:r>
      <w:r w:rsidRPr="004C2984">
        <w:rPr>
          <w:rFonts w:ascii="Times New Roman" w:hAnsi="Times New Roman" w:cs="Times New Roman"/>
          <w:i/>
          <w:iCs/>
        </w:rPr>
        <w:t>→</w:t>
      </w:r>
      <w:r w:rsidRPr="004C2984">
        <w:rPr>
          <w:rFonts w:ascii="Baskerville Old Face" w:hAnsi="Baskerville Old Face"/>
          <w:i/>
          <w:iCs/>
        </w:rPr>
        <w:t xml:space="preserve"> maturity classification </w:t>
      </w:r>
      <w:r w:rsidRPr="004C2984">
        <w:rPr>
          <w:rFonts w:ascii="Times New Roman" w:hAnsi="Times New Roman" w:cs="Times New Roman"/>
          <w:i/>
          <w:iCs/>
        </w:rPr>
        <w:t>→</w:t>
      </w:r>
      <w:r w:rsidRPr="004C2984">
        <w:rPr>
          <w:rFonts w:ascii="Baskerville Old Face" w:hAnsi="Baskerville Old Face"/>
          <w:i/>
          <w:iCs/>
        </w:rPr>
        <w:t xml:space="preserve"> evidence room </w:t>
      </w:r>
      <w:r w:rsidRPr="004C2984">
        <w:rPr>
          <w:rFonts w:ascii="Times New Roman" w:hAnsi="Times New Roman" w:cs="Times New Roman"/>
          <w:i/>
          <w:iCs/>
        </w:rPr>
        <w:t>→</w:t>
      </w:r>
      <w:r w:rsidRPr="004C2984">
        <w:rPr>
          <w:rFonts w:ascii="Baskerville Old Face" w:hAnsi="Baskerville Old Face"/>
          <w:i/>
          <w:iCs/>
        </w:rPr>
        <w:t xml:space="preserve"> RAP-readiness </w:t>
      </w:r>
      <w:r w:rsidRPr="004C2984">
        <w:rPr>
          <w:rFonts w:ascii="Times New Roman" w:hAnsi="Times New Roman" w:cs="Times New Roman"/>
          <w:i/>
          <w:iCs/>
        </w:rPr>
        <w:t>→</w:t>
      </w:r>
      <w:r w:rsidRPr="004C2984">
        <w:rPr>
          <w:rFonts w:ascii="Baskerville Old Face" w:hAnsi="Baskerville Old Face"/>
          <w:i/>
          <w:iCs/>
        </w:rPr>
        <w:t xml:space="preserve"> legal structuring </w:t>
      </w:r>
      <w:r w:rsidRPr="004C2984">
        <w:rPr>
          <w:rFonts w:ascii="Times New Roman" w:hAnsi="Times New Roman" w:cs="Times New Roman"/>
          <w:i/>
          <w:iCs/>
        </w:rPr>
        <w:t>→</w:t>
      </w:r>
      <w:r w:rsidRPr="004C2984">
        <w:rPr>
          <w:rFonts w:ascii="Baskerville Old Face" w:hAnsi="Baskerville Old Face"/>
          <w:i/>
          <w:iCs/>
        </w:rPr>
        <w:t xml:space="preserve"> compliant asset management where permitted.</w:t>
      </w:r>
    </w:p>
    <w:p w14:paraId="5DCD9BD0"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This sequence preserves the distinction between ecological reality, regenerative evidence, analytical classification, portfolio-readiness, legal structuring, investor exposure, and regulated asset-management activity.</w:t>
      </w:r>
    </w:p>
    <w:p w14:paraId="33DF669C"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 xml:space="preserve">Prometheus may support future asset-management functions by helping prepare the information environment that such functions require: site records, baseline data, MRV evidence, operational records, </w:t>
      </w:r>
      <w:proofErr w:type="spellStart"/>
      <w:r w:rsidRPr="004C2984">
        <w:rPr>
          <w:rFonts w:ascii="Baskerville Old Face" w:hAnsi="Baskerville Old Face"/>
          <w:i/>
          <w:iCs/>
        </w:rPr>
        <w:t>Valueflows</w:t>
      </w:r>
      <w:proofErr w:type="spellEnd"/>
      <w:r w:rsidRPr="004C2984">
        <w:rPr>
          <w:rFonts w:ascii="Baskerville Old Face" w:hAnsi="Baskerville Old Face"/>
          <w:i/>
          <w:iCs/>
        </w:rPr>
        <w:t xml:space="preserve">-compatible events, </w:t>
      </w:r>
      <w:proofErr w:type="spellStart"/>
      <w:r w:rsidRPr="004C2984">
        <w:rPr>
          <w:rFonts w:ascii="Baskerville Old Face" w:hAnsi="Baskerville Old Face"/>
          <w:i/>
          <w:iCs/>
        </w:rPr>
        <w:t>Holochain</w:t>
      </w:r>
      <w:proofErr w:type="spellEnd"/>
      <w:r w:rsidRPr="004C2984">
        <w:rPr>
          <w:rFonts w:ascii="Baskerville Old Face" w:hAnsi="Baskerville Old Face"/>
          <w:i/>
          <w:iCs/>
        </w:rPr>
        <w:t xml:space="preserve">-compatible source-layer references, PRU maturity </w:t>
      </w:r>
      <w:r w:rsidRPr="004C2984">
        <w:rPr>
          <w:rFonts w:ascii="Baskerville Old Face" w:hAnsi="Baskerville Old Face"/>
          <w:i/>
          <w:iCs/>
        </w:rPr>
        <w:lastRenderedPageBreak/>
        <w:t>classification, RAP-readiness analysis, risk dashboards, data rooms, reporting materials, governance boundaries, and capital-readiness documentation.</w:t>
      </w:r>
    </w:p>
    <w:p w14:paraId="1C7045AB"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However, preparation is not management.</w:t>
      </w:r>
    </w:p>
    <w:p w14:paraId="1A2D602E"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Analysis is not investment advice.</w:t>
      </w:r>
    </w:p>
    <w:p w14:paraId="59CF7AE2"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Monitoring is not custody.</w:t>
      </w:r>
    </w:p>
    <w:p w14:paraId="07AA1675"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 xml:space="preserve">Portfolio-readiness is not </w:t>
      </w:r>
      <w:proofErr w:type="gramStart"/>
      <w:r w:rsidRPr="004C2984">
        <w:rPr>
          <w:rFonts w:ascii="Baskerville Old Face" w:hAnsi="Baskerville Old Face"/>
          <w:i/>
          <w:iCs/>
        </w:rPr>
        <w:t>fund</w:t>
      </w:r>
      <w:proofErr w:type="gramEnd"/>
      <w:r w:rsidRPr="004C2984">
        <w:rPr>
          <w:rFonts w:ascii="Baskerville Old Face" w:hAnsi="Baskerville Old Face"/>
          <w:i/>
          <w:iCs/>
        </w:rPr>
        <w:t xml:space="preserve"> operation.</w:t>
      </w:r>
    </w:p>
    <w:p w14:paraId="232C3EA1"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PRU analysis is not a security.</w:t>
      </w:r>
    </w:p>
    <w:p w14:paraId="736B5BD6"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RAP-readiness is not a regulated investment vehicle.</w:t>
      </w:r>
    </w:p>
    <w:p w14:paraId="78AF072B"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A dashboard is not a fiduciary.</w:t>
      </w:r>
    </w:p>
    <w:p w14:paraId="6DB2E225"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An AI-generated report is not an authorized investment recommendation.</w:t>
      </w:r>
    </w:p>
    <w:p w14:paraId="029AAA71"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A regenerative claim is not admissible value unless supported by evidence, methodology, confidence, review, legal structure, and appropriate governance.</w:t>
      </w:r>
    </w:p>
    <w:p w14:paraId="0289746A"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For this reason, Prometheus must preserve a clear boundary between three layers:</w:t>
      </w:r>
    </w:p>
    <w:p w14:paraId="6E43C54C" w14:textId="132A0500" w:rsidR="004C2984" w:rsidRPr="004C2984" w:rsidRDefault="004C2984" w:rsidP="004C2984">
      <w:pPr>
        <w:numPr>
          <w:ilvl w:val="0"/>
          <w:numId w:val="54"/>
        </w:numPr>
        <w:spacing w:line="360" w:lineRule="auto"/>
        <w:rPr>
          <w:rFonts w:ascii="Baskerville Old Face" w:hAnsi="Baskerville Old Face"/>
          <w:i/>
          <w:iCs/>
        </w:rPr>
      </w:pPr>
      <w:r w:rsidRPr="004C2984">
        <w:rPr>
          <w:rFonts w:ascii="Baskerville Old Face" w:hAnsi="Baskerville Old Face"/>
          <w:b/>
          <w:bCs/>
          <w:i/>
          <w:iCs/>
        </w:rPr>
        <w:t>Regenerative Asset Intelligence</w:t>
      </w:r>
      <w:r w:rsidRPr="004C2984">
        <w:rPr>
          <w:rFonts w:ascii="Baskerville Old Face" w:hAnsi="Baskerville Old Face"/>
          <w:i/>
          <w:iCs/>
        </w:rPr>
        <w:t xml:space="preserve"> </w:t>
      </w:r>
      <w:r>
        <w:rPr>
          <w:rFonts w:ascii="Baskerville Old Face" w:hAnsi="Baskerville Old Face"/>
          <w:i/>
          <w:iCs/>
        </w:rPr>
        <w:t>-</w:t>
      </w:r>
      <w:r w:rsidRPr="004C2984">
        <w:rPr>
          <w:rFonts w:ascii="Baskerville Old Face" w:hAnsi="Baskerville Old Face"/>
          <w:i/>
          <w:iCs/>
        </w:rPr>
        <w:t xml:space="preserve"> the ability to observe, organize, interpret, and report regenerative performance through evidence, MRV, data, AI-assisted workflows, and reviewable indicators.</w:t>
      </w:r>
    </w:p>
    <w:p w14:paraId="38F4EDB1" w14:textId="1DE32F29" w:rsidR="004C2984" w:rsidRPr="004C2984" w:rsidRDefault="004C2984" w:rsidP="004C2984">
      <w:pPr>
        <w:numPr>
          <w:ilvl w:val="0"/>
          <w:numId w:val="54"/>
        </w:numPr>
        <w:spacing w:line="360" w:lineRule="auto"/>
        <w:rPr>
          <w:rFonts w:ascii="Baskerville Old Face" w:hAnsi="Baskerville Old Face"/>
          <w:i/>
          <w:iCs/>
        </w:rPr>
      </w:pPr>
      <w:r w:rsidRPr="004C2984">
        <w:rPr>
          <w:rFonts w:ascii="Baskerville Old Face" w:hAnsi="Baskerville Old Face"/>
          <w:b/>
          <w:bCs/>
          <w:i/>
          <w:iCs/>
        </w:rPr>
        <w:t>Portfolio-Readiness Infrastructure</w:t>
      </w:r>
      <w:r w:rsidRPr="004C2984">
        <w:rPr>
          <w:rFonts w:ascii="Baskerville Old Face" w:hAnsi="Baskerville Old Face"/>
          <w:i/>
          <w:iCs/>
        </w:rPr>
        <w:t xml:space="preserve"> </w:t>
      </w:r>
      <w:r>
        <w:rPr>
          <w:rFonts w:ascii="Baskerville Old Face" w:hAnsi="Baskerville Old Face"/>
          <w:i/>
          <w:iCs/>
        </w:rPr>
        <w:t>-</w:t>
      </w:r>
      <w:r w:rsidRPr="004C2984">
        <w:rPr>
          <w:rFonts w:ascii="Baskerville Old Face" w:hAnsi="Baskerville Old Face"/>
          <w:i/>
          <w:iCs/>
        </w:rPr>
        <w:t xml:space="preserve"> the ability to prepare regenerative units for comparison, maturity classification, evidence-room formation, RAP-readiness, institutional diligence, and potential legal structuring.</w:t>
      </w:r>
    </w:p>
    <w:p w14:paraId="274F5FAB" w14:textId="4369D7F1" w:rsidR="004C2984" w:rsidRPr="004C2984" w:rsidRDefault="004C2984" w:rsidP="004C2984">
      <w:pPr>
        <w:numPr>
          <w:ilvl w:val="0"/>
          <w:numId w:val="54"/>
        </w:numPr>
        <w:spacing w:line="360" w:lineRule="auto"/>
        <w:rPr>
          <w:rFonts w:ascii="Baskerville Old Face" w:hAnsi="Baskerville Old Face"/>
          <w:i/>
          <w:iCs/>
        </w:rPr>
      </w:pPr>
      <w:r w:rsidRPr="004C2984">
        <w:rPr>
          <w:rFonts w:ascii="Baskerville Old Face" w:hAnsi="Baskerville Old Face"/>
          <w:b/>
          <w:bCs/>
          <w:i/>
          <w:iCs/>
        </w:rPr>
        <w:t>Regulated Asset Management Activity</w:t>
      </w:r>
      <w:r w:rsidRPr="004C2984">
        <w:rPr>
          <w:rFonts w:ascii="Baskerville Old Face" w:hAnsi="Baskerville Old Face"/>
          <w:i/>
          <w:iCs/>
        </w:rPr>
        <w:t xml:space="preserve"> </w:t>
      </w:r>
      <w:r>
        <w:rPr>
          <w:rFonts w:ascii="Baskerville Old Face" w:hAnsi="Baskerville Old Face"/>
          <w:i/>
          <w:iCs/>
        </w:rPr>
        <w:t xml:space="preserve">- </w:t>
      </w:r>
      <w:r w:rsidRPr="004C2984">
        <w:rPr>
          <w:rFonts w:ascii="Baskerville Old Face" w:hAnsi="Baskerville Old Face"/>
          <w:i/>
          <w:iCs/>
        </w:rPr>
        <w:t>any future activity involving management of capital, investment products, securities, client assets, discretionary portfolios, regulated funds, investment advice, custody, brokerage, fiduciary obligations, or investor exposure, which may occur only through separately authorized, compliant, jurisdiction-specific structures.</w:t>
      </w:r>
    </w:p>
    <w:p w14:paraId="2B15D7B9"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This boundary protects Prometheus from premature financialization.</w:t>
      </w:r>
    </w:p>
    <w:p w14:paraId="00019B51"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It allows Prometheus to serve capital markets without becoming a disguised financial product.</w:t>
      </w:r>
    </w:p>
    <w:p w14:paraId="58B0345D"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lastRenderedPageBreak/>
        <w:t>It allows regenerative assets to become institutionally legible without detaching value from the living systems that generate it.</w:t>
      </w:r>
    </w:p>
    <w:p w14:paraId="7AD5A7A1"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It allows future asset managers, funds, family offices, public agencies, infrastructure vehicles, SPVs, regenerative finance actors, or compliant digital-asset structures to use Prometheus-derived evidence and reporting where appropriate, while preserving the legal distinction between infrastructure, analysis, governance, and regulated financial activity.</w:t>
      </w:r>
    </w:p>
    <w:p w14:paraId="718CBD00"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The core principle is:</w:t>
      </w:r>
    </w:p>
    <w:p w14:paraId="3F3BB065"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defines the infrastructure through which regenerative assets become manageable; it does not itself become a regulated asset manager by describing, analyzing, monitoring, classifying, or preparing regenerative assets for future compliant structuring.</w:t>
      </w:r>
    </w:p>
    <w:p w14:paraId="6FEAF538"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The strategic implication is significant.</w:t>
      </w:r>
    </w:p>
    <w:p w14:paraId="23CE6014"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can occupy the enabling layer beneath future regenerative asset management: the layer that makes regenerative real-world assets observable, evidence-backed, comparable, risk-readable, portfolio-ready, and institutionally reportable.</w:t>
      </w:r>
    </w:p>
    <w:p w14:paraId="3F48A71F"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This is the correct institutional position.</w:t>
      </w:r>
    </w:p>
    <w:p w14:paraId="61403184"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is not initially an asset manager.</w:t>
      </w:r>
    </w:p>
    <w:p w14:paraId="76B88C50"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is the regenerative asset management infrastructure that makes a future asset-management layer possible.</w:t>
      </w:r>
    </w:p>
    <w:p w14:paraId="2DF35503" w14:textId="77777777" w:rsidR="00290D30" w:rsidRPr="00B479AE" w:rsidRDefault="00290D30" w:rsidP="00290D30">
      <w:pPr>
        <w:spacing w:line="360" w:lineRule="auto"/>
        <w:rPr>
          <w:rFonts w:ascii="Baskerville Old Face" w:hAnsi="Baskerville Old Face"/>
          <w:b/>
          <w:bCs/>
          <w:i/>
          <w:iCs/>
        </w:rPr>
      </w:pPr>
      <w:r w:rsidRPr="00B479AE">
        <w:rPr>
          <w:rFonts w:ascii="Baskerville Old Face" w:hAnsi="Baskerville Old Face"/>
          <w:b/>
          <w:bCs/>
          <w:i/>
          <w:iCs/>
        </w:rPr>
        <w:t>Regenerative Real Assets as Resilience Infrastructure</w:t>
      </w:r>
    </w:p>
    <w:p w14:paraId="6B1132DF"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Within Prometheus, a regenerated land asset, building, farm, hospitality site, productive estate, or territorial unit should not be understood only as real estate.</w:t>
      </w:r>
    </w:p>
    <w:p w14:paraId="0DD98C9A"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become a resilience infrastructure asset.</w:t>
      </w:r>
    </w:p>
    <w:p w14:paraId="363BBEA2" w14:textId="1E1FF933"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Traditional real estate value is often based on location, scarcity, ownership, rent, appreciation, and market liquidity.</w:t>
      </w:r>
      <w:r w:rsidR="00503079" w:rsidRPr="00B479AE">
        <w:rPr>
          <w:rFonts w:ascii="Baskerville Old Face" w:hAnsi="Baskerville Old Face"/>
          <w:i/>
          <w:iCs/>
        </w:rPr>
        <w:t xml:space="preserve"> </w:t>
      </w:r>
      <w:r w:rsidRPr="00B479AE">
        <w:rPr>
          <w:rFonts w:ascii="Baskerville Old Face" w:hAnsi="Baskerville Old Face"/>
          <w:i/>
          <w:iCs/>
        </w:rPr>
        <w:t>Regenerative real asset value is based on a deeper logic:</w:t>
      </w:r>
    </w:p>
    <w:p w14:paraId="2D0D168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territorial resilience;</w:t>
      </w:r>
    </w:p>
    <w:p w14:paraId="6A2541E8"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productive capacity;</w:t>
      </w:r>
    </w:p>
    <w:p w14:paraId="325E427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lastRenderedPageBreak/>
        <w:t>water security;</w:t>
      </w:r>
    </w:p>
    <w:p w14:paraId="6528994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soil fertility;</w:t>
      </w:r>
    </w:p>
    <w:p w14:paraId="618C647F"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food-system relevance;</w:t>
      </w:r>
    </w:p>
    <w:p w14:paraId="61F84F13"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energy and operational autonomy where available;</w:t>
      </w:r>
    </w:p>
    <w:p w14:paraId="0DFE7E2C"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ecological coherence;</w:t>
      </w:r>
    </w:p>
    <w:p w14:paraId="773B1188"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governance reliability;</w:t>
      </w:r>
    </w:p>
    <w:p w14:paraId="301C8D6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community usefulness;</w:t>
      </w:r>
    </w:p>
    <w:p w14:paraId="5269CA7D"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reduced dependency on fragile external systems.</w:t>
      </w:r>
    </w:p>
    <w:p w14:paraId="3F89F2F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This does not mean that every rural property, farm, building, eco-village, hospitality site, or regenerative project automatically becomes a safe haven.</w:t>
      </w:r>
    </w:p>
    <w:p w14:paraId="3FC45A5B" w14:textId="036163A5"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means that land and buildings designed, managed, verified, and governed as regenerative infrastructure may reduce exposure to certain forms of systemic fragility.</w:t>
      </w:r>
      <w:r w:rsidR="00503079" w:rsidRPr="00B479AE">
        <w:rPr>
          <w:rFonts w:ascii="Baskerville Old Face" w:hAnsi="Baskerville Old Face"/>
          <w:i/>
          <w:iCs/>
        </w:rPr>
        <w:t xml:space="preserve"> </w:t>
      </w:r>
      <w:r w:rsidRPr="00B479AE">
        <w:rPr>
          <w:rFonts w:ascii="Baskerville Old Face" w:hAnsi="Baskerville Old Face"/>
          <w:i/>
          <w:iCs/>
        </w:rPr>
        <w:t>These may include:</w:t>
      </w:r>
    </w:p>
    <w:p w14:paraId="6ACB344A"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food insecurity;</w:t>
      </w:r>
    </w:p>
    <w:p w14:paraId="10A1F5E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water stress;</w:t>
      </w:r>
    </w:p>
    <w:p w14:paraId="3063F5BD"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supply-chain disruption;</w:t>
      </w:r>
    </w:p>
    <w:p w14:paraId="05D7247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energy and infrastructure dependency;</w:t>
      </w:r>
    </w:p>
    <w:p w14:paraId="299D88D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ecological degradation;</w:t>
      </w:r>
    </w:p>
    <w:p w14:paraId="1B96B99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pollution exposure;</w:t>
      </w:r>
    </w:p>
    <w:p w14:paraId="005B369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climate volatility;</w:t>
      </w:r>
    </w:p>
    <w:p w14:paraId="4649288D"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social fragmentation;</w:t>
      </w:r>
    </w:p>
    <w:p w14:paraId="7FA574D3"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institutional distrust;</w:t>
      </w:r>
    </w:p>
    <w:p w14:paraId="097FB57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market instability;</w:t>
      </w:r>
    </w:p>
    <w:p w14:paraId="0360946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lastRenderedPageBreak/>
        <w:t>• territorial abandonment;</w:t>
      </w:r>
    </w:p>
    <w:p w14:paraId="2B292F6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operational fragility.</w:t>
      </w:r>
    </w:p>
    <w:p w14:paraId="660C0D9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A regenerative real asset may therefore perform a function that conventional real estate often does not perform.</w:t>
      </w:r>
    </w:p>
    <w:p w14:paraId="7771E97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produce food.</w:t>
      </w:r>
    </w:p>
    <w:p w14:paraId="6815657F"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retain water.</w:t>
      </w:r>
    </w:p>
    <w:p w14:paraId="17E3A41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improve soil.</w:t>
      </w:r>
    </w:p>
    <w:p w14:paraId="1319B50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support biodiversity.</w:t>
      </w:r>
    </w:p>
    <w:p w14:paraId="5C41D43C"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host community learning.</w:t>
      </w:r>
    </w:p>
    <w:p w14:paraId="6477D8B6"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provide hospitality, education, wellness, or stewardship services.</w:t>
      </w:r>
    </w:p>
    <w:p w14:paraId="64C1B2E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reduce input dependency.</w:t>
      </w:r>
    </w:p>
    <w:p w14:paraId="75FA351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create local circular production.</w:t>
      </w:r>
    </w:p>
    <w:p w14:paraId="1AD4A5E1"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support emergency continuity.</w:t>
      </w:r>
    </w:p>
    <w:p w14:paraId="4E28010D" w14:textId="2135A819"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increase functional independence by reducing dependence on distant supply chains, fragile infrastructure, centralized food systems, imported inputs, and purely financial forms of security.</w:t>
      </w:r>
    </w:p>
    <w:p w14:paraId="6AEC647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preserve productive capacity during periods of economic, ecological, or institutional stress.</w:t>
      </w:r>
    </w:p>
    <w:p w14:paraId="09D6AD6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This gives regenerated land and buildings a potential shelter-resilience function.</w:t>
      </w:r>
    </w:p>
    <w:p w14:paraId="349C0542" w14:textId="5CDA3514" w:rsidR="0070290B" w:rsidRPr="00B479AE" w:rsidRDefault="0070290B" w:rsidP="00290D30">
      <w:pPr>
        <w:spacing w:line="360" w:lineRule="auto"/>
        <w:rPr>
          <w:rFonts w:ascii="Baskerville Old Face" w:hAnsi="Baskerville Old Face"/>
          <w:i/>
          <w:iCs/>
        </w:rPr>
      </w:pPr>
      <w:r w:rsidRPr="00B479AE">
        <w:rPr>
          <w:rFonts w:ascii="Baskerville Old Face" w:hAnsi="Baskerville Old Face"/>
          <w:i/>
          <w:iCs/>
        </w:rPr>
        <w:t>This function is strongest where productive autonomy, water strategy, access control, community trust, ecological buffering, and operational governance are designed together.</w:t>
      </w:r>
    </w:p>
    <w:p w14:paraId="0BC80F0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 term shelter-resilience does not mean absolute physical protection.</w:t>
      </w:r>
    </w:p>
    <w:p w14:paraId="14F576F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does not mean immunity from conflict, crime, pollution, financial crisis, political disorder, climate events, or social instability.</w:t>
      </w:r>
    </w:p>
    <w:p w14:paraId="27E24331"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lastRenderedPageBreak/>
        <w:t>It means that a well-designed regenerative asset may provide stronger continuity, autonomy, adaptability, and local productive capacity than a purely speculative, consumption-based, or infrastructure-dependent asset.</w:t>
      </w:r>
    </w:p>
    <w:p w14:paraId="2E3877A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 Prometheus interpretation is therefore conservative:</w:t>
      </w:r>
    </w:p>
    <w:p w14:paraId="47524A9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regenerative land may support resilience;</w:t>
      </w:r>
    </w:p>
    <w:p w14:paraId="3B050476"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regenerative buildings may support continuity;</w:t>
      </w:r>
    </w:p>
    <w:p w14:paraId="4A88E8C6"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regenerative operations may support autonomy;</w:t>
      </w:r>
    </w:p>
    <w:p w14:paraId="0156DFD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regenerative governance may support trust;</w:t>
      </w:r>
    </w:p>
    <w:p w14:paraId="7CD59111"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regenerative MRV may support institutional credibility;</w:t>
      </w:r>
    </w:p>
    <w:p w14:paraId="282B3D3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but no asset is risk-free by definition.</w:t>
      </w:r>
    </w:p>
    <w:p w14:paraId="1DD7B4D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A property becomes resilience-relevant only where design, location, stewardship, legal structure, governance, security, infrastructure, ecological function, and operational capacity support that interpretation.</w:t>
      </w:r>
    </w:p>
    <w:p w14:paraId="7741FB8A"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This is especially important under scenarios of financial volatility, currency instability, supply disruption, climate stress, infrastructure fragility, or social instability.</w:t>
      </w:r>
    </w:p>
    <w:p w14:paraId="395BD00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In such conditions, assets that depend only on market price may become fragile.</w:t>
      </w:r>
    </w:p>
    <w:p w14:paraId="12475503"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Assets that also produce food, retain water, support energy or operational autonomy, strengthen soil, host communities, and preserve local productive capacity may become strategically more resilient.</w:t>
      </w:r>
    </w:p>
    <w:p w14:paraId="559512B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This is not a promise of protection.</w:t>
      </w:r>
    </w:p>
    <w:p w14:paraId="52FC641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is a theory of reduced fragility.</w:t>
      </w:r>
    </w:p>
    <w:p w14:paraId="37982C6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 Prometheus logic can be summarized as follows:</w:t>
      </w:r>
    </w:p>
    <w:p w14:paraId="63ED57A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speculative real estate stores price;</w:t>
      </w:r>
    </w:p>
    <w:p w14:paraId="23482D0F"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productive regenerative land stores capacity;</w:t>
      </w:r>
    </w:p>
    <w:p w14:paraId="22F5634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resilient infrastructure stores continuity;</w:t>
      </w:r>
    </w:p>
    <w:p w14:paraId="3AEF6C6C"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lastRenderedPageBreak/>
        <w:t>verified regeneration stores future optionality.</w:t>
      </w:r>
    </w:p>
    <w:p w14:paraId="0E1F30D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A regenerative real asset should therefore be evaluated not only by:</w:t>
      </w:r>
    </w:p>
    <w:p w14:paraId="5DA19E7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is its market price?</w:t>
      </w:r>
    </w:p>
    <w:p w14:paraId="1C4A2151"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xml:space="preserve">but </w:t>
      </w:r>
      <w:proofErr w:type="gramStart"/>
      <w:r w:rsidRPr="00B479AE">
        <w:rPr>
          <w:rFonts w:ascii="Baskerville Old Face" w:hAnsi="Baskerville Old Face"/>
          <w:i/>
          <w:iCs/>
        </w:rPr>
        <w:t>also</w:t>
      </w:r>
      <w:proofErr w:type="gramEnd"/>
      <w:r w:rsidRPr="00B479AE">
        <w:rPr>
          <w:rFonts w:ascii="Baskerville Old Face" w:hAnsi="Baskerville Old Face"/>
          <w:i/>
          <w:iCs/>
        </w:rPr>
        <w:t xml:space="preserve"> by:</w:t>
      </w:r>
    </w:p>
    <w:p w14:paraId="62ECD63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can it produce?</w:t>
      </w:r>
    </w:p>
    <w:p w14:paraId="32E3329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can it withstand?</w:t>
      </w:r>
    </w:p>
    <w:p w14:paraId="51184AD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dependencies can it reduce?</w:t>
      </w:r>
    </w:p>
    <w:p w14:paraId="2BFC8D66"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living systems does it strengthen?</w:t>
      </w:r>
    </w:p>
    <w:p w14:paraId="12C953B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forms of continuity can it support under stress?</w:t>
      </w:r>
    </w:p>
    <w:p w14:paraId="509DDFF6"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What evidence supports those claims?</w:t>
      </w:r>
    </w:p>
    <w:p w14:paraId="53A5AE9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In Prometheus, this creates a new interpretation of real assets.</w:t>
      </w:r>
    </w:p>
    <w:p w14:paraId="1627C8F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 strongest asset is not merely the one that appreciates under favorable markets.</w:t>
      </w:r>
    </w:p>
    <w:p w14:paraId="0F55C47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 strongest asset is the one that remains useful when markets, supply chains, climate conditions, infrastructure, or institutions become unstable.</w:t>
      </w:r>
    </w:p>
    <w:p w14:paraId="685DB73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For this reason, a regenerated land-and-building system may become more than property.</w:t>
      </w:r>
    </w:p>
    <w:p w14:paraId="6E4A40C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become a territorial continuity node.</w:t>
      </w:r>
    </w:p>
    <w:p w14:paraId="31A3C193"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It may function as:</w:t>
      </w:r>
    </w:p>
    <w:p w14:paraId="7245EF8D"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productive shelter;</w:t>
      </w:r>
    </w:p>
    <w:p w14:paraId="0003FB8C"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food and water resilience infrastructure;</w:t>
      </w:r>
    </w:p>
    <w:p w14:paraId="33D5DF2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ecological restoration unit;</w:t>
      </w:r>
    </w:p>
    <w:p w14:paraId="2EDDFAD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community-coherence platform;</w:t>
      </w:r>
    </w:p>
    <w:p w14:paraId="14EBCE9A"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local circular economy node;</w:t>
      </w:r>
    </w:p>
    <w:p w14:paraId="35619B4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lastRenderedPageBreak/>
        <w:t>• verified regenerative asset;</w:t>
      </w:r>
    </w:p>
    <w:p w14:paraId="7C8F1D9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capital-ready territorial infrastructure.</w:t>
      </w:r>
    </w:p>
    <w:p w14:paraId="196F18CA"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However, any such interpretation must remain evidence-bound.</w:t>
      </w:r>
    </w:p>
    <w:p w14:paraId="5616C10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Resilience claims should be supported by:</w:t>
      </w:r>
    </w:p>
    <w:p w14:paraId="41F89DA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site analysis;</w:t>
      </w:r>
    </w:p>
    <w:p w14:paraId="79C52DFD"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water strategy;</w:t>
      </w:r>
    </w:p>
    <w:p w14:paraId="1C823BB2"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soil and ecological baseline;</w:t>
      </w:r>
    </w:p>
    <w:p w14:paraId="4B38EE03"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food-production capacity;</w:t>
      </w:r>
    </w:p>
    <w:p w14:paraId="620FB47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energy and operational strategy where applicable;</w:t>
      </w:r>
    </w:p>
    <w:p w14:paraId="0F8B2F19"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security and access considerations;</w:t>
      </w:r>
    </w:p>
    <w:p w14:paraId="699A7AD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governance structure;</w:t>
      </w:r>
    </w:p>
    <w:p w14:paraId="6667831D"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community integration;</w:t>
      </w:r>
    </w:p>
    <w:p w14:paraId="2C1DD6CA"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legal and land-use clarity;</w:t>
      </w:r>
    </w:p>
    <w:p w14:paraId="0FC5C26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MRV evidence;</w:t>
      </w:r>
    </w:p>
    <w:p w14:paraId="30BF93A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operational records;</w:t>
      </w:r>
    </w:p>
    <w:p w14:paraId="40913EC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risk assessment;</w:t>
      </w:r>
    </w:p>
    <w:p w14:paraId="1F21ED20"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 emergency-continuity planning.</w:t>
      </w:r>
    </w:p>
    <w:p w14:paraId="7392AB21"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This preserves the difference between a romantic refuge narrative and an institutionally credible regenerative infrastructure asset.</w:t>
      </w:r>
    </w:p>
    <w:p w14:paraId="5CBC0E4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 Prometheus boundary is clear:</w:t>
      </w:r>
    </w:p>
    <w:p w14:paraId="357C3B84"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a regenerated real asset may support resilience;</w:t>
      </w:r>
    </w:p>
    <w:p w14:paraId="7A04179B"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resilience may support value interpretation;</w:t>
      </w:r>
    </w:p>
    <w:p w14:paraId="0A0AA1A7"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lastRenderedPageBreak/>
        <w:t>value interpretation may support capital-readiness;</w:t>
      </w:r>
    </w:p>
    <w:p w14:paraId="54E83F63"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capital-readiness may support legal structuring;</w:t>
      </w:r>
    </w:p>
    <w:p w14:paraId="30BAA9E6" w14:textId="4C6D579D"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but no land, building, OHE, PRU, or RAP becomes a guaranteed safe haven, investment product, collateral asset, or protection instrument merely by being described as regenerative.</w:t>
      </w:r>
      <w:r w:rsidR="00A92C11" w:rsidRPr="00B479AE">
        <w:rPr>
          <w:rFonts w:ascii="Baskerville Old Face" w:hAnsi="Baskerville Old Face"/>
          <w:i/>
          <w:iCs/>
        </w:rPr>
        <w:t xml:space="preserve"> </w:t>
      </w:r>
      <w:r w:rsidRPr="00B479AE">
        <w:rPr>
          <w:rFonts w:ascii="Baskerville Old Face" w:hAnsi="Baskerville Old Face"/>
          <w:i/>
          <w:iCs/>
        </w:rPr>
        <w:t>The final principle is:</w:t>
      </w:r>
    </w:p>
    <w:p w14:paraId="0414ADB5"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regenerative real assets are not valuable because they escape the world;</w:t>
      </w:r>
    </w:p>
    <w:p w14:paraId="2858A15E" w14:textId="77777777" w:rsidR="00290D30" w:rsidRPr="00B479AE" w:rsidRDefault="00290D30" w:rsidP="00290D30">
      <w:pPr>
        <w:spacing w:line="360" w:lineRule="auto"/>
        <w:rPr>
          <w:rFonts w:ascii="Baskerville Old Face" w:hAnsi="Baskerville Old Face"/>
          <w:i/>
          <w:iCs/>
        </w:rPr>
      </w:pPr>
      <w:r w:rsidRPr="00B479AE">
        <w:rPr>
          <w:rFonts w:ascii="Baskerville Old Face" w:hAnsi="Baskerville Old Face"/>
          <w:i/>
          <w:iCs/>
        </w:rPr>
        <w:t>they are valuable because they can help keep life, production, evidence, community, and continuity functioning when the world becomes less stable.</w:t>
      </w:r>
    </w:p>
    <w:p w14:paraId="0A1F7EE1"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b/>
          <w:bCs/>
          <w:i/>
          <w:iCs/>
        </w:rPr>
        <w:t xml:space="preserve">From </w:t>
      </w:r>
      <w:proofErr w:type="spellStart"/>
      <w:r w:rsidRPr="00B479AE">
        <w:rPr>
          <w:rFonts w:ascii="Baskerville Old Face" w:hAnsi="Baskerville Old Face"/>
          <w:b/>
          <w:bCs/>
          <w:i/>
          <w:iCs/>
        </w:rPr>
        <w:t>Bancor</w:t>
      </w:r>
      <w:proofErr w:type="spellEnd"/>
      <w:r w:rsidRPr="00B479AE">
        <w:rPr>
          <w:rFonts w:ascii="Baskerville Old Face" w:hAnsi="Baskerville Old Face"/>
          <w:b/>
          <w:bCs/>
          <w:i/>
          <w:iCs/>
        </w:rPr>
        <w:t xml:space="preserve"> to Planetary Metabolism</w:t>
      </w:r>
    </w:p>
    <w:p w14:paraId="7553461E"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The need for systemic balance in economic architectures is not new.</w:t>
      </w:r>
    </w:p>
    <w:p w14:paraId="16B5D893"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 xml:space="preserve">At Bretton Woods, Keynes proposed </w:t>
      </w:r>
      <w:proofErr w:type="spellStart"/>
      <w:r w:rsidRPr="00B479AE">
        <w:rPr>
          <w:rFonts w:ascii="Baskerville Old Face" w:hAnsi="Baskerville Old Face"/>
          <w:i/>
          <w:iCs/>
        </w:rPr>
        <w:t>Bancor</w:t>
      </w:r>
      <w:proofErr w:type="spellEnd"/>
      <w:r w:rsidRPr="00B479AE">
        <w:rPr>
          <w:rFonts w:ascii="Baskerville Old Face" w:hAnsi="Baskerville Old Face"/>
          <w:i/>
          <w:iCs/>
        </w:rPr>
        <w:t xml:space="preserve"> as a supranational clearing mechanism intended to reduce persistent imbalances between surplus and deficit economies.</w:t>
      </w:r>
    </w:p>
    <w:p w14:paraId="594233A0"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 xml:space="preserve">Although </w:t>
      </w:r>
      <w:proofErr w:type="spellStart"/>
      <w:r w:rsidRPr="00B479AE">
        <w:rPr>
          <w:rFonts w:ascii="Baskerville Old Face" w:hAnsi="Baskerville Old Face"/>
          <w:i/>
          <w:iCs/>
        </w:rPr>
        <w:t>Bancor</w:t>
      </w:r>
      <w:proofErr w:type="spellEnd"/>
      <w:r w:rsidRPr="00B479AE">
        <w:rPr>
          <w:rFonts w:ascii="Baskerville Old Face" w:hAnsi="Baskerville Old Face"/>
          <w:i/>
          <w:iCs/>
        </w:rPr>
        <w:t xml:space="preserve"> was never implemented, its underlying insight remains important: durable systems require mechanisms that identify and correct structural imbalance.</w:t>
      </w:r>
    </w:p>
    <w:p w14:paraId="5BC3721E"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Prometheus extends this principle from financial accounts to biophysical accounts.</w:t>
      </w:r>
    </w:p>
    <w:p w14:paraId="73FDBF70"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The relevant imbalance is not only between monetary surplus and deficit.</w:t>
      </w:r>
    </w:p>
    <w:p w14:paraId="68A62405"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It is between human economic activity and the regenerative capacity of living systems.</w:t>
      </w:r>
    </w:p>
    <w:p w14:paraId="48C0C93B"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In this sense, Prometheus can be understood as an ecological clearing architecture.</w:t>
      </w:r>
    </w:p>
    <w:p w14:paraId="26F4A81D"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Its purpose is not to clear trade balances between nations, but to make visible the metabolic relationship between extraction, regeneration, evidence, and capital allocation.</w:t>
      </w:r>
    </w:p>
    <w:p w14:paraId="12E2258C"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The equilibrium sought by Prometheus is therefore not merely accounting balance.</w:t>
      </w:r>
    </w:p>
    <w:p w14:paraId="08C72A81" w14:textId="77777777" w:rsidR="00BC52DC" w:rsidRPr="00B479AE" w:rsidRDefault="00BC52DC" w:rsidP="00BC52DC">
      <w:pPr>
        <w:spacing w:line="360" w:lineRule="auto"/>
        <w:rPr>
          <w:rFonts w:ascii="Baskerville Old Face" w:hAnsi="Baskerville Old Face"/>
          <w:i/>
          <w:iCs/>
        </w:rPr>
      </w:pPr>
      <w:r w:rsidRPr="00B479AE">
        <w:rPr>
          <w:rFonts w:ascii="Baskerville Old Face" w:hAnsi="Baskerville Old Face"/>
          <w:i/>
          <w:iCs/>
        </w:rPr>
        <w:t>It is dynamic alignment between value formation and the living systems that make value possible.</w:t>
      </w:r>
    </w:p>
    <w:p w14:paraId="7555FD35" w14:textId="77777777" w:rsidR="00321544" w:rsidRPr="00321544" w:rsidRDefault="00321544" w:rsidP="00321544">
      <w:pPr>
        <w:spacing w:line="360" w:lineRule="auto"/>
        <w:rPr>
          <w:rFonts w:ascii="Baskerville Old Face" w:hAnsi="Baskerville Old Face"/>
          <w:b/>
          <w:bCs/>
          <w:i/>
          <w:iCs/>
        </w:rPr>
      </w:pPr>
      <w:r w:rsidRPr="00321544">
        <w:rPr>
          <w:rFonts w:ascii="Baskerville Old Face" w:hAnsi="Baskerville Old Face"/>
          <w:b/>
          <w:bCs/>
          <w:i/>
          <w:iCs/>
        </w:rPr>
        <w:t>Capital Flow as Hydrological Discipline</w:t>
      </w:r>
    </w:p>
    <w:p w14:paraId="7EDFBF5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Prometheus treats capital flow through a hydrological analogy.</w:t>
      </w:r>
    </w:p>
    <w:p w14:paraId="68BBFB11"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lastRenderedPageBreak/>
        <w:t>Water becomes life-supporting when it circulates, slows down, infiltrates, recharges, cools, distributes, and returns to the living system.</w:t>
      </w:r>
    </w:p>
    <w:p w14:paraId="0E9B974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When water is accelerated, extracted, polluted, centralized, or prevented from infiltrating, landscapes become fragile.</w:t>
      </w:r>
    </w:p>
    <w:p w14:paraId="0206C840"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A similar logic applies to capital.</w:t>
      </w:r>
    </w:p>
    <w:p w14:paraId="593CE9BC"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Capital becomes regenerative when it circulates toward living capacity, strengthens productive foundations, supports stewardship, restores degraded systems, reduces fragility, and returns surplus into the conditions that generated value.</w:t>
      </w:r>
    </w:p>
    <w:p w14:paraId="10DFAAC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Capital becomes extractive when it accelerates beyond evidence, concentrates away from the source of value, strips liquidity from productive systems, converts living processes into speculative claims, or captures future capacity for short-term financial gain.</w:t>
      </w:r>
    </w:p>
    <w:p w14:paraId="6FA6E70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Prometheus interpretation is therefore conservative and operational:</w:t>
      </w:r>
    </w:p>
    <w:p w14:paraId="70FA2932"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capital should flow like water through a regenerative landscape.</w:t>
      </w:r>
    </w:p>
    <w:p w14:paraId="480B56C7"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should be slowed where acceleration creates fragility.</w:t>
      </w:r>
    </w:p>
    <w:p w14:paraId="760CF49E"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should infiltrate where living capacity needs support.</w:t>
      </w:r>
    </w:p>
    <w:p w14:paraId="6A1159EA"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should circulate where value depends on relationships.</w:t>
      </w:r>
    </w:p>
    <w:p w14:paraId="36B3646A"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should recharge the ecological, social, operational, and evidentiary foundations of the system.</w:t>
      </w:r>
    </w:p>
    <w:p w14:paraId="1B1FFA65"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should not bypass the living source from which value emerges.</w:t>
      </w:r>
    </w:p>
    <w:p w14:paraId="34D5BDE6"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This analogy does not create a financial instrument.</w:t>
      </w:r>
    </w:p>
    <w:p w14:paraId="06E2E5CB"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does not create a liquidity promise.</w:t>
      </w:r>
    </w:p>
    <w:p w14:paraId="499649ED"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does not create credit issuance.</w:t>
      </w:r>
    </w:p>
    <w:p w14:paraId="259EF73F"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does not create token rights.</w:t>
      </w:r>
    </w:p>
    <w:p w14:paraId="5E7FDFCF"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does not create investor entitlement.</w:t>
      </w:r>
    </w:p>
    <w:p w14:paraId="6ABA03AE"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does not create automatic PRU value.</w:t>
      </w:r>
    </w:p>
    <w:p w14:paraId="7D2C113C"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lastRenderedPageBreak/>
        <w:t>It defines a capital-allocation discipline.</w:t>
      </w:r>
    </w:p>
    <w:p w14:paraId="1E9E21A3"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Within Prometheus, capital flow becomes admissible only when routed through evidence, governance, legal structure, MRV integrity, operational need, and regenerative purpose.</w:t>
      </w:r>
    </w:p>
    <w:p w14:paraId="337D20FD"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correct pathway is:</w:t>
      </w:r>
    </w:p>
    <w:p w14:paraId="62675B48"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xml:space="preserve">capital </w:t>
      </w:r>
      <w:r w:rsidRPr="00321544">
        <w:rPr>
          <w:rFonts w:ascii="Times New Roman" w:hAnsi="Times New Roman" w:cs="Times New Roman"/>
          <w:i/>
          <w:iCs/>
        </w:rPr>
        <w:t>→</w:t>
      </w:r>
      <w:r w:rsidRPr="00321544">
        <w:rPr>
          <w:rFonts w:ascii="Baskerville Old Face" w:hAnsi="Baskerville Old Face"/>
          <w:i/>
          <w:iCs/>
        </w:rPr>
        <w:t xml:space="preserve"> deployment </w:t>
      </w:r>
      <w:r w:rsidRPr="00321544">
        <w:rPr>
          <w:rFonts w:ascii="Times New Roman" w:hAnsi="Times New Roman" w:cs="Times New Roman"/>
          <w:i/>
          <w:iCs/>
        </w:rPr>
        <w:t>→</w:t>
      </w:r>
      <w:r w:rsidRPr="00321544">
        <w:rPr>
          <w:rFonts w:ascii="Baskerville Old Face" w:hAnsi="Baskerville Old Face"/>
          <w:i/>
          <w:iCs/>
        </w:rPr>
        <w:t xml:space="preserve"> living-system capacity </w:t>
      </w:r>
      <w:r w:rsidRPr="00321544">
        <w:rPr>
          <w:rFonts w:ascii="Times New Roman" w:hAnsi="Times New Roman" w:cs="Times New Roman"/>
          <w:i/>
          <w:iCs/>
        </w:rPr>
        <w:t>→</w:t>
      </w:r>
      <w:r w:rsidRPr="00321544">
        <w:rPr>
          <w:rFonts w:ascii="Baskerville Old Face" w:hAnsi="Baskerville Old Face"/>
          <w:i/>
          <w:iCs/>
        </w:rPr>
        <w:t xml:space="preserve"> evidence </w:t>
      </w:r>
      <w:r w:rsidRPr="00321544">
        <w:rPr>
          <w:rFonts w:ascii="Times New Roman" w:hAnsi="Times New Roman" w:cs="Times New Roman"/>
          <w:i/>
          <w:iCs/>
        </w:rPr>
        <w:t>→</w:t>
      </w:r>
      <w:r w:rsidRPr="00321544">
        <w:rPr>
          <w:rFonts w:ascii="Baskerville Old Face" w:hAnsi="Baskerville Old Face"/>
          <w:i/>
          <w:iCs/>
        </w:rPr>
        <w:t xml:space="preserve"> verified performance </w:t>
      </w:r>
      <w:r w:rsidRPr="00321544">
        <w:rPr>
          <w:rFonts w:ascii="Times New Roman" w:hAnsi="Times New Roman" w:cs="Times New Roman"/>
          <w:i/>
          <w:iCs/>
        </w:rPr>
        <w:t>→</w:t>
      </w:r>
      <w:r w:rsidRPr="00321544">
        <w:rPr>
          <w:rFonts w:ascii="Baskerville Old Face" w:hAnsi="Baskerville Old Face"/>
          <w:i/>
          <w:iCs/>
        </w:rPr>
        <w:t xml:space="preserve"> PRU value analysis </w:t>
      </w:r>
      <w:r w:rsidRPr="00321544">
        <w:rPr>
          <w:rFonts w:ascii="Times New Roman" w:hAnsi="Times New Roman" w:cs="Times New Roman"/>
          <w:i/>
          <w:iCs/>
        </w:rPr>
        <w:t>→</w:t>
      </w:r>
      <w:r w:rsidRPr="00321544">
        <w:rPr>
          <w:rFonts w:ascii="Baskerville Old Face" w:hAnsi="Baskerville Old Face"/>
          <w:i/>
          <w:iCs/>
        </w:rPr>
        <w:t xml:space="preserve"> governance review </w:t>
      </w:r>
      <w:r w:rsidRPr="00321544">
        <w:rPr>
          <w:rFonts w:ascii="Times New Roman" w:hAnsi="Times New Roman" w:cs="Times New Roman"/>
          <w:i/>
          <w:iCs/>
        </w:rPr>
        <w:t>→</w:t>
      </w:r>
      <w:r w:rsidRPr="00321544">
        <w:rPr>
          <w:rFonts w:ascii="Baskerville Old Face" w:hAnsi="Baskerville Old Face"/>
          <w:i/>
          <w:iCs/>
        </w:rPr>
        <w:t xml:space="preserve"> reinvestment </w:t>
      </w:r>
      <w:r w:rsidRPr="00321544">
        <w:rPr>
          <w:rFonts w:ascii="Times New Roman" w:hAnsi="Times New Roman" w:cs="Times New Roman"/>
          <w:i/>
          <w:iCs/>
        </w:rPr>
        <w:t>→</w:t>
      </w:r>
      <w:r w:rsidRPr="00321544">
        <w:rPr>
          <w:rFonts w:ascii="Baskerville Old Face" w:hAnsi="Baskerville Old Face"/>
          <w:i/>
          <w:iCs/>
        </w:rPr>
        <w:t xml:space="preserve"> expanded regeneration.</w:t>
      </w:r>
    </w:p>
    <w:p w14:paraId="3225BD0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This is the hydrological discipline of regenerative finance:</w:t>
      </w:r>
    </w:p>
    <w:p w14:paraId="6CD1E0FA"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capital must return to the source of life, or it becomes extraction wearing liquidity’s clothes.</w:t>
      </w:r>
    </w:p>
    <w:p w14:paraId="1E2F855D" w14:textId="77777777" w:rsidR="00321544" w:rsidRPr="00321544" w:rsidRDefault="00321544" w:rsidP="00321544">
      <w:pPr>
        <w:spacing w:line="360" w:lineRule="auto"/>
        <w:rPr>
          <w:rFonts w:ascii="Baskerville Old Face" w:hAnsi="Baskerville Old Face"/>
          <w:b/>
          <w:bCs/>
          <w:i/>
          <w:iCs/>
        </w:rPr>
      </w:pPr>
      <w:r w:rsidRPr="00321544">
        <w:rPr>
          <w:rFonts w:ascii="Baskerville Old Face" w:hAnsi="Baskerville Old Face"/>
          <w:b/>
          <w:bCs/>
          <w:i/>
          <w:iCs/>
        </w:rPr>
        <w:t>Regenerative Control Architecture</w:t>
      </w:r>
    </w:p>
    <w:p w14:paraId="201BFD8E"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Prometheus may also be understood as a regenerative control architecture.</w:t>
      </w:r>
    </w:p>
    <w:p w14:paraId="6CDAEFF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Its purpose is not to control living systems from above.</w:t>
      </w:r>
    </w:p>
    <w:p w14:paraId="263516EC"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Its purpose is to detect drift, preserve coherence, and prevent ecological, operational, financial, governance, or semantic imbalance from becoming systemic failure.</w:t>
      </w:r>
    </w:p>
    <w:p w14:paraId="5DBD3220"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Modern financial systems often allocate capital after damage has already appeared.</w:t>
      </w:r>
    </w:p>
    <w:p w14:paraId="3E38E006"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Ecological degradation becomes cost.</w:t>
      </w:r>
    </w:p>
    <w:p w14:paraId="26F71D53"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Health burden becomes expenditure.</w:t>
      </w:r>
    </w:p>
    <w:p w14:paraId="712CB62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Water stress becomes crisis.</w:t>
      </w:r>
    </w:p>
    <w:p w14:paraId="5B547DBC"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Soil loss becomes productivity decline.</w:t>
      </w:r>
    </w:p>
    <w:p w14:paraId="53687C7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Governance capture becomes institutional fragility.</w:t>
      </w:r>
    </w:p>
    <w:p w14:paraId="6A7C0C5D"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Prometheus reverses this timing.</w:t>
      </w:r>
    </w:p>
    <w:p w14:paraId="33F346E5"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seeks to identify early signals of imbalance before they mature into systemic liabilities.</w:t>
      </w:r>
    </w:p>
    <w:p w14:paraId="16F38361"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system may monitor several forms of drift:</w:t>
      </w:r>
    </w:p>
    <w:p w14:paraId="1703DEF5"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ecological drift, where regeneration falls below extraction;</w:t>
      </w:r>
    </w:p>
    <w:p w14:paraId="0A8D11C2"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lastRenderedPageBreak/>
        <w:t>• evidentiary drift, where claims move faster than proof;</w:t>
      </w:r>
    </w:p>
    <w:p w14:paraId="60EEEE28"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governance drift, where authority separates from stewardship;</w:t>
      </w:r>
    </w:p>
    <w:p w14:paraId="49335497"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financial drift, where capital-facing interpretation exceeds admissible value;</w:t>
      </w:r>
    </w:p>
    <w:p w14:paraId="5140F973"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token drift, where representation begins to imply rights not legally structured;</w:t>
      </w:r>
    </w:p>
    <w:p w14:paraId="44AE8D6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operational drift, where deployment exceeds stewardship capacity;</w:t>
      </w:r>
    </w:p>
    <w:p w14:paraId="7772FC48"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semantic drift, where regenerative language begins to conceal extractive behavior.</w:t>
      </w:r>
    </w:p>
    <w:p w14:paraId="114556E3"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This makes Prometheus comparable to an immune system for regenerative infrastructure.</w:t>
      </w:r>
    </w:p>
    <w:p w14:paraId="2C22F857"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An immune system does not create life.</w:t>
      </w:r>
    </w:p>
    <w:p w14:paraId="549DEC15"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protects the conditions under which life can remain coherent.</w:t>
      </w:r>
    </w:p>
    <w:p w14:paraId="4976D09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Likewise, Prometheus does not create ecological value by declaration.</w:t>
      </w:r>
    </w:p>
    <w:p w14:paraId="6E2D57CB"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It protects the pathway through which living-system performance becomes observable, verifiable, reviewable, and capital-readable without being detached from its source.</w:t>
      </w:r>
    </w:p>
    <w:p w14:paraId="5C8DFB42"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control architecture may operate through:</w:t>
      </w:r>
    </w:p>
    <w:p w14:paraId="4DECFE33"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MRV review;</w:t>
      </w:r>
    </w:p>
    <w:p w14:paraId="17E0C19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confidence scoring;</w:t>
      </w:r>
    </w:p>
    <w:p w14:paraId="246FC09B"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admissibility thresholds;</w:t>
      </w:r>
    </w:p>
    <w:p w14:paraId="6E3CD2B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execution gates;</w:t>
      </w:r>
    </w:p>
    <w:p w14:paraId="2E6CE9EF"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protected-domain review;</w:t>
      </w:r>
    </w:p>
    <w:p w14:paraId="235750DD"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legal-review requirements;</w:t>
      </w:r>
    </w:p>
    <w:p w14:paraId="67C5FC5C"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constitutional-review pathways;</w:t>
      </w:r>
    </w:p>
    <w:p w14:paraId="316F399A"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no-double-counting controls;</w:t>
      </w:r>
    </w:p>
    <w:p w14:paraId="13019D2B"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methodology versioning;</w:t>
      </w:r>
    </w:p>
    <w:p w14:paraId="3FF7346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lastRenderedPageBreak/>
        <w:t>• governance escalation;</w:t>
      </w:r>
    </w:p>
    <w:p w14:paraId="09A1BBE5"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quarantine or non-admissibility status where required.</w:t>
      </w:r>
    </w:p>
    <w:p w14:paraId="1CB1F252"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purpose is not automatic punishment.</w:t>
      </w:r>
    </w:p>
    <w:p w14:paraId="71A9FB1E"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purpose is adaptive correction.</w:t>
      </w:r>
    </w:p>
    <w:p w14:paraId="2113AB1B"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Prometheus should not issue value, authorize claims, trigger token consequences, approve PRU maturity, or create capital-facing interpretation merely because a signal appears.</w:t>
      </w:r>
    </w:p>
    <w:p w14:paraId="0A97F25E"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Signals must be reviewed through the appropriate pathway.</w:t>
      </w:r>
    </w:p>
    <w:p w14:paraId="0239C589"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The control logic is:</w:t>
      </w:r>
    </w:p>
    <w:p w14:paraId="7D5BD3E2"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 xml:space="preserve">detect </w:t>
      </w:r>
      <w:r w:rsidRPr="00321544">
        <w:rPr>
          <w:rFonts w:ascii="Times New Roman" w:hAnsi="Times New Roman" w:cs="Times New Roman"/>
          <w:i/>
          <w:iCs/>
        </w:rPr>
        <w:t>→</w:t>
      </w:r>
      <w:r w:rsidRPr="00321544">
        <w:rPr>
          <w:rFonts w:ascii="Baskerville Old Face" w:hAnsi="Baskerville Old Face"/>
          <w:i/>
          <w:iCs/>
        </w:rPr>
        <w:t xml:space="preserve"> classify </w:t>
      </w:r>
      <w:r w:rsidRPr="00321544">
        <w:rPr>
          <w:rFonts w:ascii="Times New Roman" w:hAnsi="Times New Roman" w:cs="Times New Roman"/>
          <w:i/>
          <w:iCs/>
        </w:rPr>
        <w:t>→</w:t>
      </w:r>
      <w:r w:rsidRPr="00321544">
        <w:rPr>
          <w:rFonts w:ascii="Baskerville Old Face" w:hAnsi="Baskerville Old Face"/>
          <w:i/>
          <w:iCs/>
        </w:rPr>
        <w:t xml:space="preserve"> review </w:t>
      </w:r>
      <w:r w:rsidRPr="00321544">
        <w:rPr>
          <w:rFonts w:ascii="Times New Roman" w:hAnsi="Times New Roman" w:cs="Times New Roman"/>
          <w:i/>
          <w:iCs/>
        </w:rPr>
        <w:t>→</w:t>
      </w:r>
      <w:r w:rsidRPr="00321544">
        <w:rPr>
          <w:rFonts w:ascii="Baskerville Old Face" w:hAnsi="Baskerville Old Face"/>
          <w:i/>
          <w:iCs/>
        </w:rPr>
        <w:t xml:space="preserve"> correct </w:t>
      </w:r>
      <w:r w:rsidRPr="00321544">
        <w:rPr>
          <w:rFonts w:ascii="Times New Roman" w:hAnsi="Times New Roman" w:cs="Times New Roman"/>
          <w:i/>
          <w:iCs/>
        </w:rPr>
        <w:t>→</w:t>
      </w:r>
      <w:r w:rsidRPr="00321544">
        <w:rPr>
          <w:rFonts w:ascii="Baskerville Old Face" w:hAnsi="Baskerville Old Face"/>
          <w:i/>
          <w:iCs/>
        </w:rPr>
        <w:t xml:space="preserve"> document </w:t>
      </w:r>
      <w:r w:rsidRPr="00321544">
        <w:rPr>
          <w:rFonts w:ascii="Times New Roman" w:hAnsi="Times New Roman" w:cs="Times New Roman"/>
          <w:i/>
          <w:iCs/>
        </w:rPr>
        <w:t>→</w:t>
      </w:r>
      <w:r w:rsidRPr="00321544">
        <w:rPr>
          <w:rFonts w:ascii="Baskerville Old Face" w:hAnsi="Baskerville Old Face"/>
          <w:i/>
          <w:iCs/>
        </w:rPr>
        <w:t xml:space="preserve"> learn.</w:t>
      </w:r>
    </w:p>
    <w:p w14:paraId="46DC915F"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A regenerative system becomes institutionally credible when it can identify not only success, but also overclaiming, uncertainty, failure, regression, capture, and methodological weakness.</w:t>
      </w:r>
    </w:p>
    <w:p w14:paraId="16C1B544"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This is the deeper function of Prometheus as a control architecture:</w:t>
      </w:r>
    </w:p>
    <w:p w14:paraId="2053BDAF" w14:textId="77777777" w:rsidR="00321544" w:rsidRPr="00321544" w:rsidRDefault="00321544" w:rsidP="00321544">
      <w:pPr>
        <w:spacing w:line="360" w:lineRule="auto"/>
        <w:rPr>
          <w:rFonts w:ascii="Baskerville Old Face" w:hAnsi="Baskerville Old Face"/>
          <w:i/>
          <w:iCs/>
        </w:rPr>
      </w:pPr>
      <w:r w:rsidRPr="00321544">
        <w:rPr>
          <w:rFonts w:ascii="Baskerville Old Face" w:hAnsi="Baskerville Old Face"/>
          <w:i/>
          <w:iCs/>
        </w:rPr>
        <w:t>to keep capital, technology, governance, and evidence inside the regenerative corridor where living-system capacity increases faster than extraction, speculation, or semantic inflation can degrade it.</w:t>
      </w:r>
    </w:p>
    <w:p w14:paraId="17E0097E" w14:textId="2ECBCB3A" w:rsidR="00F707F3" w:rsidRPr="00B479AE" w:rsidRDefault="00F707F3" w:rsidP="00F707F3">
      <w:pPr>
        <w:spacing w:line="360" w:lineRule="auto"/>
        <w:rPr>
          <w:rFonts w:ascii="Baskerville Old Face" w:hAnsi="Baskerville Old Face"/>
          <w:b/>
          <w:bCs/>
          <w:i/>
          <w:iCs/>
        </w:rPr>
      </w:pPr>
      <w:r w:rsidRPr="00B479AE">
        <w:rPr>
          <w:rFonts w:ascii="Baskerville Old Face" w:hAnsi="Baskerville Old Face"/>
          <w:b/>
          <w:bCs/>
          <w:i/>
          <w:iCs/>
        </w:rPr>
        <w:t>Comparison with Traditional Asset Classes</w:t>
      </w:r>
    </w:p>
    <w:p w14:paraId="6CF11875" w14:textId="325E40F0" w:rsidR="00C7027D" w:rsidRDefault="00F707F3" w:rsidP="00F707F3">
      <w:pPr>
        <w:spacing w:line="360" w:lineRule="auto"/>
        <w:rPr>
          <w:rFonts w:ascii="Baskerville Old Face" w:hAnsi="Baskerville Old Face"/>
          <w:i/>
          <w:iCs/>
        </w:rPr>
      </w:pPr>
      <w:r w:rsidRPr="00B479AE">
        <w:rPr>
          <w:rFonts w:ascii="Baskerville Old Face" w:hAnsi="Baskerville Old Face"/>
          <w:i/>
          <w:iCs/>
        </w:rPr>
        <w:t>Regenerative infrastructure assets share certain features with existing asset classes, but they are reducible to none of them.</w:t>
      </w:r>
      <w:r w:rsidR="00C7027D" w:rsidRPr="00B479AE">
        <w:rPr>
          <w:rFonts w:ascii="Baskerville Old Face" w:hAnsi="Baskerville Old Face"/>
          <w:i/>
          <w:iCs/>
        </w:rPr>
        <w:t xml:space="preserve"> </w:t>
      </w:r>
      <w:r w:rsidR="00321544">
        <w:rPr>
          <w:rFonts w:ascii="Baskerville Old Face" w:hAnsi="Baskerville Old Face"/>
          <w:i/>
          <w:iCs/>
        </w:rPr>
        <w:t xml:space="preserve"> </w:t>
      </w:r>
    </w:p>
    <w:p w14:paraId="1C8BA5A8" w14:textId="77777777" w:rsidR="00321544" w:rsidRDefault="00321544" w:rsidP="00F707F3">
      <w:pPr>
        <w:spacing w:line="360" w:lineRule="auto"/>
        <w:rPr>
          <w:rFonts w:ascii="Baskerville Old Face" w:hAnsi="Baskerville Old Face"/>
          <w:i/>
          <w:iCs/>
        </w:rPr>
      </w:pPr>
    </w:p>
    <w:p w14:paraId="732508B9" w14:textId="77777777" w:rsidR="0053474D" w:rsidRDefault="0053474D" w:rsidP="00F707F3">
      <w:pPr>
        <w:spacing w:line="360" w:lineRule="auto"/>
        <w:rPr>
          <w:rFonts w:ascii="Baskerville Old Face" w:hAnsi="Baskerville Old Face"/>
          <w:i/>
          <w:iCs/>
        </w:rPr>
      </w:pPr>
    </w:p>
    <w:p w14:paraId="38736C42" w14:textId="77777777" w:rsidR="0053474D" w:rsidRDefault="0053474D" w:rsidP="00F707F3">
      <w:pPr>
        <w:spacing w:line="360" w:lineRule="auto"/>
        <w:rPr>
          <w:rFonts w:ascii="Baskerville Old Face" w:hAnsi="Baskerville Old Face"/>
          <w:i/>
          <w:iCs/>
        </w:rPr>
      </w:pPr>
    </w:p>
    <w:p w14:paraId="36B78175" w14:textId="77777777" w:rsidR="00321544" w:rsidRPr="00B479AE" w:rsidRDefault="00321544" w:rsidP="00F707F3">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8"/>
        <w:gridCol w:w="2880"/>
        <w:gridCol w:w="4960"/>
      </w:tblGrid>
      <w:tr w:rsidR="00F707F3" w:rsidRPr="00B479AE" w14:paraId="41EDD3EF" w14:textId="77777777" w:rsidTr="00F707F3">
        <w:trPr>
          <w:tblHeader/>
          <w:tblCellSpacing w:w="15" w:type="dxa"/>
        </w:trPr>
        <w:tc>
          <w:tcPr>
            <w:tcW w:w="0" w:type="auto"/>
            <w:vAlign w:val="center"/>
            <w:hideMark/>
          </w:tcPr>
          <w:p w14:paraId="5AF64D1F" w14:textId="77777777" w:rsidR="00F707F3" w:rsidRPr="00B479AE" w:rsidRDefault="00F707F3" w:rsidP="00F707F3">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lastRenderedPageBreak/>
              <w:t>Asset class</w:t>
            </w:r>
          </w:p>
        </w:tc>
        <w:tc>
          <w:tcPr>
            <w:tcW w:w="0" w:type="auto"/>
            <w:vAlign w:val="center"/>
            <w:hideMark/>
          </w:tcPr>
          <w:p w14:paraId="35F98F1B" w14:textId="77777777" w:rsidR="00F707F3" w:rsidRPr="00B479AE" w:rsidRDefault="00F707F3" w:rsidP="00F707F3">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Traditional value logic</w:t>
            </w:r>
          </w:p>
        </w:tc>
        <w:tc>
          <w:tcPr>
            <w:tcW w:w="0" w:type="auto"/>
            <w:vAlign w:val="center"/>
            <w:hideMark/>
          </w:tcPr>
          <w:p w14:paraId="41F3D2E1" w14:textId="77777777" w:rsidR="00F707F3" w:rsidRPr="00B479AE" w:rsidRDefault="00F707F3" w:rsidP="00F707F3">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Prometheus value logic</w:t>
            </w:r>
          </w:p>
        </w:tc>
      </w:tr>
      <w:tr w:rsidR="00F707F3" w:rsidRPr="00B479AE" w14:paraId="1F474F0A" w14:textId="77777777" w:rsidTr="00F707F3">
        <w:trPr>
          <w:tblCellSpacing w:w="15" w:type="dxa"/>
        </w:trPr>
        <w:tc>
          <w:tcPr>
            <w:tcW w:w="0" w:type="auto"/>
            <w:vAlign w:val="center"/>
            <w:hideMark/>
          </w:tcPr>
          <w:p w14:paraId="5BE85BA1"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Real estate</w:t>
            </w:r>
          </w:p>
        </w:tc>
        <w:tc>
          <w:tcPr>
            <w:tcW w:w="0" w:type="auto"/>
            <w:vAlign w:val="center"/>
            <w:hideMark/>
          </w:tcPr>
          <w:p w14:paraId="7C10073A"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Location, scarcity, rent, appreciation, ownership</w:t>
            </w:r>
          </w:p>
        </w:tc>
        <w:tc>
          <w:tcPr>
            <w:tcW w:w="0" w:type="auto"/>
            <w:vAlign w:val="center"/>
            <w:hideMark/>
          </w:tcPr>
          <w:p w14:paraId="0DF230D0"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Verified regenerative performance, territorial resilience, productive capacity, ecological coherence</w:t>
            </w:r>
          </w:p>
        </w:tc>
      </w:tr>
      <w:tr w:rsidR="00F707F3" w:rsidRPr="00B479AE" w14:paraId="3098DBDD" w14:textId="77777777" w:rsidTr="00F707F3">
        <w:trPr>
          <w:tblCellSpacing w:w="15" w:type="dxa"/>
        </w:trPr>
        <w:tc>
          <w:tcPr>
            <w:tcW w:w="0" w:type="auto"/>
            <w:vAlign w:val="center"/>
            <w:hideMark/>
          </w:tcPr>
          <w:p w14:paraId="0DB0044F"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Agriculture</w:t>
            </w:r>
          </w:p>
        </w:tc>
        <w:tc>
          <w:tcPr>
            <w:tcW w:w="0" w:type="auto"/>
            <w:vAlign w:val="center"/>
            <w:hideMark/>
          </w:tcPr>
          <w:p w14:paraId="34A1FDBA"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Yield, commodity pricing, land productivity, input efficiency</w:t>
            </w:r>
          </w:p>
        </w:tc>
        <w:tc>
          <w:tcPr>
            <w:tcW w:w="0" w:type="auto"/>
            <w:vAlign w:val="center"/>
            <w:hideMark/>
          </w:tcPr>
          <w:p w14:paraId="458F96CC"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Yield, system health, input independence, biodiversity, water performance, risk compression</w:t>
            </w:r>
          </w:p>
        </w:tc>
      </w:tr>
      <w:tr w:rsidR="00F707F3" w:rsidRPr="00B479AE" w14:paraId="7510C995" w14:textId="77777777" w:rsidTr="00F707F3">
        <w:trPr>
          <w:tblCellSpacing w:w="15" w:type="dxa"/>
        </w:trPr>
        <w:tc>
          <w:tcPr>
            <w:tcW w:w="0" w:type="auto"/>
            <w:vAlign w:val="center"/>
            <w:hideMark/>
          </w:tcPr>
          <w:p w14:paraId="73377942"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Infrastructure</w:t>
            </w:r>
          </w:p>
        </w:tc>
        <w:tc>
          <w:tcPr>
            <w:tcW w:w="0" w:type="auto"/>
            <w:vAlign w:val="center"/>
            <w:hideMark/>
          </w:tcPr>
          <w:p w14:paraId="3233E039"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Long-duration service provision and reliability</w:t>
            </w:r>
          </w:p>
        </w:tc>
        <w:tc>
          <w:tcPr>
            <w:tcW w:w="0" w:type="auto"/>
            <w:vAlign w:val="center"/>
            <w:hideMark/>
          </w:tcPr>
          <w:p w14:paraId="0B2DBF4E"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Soil, water, biodiversity, nutrition, data integrity, verification, and stewardship as foundational services</w:t>
            </w:r>
          </w:p>
        </w:tc>
      </w:tr>
      <w:tr w:rsidR="00F707F3" w:rsidRPr="00B479AE" w14:paraId="1889D935" w14:textId="77777777" w:rsidTr="00F707F3">
        <w:trPr>
          <w:tblCellSpacing w:w="15" w:type="dxa"/>
        </w:trPr>
        <w:tc>
          <w:tcPr>
            <w:tcW w:w="0" w:type="auto"/>
            <w:vAlign w:val="center"/>
            <w:hideMark/>
          </w:tcPr>
          <w:p w14:paraId="20124674"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Carbon credits</w:t>
            </w:r>
          </w:p>
        </w:tc>
        <w:tc>
          <w:tcPr>
            <w:tcW w:w="0" w:type="auto"/>
            <w:vAlign w:val="center"/>
            <w:hideMark/>
          </w:tcPr>
          <w:p w14:paraId="78258436"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Single-metric carbon accounting</w:t>
            </w:r>
          </w:p>
        </w:tc>
        <w:tc>
          <w:tcPr>
            <w:tcW w:w="0" w:type="auto"/>
            <w:vAlign w:val="center"/>
            <w:hideMark/>
          </w:tcPr>
          <w:p w14:paraId="524E1509"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Multi-dimensional ecological performance; carbon is one dimension, not the whole system</w:t>
            </w:r>
          </w:p>
        </w:tc>
      </w:tr>
      <w:tr w:rsidR="00F707F3" w:rsidRPr="00B479AE" w14:paraId="116DD299" w14:textId="77777777" w:rsidTr="00F707F3">
        <w:trPr>
          <w:tblCellSpacing w:w="15" w:type="dxa"/>
        </w:trPr>
        <w:tc>
          <w:tcPr>
            <w:tcW w:w="0" w:type="auto"/>
            <w:vAlign w:val="center"/>
            <w:hideMark/>
          </w:tcPr>
          <w:p w14:paraId="7B5E7F0C"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Private credit</w:t>
            </w:r>
          </w:p>
        </w:tc>
        <w:tc>
          <w:tcPr>
            <w:tcW w:w="0" w:type="auto"/>
            <w:vAlign w:val="center"/>
            <w:hideMark/>
          </w:tcPr>
          <w:p w14:paraId="733CE36C"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Repayment risk, collateral, cash-flow predictability</w:t>
            </w:r>
          </w:p>
        </w:tc>
        <w:tc>
          <w:tcPr>
            <w:tcW w:w="0" w:type="auto"/>
            <w:vAlign w:val="center"/>
            <w:hideMark/>
          </w:tcPr>
          <w:p w14:paraId="01ED8E04"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Cash-flow discipline plus ecological performance, resilience, MRV confidence, and governance maturity</w:t>
            </w:r>
          </w:p>
        </w:tc>
      </w:tr>
      <w:tr w:rsidR="00F707F3" w:rsidRPr="00B479AE" w14:paraId="4F91EAFF" w14:textId="77777777" w:rsidTr="00F707F3">
        <w:trPr>
          <w:tblCellSpacing w:w="15" w:type="dxa"/>
        </w:trPr>
        <w:tc>
          <w:tcPr>
            <w:tcW w:w="0" w:type="auto"/>
            <w:vAlign w:val="center"/>
            <w:hideMark/>
          </w:tcPr>
          <w:p w14:paraId="3D34F254"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Nature finance</w:t>
            </w:r>
          </w:p>
        </w:tc>
        <w:tc>
          <w:tcPr>
            <w:tcW w:w="0" w:type="auto"/>
            <w:vAlign w:val="center"/>
            <w:hideMark/>
          </w:tcPr>
          <w:p w14:paraId="33415A95"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Ecological value and conservation outcomes</w:t>
            </w:r>
          </w:p>
        </w:tc>
        <w:tc>
          <w:tcPr>
            <w:tcW w:w="0" w:type="auto"/>
            <w:vAlign w:val="center"/>
            <w:hideMark/>
          </w:tcPr>
          <w:p w14:paraId="6D3CC657"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Verified regeneration, productive resilience, PRU logic, RAP aggregation, and capital-readiness</w:t>
            </w:r>
          </w:p>
        </w:tc>
      </w:tr>
      <w:tr w:rsidR="00F707F3" w:rsidRPr="00B479AE" w14:paraId="2D240B99" w14:textId="77777777" w:rsidTr="00F707F3">
        <w:trPr>
          <w:tblCellSpacing w:w="15" w:type="dxa"/>
        </w:trPr>
        <w:tc>
          <w:tcPr>
            <w:tcW w:w="0" w:type="auto"/>
            <w:vAlign w:val="center"/>
            <w:hideMark/>
          </w:tcPr>
          <w:p w14:paraId="2BF107FD"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RWA tokenization</w:t>
            </w:r>
          </w:p>
        </w:tc>
        <w:tc>
          <w:tcPr>
            <w:tcW w:w="0" w:type="auto"/>
            <w:vAlign w:val="center"/>
            <w:hideMark/>
          </w:tcPr>
          <w:p w14:paraId="58CC3619"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Digital representation of existing assets</w:t>
            </w:r>
          </w:p>
        </w:tc>
        <w:tc>
          <w:tcPr>
            <w:tcW w:w="0" w:type="auto"/>
            <w:vAlign w:val="center"/>
            <w:hideMark/>
          </w:tcPr>
          <w:p w14:paraId="2D4437F9"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Possible future representation of verified, legally structured regenerative value</w:t>
            </w:r>
          </w:p>
        </w:tc>
      </w:tr>
      <w:tr w:rsidR="00F707F3" w:rsidRPr="00B479AE" w14:paraId="13D7C62F" w14:textId="77777777" w:rsidTr="00F707F3">
        <w:trPr>
          <w:tblCellSpacing w:w="15" w:type="dxa"/>
        </w:trPr>
        <w:tc>
          <w:tcPr>
            <w:tcW w:w="0" w:type="auto"/>
            <w:vAlign w:val="center"/>
            <w:hideMark/>
          </w:tcPr>
          <w:p w14:paraId="5ADDB2A4"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Impact investing</w:t>
            </w:r>
          </w:p>
        </w:tc>
        <w:tc>
          <w:tcPr>
            <w:tcW w:w="0" w:type="auto"/>
            <w:vAlign w:val="center"/>
            <w:hideMark/>
          </w:tcPr>
          <w:p w14:paraId="061B110D"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Mission-aligned capital allocation</w:t>
            </w:r>
          </w:p>
        </w:tc>
        <w:tc>
          <w:tcPr>
            <w:tcW w:w="0" w:type="auto"/>
            <w:vAlign w:val="center"/>
            <w:hideMark/>
          </w:tcPr>
          <w:p w14:paraId="5769E089"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Evidence-first capital allocation tied to measurable regenerative performance</w:t>
            </w:r>
          </w:p>
        </w:tc>
      </w:tr>
      <w:tr w:rsidR="00F707F3" w:rsidRPr="00B479AE" w14:paraId="583274A4" w14:textId="77777777" w:rsidTr="00F707F3">
        <w:trPr>
          <w:tblCellSpacing w:w="15" w:type="dxa"/>
        </w:trPr>
        <w:tc>
          <w:tcPr>
            <w:tcW w:w="0" w:type="auto"/>
            <w:vAlign w:val="center"/>
            <w:hideMark/>
          </w:tcPr>
          <w:p w14:paraId="57DAA774"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Insurance and resilience finance</w:t>
            </w:r>
          </w:p>
        </w:tc>
        <w:tc>
          <w:tcPr>
            <w:tcW w:w="0" w:type="auto"/>
            <w:vAlign w:val="center"/>
            <w:hideMark/>
          </w:tcPr>
          <w:p w14:paraId="7A56F7AF"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Risk transfer and loss mitigation</w:t>
            </w:r>
          </w:p>
        </w:tc>
        <w:tc>
          <w:tcPr>
            <w:tcW w:w="0" w:type="auto"/>
            <w:vAlign w:val="center"/>
            <w:hideMark/>
          </w:tcPr>
          <w:p w14:paraId="75690003"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Risk compression through verified soil, water, biodiversity, operational, and governance resilience</w:t>
            </w:r>
          </w:p>
        </w:tc>
      </w:tr>
      <w:tr w:rsidR="00F707F3" w:rsidRPr="00B479AE" w14:paraId="7F6310C5" w14:textId="77777777" w:rsidTr="00F707F3">
        <w:trPr>
          <w:tblCellSpacing w:w="15" w:type="dxa"/>
        </w:trPr>
        <w:tc>
          <w:tcPr>
            <w:tcW w:w="0" w:type="auto"/>
            <w:vAlign w:val="center"/>
            <w:hideMark/>
          </w:tcPr>
          <w:p w14:paraId="22B193AB"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Public infrastructure finance</w:t>
            </w:r>
          </w:p>
        </w:tc>
        <w:tc>
          <w:tcPr>
            <w:tcW w:w="0" w:type="auto"/>
            <w:vAlign w:val="center"/>
            <w:hideMark/>
          </w:tcPr>
          <w:p w14:paraId="117AC3AB"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Public-good infrastructure and long-duration service assets</w:t>
            </w:r>
          </w:p>
        </w:tc>
        <w:tc>
          <w:tcPr>
            <w:tcW w:w="0" w:type="auto"/>
            <w:vAlign w:val="center"/>
            <w:hideMark/>
          </w:tcPr>
          <w:p w14:paraId="2DB1219B" w14:textId="77777777" w:rsidR="00F707F3" w:rsidRPr="00B479AE" w:rsidRDefault="00F707F3" w:rsidP="00F707F3">
            <w:pPr>
              <w:spacing w:line="360" w:lineRule="auto"/>
              <w:rPr>
                <w:rFonts w:ascii="Baskerville Old Face" w:hAnsi="Baskerville Old Face"/>
                <w:i/>
                <w:iCs/>
                <w:sz w:val="18"/>
                <w:szCs w:val="18"/>
              </w:rPr>
            </w:pPr>
            <w:r w:rsidRPr="00B479AE">
              <w:rPr>
                <w:rFonts w:ascii="Baskerville Old Face" w:hAnsi="Baskerville Old Face"/>
                <w:i/>
                <w:iCs/>
                <w:sz w:val="18"/>
                <w:szCs w:val="18"/>
              </w:rPr>
              <w:t>Regenerative systems as territorial infrastructure supporting food, water, health, climate adaptation, and resilience</w:t>
            </w:r>
          </w:p>
        </w:tc>
      </w:tr>
    </w:tbl>
    <w:p w14:paraId="10100B05" w14:textId="679561F8" w:rsidR="00F707F3" w:rsidRPr="00B479AE" w:rsidRDefault="00F707F3" w:rsidP="00F707F3">
      <w:pPr>
        <w:spacing w:line="360" w:lineRule="auto"/>
        <w:rPr>
          <w:rFonts w:ascii="Baskerville Old Face" w:hAnsi="Baskerville Old Face"/>
          <w:i/>
          <w:iCs/>
        </w:rPr>
      </w:pPr>
      <w:r w:rsidRPr="00B479AE">
        <w:rPr>
          <w:rFonts w:ascii="Baskerville Old Face" w:hAnsi="Baskerville Old Face"/>
          <w:i/>
          <w:iCs/>
        </w:rPr>
        <w:t>This comparison clarifies the position of Prometheus.</w:t>
      </w:r>
      <w:r w:rsidR="00B5415F" w:rsidRPr="00B479AE">
        <w:rPr>
          <w:rFonts w:ascii="Baskerville Old Face" w:hAnsi="Baskerville Old Face"/>
          <w:i/>
          <w:iCs/>
        </w:rPr>
        <w:t xml:space="preserve"> </w:t>
      </w:r>
      <w:r w:rsidRPr="00B479AE">
        <w:rPr>
          <w:rFonts w:ascii="Baskerville Old Face" w:hAnsi="Baskerville Old Face"/>
          <w:i/>
          <w:iCs/>
        </w:rPr>
        <w:t>It is not a copy of an existing asset class.</w:t>
      </w:r>
      <w:r w:rsidR="00B5415F" w:rsidRPr="00B479AE">
        <w:rPr>
          <w:rFonts w:ascii="Baskerville Old Face" w:hAnsi="Baskerville Old Face"/>
          <w:i/>
          <w:iCs/>
        </w:rPr>
        <w:t xml:space="preserve"> </w:t>
      </w:r>
      <w:r w:rsidRPr="00B479AE">
        <w:rPr>
          <w:rFonts w:ascii="Baskerville Old Face" w:hAnsi="Baskerville Old Face"/>
          <w:i/>
          <w:iCs/>
        </w:rPr>
        <w:t>It is a synthesis of territorial infrastructure, biological productivity, ecological restoration, verification architecture, and disciplined capital formation.</w:t>
      </w:r>
    </w:p>
    <w:p w14:paraId="56E6A1AC" w14:textId="5480E54D" w:rsidR="00B5415F" w:rsidRPr="00B479AE" w:rsidRDefault="00B5415F" w:rsidP="00B5415F">
      <w:pPr>
        <w:spacing w:line="360" w:lineRule="auto"/>
        <w:rPr>
          <w:rFonts w:ascii="Baskerville Old Face" w:hAnsi="Baskerville Old Face"/>
          <w:b/>
          <w:bCs/>
          <w:i/>
          <w:iCs/>
        </w:rPr>
      </w:pPr>
      <w:r w:rsidRPr="00B479AE">
        <w:rPr>
          <w:rFonts w:ascii="Baskerville Old Face" w:hAnsi="Baskerville Old Face"/>
          <w:b/>
          <w:bCs/>
          <w:i/>
          <w:iCs/>
        </w:rPr>
        <w:t>Prometheus Capital Stack</w:t>
      </w:r>
    </w:p>
    <w:p w14:paraId="55622D56" w14:textId="71CE580C" w:rsidR="00B5415F" w:rsidRPr="00B479AE" w:rsidRDefault="00B5415F" w:rsidP="00B5415F">
      <w:pPr>
        <w:spacing w:line="360" w:lineRule="auto"/>
        <w:rPr>
          <w:rFonts w:ascii="Baskerville Old Face" w:hAnsi="Baskerville Old Face"/>
          <w:i/>
          <w:iCs/>
        </w:rPr>
      </w:pPr>
      <w:r w:rsidRPr="00B479AE">
        <w:rPr>
          <w:rFonts w:ascii="Baskerville Old Face" w:hAnsi="Baskerville Old Face"/>
          <w:i/>
          <w:iCs/>
        </w:rPr>
        <w:t>A Prometheus capital stack should mature with evidence.</w:t>
      </w:r>
      <w:r w:rsidR="00A92C11" w:rsidRPr="00B479AE">
        <w:rPr>
          <w:rFonts w:ascii="Baskerville Old Face" w:hAnsi="Baskerville Old Face"/>
          <w:i/>
          <w:iCs/>
        </w:rPr>
        <w:t xml:space="preserve"> </w:t>
      </w:r>
      <w:r w:rsidRPr="00B479AE">
        <w:rPr>
          <w:rFonts w:ascii="Baskerville Old Face" w:hAnsi="Baskerville Old Face"/>
          <w:i/>
          <w:iCs/>
        </w:rPr>
        <w:t>Capital should enter the system according to the maturity of the regenerative unit, the strength of MRV, the clarity of legal structure, and the reliability of cash-flow or value logic.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3216"/>
        <w:gridCol w:w="1346"/>
        <w:gridCol w:w="3423"/>
      </w:tblGrid>
      <w:tr w:rsidR="00B5415F" w:rsidRPr="00B479AE" w14:paraId="60BD68DE" w14:textId="77777777" w:rsidTr="00B5415F">
        <w:trPr>
          <w:tblHeader/>
          <w:tblCellSpacing w:w="15" w:type="dxa"/>
        </w:trPr>
        <w:tc>
          <w:tcPr>
            <w:tcW w:w="0" w:type="auto"/>
            <w:vAlign w:val="center"/>
            <w:hideMark/>
          </w:tcPr>
          <w:p w14:paraId="502AC2B8" w14:textId="77777777" w:rsidR="00B5415F" w:rsidRPr="00B479AE" w:rsidRDefault="00B5415F" w:rsidP="00B5415F">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lastRenderedPageBreak/>
              <w:t>Capital layer</w:t>
            </w:r>
          </w:p>
        </w:tc>
        <w:tc>
          <w:tcPr>
            <w:tcW w:w="0" w:type="auto"/>
            <w:vAlign w:val="center"/>
            <w:hideMark/>
          </w:tcPr>
          <w:p w14:paraId="137CE81C" w14:textId="77777777" w:rsidR="00B5415F" w:rsidRPr="00B479AE" w:rsidRDefault="00B5415F" w:rsidP="00B5415F">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Best use</w:t>
            </w:r>
          </w:p>
        </w:tc>
        <w:tc>
          <w:tcPr>
            <w:tcW w:w="0" w:type="auto"/>
            <w:vAlign w:val="center"/>
            <w:hideMark/>
          </w:tcPr>
          <w:p w14:paraId="39E136CA" w14:textId="77777777" w:rsidR="00B5415F" w:rsidRPr="00B479AE" w:rsidRDefault="00B5415F" w:rsidP="00B5415F">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Evidence maturity required</w:t>
            </w:r>
          </w:p>
        </w:tc>
        <w:tc>
          <w:tcPr>
            <w:tcW w:w="0" w:type="auto"/>
            <w:vAlign w:val="center"/>
            <w:hideMark/>
          </w:tcPr>
          <w:p w14:paraId="0FFFBB34" w14:textId="77777777" w:rsidR="00B5415F" w:rsidRPr="00B479AE" w:rsidRDefault="00B5415F" w:rsidP="00B5415F">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Boundary</w:t>
            </w:r>
          </w:p>
        </w:tc>
      </w:tr>
      <w:tr w:rsidR="00B5415F" w:rsidRPr="00B479AE" w14:paraId="44F78EB7" w14:textId="77777777" w:rsidTr="00B5415F">
        <w:trPr>
          <w:tblCellSpacing w:w="15" w:type="dxa"/>
        </w:trPr>
        <w:tc>
          <w:tcPr>
            <w:tcW w:w="0" w:type="auto"/>
            <w:vAlign w:val="center"/>
            <w:hideMark/>
          </w:tcPr>
          <w:p w14:paraId="5D6D0894"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Philanthropic or catalytic capital</w:t>
            </w:r>
          </w:p>
        </w:tc>
        <w:tc>
          <w:tcPr>
            <w:tcW w:w="0" w:type="auto"/>
            <w:vAlign w:val="center"/>
            <w:hideMark/>
          </w:tcPr>
          <w:p w14:paraId="3AEF003D"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Early MRV, pilots, research, public benefit, de-risking</w:t>
            </w:r>
          </w:p>
        </w:tc>
        <w:tc>
          <w:tcPr>
            <w:tcW w:w="0" w:type="auto"/>
            <w:vAlign w:val="center"/>
            <w:hideMark/>
          </w:tcPr>
          <w:p w14:paraId="7DE90244"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Low to moderate</w:t>
            </w:r>
          </w:p>
        </w:tc>
        <w:tc>
          <w:tcPr>
            <w:tcW w:w="0" w:type="auto"/>
            <w:vAlign w:val="center"/>
            <w:hideMark/>
          </w:tcPr>
          <w:p w14:paraId="6F08F04C"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Should not imply investor return</w:t>
            </w:r>
          </w:p>
        </w:tc>
      </w:tr>
      <w:tr w:rsidR="00B5415F" w:rsidRPr="00B479AE" w14:paraId="19F39E4D" w14:textId="77777777" w:rsidTr="00B5415F">
        <w:trPr>
          <w:tblCellSpacing w:w="15" w:type="dxa"/>
        </w:trPr>
        <w:tc>
          <w:tcPr>
            <w:tcW w:w="0" w:type="auto"/>
            <w:vAlign w:val="center"/>
            <w:hideMark/>
          </w:tcPr>
          <w:p w14:paraId="682AED1A"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Seed or venture-style capital</w:t>
            </w:r>
          </w:p>
        </w:tc>
        <w:tc>
          <w:tcPr>
            <w:tcW w:w="0" w:type="auto"/>
            <w:vAlign w:val="center"/>
            <w:hideMark/>
          </w:tcPr>
          <w:p w14:paraId="51D6EA7E"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Protocol development, technology infrastructure, methodology design, early deployment</w:t>
            </w:r>
          </w:p>
        </w:tc>
        <w:tc>
          <w:tcPr>
            <w:tcW w:w="0" w:type="auto"/>
            <w:vAlign w:val="center"/>
            <w:hideMark/>
          </w:tcPr>
          <w:p w14:paraId="3CEEBAC4"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Conceptual to pilot-level</w:t>
            </w:r>
          </w:p>
        </w:tc>
        <w:tc>
          <w:tcPr>
            <w:tcW w:w="0" w:type="auto"/>
            <w:vAlign w:val="center"/>
            <w:hideMark/>
          </w:tcPr>
          <w:p w14:paraId="2D7FC69F"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Should fund capability, not overclaim asset maturity</w:t>
            </w:r>
          </w:p>
        </w:tc>
      </w:tr>
      <w:tr w:rsidR="00B5415F" w:rsidRPr="00B479AE" w14:paraId="55358335" w14:textId="77777777" w:rsidTr="00B5415F">
        <w:trPr>
          <w:tblCellSpacing w:w="15" w:type="dxa"/>
        </w:trPr>
        <w:tc>
          <w:tcPr>
            <w:tcW w:w="0" w:type="auto"/>
            <w:vAlign w:val="center"/>
            <w:hideMark/>
          </w:tcPr>
          <w:p w14:paraId="320CAFF6"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Project equity</w:t>
            </w:r>
          </w:p>
        </w:tc>
        <w:tc>
          <w:tcPr>
            <w:tcW w:w="0" w:type="auto"/>
            <w:vAlign w:val="center"/>
            <w:hideMark/>
          </w:tcPr>
          <w:p w14:paraId="2BC74EDA"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Site deployment, operations, growth, execution capacity</w:t>
            </w:r>
          </w:p>
        </w:tc>
        <w:tc>
          <w:tcPr>
            <w:tcW w:w="0" w:type="auto"/>
            <w:vAlign w:val="center"/>
            <w:hideMark/>
          </w:tcPr>
          <w:p w14:paraId="1828DCE9"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Pilot-ready</w:t>
            </w:r>
          </w:p>
        </w:tc>
        <w:tc>
          <w:tcPr>
            <w:tcW w:w="0" w:type="auto"/>
            <w:vAlign w:val="center"/>
            <w:hideMark/>
          </w:tcPr>
          <w:p w14:paraId="72AF96B5"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operational plan and governance clarity</w:t>
            </w:r>
          </w:p>
        </w:tc>
      </w:tr>
      <w:tr w:rsidR="00B5415F" w:rsidRPr="00B479AE" w14:paraId="49E4BA12" w14:textId="77777777" w:rsidTr="00B5415F">
        <w:trPr>
          <w:tblCellSpacing w:w="15" w:type="dxa"/>
        </w:trPr>
        <w:tc>
          <w:tcPr>
            <w:tcW w:w="0" w:type="auto"/>
            <w:vAlign w:val="center"/>
            <w:hideMark/>
          </w:tcPr>
          <w:p w14:paraId="00F76000"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Debt / private credit</w:t>
            </w:r>
          </w:p>
        </w:tc>
        <w:tc>
          <w:tcPr>
            <w:tcW w:w="0" w:type="auto"/>
            <w:vAlign w:val="center"/>
            <w:hideMark/>
          </w:tcPr>
          <w:p w14:paraId="2D2A8803"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Predictable cash flows, clearer collateral, repayment discipline</w:t>
            </w:r>
          </w:p>
        </w:tc>
        <w:tc>
          <w:tcPr>
            <w:tcW w:w="0" w:type="auto"/>
            <w:vAlign w:val="center"/>
            <w:hideMark/>
          </w:tcPr>
          <w:p w14:paraId="53B0B4C8"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Moderate to high</w:t>
            </w:r>
          </w:p>
        </w:tc>
        <w:tc>
          <w:tcPr>
            <w:tcW w:w="0" w:type="auto"/>
            <w:vAlign w:val="center"/>
            <w:hideMark/>
          </w:tcPr>
          <w:p w14:paraId="3D142BE5"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Should not rely on speculative ecological value</w:t>
            </w:r>
          </w:p>
        </w:tc>
      </w:tr>
      <w:tr w:rsidR="00B5415F" w:rsidRPr="00B479AE" w14:paraId="66E33356" w14:textId="77777777" w:rsidTr="00B5415F">
        <w:trPr>
          <w:tblCellSpacing w:w="15" w:type="dxa"/>
        </w:trPr>
        <w:tc>
          <w:tcPr>
            <w:tcW w:w="0" w:type="auto"/>
            <w:vAlign w:val="center"/>
            <w:hideMark/>
          </w:tcPr>
          <w:p w14:paraId="66C3221F"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Blended finance</w:t>
            </w:r>
          </w:p>
        </w:tc>
        <w:tc>
          <w:tcPr>
            <w:tcW w:w="0" w:type="auto"/>
            <w:vAlign w:val="center"/>
            <w:hideMark/>
          </w:tcPr>
          <w:p w14:paraId="6700FA71"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Combining public, philanthropic, and private capital to unlock regenerative infrastructure</w:t>
            </w:r>
          </w:p>
        </w:tc>
        <w:tc>
          <w:tcPr>
            <w:tcW w:w="0" w:type="auto"/>
            <w:vAlign w:val="center"/>
            <w:hideMark/>
          </w:tcPr>
          <w:p w14:paraId="2B94B292"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Moderate</w:t>
            </w:r>
          </w:p>
        </w:tc>
        <w:tc>
          <w:tcPr>
            <w:tcW w:w="0" w:type="auto"/>
            <w:vAlign w:val="center"/>
            <w:hideMark/>
          </w:tcPr>
          <w:p w14:paraId="029345A3"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clear risk allocation</w:t>
            </w:r>
          </w:p>
        </w:tc>
      </w:tr>
      <w:tr w:rsidR="00B5415F" w:rsidRPr="00B479AE" w14:paraId="5ACAE00F" w14:textId="77777777" w:rsidTr="00B5415F">
        <w:trPr>
          <w:tblCellSpacing w:w="15" w:type="dxa"/>
        </w:trPr>
        <w:tc>
          <w:tcPr>
            <w:tcW w:w="0" w:type="auto"/>
            <w:vAlign w:val="center"/>
            <w:hideMark/>
          </w:tcPr>
          <w:p w14:paraId="35356221"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Guarantees and insurance</w:t>
            </w:r>
          </w:p>
        </w:tc>
        <w:tc>
          <w:tcPr>
            <w:tcW w:w="0" w:type="auto"/>
            <w:vAlign w:val="center"/>
            <w:hideMark/>
          </w:tcPr>
          <w:p w14:paraId="5C026E71"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Reducing perceived risk in early asset-class formation</w:t>
            </w:r>
          </w:p>
        </w:tc>
        <w:tc>
          <w:tcPr>
            <w:tcW w:w="0" w:type="auto"/>
            <w:vAlign w:val="center"/>
            <w:hideMark/>
          </w:tcPr>
          <w:p w14:paraId="6453D8D0"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Moderate to high</w:t>
            </w:r>
          </w:p>
        </w:tc>
        <w:tc>
          <w:tcPr>
            <w:tcW w:w="0" w:type="auto"/>
            <w:vAlign w:val="center"/>
            <w:hideMark/>
          </w:tcPr>
          <w:p w14:paraId="7FB195C0"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definable risks and underwriting logic</w:t>
            </w:r>
          </w:p>
        </w:tc>
      </w:tr>
      <w:tr w:rsidR="00B5415F" w:rsidRPr="00B479AE" w14:paraId="5C87C0DF" w14:textId="77777777" w:rsidTr="00B5415F">
        <w:trPr>
          <w:tblCellSpacing w:w="15" w:type="dxa"/>
        </w:trPr>
        <w:tc>
          <w:tcPr>
            <w:tcW w:w="0" w:type="auto"/>
            <w:vAlign w:val="center"/>
            <w:hideMark/>
          </w:tcPr>
          <w:p w14:paraId="34027C49"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Institutional fund capital</w:t>
            </w:r>
          </w:p>
        </w:tc>
        <w:tc>
          <w:tcPr>
            <w:tcW w:w="0" w:type="auto"/>
            <w:vAlign w:val="center"/>
            <w:hideMark/>
          </w:tcPr>
          <w:p w14:paraId="5E66D861"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Diversified portfolios of verified PRUs</w:t>
            </w:r>
          </w:p>
        </w:tc>
        <w:tc>
          <w:tcPr>
            <w:tcW w:w="0" w:type="auto"/>
            <w:vAlign w:val="center"/>
            <w:hideMark/>
          </w:tcPr>
          <w:p w14:paraId="2A87F59B"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High</w:t>
            </w:r>
          </w:p>
        </w:tc>
        <w:tc>
          <w:tcPr>
            <w:tcW w:w="0" w:type="auto"/>
            <w:vAlign w:val="center"/>
            <w:hideMark/>
          </w:tcPr>
          <w:p w14:paraId="3CE5F228"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RAP maturity, reporting discipline, and legal structure</w:t>
            </w:r>
          </w:p>
        </w:tc>
      </w:tr>
      <w:tr w:rsidR="00B5415F" w:rsidRPr="00B479AE" w14:paraId="4D5D70D3" w14:textId="77777777" w:rsidTr="00B5415F">
        <w:trPr>
          <w:tblCellSpacing w:w="15" w:type="dxa"/>
        </w:trPr>
        <w:tc>
          <w:tcPr>
            <w:tcW w:w="0" w:type="auto"/>
            <w:vAlign w:val="center"/>
            <w:hideMark/>
          </w:tcPr>
          <w:p w14:paraId="5EFF0AC5"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Public procurement-linked capital</w:t>
            </w:r>
          </w:p>
        </w:tc>
        <w:tc>
          <w:tcPr>
            <w:tcW w:w="0" w:type="auto"/>
            <w:vAlign w:val="center"/>
            <w:hideMark/>
          </w:tcPr>
          <w:p w14:paraId="794D06A6"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Food, health, adaptation, education, or resilience programs</w:t>
            </w:r>
          </w:p>
        </w:tc>
        <w:tc>
          <w:tcPr>
            <w:tcW w:w="0" w:type="auto"/>
            <w:vAlign w:val="center"/>
            <w:hideMark/>
          </w:tcPr>
          <w:p w14:paraId="1B04FB67"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Moderate to high</w:t>
            </w:r>
          </w:p>
        </w:tc>
        <w:tc>
          <w:tcPr>
            <w:tcW w:w="0" w:type="auto"/>
            <w:vAlign w:val="center"/>
            <w:hideMark/>
          </w:tcPr>
          <w:p w14:paraId="292D63E1"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public mandate, contract clarity, and measurable outputs</w:t>
            </w:r>
          </w:p>
        </w:tc>
      </w:tr>
      <w:tr w:rsidR="00B5415F" w:rsidRPr="00B479AE" w14:paraId="6F373CAD" w14:textId="77777777" w:rsidTr="00B5415F">
        <w:trPr>
          <w:tblCellSpacing w:w="15" w:type="dxa"/>
        </w:trPr>
        <w:tc>
          <w:tcPr>
            <w:tcW w:w="0" w:type="auto"/>
            <w:vAlign w:val="center"/>
            <w:hideMark/>
          </w:tcPr>
          <w:p w14:paraId="14BE3070"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Project finance / SPV capital</w:t>
            </w:r>
          </w:p>
        </w:tc>
        <w:tc>
          <w:tcPr>
            <w:tcW w:w="0" w:type="auto"/>
            <w:vAlign w:val="center"/>
            <w:hideMark/>
          </w:tcPr>
          <w:p w14:paraId="5F54EDBC"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Legally structured project deployment or portfolio vehicle</w:t>
            </w:r>
          </w:p>
        </w:tc>
        <w:tc>
          <w:tcPr>
            <w:tcW w:w="0" w:type="auto"/>
            <w:vAlign w:val="center"/>
            <w:hideMark/>
          </w:tcPr>
          <w:p w14:paraId="58313636"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High</w:t>
            </w:r>
          </w:p>
        </w:tc>
        <w:tc>
          <w:tcPr>
            <w:tcW w:w="0" w:type="auto"/>
            <w:vAlign w:val="center"/>
            <w:hideMark/>
          </w:tcPr>
          <w:p w14:paraId="72F9AB8D" w14:textId="77777777" w:rsidR="00B5415F" w:rsidRPr="00B479AE" w:rsidRDefault="00B5415F"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enforceable rights, risk allocation, reporting, and governance</w:t>
            </w:r>
          </w:p>
        </w:tc>
      </w:tr>
      <w:tr w:rsidR="009B26A7" w:rsidRPr="00B479AE" w14:paraId="58061252" w14:textId="77777777" w:rsidTr="00B5415F">
        <w:trPr>
          <w:tblCellSpacing w:w="15" w:type="dxa"/>
        </w:trPr>
        <w:tc>
          <w:tcPr>
            <w:tcW w:w="0" w:type="auto"/>
            <w:vAlign w:val="center"/>
          </w:tcPr>
          <w:p w14:paraId="73ECCEEB" w14:textId="4FA8FF2C" w:rsidR="009B26A7" w:rsidRPr="00B479AE" w:rsidRDefault="009B26A7"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Compliant digital instruments</w:t>
            </w:r>
          </w:p>
        </w:tc>
        <w:tc>
          <w:tcPr>
            <w:tcW w:w="0" w:type="auto"/>
            <w:vAlign w:val="center"/>
          </w:tcPr>
          <w:p w14:paraId="5ECAFC30" w14:textId="1DADBC87" w:rsidR="009B26A7" w:rsidRPr="00B479AE" w:rsidRDefault="009B26A7"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Future representation of defined rights or claims</w:t>
            </w:r>
          </w:p>
        </w:tc>
        <w:tc>
          <w:tcPr>
            <w:tcW w:w="0" w:type="auto"/>
            <w:vAlign w:val="center"/>
          </w:tcPr>
          <w:p w14:paraId="2C39B027" w14:textId="0F3768B0" w:rsidR="009B26A7" w:rsidRPr="00B479AE" w:rsidRDefault="009B26A7"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High / legally structured</w:t>
            </w:r>
          </w:p>
        </w:tc>
        <w:tc>
          <w:tcPr>
            <w:tcW w:w="0" w:type="auto"/>
            <w:vAlign w:val="center"/>
          </w:tcPr>
          <w:p w14:paraId="3C27A587" w14:textId="3FECCD46" w:rsidR="009B26A7" w:rsidRPr="00B479AE" w:rsidRDefault="009B26A7" w:rsidP="00B5415F">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legal wrapper, disclosure, compliance, jurisdictional review, and no PRU/TRBK collapse</w:t>
            </w:r>
          </w:p>
        </w:tc>
      </w:tr>
    </w:tbl>
    <w:p w14:paraId="3A298F24" w14:textId="77777777" w:rsidR="002067CD" w:rsidRPr="00B479AE" w:rsidRDefault="002067CD" w:rsidP="002067CD">
      <w:pPr>
        <w:spacing w:line="360" w:lineRule="auto"/>
        <w:rPr>
          <w:rFonts w:ascii="Baskerville Old Face" w:hAnsi="Baskerville Old Face"/>
          <w:i/>
          <w:iCs/>
        </w:rPr>
      </w:pPr>
      <w:r w:rsidRPr="00B479AE">
        <w:rPr>
          <w:rFonts w:ascii="Baskerville Old Face" w:hAnsi="Baskerville Old Face"/>
          <w:i/>
          <w:iCs/>
        </w:rPr>
        <w:t>The capital stack should not be forced onto immature evidence.</w:t>
      </w:r>
    </w:p>
    <w:p w14:paraId="6765336A" w14:textId="77777777" w:rsidR="002067CD" w:rsidRPr="00B479AE" w:rsidRDefault="002067CD" w:rsidP="002067CD">
      <w:pPr>
        <w:spacing w:line="360" w:lineRule="auto"/>
        <w:rPr>
          <w:rFonts w:ascii="Baskerville Old Face" w:hAnsi="Baskerville Old Face"/>
          <w:i/>
          <w:iCs/>
        </w:rPr>
      </w:pPr>
      <w:r w:rsidRPr="00B479AE">
        <w:rPr>
          <w:rFonts w:ascii="Baskerville Old Face" w:hAnsi="Baskerville Old Face"/>
          <w:i/>
          <w:iCs/>
        </w:rPr>
        <w:t>Prometheus should build the evidence environment that allows capital to enter responsibly.</w:t>
      </w:r>
    </w:p>
    <w:p w14:paraId="30725375" w14:textId="77777777" w:rsidR="002067CD" w:rsidRPr="00B479AE" w:rsidRDefault="002067CD" w:rsidP="002067CD">
      <w:pPr>
        <w:spacing w:line="360" w:lineRule="auto"/>
        <w:rPr>
          <w:rFonts w:ascii="Baskerville Old Face" w:hAnsi="Baskerville Old Face"/>
          <w:i/>
          <w:iCs/>
        </w:rPr>
      </w:pPr>
      <w:r w:rsidRPr="00B479AE">
        <w:rPr>
          <w:rFonts w:ascii="Baskerville Old Face" w:hAnsi="Baskerville Old Face"/>
          <w:i/>
          <w:iCs/>
        </w:rPr>
        <w:t>Capital follows verified regeneration; it does not precede it.</w:t>
      </w:r>
    </w:p>
    <w:p w14:paraId="25321977" w14:textId="77777777" w:rsidR="00321544" w:rsidRDefault="00321544" w:rsidP="00504071">
      <w:pPr>
        <w:spacing w:line="360" w:lineRule="auto"/>
        <w:rPr>
          <w:rFonts w:ascii="Baskerville Old Face" w:hAnsi="Baskerville Old Face"/>
          <w:b/>
          <w:bCs/>
          <w:i/>
          <w:iCs/>
        </w:rPr>
      </w:pPr>
    </w:p>
    <w:p w14:paraId="56426CB9" w14:textId="38EE3348"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lastRenderedPageBreak/>
        <w:t>Securitization pathway</w:t>
      </w:r>
    </w:p>
    <w:p w14:paraId="36B5980B"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A long-term Prometheus securitization pathway may follow this sequence:</w:t>
      </w:r>
    </w:p>
    <w:p w14:paraId="03A74376"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OHE deployment;</w:t>
      </w:r>
    </w:p>
    <w:p w14:paraId="42D3C03D"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MRV activation;</w:t>
      </w:r>
    </w:p>
    <w:p w14:paraId="5082AABE"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PRU analysis;</w:t>
      </w:r>
    </w:p>
    <w:p w14:paraId="3FDD18E9"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PRU maturity classification;</w:t>
      </w:r>
    </w:p>
    <w:p w14:paraId="20116CFA"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RAP aggregation;</w:t>
      </w:r>
    </w:p>
    <w:p w14:paraId="578E6D7D"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legal structuring through an SPV, fund, note, or equivalent vehicle where appropriate;</w:t>
      </w:r>
    </w:p>
    <w:p w14:paraId="0E0B36DF"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cash-flow or value-allocation framework where legally defined;</w:t>
      </w:r>
    </w:p>
    <w:p w14:paraId="5F44B00C"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credit enhancement where available;</w:t>
      </w:r>
    </w:p>
    <w:p w14:paraId="6922AE8C"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investor reporting;</w:t>
      </w:r>
    </w:p>
    <w:p w14:paraId="728F2A2A"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possible compliant institutional or digital representation.</w:t>
      </w:r>
    </w:p>
    <w:p w14:paraId="491CD4A5"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This pathway must remain legally and jurisdictionally specific.</w:t>
      </w:r>
    </w:p>
    <w:p w14:paraId="68BB1A76"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The White Paper defines the architecture.</w:t>
      </w:r>
    </w:p>
    <w:p w14:paraId="461A8348"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Actual instruments require professional structuring, regulatory review, investor disclosure, and enforceable legal documentation.</w:t>
      </w:r>
    </w:p>
    <w:p w14:paraId="4DD9AD73" w14:textId="77777777" w:rsidR="009F15EA" w:rsidRPr="00B479AE" w:rsidRDefault="009F15EA" w:rsidP="009F15EA">
      <w:pPr>
        <w:spacing w:line="360" w:lineRule="auto"/>
        <w:rPr>
          <w:rFonts w:ascii="Baskerville Old Face" w:hAnsi="Baskerville Old Face"/>
          <w:i/>
          <w:iCs/>
        </w:rPr>
      </w:pPr>
      <w:r w:rsidRPr="00B479AE">
        <w:rPr>
          <w:rFonts w:ascii="Baskerville Old Face" w:hAnsi="Baskerville Old Face"/>
          <w:i/>
          <w:iCs/>
        </w:rPr>
        <w:t>The important point is that securitization begins only after verified regenerative units are aggregated into a credible asset pool.</w:t>
      </w:r>
    </w:p>
    <w:p w14:paraId="3648DB72" w14:textId="77777777" w:rsidR="00374FA2" w:rsidRPr="00B479AE" w:rsidRDefault="00374FA2" w:rsidP="00374FA2">
      <w:pPr>
        <w:spacing w:line="360" w:lineRule="auto"/>
        <w:rPr>
          <w:rFonts w:ascii="Baskerville Old Face" w:hAnsi="Baskerville Old Face"/>
          <w:i/>
          <w:iCs/>
        </w:rPr>
      </w:pPr>
      <w:r w:rsidRPr="00B479AE">
        <w:rPr>
          <w:rFonts w:ascii="Baskerville Old Face" w:hAnsi="Baskerville Old Face"/>
          <w:i/>
          <w:iCs/>
        </w:rPr>
        <w:t>The asset base comes first.</w:t>
      </w:r>
    </w:p>
    <w:p w14:paraId="32734AE2" w14:textId="77777777" w:rsidR="00374FA2" w:rsidRPr="00B479AE" w:rsidRDefault="00374FA2" w:rsidP="00374FA2">
      <w:pPr>
        <w:spacing w:line="360" w:lineRule="auto"/>
        <w:rPr>
          <w:rFonts w:ascii="Baskerville Old Face" w:hAnsi="Baskerville Old Face"/>
          <w:i/>
          <w:iCs/>
        </w:rPr>
      </w:pPr>
      <w:r w:rsidRPr="00B479AE">
        <w:rPr>
          <w:rFonts w:ascii="Baskerville Old Face" w:hAnsi="Baskerville Old Face"/>
          <w:i/>
          <w:iCs/>
        </w:rPr>
        <w:t>The instrument comes after.</w:t>
      </w:r>
    </w:p>
    <w:p w14:paraId="5A102902" w14:textId="77777777" w:rsidR="00374FA2" w:rsidRPr="00B479AE" w:rsidRDefault="00374FA2" w:rsidP="00374FA2">
      <w:pPr>
        <w:spacing w:line="360" w:lineRule="auto"/>
        <w:rPr>
          <w:rFonts w:ascii="Baskerville Old Face" w:hAnsi="Baskerville Old Face"/>
          <w:i/>
          <w:iCs/>
        </w:rPr>
      </w:pPr>
      <w:r w:rsidRPr="00B479AE">
        <w:rPr>
          <w:rFonts w:ascii="Baskerville Old Face" w:hAnsi="Baskerville Old Face"/>
          <w:i/>
          <w:iCs/>
        </w:rPr>
        <w:t>The correct sequence is:</w:t>
      </w:r>
    </w:p>
    <w:p w14:paraId="774B259B" w14:textId="1E4BEDCF" w:rsidR="00E015C8" w:rsidRPr="00B479AE" w:rsidRDefault="00374FA2" w:rsidP="00374FA2">
      <w:pPr>
        <w:spacing w:line="360" w:lineRule="auto"/>
        <w:rPr>
          <w:rFonts w:ascii="Baskerville Old Face" w:hAnsi="Baskerville Old Face"/>
          <w:i/>
          <w:iCs/>
        </w:rPr>
      </w:pPr>
      <w:r w:rsidRPr="00B479AE">
        <w:rPr>
          <w:rFonts w:ascii="Baskerville Old Face" w:hAnsi="Baskerville Old Face"/>
          <w:i/>
          <w:iCs/>
        </w:rPr>
        <w:t xml:space="preserve">OHE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PRU analysis </w:t>
      </w:r>
      <w:r w:rsidRPr="00B479AE">
        <w:rPr>
          <w:rFonts w:ascii="Times New Roman" w:hAnsi="Times New Roman" w:cs="Times New Roman"/>
          <w:i/>
          <w:iCs/>
        </w:rPr>
        <w:t>→</w:t>
      </w:r>
      <w:r w:rsidRPr="00B479AE">
        <w:rPr>
          <w:rFonts w:ascii="Baskerville Old Face" w:hAnsi="Baskerville Old Face"/>
          <w:i/>
          <w:iCs/>
        </w:rPr>
        <w:t xml:space="preserve"> PRU maturity classification </w:t>
      </w:r>
      <w:r w:rsidRPr="00B479AE">
        <w:rPr>
          <w:rFonts w:ascii="Times New Roman" w:hAnsi="Times New Roman" w:cs="Times New Roman"/>
          <w:i/>
          <w:iCs/>
        </w:rPr>
        <w:t>→</w:t>
      </w:r>
      <w:r w:rsidRPr="00B479AE">
        <w:rPr>
          <w:rFonts w:ascii="Baskerville Old Face" w:hAnsi="Baskerville Old Face"/>
          <w:i/>
          <w:iCs/>
        </w:rPr>
        <w:t xml:space="preserve"> RAP aggregation </w:t>
      </w:r>
      <w:r w:rsidRPr="00B479AE">
        <w:rPr>
          <w:rFonts w:ascii="Times New Roman" w:hAnsi="Times New Roman" w:cs="Times New Roman"/>
          <w:i/>
          <w:iCs/>
        </w:rPr>
        <w:t>→</w:t>
      </w:r>
      <w:r w:rsidRPr="00B479AE">
        <w:rPr>
          <w:rFonts w:ascii="Baskerville Old Face" w:hAnsi="Baskerville Old Face"/>
          <w:i/>
          <w:iCs/>
        </w:rPr>
        <w:t xml:space="preserve"> legal structuring </w:t>
      </w:r>
      <w:r w:rsidRPr="00B479AE">
        <w:rPr>
          <w:rFonts w:ascii="Times New Roman" w:hAnsi="Times New Roman" w:cs="Times New Roman"/>
          <w:i/>
          <w:iCs/>
        </w:rPr>
        <w:t>→</w:t>
      </w:r>
      <w:r w:rsidRPr="00B479AE">
        <w:rPr>
          <w:rFonts w:ascii="Baskerville Old Face" w:hAnsi="Baskerville Old Face"/>
          <w:i/>
          <w:iCs/>
        </w:rPr>
        <w:t xml:space="preserve"> investor reporting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33FBED76" w14:textId="593F9530"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lastRenderedPageBreak/>
        <w:t>Tokenization pathway</w:t>
      </w:r>
    </w:p>
    <w:p w14:paraId="6C7676F2"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Tokenization within Prometheus is a representation pathway, not a value-generation shortcut.</w:t>
      </w:r>
    </w:p>
    <w:p w14:paraId="745DA893"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Prometheus does not move from evidence to issuance automatically. It moves from evidence to review, from review to admissibility, from admissibility to legal structure, and only then to possible compliant representation.</w:t>
      </w:r>
    </w:p>
    <w:p w14:paraId="0150C37A"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A legally structured digital instrument may, where applicable, represent:</w:t>
      </w:r>
    </w:p>
    <w:p w14:paraId="1267C10B"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access rights;</w:t>
      </w:r>
    </w:p>
    <w:p w14:paraId="31656C6F"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governance rights;</w:t>
      </w:r>
    </w:p>
    <w:p w14:paraId="1AFDAE76"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participation rights;</w:t>
      </w:r>
    </w:p>
    <w:p w14:paraId="111AB5AE"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operational credits;</w:t>
      </w:r>
    </w:p>
    <w:p w14:paraId="48B89702"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fund interests;</w:t>
      </w:r>
    </w:p>
    <w:p w14:paraId="6C861229"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notes;</w:t>
      </w:r>
    </w:p>
    <w:p w14:paraId="6E739CBD"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revenue-sharing instruments;</w:t>
      </w:r>
    </w:p>
    <w:p w14:paraId="6450E396" w14:textId="77777777"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securities;</w:t>
      </w:r>
    </w:p>
    <w:p w14:paraId="11467489" w14:textId="0E37E51C" w:rsidR="00BC1066" w:rsidRPr="00B479AE" w:rsidRDefault="00BC1066" w:rsidP="00BC1066">
      <w:pPr>
        <w:spacing w:line="360" w:lineRule="auto"/>
        <w:rPr>
          <w:rFonts w:ascii="Baskerville Old Face" w:hAnsi="Baskerville Old Face"/>
          <w:i/>
          <w:iCs/>
        </w:rPr>
      </w:pPr>
      <w:r w:rsidRPr="00B479AE">
        <w:rPr>
          <w:rFonts w:ascii="Baskerville Old Face" w:hAnsi="Baskerville Old Face"/>
          <w:i/>
          <w:iCs/>
        </w:rPr>
        <w:t>• or other legally defined rights.</w:t>
      </w:r>
    </w:p>
    <w:p w14:paraId="2B1F38B7" w14:textId="77777777" w:rsidR="00A94EB3" w:rsidRPr="00B479AE" w:rsidRDefault="00A94EB3" w:rsidP="00504071">
      <w:pPr>
        <w:spacing w:line="360" w:lineRule="auto"/>
        <w:rPr>
          <w:rFonts w:ascii="Baskerville Old Face" w:hAnsi="Baskerville Old Face"/>
          <w:i/>
          <w:iCs/>
        </w:rPr>
      </w:pPr>
      <w:r w:rsidRPr="00B479AE">
        <w:rPr>
          <w:rFonts w:ascii="Baskerville Old Face" w:hAnsi="Baskerville Old Face"/>
          <w:i/>
          <w:iCs/>
        </w:rPr>
        <w:t xml:space="preserve">The correct sequence is: </w:t>
      </w:r>
    </w:p>
    <w:p w14:paraId="25DD7786" w14:textId="32881F22" w:rsidR="009A7D8A" w:rsidRPr="00B479AE" w:rsidRDefault="009A7D8A" w:rsidP="00504071">
      <w:pPr>
        <w:spacing w:line="360" w:lineRule="auto"/>
        <w:rPr>
          <w:rFonts w:ascii="Baskerville Old Face" w:hAnsi="Baskerville Old Face"/>
          <w:i/>
          <w:iCs/>
        </w:rPr>
      </w:pPr>
      <w:r w:rsidRPr="00B479AE">
        <w:rPr>
          <w:rFonts w:ascii="Baskerville Old Face" w:hAnsi="Baskerville Old Face"/>
          <w:i/>
          <w:iCs/>
        </w:rPr>
        <w:t xml:space="preserve">evidence </w:t>
      </w:r>
      <w:r w:rsidRPr="00B479AE">
        <w:rPr>
          <w:rFonts w:ascii="Times New Roman" w:hAnsi="Times New Roman" w:cs="Times New Roman"/>
          <w:i/>
          <w:iCs/>
        </w:rPr>
        <w:t>→</w:t>
      </w:r>
      <w:r w:rsidRPr="00B479AE">
        <w:rPr>
          <w:rFonts w:ascii="Baskerville Old Face" w:hAnsi="Baskerville Old Face"/>
          <w:i/>
          <w:iCs/>
        </w:rPr>
        <w:t xml:space="preserve"> review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legal structure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3FE4C41A" w14:textId="1621B305"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meaning of a token depends on the instrument that creates it.</w:t>
      </w:r>
    </w:p>
    <w:p w14:paraId="4643FAE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For this reason, Prometheus separates:</w:t>
      </w:r>
    </w:p>
    <w:p w14:paraId="38FE3C00" w14:textId="7AFC1595"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PRU</w:t>
      </w:r>
      <w:r w:rsidR="00435C69" w:rsidRPr="00B479AE">
        <w:rPr>
          <w:rFonts w:ascii="Baskerville Old Face" w:hAnsi="Baskerville Old Face"/>
          <w:i/>
          <w:iCs/>
        </w:rPr>
        <w:t xml:space="preserve"> as value-analysis interface</w:t>
      </w:r>
      <w:r w:rsidRPr="00B479AE">
        <w:rPr>
          <w:rFonts w:ascii="Baskerville Old Face" w:hAnsi="Baskerville Old Face"/>
          <w:i/>
          <w:iCs/>
        </w:rPr>
        <w:t>;</w:t>
      </w:r>
    </w:p>
    <w:p w14:paraId="0C50A70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TRBK as governance, coordination, access, or participation layer;</w:t>
      </w:r>
    </w:p>
    <w:p w14:paraId="0D24F8B6" w14:textId="77777777" w:rsidR="00504071" w:rsidRPr="00B479AE" w:rsidRDefault="00504071" w:rsidP="00504071">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as operational infrastructure layer;</w:t>
      </w:r>
    </w:p>
    <w:p w14:paraId="5E661BE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stablecoins or fiat as settlement rails;</w:t>
      </w:r>
    </w:p>
    <w:p w14:paraId="0E4A740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security tokens or tokenized notes as legally structured instruments.</w:t>
      </w:r>
    </w:p>
    <w:p w14:paraId="5952AA2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separation protects the system.</w:t>
      </w:r>
    </w:p>
    <w:p w14:paraId="53558F8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allows digital tools to serve regenerative value rather than replace it.</w:t>
      </w:r>
    </w:p>
    <w:p w14:paraId="1470ECB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Multi-dimensional value accounting</w:t>
      </w:r>
    </w:p>
    <w:p w14:paraId="4B35EFD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regenerative asset class requires multi-dimensional accounting.</w:t>
      </w:r>
    </w:p>
    <w:p w14:paraId="6F3DD56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single monetary number cannot capture all relevant system dynamics.</w:t>
      </w:r>
    </w:p>
    <w:p w14:paraId="3230BE4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therefore tracks several dimensions simultaneously:</w:t>
      </w:r>
    </w:p>
    <w:p w14:paraId="12FFF54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ecological performance;</w:t>
      </w:r>
    </w:p>
    <w:p w14:paraId="0071253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productive output;</w:t>
      </w:r>
    </w:p>
    <w:p w14:paraId="0FAE98D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hydrological function;</w:t>
      </w:r>
    </w:p>
    <w:p w14:paraId="38291C8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soil function;</w:t>
      </w:r>
    </w:p>
    <w:p w14:paraId="1C378E5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biodiversity;</w:t>
      </w:r>
    </w:p>
    <w:p w14:paraId="1A5D73E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biomass cycling;</w:t>
      </w:r>
    </w:p>
    <w:p w14:paraId="0E354BC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operational activity;</w:t>
      </w:r>
    </w:p>
    <w:p w14:paraId="2DA7D9D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governance participation;</w:t>
      </w:r>
    </w:p>
    <w:p w14:paraId="1B5E00A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financial flows;</w:t>
      </w:r>
    </w:p>
    <w:p w14:paraId="004CBD5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risk indicators;</w:t>
      </w:r>
    </w:p>
    <w:p w14:paraId="1B07CFC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evidence confidence;</w:t>
      </w:r>
    </w:p>
    <w:p w14:paraId="15BAC8B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legal status.</w:t>
      </w:r>
    </w:p>
    <w:p w14:paraId="39B3821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These dimensions may inform valuation, but they should not be collapsed irresponsibly.</w:t>
      </w:r>
    </w:p>
    <w:p w14:paraId="3692126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strong system preserves the complexity needed for truthful decision-making.</w:t>
      </w:r>
    </w:p>
    <w:p w14:paraId="1CD9E5A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This reflects the principle of requisite variety introduced earlier.</w:t>
      </w:r>
    </w:p>
    <w:p w14:paraId="6E4BC30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internal variety of Prometheus accounting must match the variety of the living systems it represents.</w:t>
      </w:r>
    </w:p>
    <w:p w14:paraId="6B86E14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Anti-double-counting discipline</w:t>
      </w:r>
    </w:p>
    <w:p w14:paraId="307E327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Regenerative systems produce overlapping benefits.</w:t>
      </w:r>
    </w:p>
    <w:p w14:paraId="7463FEC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single intervention may improve soil, water retention, biodiversity, yield, carbon, and resilience at the same time.</w:t>
      </w:r>
    </w:p>
    <w:p w14:paraId="3B325E4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creates risk of double counting.</w:t>
      </w:r>
    </w:p>
    <w:p w14:paraId="1656B98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addresses this by linking value claims to underlying processes and evidence chains.</w:t>
      </w:r>
    </w:p>
    <w:p w14:paraId="1819638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If one ecological process supports multiple outcomes, those outcomes must remain traceable to their source.</w:t>
      </w:r>
    </w:p>
    <w:p w14:paraId="210C6EA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A value component should not be sold, counted, reported, or financialized multiple times in incompatible ways.</w:t>
      </w:r>
    </w:p>
    <w:p w14:paraId="74FD445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No-double-counting discipline is essential for credibility.</w:t>
      </w:r>
    </w:p>
    <w:p w14:paraId="3332E73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protects investors.</w:t>
      </w:r>
    </w:p>
    <w:p w14:paraId="42DCF25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protects communities.</w:t>
      </w:r>
    </w:p>
    <w:p w14:paraId="3149A06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protects the ecological asset.</w:t>
      </w:r>
    </w:p>
    <w:p w14:paraId="709BCDC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protects the reputation of the asset class.</w:t>
      </w:r>
    </w:p>
    <w:p w14:paraId="24336D18" w14:textId="5BD96DBF"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From cost to infrastructure investment</w:t>
      </w:r>
    </w:p>
    <w:p w14:paraId="63ED04F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reframes many activities traditionally treated as costs.</w:t>
      </w:r>
    </w:p>
    <w:p w14:paraId="16E44A0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Soil restoration is infrastructure investment.</w:t>
      </w:r>
    </w:p>
    <w:p w14:paraId="4EF7CCC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Water retention is infrastructure investment.</w:t>
      </w:r>
    </w:p>
    <w:p w14:paraId="13779B8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Biodiversity enhancement is infrastructure investment.</w:t>
      </w:r>
    </w:p>
    <w:p w14:paraId="6E973EF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Monitoring and verification are infrastructure investment.</w:t>
      </w:r>
    </w:p>
    <w:p w14:paraId="3B57ACA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Human stewardship is infrastructure investment.</w:t>
      </w:r>
    </w:p>
    <w:p w14:paraId="2D864BC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Governance is infrastructure investment.</w:t>
      </w:r>
    </w:p>
    <w:p w14:paraId="14158FA6"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Data integrity is infrastructure investment.</w:t>
      </w:r>
    </w:p>
    <w:p w14:paraId="1A3486E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When these activities increase future productive capacity and reduce systemic risk, they belong in the logic of capital formation.</w:t>
      </w:r>
    </w:p>
    <w:p w14:paraId="6C29381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does not mean every cost creates value.</w:t>
      </w:r>
    </w:p>
    <w:p w14:paraId="0458DBB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means that regenerative expenditures should be evaluated according to their capacity to increase verified system performance over time.</w:t>
      </w:r>
    </w:p>
    <w:p w14:paraId="5FF0BDF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reframing is central to Prometheus.</w:t>
      </w:r>
    </w:p>
    <w:p w14:paraId="31B55E9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Institutional investment thesis</w:t>
      </w:r>
    </w:p>
    <w:p w14:paraId="15FA8BD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institutional thesis of Prometheus is that verified regeneration can become an investable real-world asset class when several conditions are satisfied:</w:t>
      </w:r>
    </w:p>
    <w:p w14:paraId="47D4824A"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the biophysical system is real;</w:t>
      </w:r>
    </w:p>
    <w:p w14:paraId="3E972507"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baseline conditions are documented;</w:t>
      </w:r>
    </w:p>
    <w:p w14:paraId="477456B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regenerative processes are operational;</w:t>
      </w:r>
    </w:p>
    <w:p w14:paraId="552F3D7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evidence is collected;</w:t>
      </w:r>
    </w:p>
    <w:p w14:paraId="1054C9C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indicators are verified;</w:t>
      </w:r>
    </w:p>
    <w:p w14:paraId="1FCEAEB1"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performance is confidence-scored;</w:t>
      </w:r>
    </w:p>
    <w:p w14:paraId="5710816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PRU methodology is applied;</w:t>
      </w:r>
    </w:p>
    <w:p w14:paraId="2F40789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risk is assessed;</w:t>
      </w:r>
    </w:p>
    <w:p w14:paraId="575E6F6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legal structure is clear;</w:t>
      </w:r>
    </w:p>
    <w:p w14:paraId="5CE5822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governance is reliable;</w:t>
      </w:r>
    </w:p>
    <w:p w14:paraId="6BBE54E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 cash-flow or value pathways exist;</w:t>
      </w:r>
    </w:p>
    <w:p w14:paraId="7FCAFF3F"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portfolio aggregation is possible;</w:t>
      </w:r>
    </w:p>
    <w:p w14:paraId="29AF070E"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 reporting is institutional-grade.</w:t>
      </w:r>
    </w:p>
    <w:p w14:paraId="3AAE5E9B"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When these conditions mature, capital can evaluate regeneration not only as impact, but as infrastructure.</w:t>
      </w:r>
    </w:p>
    <w:p w14:paraId="4E7034D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is the asset-class threshold.</w:t>
      </w:r>
    </w:p>
    <w:p w14:paraId="41A77EA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Final synthesis</w:t>
      </w:r>
    </w:p>
    <w:p w14:paraId="51B2E479"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Prometheus does not ask finance to believe in regeneration.</w:t>
      </w:r>
    </w:p>
    <w:p w14:paraId="56F3CFF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gives finance a way to observe it.</w:t>
      </w:r>
    </w:p>
    <w:p w14:paraId="627D5685"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gives capital a way to distinguish promise from performance.</w:t>
      </w:r>
    </w:p>
    <w:p w14:paraId="7D6D23D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gives investors a way to understand ecological risk and regenerative potential.</w:t>
      </w:r>
    </w:p>
    <w:p w14:paraId="5F044AF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gives stewards a way to translate their work into verified value.</w:t>
      </w:r>
    </w:p>
    <w:p w14:paraId="42BDB722"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gives communities a way to protect living foundations while participating in economic development.</w:t>
      </w:r>
    </w:p>
    <w:p w14:paraId="03276A6C"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It gives institutions a way to allocate capital toward systems that improve the conditions of future value.</w:t>
      </w:r>
    </w:p>
    <w:p w14:paraId="1A2A6743"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thesis is simple:</w:t>
      </w:r>
    </w:p>
    <w:p w14:paraId="67C8276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when living systems become healthier, more resilient, more productive, and more verifiably regenerative over time, value can increase with them.</w:t>
      </w:r>
    </w:p>
    <w:p w14:paraId="049C251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role of Prometheus is to make that increase observable, structured, governable, and financeable.</w:t>
      </w:r>
    </w:p>
    <w:p w14:paraId="75468258"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b/>
          <w:bCs/>
          <w:i/>
          <w:iCs/>
        </w:rPr>
        <w:t>Transition to the next part</w:t>
      </w:r>
    </w:p>
    <w:p w14:paraId="2D035844"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This part defined the financial translation of regeneration into an emerging asset class.</w:t>
      </w:r>
    </w:p>
    <w:p w14:paraId="745DEA90"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t>The next part turns to deployment.</w:t>
      </w:r>
    </w:p>
    <w:p w14:paraId="51FC898D" w14:textId="77777777" w:rsidR="00504071" w:rsidRPr="00B479AE" w:rsidRDefault="00504071" w:rsidP="00504071">
      <w:pPr>
        <w:spacing w:line="360" w:lineRule="auto"/>
        <w:rPr>
          <w:rFonts w:ascii="Baskerville Old Face" w:hAnsi="Baskerville Old Face"/>
          <w:i/>
          <w:iCs/>
        </w:rPr>
      </w:pPr>
      <w:r w:rsidRPr="00B479AE">
        <w:rPr>
          <w:rFonts w:ascii="Baskerville Old Face" w:hAnsi="Baskerville Old Face"/>
          <w:i/>
          <w:iCs/>
        </w:rPr>
        <w:lastRenderedPageBreak/>
        <w:t>It explains how Prometheus can move from unit-level pilots to local clusters, bioregional networks, Regenerative Asset Pools, and eventually institutional-scale regenerative infrastructure.</w:t>
      </w:r>
    </w:p>
    <w:p w14:paraId="16D12276" w14:textId="77777777" w:rsidR="00504071" w:rsidRPr="00B479AE" w:rsidRDefault="00504071" w:rsidP="008E20E1">
      <w:pPr>
        <w:spacing w:line="360" w:lineRule="auto"/>
        <w:rPr>
          <w:rFonts w:ascii="Baskerville Old Face" w:hAnsi="Baskerville Old Face"/>
          <w:i/>
          <w:iCs/>
        </w:rPr>
      </w:pPr>
    </w:p>
    <w:p w14:paraId="2FE03510" w14:textId="67A540D7" w:rsidR="002C57D8" w:rsidRPr="00B479AE" w:rsidRDefault="002C57D8" w:rsidP="00BD2C67">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VII</w:t>
      </w:r>
      <w:r w:rsidR="00BD2C67"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Implementation Roadmap and Scaling Strategy</w:t>
      </w:r>
    </w:p>
    <w:p w14:paraId="4760830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From pilot to regenerative infrastructure</w:t>
      </w:r>
    </w:p>
    <w:p w14:paraId="5C90543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is designed to scale through disciplined progression.</w:t>
      </w:r>
    </w:p>
    <w:p w14:paraId="27FB177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Regenerative infrastructure cannot be imposed at full scale from the beginning.</w:t>
      </w:r>
    </w:p>
    <w:p w14:paraId="66C13D5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must mature through evidence, operational learning, governance reliability, ecological performance, and capital-readiness thresholds.</w:t>
      </w:r>
    </w:p>
    <w:p w14:paraId="1E5B73D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implementation roadmap therefore follows a staged logic:</w:t>
      </w:r>
    </w:p>
    <w:p w14:paraId="3578109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pilot;</w:t>
      </w:r>
      <w:r w:rsidRPr="00B479AE">
        <w:rPr>
          <w:rFonts w:ascii="Baskerville Old Face" w:hAnsi="Baskerville Old Face"/>
          <w:i/>
          <w:iCs/>
        </w:rPr>
        <w:br/>
        <w:t>validated unit;</w:t>
      </w:r>
      <w:r w:rsidRPr="00B479AE">
        <w:rPr>
          <w:rFonts w:ascii="Baskerville Old Face" w:hAnsi="Baskerville Old Face"/>
          <w:i/>
          <w:iCs/>
        </w:rPr>
        <w:br/>
        <w:t>local cluster;</w:t>
      </w:r>
      <w:r w:rsidRPr="00B479AE">
        <w:rPr>
          <w:rFonts w:ascii="Baskerville Old Face" w:hAnsi="Baskerville Old Face"/>
          <w:i/>
          <w:iCs/>
        </w:rPr>
        <w:br/>
        <w:t>bioregional network;</w:t>
      </w:r>
      <w:r w:rsidRPr="00B479AE">
        <w:rPr>
          <w:rFonts w:ascii="Baskerville Old Face" w:hAnsi="Baskerville Old Face"/>
          <w:i/>
          <w:iCs/>
        </w:rPr>
        <w:br/>
        <w:t>Regenerative Asset Pool;</w:t>
      </w:r>
      <w:r w:rsidRPr="00B479AE">
        <w:rPr>
          <w:rFonts w:ascii="Baskerville Old Face" w:hAnsi="Baskerville Old Face"/>
          <w:i/>
          <w:iCs/>
        </w:rPr>
        <w:br/>
        <w:t>institutional regenerative infrastructure.</w:t>
      </w:r>
    </w:p>
    <w:p w14:paraId="5A224D7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Each stage expands the system only after the previous stage has generated sufficient evidence.</w:t>
      </w:r>
    </w:p>
    <w:p w14:paraId="7103E1A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is not a limitation.</w:t>
      </w:r>
    </w:p>
    <w:p w14:paraId="3CF44EF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is the condition for trustworthy scale.</w:t>
      </w:r>
    </w:p>
    <w:p w14:paraId="0386DD8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grows like a living system: through rootedness, feedback, adaptation, replication, and increasing coherence.</w:t>
      </w:r>
    </w:p>
    <w:p w14:paraId="67EC946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Deployment principle</w:t>
      </w:r>
    </w:p>
    <w:p w14:paraId="7A05F48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deployment principle of Prometheus is simple:</w:t>
      </w:r>
    </w:p>
    <w:p w14:paraId="5182D95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scale follows verified coherence.</w:t>
      </w:r>
    </w:p>
    <w:p w14:paraId="23D82FC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site should not scale because its narrative is strong.</w:t>
      </w:r>
    </w:p>
    <w:p w14:paraId="37ADAAF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A protocol should not expand because its market potential is attractive.</w:t>
      </w:r>
    </w:p>
    <w:p w14:paraId="1C850FD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financial structure should not mature before the underlying evidence matures.</w:t>
      </w:r>
    </w:p>
    <w:p w14:paraId="37BC73F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tokenized representation should not appear before value is verified and legally structured.</w:t>
      </w:r>
    </w:p>
    <w:p w14:paraId="53BA40B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advances when ecological, operational, governance, and financial conditions become sufficiently clear.</w:t>
      </w:r>
    </w:p>
    <w:p w14:paraId="2B51B93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protects the system from premature abstraction.</w:t>
      </w:r>
    </w:p>
    <w:p w14:paraId="793A91A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also protects capital from entering before the asset base is ready.</w:t>
      </w:r>
    </w:p>
    <w:p w14:paraId="56F2690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Deployment is therefore governed by evidence, not enthusiasm.</w:t>
      </w:r>
    </w:p>
    <w:p w14:paraId="2CB3A4E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Phase 1 — Genesis pilot</w:t>
      </w:r>
    </w:p>
    <w:p w14:paraId="02C9313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first phase is the Genesis pilot.</w:t>
      </w:r>
    </w:p>
    <w:p w14:paraId="7B70FC6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Genesis pilot is the first high-fidelity deployment of the Prometheus architecture under real conditions.</w:t>
      </w:r>
    </w:p>
    <w:p w14:paraId="388F6F2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Its purpose is not to prove the entire global model at once.</w:t>
      </w:r>
    </w:p>
    <w:p w14:paraId="71A73DF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Its purpose is to test whether the core transformation pathway works:</w:t>
      </w:r>
    </w:p>
    <w:p w14:paraId="380246E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living system;</w:t>
      </w:r>
      <w:r w:rsidRPr="00B479AE">
        <w:rPr>
          <w:rFonts w:ascii="Baskerville Old Face" w:hAnsi="Baskerville Old Face"/>
          <w:i/>
          <w:iCs/>
        </w:rPr>
        <w:br/>
        <w:t>regenerative intervention;</w:t>
      </w:r>
      <w:r w:rsidRPr="00B479AE">
        <w:rPr>
          <w:rFonts w:ascii="Baskerville Old Face" w:hAnsi="Baskerville Old Face"/>
          <w:i/>
          <w:iCs/>
        </w:rPr>
        <w:br/>
        <w:t>baseline measurement;</w:t>
      </w:r>
      <w:r w:rsidRPr="00B479AE">
        <w:rPr>
          <w:rFonts w:ascii="Baskerville Old Face" w:hAnsi="Baskerville Old Face"/>
          <w:i/>
          <w:iCs/>
        </w:rPr>
        <w:br/>
        <w:t>MRV evidence;</w:t>
      </w:r>
      <w:r w:rsidRPr="00B479AE">
        <w:rPr>
          <w:rFonts w:ascii="Baskerville Old Face" w:hAnsi="Baskerville Old Face"/>
          <w:i/>
          <w:iCs/>
        </w:rPr>
        <w:br/>
        <w:t>verified indicators;</w:t>
      </w:r>
      <w:r w:rsidRPr="00B479AE">
        <w:rPr>
          <w:rFonts w:ascii="Baskerville Old Face" w:hAnsi="Baskerville Old Face"/>
          <w:i/>
          <w:iCs/>
        </w:rPr>
        <w:br/>
        <w:t>operational reporting;</w:t>
      </w:r>
      <w:r w:rsidRPr="00B479AE">
        <w:rPr>
          <w:rFonts w:ascii="Baskerville Old Face" w:hAnsi="Baskerville Old Face"/>
          <w:i/>
          <w:iCs/>
        </w:rPr>
        <w:br/>
        <w:t>PRU translation;</w:t>
      </w:r>
      <w:r w:rsidRPr="00B479AE">
        <w:rPr>
          <w:rFonts w:ascii="Baskerville Old Face" w:hAnsi="Baskerville Old Face"/>
          <w:i/>
          <w:iCs/>
        </w:rPr>
        <w:br/>
        <w:t>governance review;</w:t>
      </w:r>
      <w:r w:rsidRPr="00B479AE">
        <w:rPr>
          <w:rFonts w:ascii="Baskerville Old Face" w:hAnsi="Baskerville Old Face"/>
          <w:i/>
          <w:iCs/>
        </w:rPr>
        <w:br/>
        <w:t>capital-readiness assessment.</w:t>
      </w:r>
    </w:p>
    <w:p w14:paraId="4A6657F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Genesis pilot should demonstrate:</w:t>
      </w:r>
    </w:p>
    <w:p w14:paraId="534A89D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an OHE or OHE-compatible regenerative system can be deployed;</w:t>
      </w:r>
    </w:p>
    <w:p w14:paraId="6D96930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that baseline conditions can be documented;</w:t>
      </w:r>
    </w:p>
    <w:p w14:paraId="449488C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regenerative interventions can be recorded;</w:t>
      </w:r>
    </w:p>
    <w:p w14:paraId="114F39F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evidence can be collected through multiple sources;</w:t>
      </w:r>
    </w:p>
    <w:p w14:paraId="276EA69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MRV protocols can be executed;</w:t>
      </w:r>
    </w:p>
    <w:p w14:paraId="5AFAF3F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governance boundaries can be preserved;</w:t>
      </w:r>
    </w:p>
    <w:p w14:paraId="686DE1C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operational records can be structured;</w:t>
      </w:r>
    </w:p>
    <w:p w14:paraId="5A7C99F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PRU logic can be applied conservatively;</w:t>
      </w:r>
    </w:p>
    <w:p w14:paraId="792A80E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investor-facing reporting can be prepared;</w:t>
      </w:r>
    </w:p>
    <w:p w14:paraId="6EA0DDC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that the system can learn from real performance.</w:t>
      </w:r>
    </w:p>
    <w:p w14:paraId="2C69523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Genesis pilot is therefore a proof of coherence.</w:t>
      </w:r>
    </w:p>
    <w:p w14:paraId="5F830A7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tests not only whether regeneration occurs, but whether regeneration can become reviewable, reportable, and progressively financeable.</w:t>
      </w:r>
    </w:p>
    <w:p w14:paraId="4135BAA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Phase 2 — Validated operational unit</w:t>
      </w:r>
    </w:p>
    <w:p w14:paraId="45461AF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second phase is the validated operational unit.</w:t>
      </w:r>
    </w:p>
    <w:p w14:paraId="2D864DF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validated unit is a site or OHE that has moved beyond intention and early deployment into documented performance.</w:t>
      </w:r>
    </w:p>
    <w:p w14:paraId="14694EA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has:</w:t>
      </w:r>
    </w:p>
    <w:p w14:paraId="26FB1B4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 clear land-access structure;</w:t>
      </w:r>
    </w:p>
    <w:p w14:paraId="0A5379D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 defined stewardship role;</w:t>
      </w:r>
    </w:p>
    <w:p w14:paraId="3F762CA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 baseline report;</w:t>
      </w:r>
    </w:p>
    <w:p w14:paraId="339B228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an implementation record;</w:t>
      </w:r>
    </w:p>
    <w:p w14:paraId="6188B9E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active monitoring;</w:t>
      </w:r>
    </w:p>
    <w:p w14:paraId="55500451" w14:textId="77777777" w:rsidR="002C57D8" w:rsidRPr="005907F1" w:rsidRDefault="002C57D8" w:rsidP="002C57D8">
      <w:pPr>
        <w:spacing w:line="360" w:lineRule="auto"/>
        <w:rPr>
          <w:rFonts w:ascii="Baskerville Old Face" w:hAnsi="Baskerville Old Face"/>
          <w:i/>
          <w:iCs/>
          <w:lang w:val="it-IT"/>
        </w:rPr>
      </w:pPr>
      <w:r w:rsidRPr="005907F1">
        <w:rPr>
          <w:rFonts w:ascii="Baskerville Old Face" w:hAnsi="Baskerville Old Face"/>
          <w:i/>
          <w:iCs/>
          <w:lang w:val="it-IT"/>
        </w:rPr>
        <w:lastRenderedPageBreak/>
        <w:t>• MRV data;</w:t>
      </w:r>
    </w:p>
    <w:p w14:paraId="79C282DF" w14:textId="77777777" w:rsidR="002C57D8" w:rsidRPr="005907F1" w:rsidRDefault="002C57D8" w:rsidP="002C57D8">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operational</w:t>
      </w:r>
      <w:proofErr w:type="spellEnd"/>
      <w:r w:rsidRPr="005907F1">
        <w:rPr>
          <w:rFonts w:ascii="Baskerville Old Face" w:hAnsi="Baskerville Old Face"/>
          <w:i/>
          <w:iCs/>
          <w:lang w:val="it-IT"/>
        </w:rPr>
        <w:t xml:space="preserve"> logs;</w:t>
      </w:r>
    </w:p>
    <w:p w14:paraId="362390FC" w14:textId="77777777" w:rsidR="002C57D8" w:rsidRPr="005907F1" w:rsidRDefault="002C57D8" w:rsidP="002C57D8">
      <w:pPr>
        <w:spacing w:line="360" w:lineRule="auto"/>
        <w:rPr>
          <w:rFonts w:ascii="Baskerville Old Face" w:hAnsi="Baskerville Old Face"/>
          <w:i/>
          <w:iCs/>
          <w:lang w:val="it-IT"/>
        </w:rPr>
      </w:pPr>
      <w:r w:rsidRPr="005907F1">
        <w:rPr>
          <w:rFonts w:ascii="Baskerville Old Face" w:hAnsi="Baskerville Old Face"/>
          <w:i/>
          <w:iCs/>
          <w:lang w:val="it-IT"/>
        </w:rPr>
        <w:t xml:space="preserve">• governance </w:t>
      </w:r>
      <w:proofErr w:type="spellStart"/>
      <w:r w:rsidRPr="005907F1">
        <w:rPr>
          <w:rFonts w:ascii="Baskerville Old Face" w:hAnsi="Baskerville Old Face"/>
          <w:i/>
          <w:iCs/>
          <w:lang w:val="it-IT"/>
        </w:rPr>
        <w:t>documentation</w:t>
      </w:r>
      <w:proofErr w:type="spellEnd"/>
      <w:r w:rsidRPr="005907F1">
        <w:rPr>
          <w:rFonts w:ascii="Baskerville Old Face" w:hAnsi="Baskerville Old Face"/>
          <w:i/>
          <w:iCs/>
          <w:lang w:val="it-IT"/>
        </w:rPr>
        <w:t>;</w:t>
      </w:r>
    </w:p>
    <w:p w14:paraId="0D7DE3A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evidence of ecological or productive change;</w:t>
      </w:r>
    </w:p>
    <w:p w14:paraId="3193117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 preliminary PRU assessment;</w:t>
      </w:r>
    </w:p>
    <w:p w14:paraId="721140D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 risk register;</w:t>
      </w:r>
    </w:p>
    <w:p w14:paraId="1AF07C2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 reporting package.</w:t>
      </w:r>
    </w:p>
    <w:p w14:paraId="16D893B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At this stage, the system is not yet fully mature.</w:t>
      </w:r>
    </w:p>
    <w:p w14:paraId="0DA7339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Its value is still developing.</w:t>
      </w:r>
    </w:p>
    <w:p w14:paraId="6271E69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But it has become legible.</w:t>
      </w:r>
    </w:p>
    <w:p w14:paraId="46A903E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validated unit is the first point at which Prometheus can begin to show how a regenerative site becomes an asset candidate.</w:t>
      </w:r>
    </w:p>
    <w:p w14:paraId="5D0894B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Phase 3 — Local cluster</w:t>
      </w:r>
    </w:p>
    <w:p w14:paraId="2D3DB60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third phase is the local cluster.</w:t>
      </w:r>
    </w:p>
    <w:p w14:paraId="337CEEF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local cluster connects multiple validated or emerging OHE units within a defined territory.</w:t>
      </w:r>
    </w:p>
    <w:p w14:paraId="5AE7DA4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purpose of the cluster is to create shared learning, shared infrastructure, shared governance, and stronger territorial resilience.</w:t>
      </w:r>
    </w:p>
    <w:p w14:paraId="0BAD0B1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local cluster may include:</w:t>
      </w:r>
    </w:p>
    <w:p w14:paraId="088F478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multiple OHEs;</w:t>
      </w:r>
    </w:p>
    <w:p w14:paraId="7BB7B52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shared MRV tools;</w:t>
      </w:r>
    </w:p>
    <w:p w14:paraId="51AE3C7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common training protocols;</w:t>
      </w:r>
    </w:p>
    <w:p w14:paraId="245369A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local processing capacity;</w:t>
      </w:r>
    </w:p>
    <w:p w14:paraId="2F08977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local food distribution;</w:t>
      </w:r>
    </w:p>
    <w:p w14:paraId="77A67BE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cooperative purchasing;</w:t>
      </w:r>
    </w:p>
    <w:p w14:paraId="48EB388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biodiversity corridors;</w:t>
      </w:r>
    </w:p>
    <w:p w14:paraId="02E5AD4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water-system coordination;</w:t>
      </w:r>
    </w:p>
    <w:p w14:paraId="403542C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community participation;</w:t>
      </w:r>
    </w:p>
    <w:p w14:paraId="564F98C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shared reporting;</w:t>
      </w:r>
    </w:p>
    <w:p w14:paraId="46A5A60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early PRU comparison;</w:t>
      </w:r>
    </w:p>
    <w:p w14:paraId="5BDFEF5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local governance structures.</w:t>
      </w:r>
    </w:p>
    <w:p w14:paraId="38ED429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cluster creates the first network effect.</w:t>
      </w:r>
    </w:p>
    <w:p w14:paraId="01210D0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Individual units become stronger when they are connected.</w:t>
      </w:r>
    </w:p>
    <w:p w14:paraId="6BFD7B6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Knowledge moves faster.</w:t>
      </w:r>
    </w:p>
    <w:p w14:paraId="7674825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Costs can be shared.</w:t>
      </w:r>
    </w:p>
    <w:p w14:paraId="6EB98AD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Biodiversity continuity improves.</w:t>
      </w:r>
    </w:p>
    <w:p w14:paraId="5F10335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Market access becomes stronger.</w:t>
      </w:r>
    </w:p>
    <w:p w14:paraId="0B8E9DB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Community trust deepens.</w:t>
      </w:r>
    </w:p>
    <w:p w14:paraId="794490A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Operational learning compounds.</w:t>
      </w:r>
    </w:p>
    <w:p w14:paraId="566D379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is the first step from unit-level regeneration to territorial infrastructure.</w:t>
      </w:r>
    </w:p>
    <w:p w14:paraId="36FAAA9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Phase 4 — Bioregional network</w:t>
      </w:r>
    </w:p>
    <w:p w14:paraId="496F640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fourth phase is the bioregional network.</w:t>
      </w:r>
    </w:p>
    <w:p w14:paraId="515D667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bioregion is a living territorial context shaped by climate, water, soil, species, culture, food systems, and human communities.</w:t>
      </w:r>
    </w:p>
    <w:p w14:paraId="072FC73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Prometheus treats the bioregion as a natural scaling unit because regenerative processes are not isolated inside property boundaries.</w:t>
      </w:r>
    </w:p>
    <w:p w14:paraId="4EFAF58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Water moves across landscapes.</w:t>
      </w:r>
    </w:p>
    <w:p w14:paraId="0CAA26B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Pollinators cross parcels.</w:t>
      </w:r>
    </w:p>
    <w:p w14:paraId="769D13A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Soil health interacts with land use.</w:t>
      </w:r>
    </w:p>
    <w:p w14:paraId="0308A6B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Local food systems depend on many actors.</w:t>
      </w:r>
    </w:p>
    <w:p w14:paraId="7DF0B6C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Communities share infrastructure, knowledge, and risk.</w:t>
      </w:r>
    </w:p>
    <w:p w14:paraId="16A123F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bioregional network may coordinate:</w:t>
      </w:r>
    </w:p>
    <w:p w14:paraId="3EEDE80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watershed-level design;</w:t>
      </w:r>
    </w:p>
    <w:p w14:paraId="47EBA6A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biodiversity corridors;</w:t>
      </w:r>
    </w:p>
    <w:p w14:paraId="3664C7B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regenerative food systems;</w:t>
      </w:r>
    </w:p>
    <w:p w14:paraId="534E345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local processing and logistics;</w:t>
      </w:r>
    </w:p>
    <w:p w14:paraId="7A3A88F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shared MRV frameworks;</w:t>
      </w:r>
    </w:p>
    <w:p w14:paraId="32A4DDF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regional data rooms;</w:t>
      </w:r>
    </w:p>
    <w:p w14:paraId="79E3569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educational programs;</w:t>
      </w:r>
    </w:p>
    <w:p w14:paraId="217CE7B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institutional partnerships;</w:t>
      </w:r>
    </w:p>
    <w:p w14:paraId="4FD25F2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public procurement;</w:t>
      </w:r>
    </w:p>
    <w:p w14:paraId="549A195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insurance or resilience programs;</w:t>
      </w:r>
    </w:p>
    <w:p w14:paraId="36C9F55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capital allocation across multiple units.</w:t>
      </w:r>
    </w:p>
    <w:p w14:paraId="7CD5FE4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At this stage, Prometheus begins to move from site-level deployment to regional resilience architecture.</w:t>
      </w:r>
    </w:p>
    <w:p w14:paraId="38896E7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objective is not uniform replication.</w:t>
      </w:r>
    </w:p>
    <w:p w14:paraId="0B5FC8B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The objective is coherent adaptation.</w:t>
      </w:r>
    </w:p>
    <w:p w14:paraId="74A4B7A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Each bioregion must express Prometheus through its own ecological, cultural, legal, and economic conditions.</w:t>
      </w:r>
    </w:p>
    <w:p w14:paraId="6E2655F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Phase 5 — Regenerative Asset Pool</w:t>
      </w:r>
    </w:p>
    <w:p w14:paraId="4FBCA58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fifth phase is the Regenerative Asset Pool.</w:t>
      </w:r>
    </w:p>
    <w:p w14:paraId="1327A3F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Regenerative Asset Pool aggregates verified PRUs from multiple units or clusters into a portfolio structure.</w:t>
      </w:r>
    </w:p>
    <w:p w14:paraId="72CAAFE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is the point at which regenerative infrastructure becomes institutionally more legible.</w:t>
      </w:r>
    </w:p>
    <w:p w14:paraId="64CACA9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RAP may support:</w:t>
      </w:r>
    </w:p>
    <w:p w14:paraId="52CBF4E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portfolio diversification;</w:t>
      </w:r>
    </w:p>
    <w:p w14:paraId="758006A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risk distribution;</w:t>
      </w:r>
    </w:p>
    <w:p w14:paraId="4B8C3DB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investor reporting;</w:t>
      </w:r>
    </w:p>
    <w:p w14:paraId="5E28517F" w14:textId="1FE83BF5"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 </w:t>
      </w:r>
      <w:r w:rsidR="000350E2" w:rsidRPr="00B479AE">
        <w:rPr>
          <w:rFonts w:ascii="Baskerville Old Face" w:hAnsi="Baskerville Old Face"/>
          <w:i/>
          <w:iCs/>
        </w:rPr>
        <w:t>PRU maturity classification</w:t>
      </w:r>
      <w:r w:rsidRPr="00B479AE">
        <w:rPr>
          <w:rFonts w:ascii="Baskerville Old Face" w:hAnsi="Baskerville Old Face"/>
          <w:i/>
          <w:iCs/>
        </w:rPr>
        <w:t xml:space="preserve"> comparison;</w:t>
      </w:r>
    </w:p>
    <w:p w14:paraId="4BCB61E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insurance analysis;</w:t>
      </w:r>
    </w:p>
    <w:p w14:paraId="5478DDC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blended finance;</w:t>
      </w:r>
    </w:p>
    <w:p w14:paraId="3BE0C78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guarantees;</w:t>
      </w:r>
    </w:p>
    <w:p w14:paraId="395259C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SPV or fund structuring;</w:t>
      </w:r>
    </w:p>
    <w:p w14:paraId="274B372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future compliant tokenized representation;</w:t>
      </w:r>
    </w:p>
    <w:p w14:paraId="0B8FC9C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institutional capital allocation.</w:t>
      </w:r>
    </w:p>
    <w:p w14:paraId="263CC5B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RAP is not merely a basket of projects.</w:t>
      </w:r>
    </w:p>
    <w:p w14:paraId="047AB37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is a structured portfolio of verified regenerative performance.</w:t>
      </w:r>
    </w:p>
    <w:p w14:paraId="72437A8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Its quality depends on the quality of its underlying units, the integrity of its MRV, the reliability of its governance, and the clarity of its legal structure.</w:t>
      </w:r>
    </w:p>
    <w:p w14:paraId="21BF690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The RAP is the bridge between distributed regeneration and capital-market participation.</w:t>
      </w:r>
    </w:p>
    <w:p w14:paraId="472CF40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Phase 6 — Institutional regenerative infrastructure</w:t>
      </w:r>
    </w:p>
    <w:p w14:paraId="2299A8A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sixth phase is institutional regenerative infrastructure.</w:t>
      </w:r>
    </w:p>
    <w:p w14:paraId="7BE6C8E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At this stage, Prometheus may support larger capital structures, cross-regional portfolios, institutional reporting, nature-aligned investment products, public-private partnerships, and regulated financial instruments.</w:t>
      </w:r>
    </w:p>
    <w:p w14:paraId="5FB7454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Possible structures may include:</w:t>
      </w:r>
    </w:p>
    <w:p w14:paraId="14E88C9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dedicated SPVs;</w:t>
      </w:r>
    </w:p>
    <w:p w14:paraId="3865EBE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regenerative infrastructure funds;</w:t>
      </w:r>
    </w:p>
    <w:p w14:paraId="391894A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blended finance vehicles;</w:t>
      </w:r>
    </w:p>
    <w:p w14:paraId="7F0A9A6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project-finance structures;</w:t>
      </w:r>
    </w:p>
    <w:p w14:paraId="54D38C2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private credit facilities;</w:t>
      </w:r>
    </w:p>
    <w:p w14:paraId="52B3DF4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insurance-backed resilience structures;</w:t>
      </w:r>
    </w:p>
    <w:p w14:paraId="598961F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public procurement-linked programs;</w:t>
      </w:r>
    </w:p>
    <w:p w14:paraId="0680ED6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tokenized notes or securities where legally compliant;</w:t>
      </w:r>
    </w:p>
    <w:p w14:paraId="1B20F8C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long-duration regenerative infrastructure portfolios.</w:t>
      </w:r>
    </w:p>
    <w:p w14:paraId="5AF52BD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stage requires high discipline.</w:t>
      </w:r>
    </w:p>
    <w:p w14:paraId="0A9F6B0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Institutional scale should emerge only when:</w:t>
      </w:r>
    </w:p>
    <w:p w14:paraId="20DA1E4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underlying units are verified;</w:t>
      </w:r>
    </w:p>
    <w:p w14:paraId="6AC738E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PRU methodology is mature;</w:t>
      </w:r>
    </w:p>
    <w:p w14:paraId="77DE732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RAP reporting is credible;</w:t>
      </w:r>
    </w:p>
    <w:p w14:paraId="2BF4371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governance is stable;</w:t>
      </w:r>
    </w:p>
    <w:p w14:paraId="52F1854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legal wrappers are enforceable;</w:t>
      </w:r>
    </w:p>
    <w:p w14:paraId="1692E98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investor disclosures are complete;</w:t>
      </w:r>
    </w:p>
    <w:p w14:paraId="1D15E01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risk factors are transparent;</w:t>
      </w:r>
    </w:p>
    <w:p w14:paraId="6B42E2D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data rooms are robust;</w:t>
      </w:r>
    </w:p>
    <w:p w14:paraId="00044D9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audit pathways are active;</w:t>
      </w:r>
    </w:p>
    <w:p w14:paraId="4020348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capital allocation remains connected to regenerative performance.</w:t>
      </w:r>
    </w:p>
    <w:p w14:paraId="2E8AEC4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Institutionalization is not the abandonment of Prometheus’ living foundation.</w:t>
      </w:r>
    </w:p>
    <w:p w14:paraId="2296C54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is the moment when that foundation becomes legible to large-scale capital without being extracted from its source.</w:t>
      </w:r>
    </w:p>
    <w:p w14:paraId="0D1AB65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Implementation timeline</w:t>
      </w:r>
    </w:p>
    <w:p w14:paraId="54D306D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Prometheus roadmap can be understood through three horizons.</w:t>
      </w:r>
    </w:p>
    <w:p w14:paraId="3EBB60D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Short-term horizon — 0 to 24 months</w:t>
      </w:r>
    </w:p>
    <w:p w14:paraId="358005E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short-term horizon focuses on pilot correctness and evidence formation.</w:t>
      </w:r>
    </w:p>
    <w:p w14:paraId="0B6F664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Priorities include:</w:t>
      </w:r>
    </w:p>
    <w:p w14:paraId="4BB3993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Genesis pilot activation;</w:t>
      </w:r>
    </w:p>
    <w:p w14:paraId="4408E01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OHE or OHE-compatible deployment;</w:t>
      </w:r>
    </w:p>
    <w:p w14:paraId="238AA74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baseline data collection;</w:t>
      </w:r>
    </w:p>
    <w:p w14:paraId="19403A7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MRV protocol setup;</w:t>
      </w:r>
    </w:p>
    <w:p w14:paraId="500FC1B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sensor and field observation design;</w:t>
      </w:r>
    </w:p>
    <w:p w14:paraId="0788800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laboratory testing pathways;</w:t>
      </w:r>
    </w:p>
    <w:p w14:paraId="1AA5270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operational records;</w:t>
      </w:r>
    </w:p>
    <w:p w14:paraId="4CD6E2C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governance setup;</w:t>
      </w:r>
    </w:p>
    <w:p w14:paraId="6AC6BEB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data room formation;</w:t>
      </w:r>
    </w:p>
    <w:p w14:paraId="658F44D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early PRU methodology application;</w:t>
      </w:r>
    </w:p>
    <w:p w14:paraId="4450447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investor reporting prototype;</w:t>
      </w:r>
    </w:p>
    <w:p w14:paraId="565F860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legal and structural review;</w:t>
      </w:r>
    </w:p>
    <w:p w14:paraId="29A6DED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public communication discipline.</w:t>
      </w:r>
    </w:p>
    <w:p w14:paraId="01BECAF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objective is to create a credible evidence base.</w:t>
      </w:r>
    </w:p>
    <w:p w14:paraId="0F7C89A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short-term horizon should produce proof of operational coherence, not exaggerated market claims.</w:t>
      </w:r>
    </w:p>
    <w:p w14:paraId="37B94FB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Medium-term horizon — 2 to 5 years</w:t>
      </w:r>
    </w:p>
    <w:p w14:paraId="5B3408F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medium-term horizon focuses on replication and local clustering.</w:t>
      </w:r>
    </w:p>
    <w:p w14:paraId="7649556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Priorities include:</w:t>
      </w:r>
    </w:p>
    <w:p w14:paraId="765F4B6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replication of validated OHE units;</w:t>
      </w:r>
    </w:p>
    <w:p w14:paraId="40DCA4B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development of local clusters;</w:t>
      </w:r>
    </w:p>
    <w:p w14:paraId="6BA86C9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shared MRV infrastructure;</w:t>
      </w:r>
    </w:p>
    <w:p w14:paraId="375A510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improved methodology;</w:t>
      </w:r>
    </w:p>
    <w:p w14:paraId="1EE2EBF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operational training;</w:t>
      </w:r>
    </w:p>
    <w:p w14:paraId="0283DAB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local market integration;</w:t>
      </w:r>
    </w:p>
    <w:p w14:paraId="176B8DB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education and community programs;</w:t>
      </w:r>
    </w:p>
    <w:p w14:paraId="142814B4" w14:textId="5FCA661F"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 preliminary </w:t>
      </w:r>
      <w:r w:rsidR="000350E2" w:rsidRPr="00B479AE">
        <w:rPr>
          <w:rFonts w:ascii="Baskerville Old Face" w:hAnsi="Baskerville Old Face"/>
          <w:i/>
          <w:iCs/>
        </w:rPr>
        <w:t>PRU maturity classification</w:t>
      </w:r>
      <w:r w:rsidRPr="00B479AE">
        <w:rPr>
          <w:rFonts w:ascii="Baskerville Old Face" w:hAnsi="Baskerville Old Face"/>
          <w:i/>
          <w:iCs/>
        </w:rPr>
        <w:t xml:space="preserve"> logic;</w:t>
      </w:r>
    </w:p>
    <w:p w14:paraId="60AEED7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early RAP design;</w:t>
      </w:r>
    </w:p>
    <w:p w14:paraId="31D9EC2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blended finance exploration;</w:t>
      </w:r>
    </w:p>
    <w:p w14:paraId="1044F41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institutional partnerships;</w:t>
      </w:r>
    </w:p>
    <w:p w14:paraId="405546D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public-sector engagement;</w:t>
      </w:r>
    </w:p>
    <w:p w14:paraId="228A6A5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risk and insurance dialogue.</w:t>
      </w:r>
    </w:p>
    <w:p w14:paraId="331E37B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objective is to prove that unit-level regeneration can become territorial infrastructure.</w:t>
      </w:r>
    </w:p>
    <w:p w14:paraId="294D26F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horizon transforms Prometheus from pilot to network.</w:t>
      </w:r>
    </w:p>
    <w:p w14:paraId="0FDD0C1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Long-term horizon — 5 to 15 years</w:t>
      </w:r>
    </w:p>
    <w:p w14:paraId="2E252B2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long-term horizon focuses on portfolio formation and institutional scaling.</w:t>
      </w:r>
    </w:p>
    <w:p w14:paraId="62F4CFA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Priorities include:</w:t>
      </w:r>
    </w:p>
    <w:p w14:paraId="64D02A9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mature PRU portfolios;</w:t>
      </w:r>
    </w:p>
    <w:p w14:paraId="20FFB22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Regenerative Asset Pools;</w:t>
      </w:r>
    </w:p>
    <w:p w14:paraId="0C62A2A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bioregional networks;</w:t>
      </w:r>
    </w:p>
    <w:p w14:paraId="3F07307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cross-regional diversification;</w:t>
      </w:r>
    </w:p>
    <w:p w14:paraId="11DA535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institutional fund structures;</w:t>
      </w:r>
    </w:p>
    <w:p w14:paraId="7FBC06D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regulated financial instruments;</w:t>
      </w:r>
    </w:p>
    <w:p w14:paraId="6B5F8F4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nature-aligned reporting;</w:t>
      </w:r>
    </w:p>
    <w:p w14:paraId="4C090FC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public-private capital programs;</w:t>
      </w:r>
    </w:p>
    <w:p w14:paraId="12AF35E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insurance and resilience products;</w:t>
      </w:r>
    </w:p>
    <w:p w14:paraId="66B405B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tokenized representations where compliant;</w:t>
      </w:r>
    </w:p>
    <w:p w14:paraId="234BD75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global knowledge exchange;</w:t>
      </w:r>
    </w:p>
    <w:p w14:paraId="2F90A4E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regenerative infrastructure index logic.</w:t>
      </w:r>
    </w:p>
    <w:p w14:paraId="5B1327A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objective is to establish verified regenerative infrastructure as an investable real-world asset class.</w:t>
      </w:r>
    </w:p>
    <w:p w14:paraId="08E4330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horizon transforms Prometheus from network to market architecture.</w:t>
      </w:r>
    </w:p>
    <w:p w14:paraId="14BCFB26" w14:textId="77777777" w:rsidR="002E5EB1" w:rsidRDefault="002E5EB1" w:rsidP="002C57D8">
      <w:pPr>
        <w:spacing w:line="360" w:lineRule="auto"/>
        <w:rPr>
          <w:rFonts w:ascii="Baskerville Old Face" w:hAnsi="Baskerville Old Face"/>
          <w:b/>
          <w:bCs/>
          <w:i/>
          <w:iCs/>
        </w:rPr>
      </w:pPr>
    </w:p>
    <w:p w14:paraId="3586E186" w14:textId="093015B2"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lastRenderedPageBreak/>
        <w:t>Deployment stack</w:t>
      </w:r>
    </w:p>
    <w:p w14:paraId="128691D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deployment requires the coordinated activation of multiple layers.</w:t>
      </w:r>
    </w:p>
    <w:p w14:paraId="4F94EB5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Ecological layer</w:t>
      </w:r>
    </w:p>
    <w:p w14:paraId="1F1588C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ecological layer includes land assessment, soil regeneration, water design, biodiversity integration, syntropic planting, biomass cycling, food production, and site-specific ecological management.</w:t>
      </w:r>
    </w:p>
    <w:p w14:paraId="182E07A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is the foundation.</w:t>
      </w:r>
    </w:p>
    <w:p w14:paraId="38E849B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Without ecological performance, the rest of the stack becomes empty.</w:t>
      </w:r>
    </w:p>
    <w:p w14:paraId="4260C63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MRV layer</w:t>
      </w:r>
    </w:p>
    <w:p w14:paraId="15A1634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MRV layer includes field sensors, laboratory testing, remote sensing, mobile observations, operational records, human audits, and third-party verification.</w:t>
      </w:r>
    </w:p>
    <w:p w14:paraId="6B6999B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layer makes ecological change visible.</w:t>
      </w:r>
    </w:p>
    <w:p w14:paraId="4D39F66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Digital layer</w:t>
      </w:r>
    </w:p>
    <w:p w14:paraId="43AF158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The digital layer includes agent-centric infrastructure, source-chain logic, data provenance,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records, dashboards, data rooms, and API connectors.</w:t>
      </w:r>
    </w:p>
    <w:p w14:paraId="2EDAA24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layer makes evidence structured and reviewable.</w:t>
      </w:r>
    </w:p>
    <w:p w14:paraId="149078C1" w14:textId="1415AD1E"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Governance layer</w:t>
      </w:r>
    </w:p>
    <w:p w14:paraId="05753A5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governance layer includes Stewardship Circles, protocol rules, role definitions, dispute-resolution processes, methodology review, data access rules, and participation mechanisms.</w:t>
      </w:r>
    </w:p>
    <w:p w14:paraId="7D4CC8B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layer preserves coherence.</w:t>
      </w:r>
    </w:p>
    <w:p w14:paraId="05BDFB64" w14:textId="74C508E8"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Operational layer</w:t>
      </w:r>
    </w:p>
    <w:p w14:paraId="6461E13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operational layer includes SOPs, field workflows, maintenance plans, training, troubleshooting, reporting calendars, readiness checks, and execution gates.</w:t>
      </w:r>
    </w:p>
    <w:p w14:paraId="1A09525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layer makes the system executable.</w:t>
      </w:r>
    </w:p>
    <w:p w14:paraId="72A9CF1D" w14:textId="6E3B4A0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lastRenderedPageBreak/>
        <w:t>Financial layer</w:t>
      </w:r>
    </w:p>
    <w:p w14:paraId="777B8C1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financial layer includes budgets, capital deployment, cash-flow monitoring, reserves, PRU assessment, RAP design, SPV or fund structuring, investor reporting, and risk management.</w:t>
      </w:r>
    </w:p>
    <w:p w14:paraId="59BB02A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layer makes the system financeable.</w:t>
      </w:r>
    </w:p>
    <w:p w14:paraId="7662DEC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Interface layer</w:t>
      </w:r>
    </w:p>
    <w:p w14:paraId="4A0A0F2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interface layer includes dashboards, governance tools, investor reports, public communication, educational material, and institutional data rooms.</w:t>
      </w:r>
    </w:p>
    <w:p w14:paraId="7EF50DE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layer makes the system legible.</w:t>
      </w:r>
    </w:p>
    <w:p w14:paraId="1A227D7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Each layer supports the others.</w:t>
      </w:r>
    </w:p>
    <w:p w14:paraId="3833A9C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weakness in one layer can compromise the whole.</w:t>
      </w:r>
    </w:p>
    <w:p w14:paraId="3104FA9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therefore treats deployment as integrated infrastructure, not as a sequence of disconnected tasks.</w:t>
      </w:r>
    </w:p>
    <w:p w14:paraId="270DDDF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Readiness gates</w:t>
      </w:r>
    </w:p>
    <w:p w14:paraId="5A08997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scaling should pass through readiness gates.</w:t>
      </w:r>
    </w:p>
    <w:p w14:paraId="16F4D43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readiness gate is a formal review point that determines whether the system can advance to the next stage.</w:t>
      </w:r>
    </w:p>
    <w:p w14:paraId="497EBF6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Readiness gates may include:</w:t>
      </w:r>
    </w:p>
    <w:p w14:paraId="1E811EA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site readiness;</w:t>
      </w:r>
    </w:p>
    <w:p w14:paraId="5A81661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baseline readiness;</w:t>
      </w:r>
    </w:p>
    <w:p w14:paraId="3135C15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deployment readiness;</w:t>
      </w:r>
    </w:p>
    <w:p w14:paraId="764709A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MRV readiness;</w:t>
      </w:r>
    </w:p>
    <w:p w14:paraId="1E4A772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governance readiness;</w:t>
      </w:r>
    </w:p>
    <w:p w14:paraId="29CAF10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operational readiness;</w:t>
      </w:r>
    </w:p>
    <w:p w14:paraId="698CB6A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PRU eligibility readiness;</w:t>
      </w:r>
    </w:p>
    <w:p w14:paraId="56476E0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RAP inclusion readiness;</w:t>
      </w:r>
    </w:p>
    <w:p w14:paraId="0D558C3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investor reporting readiness;</w:t>
      </w:r>
    </w:p>
    <w:p w14:paraId="25F1DDB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legal structuring readiness;</w:t>
      </w:r>
    </w:p>
    <w:p w14:paraId="4AD4BD3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tokenization readiness.</w:t>
      </w:r>
    </w:p>
    <w:p w14:paraId="5E6B656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Each gate should produce one of several outcomes:</w:t>
      </w:r>
    </w:p>
    <w:p w14:paraId="591E27B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proceed;</w:t>
      </w:r>
      <w:r w:rsidRPr="00B479AE">
        <w:rPr>
          <w:rFonts w:ascii="Baskerville Old Face" w:hAnsi="Baskerville Old Face"/>
          <w:i/>
          <w:iCs/>
        </w:rPr>
        <w:br/>
        <w:t>proceed with conditions;</w:t>
      </w:r>
      <w:r w:rsidRPr="00B479AE">
        <w:rPr>
          <w:rFonts w:ascii="Baskerville Old Face" w:hAnsi="Baskerville Old Face"/>
          <w:i/>
          <w:iCs/>
        </w:rPr>
        <w:br/>
        <w:t>manual review;</w:t>
      </w:r>
      <w:r w:rsidRPr="00B479AE">
        <w:rPr>
          <w:rFonts w:ascii="Baskerville Old Face" w:hAnsi="Baskerville Old Face"/>
          <w:i/>
          <w:iCs/>
        </w:rPr>
        <w:br/>
        <w:t>pause;</w:t>
      </w:r>
      <w:r w:rsidRPr="00B479AE">
        <w:rPr>
          <w:rFonts w:ascii="Baskerville Old Face" w:hAnsi="Baskerville Old Face"/>
          <w:i/>
          <w:iCs/>
        </w:rPr>
        <w:br/>
        <w:t>redesign;</w:t>
      </w:r>
      <w:r w:rsidRPr="00B479AE">
        <w:rPr>
          <w:rFonts w:ascii="Baskerville Old Face" w:hAnsi="Baskerville Old Face"/>
          <w:i/>
          <w:iCs/>
        </w:rPr>
        <w:br/>
        <w:t>reject;</w:t>
      </w:r>
      <w:r w:rsidRPr="00B479AE">
        <w:rPr>
          <w:rFonts w:ascii="Baskerville Old Face" w:hAnsi="Baskerville Old Face"/>
          <w:i/>
          <w:iCs/>
        </w:rPr>
        <w:br/>
        <w:t>archive.</w:t>
      </w:r>
    </w:p>
    <w:p w14:paraId="74E7592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prevents automatic progression.</w:t>
      </w:r>
    </w:p>
    <w:p w14:paraId="6A53D85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ensures that scale remains connected to evidence and governance.</w:t>
      </w:r>
    </w:p>
    <w:p w14:paraId="1EED511C" w14:textId="115198CB" w:rsidR="007F7B84" w:rsidRPr="00B479AE" w:rsidRDefault="007F7B84" w:rsidP="007F7B84">
      <w:pPr>
        <w:spacing w:line="360" w:lineRule="auto"/>
        <w:rPr>
          <w:rFonts w:ascii="Baskerville Old Face" w:hAnsi="Baskerville Old Face"/>
          <w:b/>
          <w:bCs/>
          <w:i/>
          <w:iCs/>
        </w:rPr>
      </w:pPr>
      <w:r w:rsidRPr="00B479AE">
        <w:rPr>
          <w:rFonts w:ascii="Baskerville Old Face" w:hAnsi="Baskerville Old Face"/>
          <w:b/>
          <w:bCs/>
          <w:i/>
          <w:iCs/>
        </w:rPr>
        <w:t>Execution Gate and Readiness Function</w:t>
      </w:r>
    </w:p>
    <w:p w14:paraId="114D696E"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Prometheus advances through readiness, not assumption.</w:t>
      </w:r>
    </w:p>
    <w:p w14:paraId="61D254A9"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regenerative system should not move from one stage to the next merely because the vision is compelling, the market opportunity is attractive, the technology is available, or capital is interested.</w:t>
      </w:r>
    </w:p>
    <w:p w14:paraId="5D06BDF8"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Each transition must pass through an execution gate.</w:t>
      </w:r>
    </w:p>
    <w:p w14:paraId="66B2C67B"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An execution gate is a structured review point that determines whether a site, OHE, MRV process, PRU analysis, RAP inclusion, investor report, legal structure, or future tokenized representation is mature enough to proceed.</w:t>
      </w:r>
    </w:p>
    <w:p w14:paraId="73755265"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readiness condition may be expressed as:</w:t>
      </w:r>
    </w:p>
    <w:p w14:paraId="76E6D43D" w14:textId="77777777" w:rsidR="007F7B84" w:rsidRPr="005907F1" w:rsidRDefault="007F7B84" w:rsidP="007F7B84">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Ready_stage</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E_e</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M_m</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G_g</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O_o</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L_l</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R_r</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C_c</w:t>
      </w:r>
      <w:proofErr w:type="spellEnd"/>
    </w:p>
    <w:p w14:paraId="10692991"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lastRenderedPageBreak/>
        <w:t>Where:</w:t>
      </w:r>
    </w:p>
    <w:p w14:paraId="2D6C4777" w14:textId="77777777" w:rsidR="007F7B84" w:rsidRPr="00B479AE" w:rsidRDefault="007F7B84" w:rsidP="007F7B84">
      <w:pPr>
        <w:spacing w:line="360" w:lineRule="auto"/>
        <w:rPr>
          <w:rFonts w:ascii="Baskerville Old Face" w:hAnsi="Baskerville Old Face"/>
          <w:i/>
          <w:iCs/>
        </w:rPr>
      </w:pPr>
      <w:proofErr w:type="spellStart"/>
      <w:r w:rsidRPr="00B479AE">
        <w:rPr>
          <w:rFonts w:ascii="Baskerville Old Face" w:hAnsi="Baskerville Old Face"/>
          <w:i/>
          <w:iCs/>
        </w:rPr>
        <w:t>Ready_stage</w:t>
      </w:r>
      <w:proofErr w:type="spellEnd"/>
      <w:r w:rsidRPr="00B479AE">
        <w:rPr>
          <w:rFonts w:ascii="Baskerville Old Face" w:hAnsi="Baskerville Old Face"/>
          <w:i/>
          <w:iCs/>
        </w:rPr>
        <w:t xml:space="preserve"> = readiness condition for the relevant stage.</w:t>
      </w:r>
      <w:r w:rsidRPr="00B479AE">
        <w:rPr>
          <w:rFonts w:ascii="Baskerville Old Face" w:hAnsi="Baskerville Old Face"/>
          <w:i/>
          <w:iCs/>
        </w:rPr>
        <w:br/>
      </w:r>
      <w:proofErr w:type="spellStart"/>
      <w:r w:rsidRPr="00B479AE">
        <w:rPr>
          <w:rFonts w:ascii="Baskerville Old Face" w:hAnsi="Baskerville Old Face"/>
          <w:i/>
          <w:iCs/>
        </w:rPr>
        <w:t>E_e</w:t>
      </w:r>
      <w:proofErr w:type="spellEnd"/>
      <w:r w:rsidRPr="00B479AE">
        <w:rPr>
          <w:rFonts w:ascii="Baskerville Old Face" w:hAnsi="Baskerville Old Face"/>
          <w:i/>
          <w:iCs/>
        </w:rPr>
        <w:t xml:space="preserve"> = evidence readiness.</w:t>
      </w:r>
      <w:r w:rsidRPr="00B479AE">
        <w:rPr>
          <w:rFonts w:ascii="Baskerville Old Face" w:hAnsi="Baskerville Old Face"/>
          <w:i/>
          <w:iCs/>
        </w:rPr>
        <w:br/>
      </w:r>
      <w:proofErr w:type="spellStart"/>
      <w:r w:rsidRPr="00B479AE">
        <w:rPr>
          <w:rFonts w:ascii="Baskerville Old Face" w:hAnsi="Baskerville Old Face"/>
          <w:i/>
          <w:iCs/>
        </w:rPr>
        <w:t>M_m</w:t>
      </w:r>
      <w:proofErr w:type="spellEnd"/>
      <w:r w:rsidRPr="00B479AE">
        <w:rPr>
          <w:rFonts w:ascii="Baskerville Old Face" w:hAnsi="Baskerville Old Face"/>
          <w:i/>
          <w:iCs/>
        </w:rPr>
        <w:t xml:space="preserve"> = methodology readiness.</w:t>
      </w:r>
      <w:r w:rsidRPr="00B479AE">
        <w:rPr>
          <w:rFonts w:ascii="Baskerville Old Face" w:hAnsi="Baskerville Old Face"/>
          <w:i/>
          <w:iCs/>
        </w:rPr>
        <w:br/>
      </w:r>
      <w:proofErr w:type="spellStart"/>
      <w:r w:rsidRPr="00B479AE">
        <w:rPr>
          <w:rFonts w:ascii="Baskerville Old Face" w:hAnsi="Baskerville Old Face"/>
          <w:i/>
          <w:iCs/>
        </w:rPr>
        <w:t>G_g</w:t>
      </w:r>
      <w:proofErr w:type="spellEnd"/>
      <w:r w:rsidRPr="00B479AE">
        <w:rPr>
          <w:rFonts w:ascii="Baskerville Old Face" w:hAnsi="Baskerville Old Face"/>
          <w:i/>
          <w:iCs/>
        </w:rPr>
        <w:t xml:space="preserve"> = governance readiness.</w:t>
      </w:r>
      <w:r w:rsidRPr="00B479AE">
        <w:rPr>
          <w:rFonts w:ascii="Baskerville Old Face" w:hAnsi="Baskerville Old Face"/>
          <w:i/>
          <w:iCs/>
        </w:rPr>
        <w:br/>
      </w:r>
      <w:proofErr w:type="spellStart"/>
      <w:r w:rsidRPr="00B479AE">
        <w:rPr>
          <w:rFonts w:ascii="Baskerville Old Face" w:hAnsi="Baskerville Old Face"/>
          <w:i/>
          <w:iCs/>
        </w:rPr>
        <w:t>O_o</w:t>
      </w:r>
      <w:proofErr w:type="spellEnd"/>
      <w:r w:rsidRPr="00B479AE">
        <w:rPr>
          <w:rFonts w:ascii="Baskerville Old Face" w:hAnsi="Baskerville Old Face"/>
          <w:i/>
          <w:iCs/>
        </w:rPr>
        <w:t xml:space="preserve"> = operational readiness.</w:t>
      </w:r>
      <w:r w:rsidRPr="00B479AE">
        <w:rPr>
          <w:rFonts w:ascii="Baskerville Old Face" w:hAnsi="Baskerville Old Face"/>
          <w:i/>
          <w:iCs/>
        </w:rPr>
        <w:br/>
      </w:r>
      <w:proofErr w:type="spellStart"/>
      <w:r w:rsidRPr="00B479AE">
        <w:rPr>
          <w:rFonts w:ascii="Baskerville Old Face" w:hAnsi="Baskerville Old Face"/>
          <w:i/>
          <w:iCs/>
        </w:rPr>
        <w:t>L_l</w:t>
      </w:r>
      <w:proofErr w:type="spellEnd"/>
      <w:r w:rsidRPr="00B479AE">
        <w:rPr>
          <w:rFonts w:ascii="Baskerville Old Face" w:hAnsi="Baskerville Old Face"/>
          <w:i/>
          <w:iCs/>
        </w:rPr>
        <w:t xml:space="preserve"> = legal readiness where relevant.</w:t>
      </w:r>
      <w:r w:rsidRPr="00B479AE">
        <w:rPr>
          <w:rFonts w:ascii="Baskerville Old Face" w:hAnsi="Baskerville Old Face"/>
          <w:i/>
          <w:iCs/>
        </w:rPr>
        <w:br/>
      </w:r>
      <w:proofErr w:type="spellStart"/>
      <w:r w:rsidRPr="00B479AE">
        <w:rPr>
          <w:rFonts w:ascii="Baskerville Old Face" w:hAnsi="Baskerville Old Face"/>
          <w:i/>
          <w:iCs/>
        </w:rPr>
        <w:t>R_r</w:t>
      </w:r>
      <w:proofErr w:type="spellEnd"/>
      <w:r w:rsidRPr="00B479AE">
        <w:rPr>
          <w:rFonts w:ascii="Baskerville Old Face" w:hAnsi="Baskerville Old Face"/>
          <w:i/>
          <w:iCs/>
        </w:rPr>
        <w:t xml:space="preserve"> = risk review completed.</w:t>
      </w:r>
      <w:r w:rsidRPr="00B479AE">
        <w:rPr>
          <w:rFonts w:ascii="Baskerville Old Face" w:hAnsi="Baskerville Old Face"/>
          <w:i/>
          <w:iCs/>
        </w:rPr>
        <w:br/>
      </w:r>
      <w:proofErr w:type="spellStart"/>
      <w:r w:rsidRPr="00B479AE">
        <w:rPr>
          <w:rFonts w:ascii="Baskerville Old Face" w:hAnsi="Baskerville Old Face"/>
          <w:i/>
          <w:iCs/>
        </w:rPr>
        <w:t>C_c</w:t>
      </w:r>
      <w:proofErr w:type="spellEnd"/>
      <w:r w:rsidRPr="00B479AE">
        <w:rPr>
          <w:rFonts w:ascii="Baskerville Old Face" w:hAnsi="Baskerville Old Face"/>
          <w:i/>
          <w:iCs/>
        </w:rPr>
        <w:t xml:space="preserve"> = continuity and documentation readiness.</w:t>
      </w:r>
    </w:p>
    <w:p w14:paraId="2DFE6504"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If any essential readiness factor is zero, progression should not be automatic:</w:t>
      </w:r>
    </w:p>
    <w:p w14:paraId="13761A8E"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Ready_stage</w:t>
      </w:r>
      <w:proofErr w:type="spellEnd"/>
      <w:r w:rsidRPr="00B479AE">
        <w:rPr>
          <w:rFonts w:ascii="Baskerville Old Face" w:hAnsi="Baskerville Old Face"/>
          <w:i/>
          <w:iCs/>
        </w:rPr>
        <w:t xml:space="preserve"> = 0, then progression requires pause, redesign, remediation, manual review, or rejection</w:t>
      </w:r>
    </w:p>
    <w:p w14:paraId="34E573BB"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This condition applies differently depending on the stage.</w:t>
      </w:r>
    </w:p>
    <w:p w14:paraId="6195A4F9"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site-readiness gate may require land-access clarity, ecological baseline feasibility, stewardship assignment, water context, risk screening, and operational viability.</w:t>
      </w:r>
    </w:p>
    <w:p w14:paraId="44E6CEB5"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baseline-readiness gate may require sufficient starting data, sampling plan, geolocation, methodology, time reference, and data-room structure.</w:t>
      </w:r>
    </w:p>
    <w:p w14:paraId="6594BEF5"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An MRV-readiness gate may require sensor plan, laboratory pathway, field observation protocol, provenance design, confidence scoring, and review workflow.</w:t>
      </w:r>
    </w:p>
    <w:p w14:paraId="166EA89B"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PRU-eligibility gate may require verified indicators, methodology alignment, confidence scoring, admissibility review, no-double-counting checks, and governance review.</w:t>
      </w:r>
    </w:p>
    <w:p w14:paraId="2E46EF7E"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RAP-inclusion gate may require unit-level PRU analysis, diversification logic, portfolio-risk review, legal boundary, reporting compatibility, and concentration-risk assessment.</w:t>
      </w:r>
    </w:p>
    <w:p w14:paraId="725E7C8D"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An investor-reporting gate may require evidence maturity, legal review, disclaimer discipline, capital-readiness classification, risk disclosure, and data-room support.</w:t>
      </w:r>
    </w:p>
    <w:p w14:paraId="2DDD2DE0"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tokenization-readiness gate may require MRV admissibility, PRU/RAP legal structuring, defined rights, disclosure, technical audit, governance approval, anti-double-counting controls, and jurisdiction-specific compliance.</w:t>
      </w:r>
    </w:p>
    <w:p w14:paraId="1935BF92"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lastRenderedPageBreak/>
        <w:t>The gate outcome may be classified as:</w:t>
      </w:r>
    </w:p>
    <w:p w14:paraId="3E030BAC"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Proceed</w:t>
      </w:r>
    </w:p>
    <w:p w14:paraId="15E391D7"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has sufficient readiness to advance.</w:t>
      </w:r>
    </w:p>
    <w:p w14:paraId="565E9C1A"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Proceed with conditions</w:t>
      </w:r>
    </w:p>
    <w:p w14:paraId="069777BA"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may advance only if specific conditions, limits, or remediation steps are satisfied.</w:t>
      </w:r>
    </w:p>
    <w:p w14:paraId="7BD8CBB8"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Manual review</w:t>
      </w:r>
    </w:p>
    <w:p w14:paraId="470C580A"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requires further human, governance, legal, scientific, MRV, or technical review.</w:t>
      </w:r>
    </w:p>
    <w:p w14:paraId="3F9A5DC3"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Pause</w:t>
      </w:r>
    </w:p>
    <w:p w14:paraId="200BCB6C"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should not advance until material uncertainty is resolved.</w:t>
      </w:r>
    </w:p>
    <w:p w14:paraId="7F87AFF1"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Redesign</w:t>
      </w:r>
    </w:p>
    <w:p w14:paraId="1375BC38"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requires structural redesign before further review.</w:t>
      </w:r>
    </w:p>
    <w:p w14:paraId="26C27A00"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Reject</w:t>
      </w:r>
    </w:p>
    <w:p w14:paraId="0DCF1AAF"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fails the readiness condition.</w:t>
      </w:r>
    </w:p>
    <w:p w14:paraId="5D3F6664"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b/>
          <w:bCs/>
          <w:i/>
          <w:iCs/>
        </w:rPr>
        <w:t>Archive</w:t>
      </w:r>
    </w:p>
    <w:p w14:paraId="6447FAB8"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stage or claim is preserved for research, history, or future reconsideration, but does not advance.</w:t>
      </w:r>
    </w:p>
    <w:p w14:paraId="386A505E"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simplified gate decision function may be expressed as:</w:t>
      </w:r>
    </w:p>
    <w:p w14:paraId="6199F2B9" w14:textId="77777777" w:rsidR="007F7B84" w:rsidRPr="00B479AE" w:rsidRDefault="007F7B84" w:rsidP="007F7B84">
      <w:pPr>
        <w:spacing w:line="360" w:lineRule="auto"/>
        <w:rPr>
          <w:rFonts w:ascii="Baskerville Old Face" w:hAnsi="Baskerville Old Face"/>
          <w:i/>
          <w:iCs/>
        </w:rPr>
      </w:pPr>
      <w:proofErr w:type="spellStart"/>
      <w:r w:rsidRPr="00B479AE">
        <w:rPr>
          <w:rFonts w:ascii="Baskerville Old Face" w:hAnsi="Baskerville Old Face"/>
          <w:i/>
          <w:iCs/>
        </w:rPr>
        <w:t>Gate_decision</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spellStart"/>
      <w:proofErr w:type="gramEnd"/>
      <w:r w:rsidRPr="00B479AE">
        <w:rPr>
          <w:rFonts w:ascii="Baskerville Old Face" w:hAnsi="Baskerville Old Face"/>
          <w:i/>
          <w:iCs/>
        </w:rPr>
        <w:t>Ready_stage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Risk_level</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Evidence_maturity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Legal_boundary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Source_fidelity</w:t>
      </w:r>
      <w:proofErr w:type="spellEnd"/>
      <w:r w:rsidRPr="00B479AE">
        <w:rPr>
          <w:rFonts w:ascii="Baskerville Old Face" w:hAnsi="Baskerville Old Face"/>
          <w:i/>
          <w:iCs/>
        </w:rPr>
        <w:t>)</w:t>
      </w:r>
    </w:p>
    <w:p w14:paraId="6A019578"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Where progression is permitted only when the gate decision is compatible with the relevant stage.</w:t>
      </w:r>
    </w:p>
    <w:p w14:paraId="59D01CDF"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operational sequence is:</w:t>
      </w:r>
    </w:p>
    <w:p w14:paraId="1FF06FA7"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 xml:space="preserve">proposal </w:t>
      </w:r>
      <w:r w:rsidRPr="00B479AE">
        <w:rPr>
          <w:rFonts w:ascii="Times New Roman" w:hAnsi="Times New Roman" w:cs="Times New Roman"/>
          <w:i/>
          <w:iCs/>
        </w:rPr>
        <w:t>→</w:t>
      </w:r>
      <w:r w:rsidRPr="00B479AE">
        <w:rPr>
          <w:rFonts w:ascii="Baskerville Old Face" w:hAnsi="Baskerville Old Face"/>
          <w:i/>
          <w:iCs/>
        </w:rPr>
        <w:t xml:space="preserve"> readiness review </w:t>
      </w:r>
      <w:r w:rsidRPr="00B479AE">
        <w:rPr>
          <w:rFonts w:ascii="Times New Roman" w:hAnsi="Times New Roman" w:cs="Times New Roman"/>
          <w:i/>
          <w:iCs/>
        </w:rPr>
        <w:t>→</w:t>
      </w:r>
      <w:r w:rsidRPr="00B479AE">
        <w:rPr>
          <w:rFonts w:ascii="Baskerville Old Face" w:hAnsi="Baskerville Old Face"/>
          <w:i/>
          <w:iCs/>
        </w:rPr>
        <w:t xml:space="preserve"> gate decision </w:t>
      </w:r>
      <w:r w:rsidRPr="00B479AE">
        <w:rPr>
          <w:rFonts w:ascii="Times New Roman" w:hAnsi="Times New Roman" w:cs="Times New Roman"/>
          <w:i/>
          <w:iCs/>
        </w:rPr>
        <w:t>→</w:t>
      </w:r>
      <w:r w:rsidRPr="00B479AE">
        <w:rPr>
          <w:rFonts w:ascii="Baskerville Old Face" w:hAnsi="Baskerville Old Face"/>
          <w:i/>
          <w:iCs/>
        </w:rPr>
        <w:t xml:space="preserve"> authorized progression </w:t>
      </w:r>
      <w:r w:rsidRPr="00B479AE">
        <w:rPr>
          <w:rFonts w:ascii="Times New Roman" w:hAnsi="Times New Roman" w:cs="Times New Roman"/>
          <w:i/>
          <w:iCs/>
        </w:rPr>
        <w:t>→</w:t>
      </w:r>
      <w:r w:rsidRPr="00B479AE">
        <w:rPr>
          <w:rFonts w:ascii="Baskerville Old Face" w:hAnsi="Baskerville Old Face"/>
          <w:i/>
          <w:iCs/>
        </w:rPr>
        <w:t xml:space="preserve"> record </w:t>
      </w:r>
      <w:r w:rsidRPr="00B479AE">
        <w:rPr>
          <w:rFonts w:ascii="Times New Roman" w:hAnsi="Times New Roman" w:cs="Times New Roman"/>
          <w:i/>
          <w:iCs/>
        </w:rPr>
        <w:t>→</w:t>
      </w:r>
      <w:r w:rsidRPr="00B479AE">
        <w:rPr>
          <w:rFonts w:ascii="Baskerville Old Face" w:hAnsi="Baskerville Old Face"/>
          <w:i/>
          <w:iCs/>
        </w:rPr>
        <w:t xml:space="preserve"> monitoring</w:t>
      </w:r>
    </w:p>
    <w:p w14:paraId="65F82EEF"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This prevents Prometheus from silently sliding from possibility into claim, from claim into value, from value into instrument, or from instrument into public-facing representation.</w:t>
      </w:r>
    </w:p>
    <w:p w14:paraId="7D2D7BC9"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lastRenderedPageBreak/>
        <w:t>The readiness principle is:</w:t>
      </w:r>
    </w:p>
    <w:p w14:paraId="54F2BC9D"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potential does not equal readiness;</w:t>
      </w:r>
      <w:r w:rsidRPr="00B479AE">
        <w:rPr>
          <w:rFonts w:ascii="Baskerville Old Face" w:hAnsi="Baskerville Old Face"/>
          <w:i/>
          <w:iCs/>
        </w:rPr>
        <w:br/>
        <w:t>readiness does not equal authorization;</w:t>
      </w:r>
      <w:r w:rsidRPr="00B479AE">
        <w:rPr>
          <w:rFonts w:ascii="Baskerville Old Face" w:hAnsi="Baskerville Old Face"/>
          <w:i/>
          <w:iCs/>
        </w:rPr>
        <w:br/>
        <w:t>authorization does not equal unrestricted use.</w:t>
      </w:r>
    </w:p>
    <w:p w14:paraId="7F3AB0C4"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Each stage has its own scope.</w:t>
      </w:r>
    </w:p>
    <w:p w14:paraId="099C5853"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site may be ready for pilot deployment but not for PRU analysis.</w:t>
      </w:r>
    </w:p>
    <w:p w14:paraId="4DF52B36"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PRU analysis may be ready for internal review but not for investor-facing use.</w:t>
      </w:r>
    </w:p>
    <w:p w14:paraId="5187A642"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RAP may be ready for portfolio design but not for legal structuring.</w:t>
      </w:r>
    </w:p>
    <w:p w14:paraId="5C02248A"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dashboard may be ready for operational monitoring but not for capital-facing claims.</w:t>
      </w:r>
    </w:p>
    <w:p w14:paraId="5940B7EB"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token model may be ready for sandbox research but not for issuance.</w:t>
      </w:r>
    </w:p>
    <w:p w14:paraId="22DCA0E4"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This distinction is essential.</w:t>
      </w:r>
    </w:p>
    <w:p w14:paraId="05152199"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Prometheus is not designed to suppress ambition.</w:t>
      </w:r>
    </w:p>
    <w:p w14:paraId="16B6AB19"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It is designed to sequence ambition correctly.</w:t>
      </w:r>
    </w:p>
    <w:p w14:paraId="78CEA09D"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correct pathway is:</w:t>
      </w:r>
    </w:p>
    <w:p w14:paraId="29F4B2A1"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readiness first;</w:t>
      </w:r>
      <w:r w:rsidRPr="00B479AE">
        <w:rPr>
          <w:rFonts w:ascii="Baskerville Old Face" w:hAnsi="Baskerville Old Face"/>
          <w:i/>
          <w:iCs/>
        </w:rPr>
        <w:br/>
        <w:t>authorization second;</w:t>
      </w:r>
      <w:r w:rsidRPr="00B479AE">
        <w:rPr>
          <w:rFonts w:ascii="Baskerville Old Face" w:hAnsi="Baskerville Old Face"/>
          <w:i/>
          <w:iCs/>
        </w:rPr>
        <w:br/>
        <w:t>execution third;</w:t>
      </w:r>
      <w:r w:rsidRPr="00B479AE">
        <w:rPr>
          <w:rFonts w:ascii="Baskerville Old Face" w:hAnsi="Baskerville Old Face"/>
          <w:i/>
          <w:iCs/>
        </w:rPr>
        <w:br/>
        <w:t>verification fourth;</w:t>
      </w:r>
      <w:r w:rsidRPr="00B479AE">
        <w:rPr>
          <w:rFonts w:ascii="Baskerville Old Face" w:hAnsi="Baskerville Old Face"/>
          <w:i/>
          <w:iCs/>
        </w:rPr>
        <w:br/>
        <w:t>reporting fifth;</w:t>
      </w:r>
      <w:r w:rsidRPr="00B479AE">
        <w:rPr>
          <w:rFonts w:ascii="Baskerville Old Face" w:hAnsi="Baskerville Old Face"/>
          <w:i/>
          <w:iCs/>
        </w:rPr>
        <w:br/>
        <w:t>capital use last.</w:t>
      </w:r>
    </w:p>
    <w:p w14:paraId="2B758D40"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Execution gates are therefore not bureaucratic friction.</w:t>
      </w:r>
    </w:p>
    <w:p w14:paraId="57B8A405"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They are the immune system of Prometheus.</w:t>
      </w:r>
    </w:p>
    <w:p w14:paraId="61793080"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They prevent premature scale, premature claims, premature financialization, premature tokenization, and premature institutional exposure.</w:t>
      </w:r>
    </w:p>
    <w:p w14:paraId="014692CB"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A living system matures through stages.</w:t>
      </w:r>
    </w:p>
    <w:p w14:paraId="0B7A25A1"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lastRenderedPageBreak/>
        <w:t>Prometheus must do the same.</w:t>
      </w:r>
    </w:p>
    <w:p w14:paraId="3A813061" w14:textId="77777777" w:rsidR="007F7B84" w:rsidRPr="00B479AE" w:rsidRDefault="007F7B84" w:rsidP="007F7B84">
      <w:pPr>
        <w:spacing w:line="360" w:lineRule="auto"/>
        <w:rPr>
          <w:rFonts w:ascii="Baskerville Old Face" w:hAnsi="Baskerville Old Face"/>
          <w:b/>
          <w:bCs/>
          <w:i/>
          <w:iCs/>
        </w:rPr>
      </w:pPr>
      <w:r w:rsidRPr="00B479AE">
        <w:rPr>
          <w:rFonts w:ascii="Baskerville Old Face" w:hAnsi="Baskerville Old Face"/>
          <w:b/>
          <w:bCs/>
          <w:i/>
          <w:iCs/>
        </w:rPr>
        <w:t>Formula boundary</w:t>
      </w:r>
    </w:p>
    <w:p w14:paraId="0929C42C" w14:textId="77777777" w:rsidR="007F7B84" w:rsidRPr="00B479AE" w:rsidRDefault="007F7B84" w:rsidP="007F7B84">
      <w:pPr>
        <w:spacing w:line="360" w:lineRule="auto"/>
        <w:rPr>
          <w:rFonts w:ascii="Baskerville Old Face" w:hAnsi="Baskerville Old Face"/>
          <w:i/>
          <w:iCs/>
        </w:rPr>
      </w:pPr>
      <w:proofErr w:type="spellStart"/>
      <w:r w:rsidRPr="00B479AE">
        <w:rPr>
          <w:rFonts w:ascii="Baskerville Old Face" w:hAnsi="Baskerville Old Face"/>
          <w:i/>
          <w:iCs/>
        </w:rPr>
        <w:t>Ready_stage</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Gate_decision</w:t>
      </w:r>
      <w:proofErr w:type="spellEnd"/>
      <w:r w:rsidRPr="00B479AE">
        <w:rPr>
          <w:rFonts w:ascii="Baskerville Old Face" w:hAnsi="Baskerville Old Face"/>
          <w:i/>
          <w:iCs/>
        </w:rPr>
        <w:t xml:space="preserve"> are methodological and governance-readiness functions.</w:t>
      </w:r>
    </w:p>
    <w:p w14:paraId="225771AD"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They do not create automatic authorization, legal enforceability, investor rights, PRU value, RAP inclusion, token issuance, governance approval, or financial claims.</w:t>
      </w:r>
    </w:p>
    <w:p w14:paraId="0FB0BB57"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They define the internal Prometheus discipline for determining whether a stage may proceed, pause, be redesigned, be rejected, or remain research-only.</w:t>
      </w:r>
    </w:p>
    <w:p w14:paraId="0A0FA2A5"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Formal consequences require the relevant operational, governance, MRV, legal, technical, capital-readiness, or source-layer review pathway.</w:t>
      </w:r>
    </w:p>
    <w:p w14:paraId="66FF2A89" w14:textId="46CD332D" w:rsidR="00BD4B5F" w:rsidRPr="00B479AE" w:rsidRDefault="00BD4B5F" w:rsidP="00BD4B5F">
      <w:pPr>
        <w:spacing w:line="360" w:lineRule="auto"/>
        <w:rPr>
          <w:rFonts w:ascii="Baskerville Old Face" w:hAnsi="Baskerville Old Face"/>
          <w:b/>
          <w:bCs/>
          <w:i/>
          <w:iCs/>
        </w:rPr>
      </w:pPr>
      <w:r w:rsidRPr="00B479AE">
        <w:rPr>
          <w:rFonts w:ascii="Baskerville Old Face" w:hAnsi="Baskerville Old Face"/>
          <w:b/>
          <w:bCs/>
          <w:i/>
          <w:iCs/>
        </w:rPr>
        <w:t>Pilot-to-Scale Coherence Function</w:t>
      </w:r>
    </w:p>
    <w:p w14:paraId="660FA8DA"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Prometheus scales through coherence, not acceleration.</w:t>
      </w:r>
    </w:p>
    <w:p w14:paraId="01CDA04C"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 pilot becomes scalable only when the system demonstrates that ecological performance, MRV evidence, governance, operations, legal boundaries, capital-readiness, and source-layer fidelity can remain aligned under real conditions.</w:t>
      </w:r>
    </w:p>
    <w:p w14:paraId="488B22B4"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pilot-to-scale condition may be expressed as:</w:t>
      </w:r>
    </w:p>
    <w:p w14:paraId="1CBF3BD8" w14:textId="77777777" w:rsidR="00BD4B5F" w:rsidRPr="00B479AE" w:rsidRDefault="00BD4B5F" w:rsidP="00BD4B5F">
      <w:pPr>
        <w:spacing w:line="360" w:lineRule="auto"/>
        <w:rPr>
          <w:rFonts w:ascii="Baskerville Old Face" w:hAnsi="Baskerville Old Face"/>
          <w:i/>
          <w:iCs/>
        </w:rPr>
      </w:pPr>
      <w:proofErr w:type="spellStart"/>
      <w:r w:rsidRPr="00B479AE">
        <w:rPr>
          <w:rFonts w:ascii="Baskerville Old Face" w:hAnsi="Baskerville Old Face"/>
          <w:i/>
          <w:iCs/>
        </w:rPr>
        <w:t>Scale_readiness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E_perf</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MRV_conf</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G_coh</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O_rel</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L_clarity</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C_cap</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S_fidelity</w:t>
      </w:r>
      <w:proofErr w:type="spellEnd"/>
    </w:p>
    <w:p w14:paraId="6F679FE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Where:</w:t>
      </w:r>
    </w:p>
    <w:p w14:paraId="756DC02C" w14:textId="77777777" w:rsidR="00BD4B5F" w:rsidRPr="00B479AE" w:rsidRDefault="00BD4B5F" w:rsidP="00BD4B5F">
      <w:pPr>
        <w:spacing w:line="360" w:lineRule="auto"/>
        <w:rPr>
          <w:rFonts w:ascii="Baskerville Old Face" w:hAnsi="Baskerville Old Face"/>
          <w:i/>
          <w:iCs/>
        </w:rPr>
      </w:pPr>
      <w:proofErr w:type="spellStart"/>
      <w:r w:rsidRPr="00B479AE">
        <w:rPr>
          <w:rFonts w:ascii="Baskerville Old Face" w:hAnsi="Baskerville Old Face"/>
          <w:i/>
          <w:iCs/>
        </w:rPr>
        <w:t>Scale_readiness</w:t>
      </w:r>
      <w:proofErr w:type="spellEnd"/>
      <w:r w:rsidRPr="00B479AE">
        <w:rPr>
          <w:rFonts w:ascii="Baskerville Old Face" w:hAnsi="Baskerville Old Face"/>
          <w:i/>
          <w:iCs/>
        </w:rPr>
        <w:t xml:space="preserve"> = readiness of the system to move from pilot to broader deployment.</w:t>
      </w:r>
      <w:r w:rsidRPr="00B479AE">
        <w:rPr>
          <w:rFonts w:ascii="Baskerville Old Face" w:hAnsi="Baskerville Old Face"/>
          <w:i/>
          <w:iCs/>
        </w:rPr>
        <w:br/>
      </w:r>
      <w:proofErr w:type="spellStart"/>
      <w:r w:rsidRPr="00B479AE">
        <w:rPr>
          <w:rFonts w:ascii="Baskerville Old Face" w:hAnsi="Baskerville Old Face"/>
          <w:i/>
          <w:iCs/>
        </w:rPr>
        <w:t>E_perf</w:t>
      </w:r>
      <w:proofErr w:type="spellEnd"/>
      <w:r w:rsidRPr="00B479AE">
        <w:rPr>
          <w:rFonts w:ascii="Baskerville Old Face" w:hAnsi="Baskerville Old Face"/>
          <w:i/>
          <w:iCs/>
        </w:rPr>
        <w:t xml:space="preserve"> = ecological performance demonstrated.</w:t>
      </w:r>
      <w:r w:rsidRPr="00B479AE">
        <w:rPr>
          <w:rFonts w:ascii="Baskerville Old Face" w:hAnsi="Baskerville Old Face"/>
          <w:i/>
          <w:iCs/>
        </w:rPr>
        <w:br/>
      </w:r>
      <w:proofErr w:type="spellStart"/>
      <w:r w:rsidRPr="00B479AE">
        <w:rPr>
          <w:rFonts w:ascii="Baskerville Old Face" w:hAnsi="Baskerville Old Face"/>
          <w:i/>
          <w:iCs/>
        </w:rPr>
        <w:t>MRV_conf</w:t>
      </w:r>
      <w:proofErr w:type="spellEnd"/>
      <w:r w:rsidRPr="00B479AE">
        <w:rPr>
          <w:rFonts w:ascii="Baskerville Old Face" w:hAnsi="Baskerville Old Face"/>
          <w:i/>
          <w:iCs/>
        </w:rPr>
        <w:t xml:space="preserve"> = MRV confidence sufficient for the intended stage.</w:t>
      </w:r>
      <w:r w:rsidRPr="00B479AE">
        <w:rPr>
          <w:rFonts w:ascii="Baskerville Old Face" w:hAnsi="Baskerville Old Face"/>
          <w:i/>
          <w:iCs/>
        </w:rPr>
        <w:br/>
      </w:r>
      <w:proofErr w:type="spellStart"/>
      <w:r w:rsidRPr="00B479AE">
        <w:rPr>
          <w:rFonts w:ascii="Baskerville Old Face" w:hAnsi="Baskerville Old Face"/>
          <w:i/>
          <w:iCs/>
        </w:rPr>
        <w:t>G_coh</w:t>
      </w:r>
      <w:proofErr w:type="spellEnd"/>
      <w:r w:rsidRPr="00B479AE">
        <w:rPr>
          <w:rFonts w:ascii="Baskerville Old Face" w:hAnsi="Baskerville Old Face"/>
          <w:i/>
          <w:iCs/>
        </w:rPr>
        <w:t xml:space="preserve"> = governance coherence preserved.</w:t>
      </w:r>
      <w:r w:rsidRPr="00B479AE">
        <w:rPr>
          <w:rFonts w:ascii="Baskerville Old Face" w:hAnsi="Baskerville Old Face"/>
          <w:i/>
          <w:iCs/>
        </w:rPr>
        <w:br/>
      </w:r>
      <w:proofErr w:type="spellStart"/>
      <w:r w:rsidRPr="00B479AE">
        <w:rPr>
          <w:rFonts w:ascii="Baskerville Old Face" w:hAnsi="Baskerville Old Face"/>
          <w:i/>
          <w:iCs/>
        </w:rPr>
        <w:t>O_rel</w:t>
      </w:r>
      <w:proofErr w:type="spellEnd"/>
      <w:r w:rsidRPr="00B479AE">
        <w:rPr>
          <w:rFonts w:ascii="Baskerville Old Face" w:hAnsi="Baskerville Old Face"/>
          <w:i/>
          <w:iCs/>
        </w:rPr>
        <w:t xml:space="preserve"> = operational reliability demonstrated.</w:t>
      </w:r>
      <w:r w:rsidRPr="00B479AE">
        <w:rPr>
          <w:rFonts w:ascii="Baskerville Old Face" w:hAnsi="Baskerville Old Face"/>
          <w:i/>
          <w:iCs/>
        </w:rPr>
        <w:br/>
      </w:r>
      <w:proofErr w:type="spellStart"/>
      <w:r w:rsidRPr="00B479AE">
        <w:rPr>
          <w:rFonts w:ascii="Baskerville Old Face" w:hAnsi="Baskerville Old Face"/>
          <w:i/>
          <w:iCs/>
        </w:rPr>
        <w:t>L_clarity</w:t>
      </w:r>
      <w:proofErr w:type="spellEnd"/>
      <w:r w:rsidRPr="00B479AE">
        <w:rPr>
          <w:rFonts w:ascii="Baskerville Old Face" w:hAnsi="Baskerville Old Face"/>
          <w:i/>
          <w:iCs/>
        </w:rPr>
        <w:t xml:space="preserve"> = legal clarity sufficient for the relevant stage.</w:t>
      </w:r>
      <w:r w:rsidRPr="00B479AE">
        <w:rPr>
          <w:rFonts w:ascii="Baskerville Old Face" w:hAnsi="Baskerville Old Face"/>
          <w:i/>
          <w:iCs/>
        </w:rPr>
        <w:br/>
      </w:r>
      <w:proofErr w:type="spellStart"/>
      <w:r w:rsidRPr="00B479AE">
        <w:rPr>
          <w:rFonts w:ascii="Baskerville Old Face" w:hAnsi="Baskerville Old Face"/>
          <w:i/>
          <w:iCs/>
        </w:rPr>
        <w:t>C_cap</w:t>
      </w:r>
      <w:proofErr w:type="spellEnd"/>
      <w:r w:rsidRPr="00B479AE">
        <w:rPr>
          <w:rFonts w:ascii="Baskerville Old Face" w:hAnsi="Baskerville Old Face"/>
          <w:i/>
          <w:iCs/>
        </w:rPr>
        <w:t xml:space="preserve"> = capital-readiness appropriate to the maturity of evidence.</w:t>
      </w:r>
      <w:r w:rsidRPr="00B479AE">
        <w:rPr>
          <w:rFonts w:ascii="Baskerville Old Face" w:hAnsi="Baskerville Old Face"/>
          <w:i/>
          <w:iCs/>
        </w:rPr>
        <w:br/>
      </w:r>
      <w:proofErr w:type="spellStart"/>
      <w:r w:rsidRPr="00B479AE">
        <w:rPr>
          <w:rFonts w:ascii="Baskerville Old Face" w:hAnsi="Baskerville Old Face"/>
          <w:i/>
          <w:iCs/>
        </w:rPr>
        <w:t>S_fidelity</w:t>
      </w:r>
      <w:proofErr w:type="spellEnd"/>
      <w:r w:rsidRPr="00B479AE">
        <w:rPr>
          <w:rFonts w:ascii="Baskerville Old Face" w:hAnsi="Baskerville Old Face"/>
          <w:i/>
          <w:iCs/>
        </w:rPr>
        <w:t xml:space="preserve"> = source-layer fidelity preserved.</w:t>
      </w:r>
    </w:p>
    <w:p w14:paraId="0E7249CE"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If any essential factor is materially weak, Prometheus should not scale automatically:</w:t>
      </w:r>
    </w:p>
    <w:p w14:paraId="51861404"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lastRenderedPageBreak/>
        <w:t xml:space="preserve">if </w:t>
      </w:r>
      <w:proofErr w:type="spellStart"/>
      <w:r w:rsidRPr="00B479AE">
        <w:rPr>
          <w:rFonts w:ascii="Baskerville Old Face" w:hAnsi="Baskerville Old Face"/>
          <w:i/>
          <w:iCs/>
        </w:rPr>
        <w:t>Scale_readiness</w:t>
      </w:r>
      <w:proofErr w:type="spellEnd"/>
      <w:r w:rsidRPr="00B479AE">
        <w:rPr>
          <w:rFonts w:ascii="Baskerville Old Face" w:hAnsi="Baskerville Old Face"/>
          <w:i/>
          <w:iCs/>
        </w:rPr>
        <w:t xml:space="preserve"> = 0, then scale must pause, narrow, redesign, or remain pilot-bound</w:t>
      </w:r>
    </w:p>
    <w:p w14:paraId="1FBAAF6D"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This does not mean that Prometheus should avoid ambition.</w:t>
      </w:r>
    </w:p>
    <w:p w14:paraId="57E8B77F"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It means ambition must remain sequenced.</w:t>
      </w:r>
    </w:p>
    <w:p w14:paraId="15D4673E"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 system that scales faster than its evidence becomes speculative.</w:t>
      </w:r>
    </w:p>
    <w:p w14:paraId="108982C7"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 system that scales faster than its governance becomes unstable.</w:t>
      </w:r>
    </w:p>
    <w:p w14:paraId="066ACA30"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 xml:space="preserve">A system that scales faster than its operations </w:t>
      </w:r>
      <w:proofErr w:type="gramStart"/>
      <w:r w:rsidRPr="00B479AE">
        <w:rPr>
          <w:rFonts w:ascii="Baskerville Old Face" w:hAnsi="Baskerville Old Face"/>
          <w:i/>
          <w:iCs/>
        </w:rPr>
        <w:t>becomes</w:t>
      </w:r>
      <w:proofErr w:type="gramEnd"/>
      <w:r w:rsidRPr="00B479AE">
        <w:rPr>
          <w:rFonts w:ascii="Baskerville Old Face" w:hAnsi="Baskerville Old Face"/>
          <w:i/>
          <w:iCs/>
        </w:rPr>
        <w:t xml:space="preserve"> fragile.</w:t>
      </w:r>
    </w:p>
    <w:p w14:paraId="49DB484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 system that scales faster than its legal clarity becomes risky.</w:t>
      </w:r>
    </w:p>
    <w:p w14:paraId="7C700E59"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 system that scales faster than its source-layer fidelity becomes vulnerable to semantic capture.</w:t>
      </w:r>
    </w:p>
    <w:p w14:paraId="71E36EA1"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correct scaling pathway is:</w:t>
      </w:r>
    </w:p>
    <w:p w14:paraId="3D1811E5" w14:textId="01096BB8"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 xml:space="preserve">pilot coherence </w:t>
      </w:r>
      <w:r w:rsidRPr="00B479AE">
        <w:rPr>
          <w:rFonts w:ascii="Times New Roman" w:hAnsi="Times New Roman" w:cs="Times New Roman"/>
          <w:i/>
          <w:iCs/>
        </w:rPr>
        <w:t>→</w:t>
      </w:r>
      <w:r w:rsidRPr="00B479AE">
        <w:rPr>
          <w:rFonts w:ascii="Baskerville Old Face" w:hAnsi="Baskerville Old Face"/>
          <w:i/>
          <w:iCs/>
        </w:rPr>
        <w:t xml:space="preserve"> validated unit </w:t>
      </w:r>
      <w:r w:rsidRPr="00B479AE">
        <w:rPr>
          <w:rFonts w:ascii="Times New Roman" w:hAnsi="Times New Roman" w:cs="Times New Roman"/>
          <w:i/>
          <w:iCs/>
        </w:rPr>
        <w:t>→</w:t>
      </w:r>
      <w:r w:rsidRPr="00B479AE">
        <w:rPr>
          <w:rFonts w:ascii="Baskerville Old Face" w:hAnsi="Baskerville Old Face"/>
          <w:i/>
          <w:iCs/>
        </w:rPr>
        <w:t xml:space="preserve"> local cluster </w:t>
      </w:r>
      <w:r w:rsidRPr="00B479AE">
        <w:rPr>
          <w:rFonts w:ascii="Times New Roman" w:hAnsi="Times New Roman" w:cs="Times New Roman"/>
          <w:i/>
          <w:iCs/>
        </w:rPr>
        <w:t>→</w:t>
      </w:r>
      <w:r w:rsidRPr="00B479AE">
        <w:rPr>
          <w:rFonts w:ascii="Baskerville Old Face" w:hAnsi="Baskerville Old Face"/>
          <w:i/>
          <w:iCs/>
        </w:rPr>
        <w:t xml:space="preserve"> bioregional network </w:t>
      </w:r>
      <w:r w:rsidRPr="00B479AE">
        <w:rPr>
          <w:rFonts w:ascii="Times New Roman" w:hAnsi="Times New Roman" w:cs="Times New Roman"/>
          <w:i/>
          <w:iCs/>
        </w:rPr>
        <w:t>→</w:t>
      </w:r>
      <w:r w:rsidRPr="00B479AE">
        <w:rPr>
          <w:rFonts w:ascii="Baskerville Old Face" w:hAnsi="Baskerville Old Face"/>
          <w:i/>
          <w:iCs/>
        </w:rPr>
        <w:t xml:space="preserve"> RAP readiness </w:t>
      </w:r>
      <w:r w:rsidRPr="00B479AE">
        <w:rPr>
          <w:rFonts w:ascii="Times New Roman" w:hAnsi="Times New Roman" w:cs="Times New Roman"/>
          <w:i/>
          <w:iCs/>
        </w:rPr>
        <w:t>→</w:t>
      </w:r>
      <w:r w:rsidRPr="00B479AE">
        <w:rPr>
          <w:rFonts w:ascii="Baskerville Old Face" w:hAnsi="Baskerville Old Face"/>
          <w:i/>
          <w:iCs/>
        </w:rPr>
        <w:t xml:space="preserve"> institutional structuring</w:t>
      </w:r>
      <w:r w:rsidR="00175E64">
        <w:rPr>
          <w:rFonts w:ascii="Baskerville Old Face" w:hAnsi="Baskerville Old Face"/>
          <w:i/>
          <w:iCs/>
        </w:rPr>
        <w:t xml:space="preserve"> </w:t>
      </w:r>
    </w:p>
    <w:p w14:paraId="5F735E5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Each stage must preserve the relationship among:</w:t>
      </w:r>
    </w:p>
    <w:p w14:paraId="67F671B6"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life;</w:t>
      </w:r>
      <w:r w:rsidRPr="00B479AE">
        <w:rPr>
          <w:rFonts w:ascii="Baskerville Old Face" w:hAnsi="Baskerville Old Face"/>
          <w:i/>
          <w:iCs/>
        </w:rPr>
        <w:br/>
        <w:t>evidence;</w:t>
      </w:r>
      <w:r w:rsidRPr="00B479AE">
        <w:rPr>
          <w:rFonts w:ascii="Baskerville Old Face" w:hAnsi="Baskerville Old Face"/>
          <w:i/>
          <w:iCs/>
        </w:rPr>
        <w:br/>
        <w:t>governance;</w:t>
      </w:r>
      <w:r w:rsidRPr="00B479AE">
        <w:rPr>
          <w:rFonts w:ascii="Baskerville Old Face" w:hAnsi="Baskerville Old Face"/>
          <w:i/>
          <w:iCs/>
        </w:rPr>
        <w:br/>
        <w:t>law;</w:t>
      </w:r>
      <w:r w:rsidRPr="00B479AE">
        <w:rPr>
          <w:rFonts w:ascii="Baskerville Old Face" w:hAnsi="Baskerville Old Face"/>
          <w:i/>
          <w:iCs/>
        </w:rPr>
        <w:br/>
        <w:t>capital;</w:t>
      </w:r>
      <w:r w:rsidRPr="00B479AE">
        <w:rPr>
          <w:rFonts w:ascii="Baskerville Old Face" w:hAnsi="Baskerville Old Face"/>
          <w:i/>
          <w:iCs/>
        </w:rPr>
        <w:br/>
        <w:t>continuity.</w:t>
      </w:r>
    </w:p>
    <w:p w14:paraId="747551F8"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pilot is therefore not a small version of the final system.</w:t>
      </w:r>
    </w:p>
    <w:p w14:paraId="53D684CA"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It is the integrity test of the final system.</w:t>
      </w:r>
    </w:p>
    <w:p w14:paraId="67B11039"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 pilot should demonstrate:</w:t>
      </w:r>
    </w:p>
    <w:p w14:paraId="0EC8488E"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that ecological intervention can be executed;</w:t>
      </w:r>
      <w:r w:rsidRPr="00B479AE">
        <w:rPr>
          <w:rFonts w:ascii="Baskerville Old Face" w:hAnsi="Baskerville Old Face"/>
          <w:i/>
          <w:iCs/>
        </w:rPr>
        <w:br/>
        <w:t>that baseline conditions can be recorded;</w:t>
      </w:r>
      <w:r w:rsidRPr="00B479AE">
        <w:rPr>
          <w:rFonts w:ascii="Baskerville Old Face" w:hAnsi="Baskerville Old Face"/>
          <w:i/>
          <w:iCs/>
        </w:rPr>
        <w:br/>
        <w:t>that evidence can be collected;</w:t>
      </w:r>
      <w:r w:rsidRPr="00B479AE">
        <w:rPr>
          <w:rFonts w:ascii="Baskerville Old Face" w:hAnsi="Baskerville Old Face"/>
          <w:i/>
          <w:iCs/>
        </w:rPr>
        <w:br/>
        <w:t>that MRV can classify evidence;</w:t>
      </w:r>
      <w:r w:rsidRPr="00B479AE">
        <w:rPr>
          <w:rFonts w:ascii="Baskerville Old Face" w:hAnsi="Baskerville Old Face"/>
          <w:i/>
          <w:iCs/>
        </w:rPr>
        <w:br/>
      </w:r>
      <w:r w:rsidRPr="00B479AE">
        <w:rPr>
          <w:rFonts w:ascii="Baskerville Old Face" w:hAnsi="Baskerville Old Face"/>
          <w:i/>
          <w:iCs/>
        </w:rPr>
        <w:lastRenderedPageBreak/>
        <w:t>that governance can review decisions;</w:t>
      </w:r>
      <w:r w:rsidRPr="00B479AE">
        <w:rPr>
          <w:rFonts w:ascii="Baskerville Old Face" w:hAnsi="Baskerville Old Face"/>
          <w:i/>
          <w:iCs/>
        </w:rPr>
        <w:br/>
        <w:t>that operational records can remain traceable;</w:t>
      </w:r>
      <w:r w:rsidRPr="00B479AE">
        <w:rPr>
          <w:rFonts w:ascii="Baskerville Old Face" w:hAnsi="Baskerville Old Face"/>
          <w:i/>
          <w:iCs/>
        </w:rPr>
        <w:br/>
        <w:t>that PRU logic can be applied conservatively;</w:t>
      </w:r>
      <w:r w:rsidRPr="00B479AE">
        <w:rPr>
          <w:rFonts w:ascii="Baskerville Old Face" w:hAnsi="Baskerville Old Face"/>
          <w:i/>
          <w:iCs/>
        </w:rPr>
        <w:br/>
        <w:t>that risks can be disclosed;</w:t>
      </w:r>
      <w:r w:rsidRPr="00B479AE">
        <w:rPr>
          <w:rFonts w:ascii="Baskerville Old Face" w:hAnsi="Baskerville Old Face"/>
          <w:i/>
          <w:iCs/>
        </w:rPr>
        <w:br/>
        <w:t>that legal boundaries can be preserved;</w:t>
      </w:r>
      <w:r w:rsidRPr="00B479AE">
        <w:rPr>
          <w:rFonts w:ascii="Baskerville Old Face" w:hAnsi="Baskerville Old Face"/>
          <w:i/>
          <w:iCs/>
        </w:rPr>
        <w:br/>
        <w:t>that capital-facing language can remain disciplined;</w:t>
      </w:r>
      <w:r w:rsidRPr="00B479AE">
        <w:rPr>
          <w:rFonts w:ascii="Baskerville Old Face" w:hAnsi="Baskerville Old Face"/>
          <w:i/>
          <w:iCs/>
        </w:rPr>
        <w:br/>
        <w:t>that source-layer fidelity can survive real implementation.</w:t>
      </w:r>
    </w:p>
    <w:p w14:paraId="34942E01"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Only then does scale become legitimate.</w:t>
      </w:r>
    </w:p>
    <w:p w14:paraId="33B59B9B"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scaling equation may also be summarized as:</w:t>
      </w:r>
    </w:p>
    <w:p w14:paraId="591F4879"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Scale = Replication × Coherence × Evidence × Adaptation</w:t>
      </w:r>
    </w:p>
    <w:p w14:paraId="202C2885"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Replication alone is not scale.</w:t>
      </w:r>
    </w:p>
    <w:p w14:paraId="591B32A2"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Copying an OHE design without adapting it to soil, water, climate, species, community, stewardship capacity, legal context, and MRV conditions creates fragility.</w:t>
      </w:r>
    </w:p>
    <w:p w14:paraId="03725329"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Coherence means that each new deployment preserves the logic of Prometheus while adapting to place.</w:t>
      </w:r>
    </w:p>
    <w:p w14:paraId="53ED0B5C"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Evidence means that expansion remains tied to measurable performance.</w:t>
      </w:r>
    </w:p>
    <w:p w14:paraId="47D99C7E"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Adaptation means that the system learns from each deployment instead of forcing uniformity.</w:t>
      </w:r>
    </w:p>
    <w:p w14:paraId="02555FF9"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operational rule is:</w:t>
      </w:r>
    </w:p>
    <w:p w14:paraId="204F90E7"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replicate patterns;</w:t>
      </w:r>
      <w:r w:rsidRPr="00B479AE">
        <w:rPr>
          <w:rFonts w:ascii="Baskerville Old Face" w:hAnsi="Baskerville Old Face"/>
          <w:i/>
          <w:iCs/>
        </w:rPr>
        <w:br/>
        <w:t>adapt to place;</w:t>
      </w:r>
      <w:r w:rsidRPr="00B479AE">
        <w:rPr>
          <w:rFonts w:ascii="Baskerville Old Face" w:hAnsi="Baskerville Old Face"/>
          <w:i/>
          <w:iCs/>
        </w:rPr>
        <w:br/>
        <w:t>verify performance;</w:t>
      </w:r>
      <w:r w:rsidRPr="00B479AE">
        <w:rPr>
          <w:rFonts w:ascii="Baskerville Old Face" w:hAnsi="Baskerville Old Face"/>
          <w:i/>
          <w:iCs/>
        </w:rPr>
        <w:br/>
        <w:t>preserve the source layer.</w:t>
      </w:r>
    </w:p>
    <w:p w14:paraId="27769F4D"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This is the difference between regenerative scaling and industrial cloning.</w:t>
      </w:r>
    </w:p>
    <w:p w14:paraId="0CCA0BFE"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Prometheus does not scale by making every site identical.</w:t>
      </w:r>
    </w:p>
    <w:p w14:paraId="3E3AB989"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It scales by making diverse sites interoperable through shared evidence, governance, methodology, and capital discipline.</w:t>
      </w:r>
    </w:p>
    <w:p w14:paraId="6DEC8154"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lastRenderedPageBreak/>
        <w:t>A mature scaling process should therefore ask:</w:t>
      </w:r>
    </w:p>
    <w:p w14:paraId="252A551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Has the pilot produced measurable ecological improvement?</w:t>
      </w:r>
    </w:p>
    <w:p w14:paraId="640E808F"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Is the MRV evidence strong enough?</w:t>
      </w:r>
    </w:p>
    <w:p w14:paraId="1B66D2CE"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the indicators confidence-scored?</w:t>
      </w:r>
    </w:p>
    <w:p w14:paraId="52B1EF0B"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the claims admissible for the intended use?</w:t>
      </w:r>
    </w:p>
    <w:p w14:paraId="0F2C5A68"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governance processes functioning?</w:t>
      </w:r>
    </w:p>
    <w:p w14:paraId="3395005A"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operational records complete?</w:t>
      </w:r>
    </w:p>
    <w:p w14:paraId="763B5BDA"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legal boundaries clear?</w:t>
      </w:r>
    </w:p>
    <w:p w14:paraId="5E3FAE42"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risks disclosed?</w:t>
      </w:r>
    </w:p>
    <w:p w14:paraId="4C0D01C0"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Are capital uses appropriate to maturity?</w:t>
      </w:r>
    </w:p>
    <w:p w14:paraId="2A09128B"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Is the source layer preserved?</w:t>
      </w:r>
    </w:p>
    <w:p w14:paraId="391938A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Is local context respected?</w:t>
      </w:r>
    </w:p>
    <w:p w14:paraId="179E8C66"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Is the next stage reversible or controllable if assumptions fail?</w:t>
      </w:r>
    </w:p>
    <w:p w14:paraId="387CEDF6"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This creates a disciplined scale logic.</w:t>
      </w:r>
    </w:p>
    <w:p w14:paraId="2BC1C618"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system advances when coherence increases.</w:t>
      </w:r>
    </w:p>
    <w:p w14:paraId="43D9446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It pauses when coherence weakens.</w:t>
      </w:r>
    </w:p>
    <w:p w14:paraId="01215040"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It redesigns when evidence contradicts assumptions.</w:t>
      </w:r>
    </w:p>
    <w:p w14:paraId="76106942"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It refuses scale when scale would corrupt the source.</w:t>
      </w:r>
    </w:p>
    <w:p w14:paraId="6EA30A27"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pilot-to-scale principle is therefore:</w:t>
      </w:r>
    </w:p>
    <w:p w14:paraId="7FC9653D"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growth is legitimate only when it increases coherence rather than merely increasing footprint.</w:t>
      </w:r>
    </w:p>
    <w:p w14:paraId="1F43F744" w14:textId="77777777" w:rsidR="00175E64" w:rsidRDefault="00175E64" w:rsidP="00BD4B5F">
      <w:pPr>
        <w:spacing w:line="360" w:lineRule="auto"/>
        <w:rPr>
          <w:rFonts w:ascii="Baskerville Old Face" w:hAnsi="Baskerville Old Face"/>
          <w:b/>
          <w:bCs/>
          <w:i/>
          <w:iCs/>
        </w:rPr>
      </w:pPr>
    </w:p>
    <w:p w14:paraId="5BB230D9" w14:textId="77777777" w:rsidR="00175E64" w:rsidRDefault="00175E64" w:rsidP="00BD4B5F">
      <w:pPr>
        <w:spacing w:line="360" w:lineRule="auto"/>
        <w:rPr>
          <w:rFonts w:ascii="Baskerville Old Face" w:hAnsi="Baskerville Old Face"/>
          <w:b/>
          <w:bCs/>
          <w:i/>
          <w:iCs/>
        </w:rPr>
      </w:pPr>
    </w:p>
    <w:p w14:paraId="18B0FF3F" w14:textId="0D71A421" w:rsidR="00BD4B5F" w:rsidRPr="00B479AE" w:rsidRDefault="00BD4B5F" w:rsidP="00BD4B5F">
      <w:pPr>
        <w:spacing w:line="360" w:lineRule="auto"/>
        <w:rPr>
          <w:rFonts w:ascii="Baskerville Old Face" w:hAnsi="Baskerville Old Face"/>
          <w:b/>
          <w:bCs/>
          <w:i/>
          <w:iCs/>
        </w:rPr>
      </w:pPr>
      <w:r w:rsidRPr="00B479AE">
        <w:rPr>
          <w:rFonts w:ascii="Baskerville Old Face" w:hAnsi="Baskerville Old Face"/>
          <w:b/>
          <w:bCs/>
          <w:i/>
          <w:iCs/>
        </w:rPr>
        <w:lastRenderedPageBreak/>
        <w:t>Formula boundary</w:t>
      </w:r>
    </w:p>
    <w:p w14:paraId="593CC81C" w14:textId="77777777" w:rsidR="00BD4B5F" w:rsidRPr="00B479AE" w:rsidRDefault="00BD4B5F" w:rsidP="00BD4B5F">
      <w:pPr>
        <w:spacing w:line="360" w:lineRule="auto"/>
        <w:rPr>
          <w:rFonts w:ascii="Baskerville Old Face" w:hAnsi="Baskerville Old Face"/>
          <w:i/>
          <w:iCs/>
        </w:rPr>
      </w:pPr>
      <w:proofErr w:type="spellStart"/>
      <w:r w:rsidRPr="00B479AE">
        <w:rPr>
          <w:rFonts w:ascii="Baskerville Old Face" w:hAnsi="Baskerville Old Face"/>
          <w:i/>
          <w:iCs/>
        </w:rPr>
        <w:t>Scale_readiness</w:t>
      </w:r>
      <w:proofErr w:type="spellEnd"/>
      <w:r w:rsidRPr="00B479AE">
        <w:rPr>
          <w:rFonts w:ascii="Baskerville Old Face" w:hAnsi="Baskerville Old Face"/>
          <w:i/>
          <w:iCs/>
        </w:rPr>
        <w:t xml:space="preserve"> and Scale = Replication × Coherence × Evidence × Adaptation are methodological scaling functions.</w:t>
      </w:r>
    </w:p>
    <w:p w14:paraId="0BD5CB2B"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They do not create automatic approval, funding eligibility, RAP inclusion, investor rights, legal enforceability, token issuance, or institutional endorsement.</w:t>
      </w:r>
    </w:p>
    <w:p w14:paraId="23DFE0CD"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They define the Prometheus internal standard for evaluating whether a pilot, unit, cluster, bioregional network, or portfolio is mature enough to advance.</w:t>
      </w:r>
    </w:p>
    <w:p w14:paraId="5EBFEA71"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Formal consequences require the relevant operational, MRV, governance, legal, capital-readiness, or source-layer review pathway.</w:t>
      </w:r>
    </w:p>
    <w:p w14:paraId="0F3D6F2C" w14:textId="77777777" w:rsidR="00BD4B5F" w:rsidRPr="00B479AE" w:rsidRDefault="00BD4B5F" w:rsidP="00BD4B5F">
      <w:pPr>
        <w:spacing w:line="360" w:lineRule="auto"/>
        <w:rPr>
          <w:rFonts w:ascii="Baskerville Old Face" w:hAnsi="Baskerville Old Face"/>
          <w:b/>
          <w:bCs/>
          <w:i/>
          <w:iCs/>
        </w:rPr>
      </w:pPr>
      <w:r w:rsidRPr="00B479AE">
        <w:rPr>
          <w:rFonts w:ascii="Baskerville Old Face" w:hAnsi="Baskerville Old Face"/>
          <w:b/>
          <w:bCs/>
          <w:i/>
          <w:iCs/>
        </w:rPr>
        <w:t>Operational rule</w:t>
      </w:r>
    </w:p>
    <w:p w14:paraId="42DE91DF"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The operational rule is:</w:t>
      </w:r>
    </w:p>
    <w:p w14:paraId="6F8EFC43"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scale follows verified coherence.</w:t>
      </w:r>
    </w:p>
    <w:p w14:paraId="5B7097E4" w14:textId="77777777" w:rsidR="00BD4B5F" w:rsidRPr="00B479AE" w:rsidRDefault="00BD4B5F" w:rsidP="00BD4B5F">
      <w:pPr>
        <w:spacing w:line="360" w:lineRule="auto"/>
        <w:rPr>
          <w:rFonts w:ascii="Baskerville Old Face" w:hAnsi="Baskerville Old Face"/>
          <w:i/>
          <w:iCs/>
        </w:rPr>
      </w:pPr>
      <w:r w:rsidRPr="00B479AE">
        <w:rPr>
          <w:rFonts w:ascii="Baskerville Old Face" w:hAnsi="Baskerville Old Face"/>
          <w:i/>
          <w:iCs/>
        </w:rPr>
        <w:t>Prometheus should grow like a living system: rooted, adaptive, evidence-sensitive, context-aware, and capable of maintaining coherence as complexity increases.</w:t>
      </w:r>
    </w:p>
    <w:p w14:paraId="54310C23" w14:textId="77777777" w:rsidR="007F7B84" w:rsidRPr="00B479AE" w:rsidRDefault="007F7B84" w:rsidP="007F7B84">
      <w:pPr>
        <w:spacing w:line="360" w:lineRule="auto"/>
        <w:rPr>
          <w:rFonts w:ascii="Baskerville Old Face" w:hAnsi="Baskerville Old Face"/>
          <w:b/>
          <w:bCs/>
          <w:i/>
          <w:iCs/>
        </w:rPr>
      </w:pPr>
      <w:r w:rsidRPr="00B479AE">
        <w:rPr>
          <w:rFonts w:ascii="Baskerville Old Face" w:hAnsi="Baskerville Old Face"/>
          <w:b/>
          <w:bCs/>
          <w:i/>
          <w:iCs/>
        </w:rPr>
        <w:t>Operational rule</w:t>
      </w:r>
    </w:p>
    <w:p w14:paraId="78AB8675"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The operational rule is:</w:t>
      </w:r>
    </w:p>
    <w:p w14:paraId="67523E59"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no stage advances beyond its evidence maturity.</w:t>
      </w:r>
    </w:p>
    <w:p w14:paraId="592EC24F" w14:textId="77777777" w:rsidR="007F7B84" w:rsidRPr="00B479AE" w:rsidRDefault="007F7B84" w:rsidP="007F7B84">
      <w:pPr>
        <w:spacing w:line="360" w:lineRule="auto"/>
        <w:rPr>
          <w:rFonts w:ascii="Baskerville Old Face" w:hAnsi="Baskerville Old Face"/>
          <w:i/>
          <w:iCs/>
        </w:rPr>
      </w:pPr>
      <w:r w:rsidRPr="00B479AE">
        <w:rPr>
          <w:rFonts w:ascii="Baskerville Old Face" w:hAnsi="Baskerville Old Face"/>
          <w:i/>
          <w:iCs/>
        </w:rPr>
        <w:t>Prometheus scales only when readiness, evidence, governance, legal clarity, operational capacity, and source-layer fidelity move together.</w:t>
      </w:r>
    </w:p>
    <w:p w14:paraId="2D9ED9F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Current pilot scope</w:t>
      </w:r>
    </w:p>
    <w:p w14:paraId="421CD59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current Prometheus pilot should remain bounded.</w:t>
      </w:r>
    </w:p>
    <w:p w14:paraId="6739C05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bounded pilot protects the project from semantic drift, overclaiming, and premature financialization.</w:t>
      </w:r>
    </w:p>
    <w:p w14:paraId="2D93B67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current pilot may include:</w:t>
      </w:r>
    </w:p>
    <w:p w14:paraId="16CB172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conceptual and constitutional refinement;</w:t>
      </w:r>
    </w:p>
    <w:p w14:paraId="0843B73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OHE design;</w:t>
      </w:r>
    </w:p>
    <w:p w14:paraId="28D88B7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MRV architecture;</w:t>
      </w:r>
    </w:p>
    <w:p w14:paraId="166BA0A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backend semantic alignment;</w:t>
      </w:r>
    </w:p>
    <w:p w14:paraId="39FE547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logic;</w:t>
      </w:r>
    </w:p>
    <w:p w14:paraId="6CFB75D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structures;</w:t>
      </w:r>
    </w:p>
    <w:p w14:paraId="05E437F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operational runbooks;</w:t>
      </w:r>
    </w:p>
    <w:p w14:paraId="1F447CAA" w14:textId="412331FE"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 </w:t>
      </w:r>
      <w:r w:rsidR="00C7027D" w:rsidRPr="00B479AE">
        <w:rPr>
          <w:rFonts w:ascii="Baskerville Old Face" w:hAnsi="Baskerville Old Face"/>
          <w:i/>
          <w:iCs/>
        </w:rPr>
        <w:t>PRU value-analysis and capital-readiness logic;</w:t>
      </w:r>
    </w:p>
    <w:p w14:paraId="216F4F7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dashboard prototypes;</w:t>
      </w:r>
    </w:p>
    <w:p w14:paraId="46493E0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evidence-chain design;</w:t>
      </w:r>
    </w:p>
    <w:p w14:paraId="02DEA28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PRU methodology testing;</w:t>
      </w:r>
    </w:p>
    <w:p w14:paraId="320D45FF" w14:textId="4E4F279C"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pilot data room formation.</w:t>
      </w:r>
      <w:r w:rsidR="00DF35AF" w:rsidRPr="00B479AE">
        <w:rPr>
          <w:rFonts w:ascii="Baskerville Old Face" w:hAnsi="Baskerville Old Face"/>
          <w:i/>
          <w:iCs/>
        </w:rPr>
        <w:t xml:space="preserve"> </w:t>
      </w:r>
    </w:p>
    <w:p w14:paraId="5F17EA44" w14:textId="77777777" w:rsidR="00DF35AF" w:rsidRDefault="00DF35AF" w:rsidP="002C57D8">
      <w:pPr>
        <w:spacing w:line="360" w:lineRule="auto"/>
        <w:rPr>
          <w:rFonts w:ascii="Baskerville Old Face" w:hAnsi="Baskerville Old Face"/>
          <w:i/>
          <w:iCs/>
        </w:rPr>
      </w:pPr>
    </w:p>
    <w:p w14:paraId="1257F4E2" w14:textId="77777777" w:rsidR="00175E64" w:rsidRDefault="00175E64" w:rsidP="002C57D8">
      <w:pPr>
        <w:spacing w:line="360" w:lineRule="auto"/>
        <w:rPr>
          <w:rFonts w:ascii="Baskerville Old Face" w:hAnsi="Baskerville Old Face"/>
          <w:i/>
          <w:iCs/>
        </w:rPr>
      </w:pPr>
    </w:p>
    <w:p w14:paraId="4A135A6A" w14:textId="77777777" w:rsidR="00175E64" w:rsidRDefault="00175E64" w:rsidP="002C57D8">
      <w:pPr>
        <w:spacing w:line="360" w:lineRule="auto"/>
        <w:rPr>
          <w:rFonts w:ascii="Baskerville Old Face" w:hAnsi="Baskerville Old Face"/>
          <w:i/>
          <w:iCs/>
        </w:rPr>
      </w:pPr>
    </w:p>
    <w:p w14:paraId="536C031A" w14:textId="77777777" w:rsidR="00175E64" w:rsidRDefault="00175E64" w:rsidP="002C57D8">
      <w:pPr>
        <w:spacing w:line="360" w:lineRule="auto"/>
        <w:rPr>
          <w:rFonts w:ascii="Baskerville Old Face" w:hAnsi="Baskerville Old Face"/>
          <w:i/>
          <w:iCs/>
        </w:rPr>
      </w:pPr>
    </w:p>
    <w:p w14:paraId="6B411583" w14:textId="77777777" w:rsidR="00175E64" w:rsidRDefault="00175E64" w:rsidP="002C57D8">
      <w:pPr>
        <w:spacing w:line="360" w:lineRule="auto"/>
        <w:rPr>
          <w:rFonts w:ascii="Baskerville Old Face" w:hAnsi="Baskerville Old Face"/>
          <w:i/>
          <w:iCs/>
        </w:rPr>
      </w:pPr>
    </w:p>
    <w:p w14:paraId="38DFD604" w14:textId="77777777" w:rsidR="00175E64" w:rsidRDefault="00175E64" w:rsidP="002C57D8">
      <w:pPr>
        <w:spacing w:line="360" w:lineRule="auto"/>
        <w:rPr>
          <w:rFonts w:ascii="Baskerville Old Face" w:hAnsi="Baskerville Old Face"/>
          <w:i/>
          <w:iCs/>
        </w:rPr>
      </w:pPr>
    </w:p>
    <w:p w14:paraId="7E099B99" w14:textId="77777777" w:rsidR="00175E64" w:rsidRDefault="00175E64" w:rsidP="002C57D8">
      <w:pPr>
        <w:spacing w:line="360" w:lineRule="auto"/>
        <w:rPr>
          <w:rFonts w:ascii="Baskerville Old Face" w:hAnsi="Baskerville Old Face"/>
          <w:i/>
          <w:iCs/>
        </w:rPr>
      </w:pPr>
    </w:p>
    <w:p w14:paraId="0025E856" w14:textId="77777777" w:rsidR="00175E64" w:rsidRPr="00B479AE" w:rsidRDefault="00175E64" w:rsidP="002C57D8">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4132"/>
        <w:gridCol w:w="4047"/>
      </w:tblGrid>
      <w:tr w:rsidR="00132CCC" w:rsidRPr="0057166A" w14:paraId="03FBDD22" w14:textId="77777777" w:rsidTr="00132CCC">
        <w:trPr>
          <w:tblHeader/>
          <w:tblCellSpacing w:w="15" w:type="dxa"/>
        </w:trPr>
        <w:tc>
          <w:tcPr>
            <w:tcW w:w="0" w:type="auto"/>
            <w:vAlign w:val="center"/>
            <w:hideMark/>
          </w:tcPr>
          <w:p w14:paraId="170C89C1" w14:textId="77777777" w:rsidR="00132CCC" w:rsidRPr="0057166A" w:rsidRDefault="00132CCC" w:rsidP="00132CCC">
            <w:pPr>
              <w:spacing w:line="360" w:lineRule="auto"/>
              <w:rPr>
                <w:rFonts w:ascii="Baskerville Old Face" w:hAnsi="Baskerville Old Face"/>
                <w:b/>
                <w:bCs/>
                <w:i/>
                <w:iCs/>
                <w:sz w:val="18"/>
                <w:szCs w:val="18"/>
              </w:rPr>
            </w:pPr>
            <w:r w:rsidRPr="0057166A">
              <w:rPr>
                <w:rFonts w:ascii="Baskerville Old Face" w:hAnsi="Baskerville Old Face"/>
                <w:b/>
                <w:bCs/>
                <w:i/>
                <w:iCs/>
                <w:sz w:val="18"/>
                <w:szCs w:val="18"/>
              </w:rPr>
              <w:lastRenderedPageBreak/>
              <w:t>Layer</w:t>
            </w:r>
          </w:p>
        </w:tc>
        <w:tc>
          <w:tcPr>
            <w:tcW w:w="0" w:type="auto"/>
            <w:vAlign w:val="center"/>
            <w:hideMark/>
          </w:tcPr>
          <w:p w14:paraId="570D78AB" w14:textId="77777777" w:rsidR="00132CCC" w:rsidRPr="0057166A" w:rsidRDefault="00132CCC" w:rsidP="00132CCC">
            <w:pPr>
              <w:spacing w:line="360" w:lineRule="auto"/>
              <w:rPr>
                <w:rFonts w:ascii="Baskerville Old Face" w:hAnsi="Baskerville Old Face"/>
                <w:b/>
                <w:bCs/>
                <w:i/>
                <w:iCs/>
                <w:sz w:val="18"/>
                <w:szCs w:val="18"/>
              </w:rPr>
            </w:pPr>
            <w:r w:rsidRPr="0057166A">
              <w:rPr>
                <w:rFonts w:ascii="Baskerville Old Face" w:hAnsi="Baskerville Old Face"/>
                <w:b/>
                <w:bCs/>
                <w:i/>
                <w:iCs/>
                <w:sz w:val="18"/>
                <w:szCs w:val="18"/>
              </w:rPr>
              <w:t>Canonical function</w:t>
            </w:r>
          </w:p>
        </w:tc>
        <w:tc>
          <w:tcPr>
            <w:tcW w:w="0" w:type="auto"/>
            <w:vAlign w:val="center"/>
            <w:hideMark/>
          </w:tcPr>
          <w:p w14:paraId="3ADB23DE" w14:textId="77777777" w:rsidR="00132CCC" w:rsidRPr="0057166A" w:rsidRDefault="00132CCC" w:rsidP="00132CCC">
            <w:pPr>
              <w:spacing w:line="360" w:lineRule="auto"/>
              <w:rPr>
                <w:rFonts w:ascii="Baskerville Old Face" w:hAnsi="Baskerville Old Face"/>
                <w:b/>
                <w:bCs/>
                <w:i/>
                <w:iCs/>
                <w:sz w:val="18"/>
                <w:szCs w:val="18"/>
              </w:rPr>
            </w:pPr>
            <w:r w:rsidRPr="0057166A">
              <w:rPr>
                <w:rFonts w:ascii="Baskerville Old Face" w:hAnsi="Baskerville Old Face"/>
                <w:b/>
                <w:bCs/>
                <w:i/>
                <w:iCs/>
                <w:sz w:val="18"/>
                <w:szCs w:val="18"/>
              </w:rPr>
              <w:t>Role in the pilot</w:t>
            </w:r>
          </w:p>
        </w:tc>
      </w:tr>
      <w:tr w:rsidR="00132CCC" w:rsidRPr="0057166A" w14:paraId="7E0B9441" w14:textId="77777777" w:rsidTr="00132CCC">
        <w:trPr>
          <w:tblCellSpacing w:w="15" w:type="dxa"/>
        </w:trPr>
        <w:tc>
          <w:tcPr>
            <w:tcW w:w="0" w:type="auto"/>
            <w:vAlign w:val="center"/>
            <w:hideMark/>
          </w:tcPr>
          <w:p w14:paraId="705F20E3"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Constitutional layer</w:t>
            </w:r>
          </w:p>
        </w:tc>
        <w:tc>
          <w:tcPr>
            <w:tcW w:w="0" w:type="auto"/>
            <w:vAlign w:val="center"/>
            <w:hideMark/>
          </w:tcPr>
          <w:p w14:paraId="0C7DA5DF" w14:textId="1FB42721" w:rsidR="0068305C" w:rsidRPr="0057166A" w:rsidRDefault="0068305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White Paper, Syntropic Constitutional Article Registry, incorporated constitutional documents, Access Covenant, and canonical release records</w:t>
            </w:r>
          </w:p>
        </w:tc>
        <w:tc>
          <w:tcPr>
            <w:tcW w:w="0" w:type="auto"/>
            <w:vAlign w:val="center"/>
            <w:hideMark/>
          </w:tcPr>
          <w:p w14:paraId="4B5103CC" w14:textId="132A85C8" w:rsidR="0087733D" w:rsidRPr="0057166A" w:rsidRDefault="0087733D"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Normative and source-layer foundation for pilot governance, admissibility, protected-pathway interpretation, and implementation coherence</w:t>
            </w:r>
          </w:p>
        </w:tc>
      </w:tr>
      <w:tr w:rsidR="00132CCC" w:rsidRPr="0057166A" w14:paraId="32B2BC37" w14:textId="77777777" w:rsidTr="00132CCC">
        <w:trPr>
          <w:tblCellSpacing w:w="15" w:type="dxa"/>
        </w:trPr>
        <w:tc>
          <w:tcPr>
            <w:tcW w:w="0" w:type="auto"/>
            <w:vAlign w:val="center"/>
            <w:hideMark/>
          </w:tcPr>
          <w:p w14:paraId="1D437814"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Implementation contract</w:t>
            </w:r>
          </w:p>
        </w:tc>
        <w:tc>
          <w:tcPr>
            <w:tcW w:w="0" w:type="auto"/>
            <w:vAlign w:val="center"/>
            <w:hideMark/>
          </w:tcPr>
          <w:p w14:paraId="4062517C"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Pilot handoff repository or equivalent implementation package</w:t>
            </w:r>
          </w:p>
        </w:tc>
        <w:tc>
          <w:tcPr>
            <w:tcW w:w="0" w:type="auto"/>
            <w:vAlign w:val="center"/>
            <w:hideMark/>
          </w:tcPr>
          <w:p w14:paraId="16DCE10F"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Bounded pilot scope and canonical implementation contract</w:t>
            </w:r>
          </w:p>
        </w:tc>
      </w:tr>
      <w:tr w:rsidR="00132CCC" w:rsidRPr="0057166A" w14:paraId="542842B3" w14:textId="77777777" w:rsidTr="00132CCC">
        <w:trPr>
          <w:tblCellSpacing w:w="15" w:type="dxa"/>
        </w:trPr>
        <w:tc>
          <w:tcPr>
            <w:tcW w:w="0" w:type="auto"/>
            <w:vAlign w:val="center"/>
            <w:hideMark/>
          </w:tcPr>
          <w:p w14:paraId="0DEB5390"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Behavioral specification</w:t>
            </w:r>
          </w:p>
        </w:tc>
        <w:tc>
          <w:tcPr>
            <w:tcW w:w="0" w:type="auto"/>
            <w:vAlign w:val="center"/>
            <w:hideMark/>
          </w:tcPr>
          <w:p w14:paraId="17F17D07"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Mock backend or behavioral reference model</w:t>
            </w:r>
          </w:p>
        </w:tc>
        <w:tc>
          <w:tcPr>
            <w:tcW w:w="0" w:type="auto"/>
            <w:vAlign w:val="center"/>
            <w:hideMark/>
          </w:tcPr>
          <w:p w14:paraId="2656347C"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Executable model of expected pilot behavior</w:t>
            </w:r>
          </w:p>
        </w:tc>
      </w:tr>
      <w:tr w:rsidR="00132CCC" w:rsidRPr="0057166A" w14:paraId="0CC39753" w14:textId="77777777" w:rsidTr="00132CCC">
        <w:trPr>
          <w:tblCellSpacing w:w="15" w:type="dxa"/>
        </w:trPr>
        <w:tc>
          <w:tcPr>
            <w:tcW w:w="0" w:type="auto"/>
            <w:vAlign w:val="center"/>
            <w:hideMark/>
          </w:tcPr>
          <w:p w14:paraId="2793BC13"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Operational discipline</w:t>
            </w:r>
          </w:p>
        </w:tc>
        <w:tc>
          <w:tcPr>
            <w:tcW w:w="0" w:type="auto"/>
            <w:vAlign w:val="center"/>
            <w:hideMark/>
          </w:tcPr>
          <w:p w14:paraId="69A2DFB8"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Operations documentation, SOPs, runbooks, troubleshooting, and readiness criteria</w:t>
            </w:r>
          </w:p>
        </w:tc>
        <w:tc>
          <w:tcPr>
            <w:tcW w:w="0" w:type="auto"/>
            <w:vAlign w:val="center"/>
            <w:hideMark/>
          </w:tcPr>
          <w:p w14:paraId="286D863D"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Field execution, repeatability, and operational reliability</w:t>
            </w:r>
          </w:p>
        </w:tc>
      </w:tr>
      <w:tr w:rsidR="00132CCC" w:rsidRPr="0057166A" w14:paraId="20DF88DB" w14:textId="77777777" w:rsidTr="00132CCC">
        <w:trPr>
          <w:tblCellSpacing w:w="15" w:type="dxa"/>
        </w:trPr>
        <w:tc>
          <w:tcPr>
            <w:tcW w:w="0" w:type="auto"/>
            <w:vAlign w:val="center"/>
            <w:hideMark/>
          </w:tcPr>
          <w:p w14:paraId="4690F15E"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Evaluation discipline</w:t>
            </w:r>
          </w:p>
        </w:tc>
        <w:tc>
          <w:tcPr>
            <w:tcW w:w="0" w:type="auto"/>
            <w:vAlign w:val="center"/>
            <w:hideMark/>
          </w:tcPr>
          <w:p w14:paraId="41886F0D"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Evaluation stack, scoring, reporting, and GO / NO-GO / MANUAL-REVIEW gating</w:t>
            </w:r>
          </w:p>
        </w:tc>
        <w:tc>
          <w:tcPr>
            <w:tcW w:w="0" w:type="auto"/>
            <w:vAlign w:val="center"/>
            <w:hideMark/>
          </w:tcPr>
          <w:p w14:paraId="2A191FA3"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Decision-support, readiness classification, and review discipline</w:t>
            </w:r>
          </w:p>
        </w:tc>
      </w:tr>
      <w:tr w:rsidR="00132CCC" w:rsidRPr="0057166A" w14:paraId="1612303A" w14:textId="77777777" w:rsidTr="00132CCC">
        <w:trPr>
          <w:tblCellSpacing w:w="15" w:type="dxa"/>
        </w:trPr>
        <w:tc>
          <w:tcPr>
            <w:tcW w:w="0" w:type="auto"/>
            <w:vAlign w:val="center"/>
            <w:hideMark/>
          </w:tcPr>
          <w:p w14:paraId="3A920ED4"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Runtime implementation</w:t>
            </w:r>
          </w:p>
        </w:tc>
        <w:tc>
          <w:tcPr>
            <w:tcW w:w="0" w:type="auto"/>
            <w:vAlign w:val="center"/>
            <w:hideMark/>
          </w:tcPr>
          <w:p w14:paraId="104FA99E"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 xml:space="preserve">Prometheus </w:t>
            </w:r>
            <w:proofErr w:type="spellStart"/>
            <w:r w:rsidRPr="0057166A">
              <w:rPr>
                <w:rFonts w:ascii="Baskerville Old Face" w:hAnsi="Baskerville Old Face"/>
                <w:i/>
                <w:iCs/>
                <w:sz w:val="18"/>
                <w:szCs w:val="18"/>
              </w:rPr>
              <w:t>hApp</w:t>
            </w:r>
            <w:proofErr w:type="spellEnd"/>
            <w:r w:rsidRPr="0057166A">
              <w:rPr>
                <w:rFonts w:ascii="Baskerville Old Face" w:hAnsi="Baskerville Old Face"/>
                <w:i/>
                <w:iCs/>
                <w:sz w:val="18"/>
                <w:szCs w:val="18"/>
              </w:rPr>
              <w:t xml:space="preserve"> or </w:t>
            </w:r>
            <w:proofErr w:type="spellStart"/>
            <w:r w:rsidRPr="0057166A">
              <w:rPr>
                <w:rFonts w:ascii="Baskerville Old Face" w:hAnsi="Baskerville Old Face"/>
                <w:i/>
                <w:iCs/>
                <w:sz w:val="18"/>
                <w:szCs w:val="18"/>
              </w:rPr>
              <w:t>Holochain</w:t>
            </w:r>
            <w:proofErr w:type="spellEnd"/>
            <w:r w:rsidRPr="0057166A">
              <w:rPr>
                <w:rFonts w:ascii="Baskerville Old Face" w:hAnsi="Baskerville Old Face"/>
                <w:i/>
                <w:iCs/>
                <w:sz w:val="18"/>
                <w:szCs w:val="18"/>
              </w:rPr>
              <w:t>-native backend implementation</w:t>
            </w:r>
          </w:p>
        </w:tc>
        <w:tc>
          <w:tcPr>
            <w:tcW w:w="0" w:type="auto"/>
            <w:vAlign w:val="center"/>
            <w:hideMark/>
          </w:tcPr>
          <w:p w14:paraId="5B2ADAA1"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Technical execution of pilot behavior</w:t>
            </w:r>
          </w:p>
        </w:tc>
      </w:tr>
      <w:tr w:rsidR="00132CCC" w:rsidRPr="0057166A" w14:paraId="622C0A76" w14:textId="77777777" w:rsidTr="00132CCC">
        <w:trPr>
          <w:tblCellSpacing w:w="15" w:type="dxa"/>
        </w:trPr>
        <w:tc>
          <w:tcPr>
            <w:tcW w:w="0" w:type="auto"/>
            <w:vAlign w:val="center"/>
            <w:hideMark/>
          </w:tcPr>
          <w:p w14:paraId="52D0DD76"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MRV evidence layer</w:t>
            </w:r>
          </w:p>
        </w:tc>
        <w:tc>
          <w:tcPr>
            <w:tcW w:w="0" w:type="auto"/>
            <w:vAlign w:val="center"/>
            <w:hideMark/>
          </w:tcPr>
          <w:p w14:paraId="31CCE125"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Field, laboratory, remote-sensing, human audit, and operational evidence</w:t>
            </w:r>
          </w:p>
        </w:tc>
        <w:tc>
          <w:tcPr>
            <w:tcW w:w="0" w:type="auto"/>
            <w:vAlign w:val="center"/>
            <w:hideMark/>
          </w:tcPr>
          <w:p w14:paraId="1BE603CA"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Evidence formation and confidence scoring</w:t>
            </w:r>
          </w:p>
        </w:tc>
      </w:tr>
      <w:tr w:rsidR="00132CCC" w:rsidRPr="0057166A" w14:paraId="2CF232BE" w14:textId="77777777" w:rsidTr="00132CCC">
        <w:trPr>
          <w:tblCellSpacing w:w="15" w:type="dxa"/>
        </w:trPr>
        <w:tc>
          <w:tcPr>
            <w:tcW w:w="0" w:type="auto"/>
            <w:vAlign w:val="center"/>
            <w:hideMark/>
          </w:tcPr>
          <w:p w14:paraId="4E9A45E8"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Data-room layer</w:t>
            </w:r>
          </w:p>
        </w:tc>
        <w:tc>
          <w:tcPr>
            <w:tcW w:w="0" w:type="auto"/>
            <w:vAlign w:val="center"/>
            <w:hideMark/>
          </w:tcPr>
          <w:p w14:paraId="0F78A47C"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Organized evidence, governance, legal, financial, and reporting materials</w:t>
            </w:r>
          </w:p>
        </w:tc>
        <w:tc>
          <w:tcPr>
            <w:tcW w:w="0" w:type="auto"/>
            <w:vAlign w:val="center"/>
            <w:hideMark/>
          </w:tcPr>
          <w:p w14:paraId="224ADC4D"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Institutional readability and capital-readiness</w:t>
            </w:r>
          </w:p>
        </w:tc>
      </w:tr>
      <w:tr w:rsidR="00132CCC" w:rsidRPr="0057166A" w14:paraId="267DBC58" w14:textId="77777777" w:rsidTr="00132CCC">
        <w:trPr>
          <w:tblCellSpacing w:w="15" w:type="dxa"/>
        </w:trPr>
        <w:tc>
          <w:tcPr>
            <w:tcW w:w="0" w:type="auto"/>
            <w:vAlign w:val="center"/>
            <w:hideMark/>
          </w:tcPr>
          <w:p w14:paraId="62916269"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Governance layer</w:t>
            </w:r>
          </w:p>
        </w:tc>
        <w:tc>
          <w:tcPr>
            <w:tcW w:w="0" w:type="auto"/>
            <w:vAlign w:val="center"/>
            <w:hideMark/>
          </w:tcPr>
          <w:p w14:paraId="7E79499B"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Stewardship roles, review pathways, decision logs, and escalation rules</w:t>
            </w:r>
          </w:p>
        </w:tc>
        <w:tc>
          <w:tcPr>
            <w:tcW w:w="0" w:type="auto"/>
            <w:vAlign w:val="center"/>
            <w:hideMark/>
          </w:tcPr>
          <w:p w14:paraId="0E09BBFE"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Source-layer fidelity, role clarity, and accountability</w:t>
            </w:r>
          </w:p>
        </w:tc>
      </w:tr>
      <w:tr w:rsidR="00132CCC" w:rsidRPr="0057166A" w14:paraId="284A2CAE" w14:textId="77777777" w:rsidTr="00132CCC">
        <w:trPr>
          <w:tblCellSpacing w:w="15" w:type="dxa"/>
        </w:trPr>
        <w:tc>
          <w:tcPr>
            <w:tcW w:w="0" w:type="auto"/>
            <w:vAlign w:val="center"/>
            <w:hideMark/>
          </w:tcPr>
          <w:p w14:paraId="40AF30DE"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Capital-readiness layer</w:t>
            </w:r>
          </w:p>
        </w:tc>
        <w:tc>
          <w:tcPr>
            <w:tcW w:w="0" w:type="auto"/>
            <w:vAlign w:val="center"/>
            <w:hideMark/>
          </w:tcPr>
          <w:p w14:paraId="1BF297A2"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Financial model, risk register, PRU analysis, reporting package, legal boundary</w:t>
            </w:r>
          </w:p>
        </w:tc>
        <w:tc>
          <w:tcPr>
            <w:tcW w:w="0" w:type="auto"/>
            <w:vAlign w:val="center"/>
            <w:hideMark/>
          </w:tcPr>
          <w:p w14:paraId="44AFD34E" w14:textId="77777777" w:rsidR="00132CCC" w:rsidRPr="0057166A" w:rsidRDefault="00132CCC" w:rsidP="00132CCC">
            <w:pPr>
              <w:spacing w:line="360" w:lineRule="auto"/>
              <w:rPr>
                <w:rFonts w:ascii="Baskerville Old Face" w:hAnsi="Baskerville Old Face"/>
                <w:i/>
                <w:iCs/>
                <w:sz w:val="18"/>
                <w:szCs w:val="18"/>
              </w:rPr>
            </w:pPr>
            <w:r w:rsidRPr="0057166A">
              <w:rPr>
                <w:rFonts w:ascii="Baskerville Old Face" w:hAnsi="Baskerville Old Face"/>
                <w:i/>
                <w:iCs/>
                <w:sz w:val="18"/>
                <w:szCs w:val="18"/>
              </w:rPr>
              <w:t>Investor-review discipline without premature financialization</w:t>
            </w:r>
          </w:p>
        </w:tc>
      </w:tr>
    </w:tbl>
    <w:p w14:paraId="262A0D80" w14:textId="5B3BB801" w:rsidR="00132CCC" w:rsidRPr="00B479AE" w:rsidRDefault="00956877" w:rsidP="002C57D8">
      <w:pPr>
        <w:spacing w:line="360" w:lineRule="auto"/>
        <w:rPr>
          <w:rFonts w:ascii="Baskerville Old Face" w:hAnsi="Baskerville Old Face"/>
          <w:i/>
          <w:iCs/>
        </w:rPr>
      </w:pPr>
      <w:r w:rsidRPr="00B479AE">
        <w:rPr>
          <w:rFonts w:ascii="Baskerville Old Face" w:hAnsi="Baskerville Old Face"/>
          <w:i/>
          <w:iCs/>
        </w:rPr>
        <w:t>This structure preserves semantic fidelity, reduces ambiguity, and makes pilot execution reviewable across constitutional, technical, operational, MRV, governance, and capital-readiness boundaries.</w:t>
      </w:r>
    </w:p>
    <w:p w14:paraId="2F16414A" w14:textId="0962C076" w:rsidR="00132CCC" w:rsidRPr="00B479AE" w:rsidRDefault="00132CCC" w:rsidP="00132CCC">
      <w:pPr>
        <w:spacing w:line="360" w:lineRule="auto"/>
        <w:rPr>
          <w:rFonts w:ascii="Baskerville Old Face" w:hAnsi="Baskerville Old Face"/>
          <w:b/>
          <w:bCs/>
          <w:i/>
          <w:iCs/>
        </w:rPr>
      </w:pPr>
      <w:r w:rsidRPr="00B479AE">
        <w:rPr>
          <w:rFonts w:ascii="Baskerville Old Face" w:hAnsi="Baskerville Old Face"/>
          <w:b/>
          <w:bCs/>
          <w:i/>
          <w:iCs/>
        </w:rPr>
        <w:t>Canonical Pilot Stack</w:t>
      </w:r>
    </w:p>
    <w:p w14:paraId="03D3803D" w14:textId="77777777" w:rsidR="00132CCC" w:rsidRPr="00B479AE" w:rsidRDefault="00132CCC" w:rsidP="00132CCC">
      <w:pPr>
        <w:spacing w:line="360" w:lineRule="auto"/>
        <w:rPr>
          <w:rFonts w:ascii="Baskerville Old Face" w:hAnsi="Baskerville Old Face"/>
          <w:i/>
          <w:iCs/>
        </w:rPr>
      </w:pPr>
      <w:r w:rsidRPr="00B479AE">
        <w:rPr>
          <w:rFonts w:ascii="Baskerville Old Face" w:hAnsi="Baskerville Old Face"/>
          <w:i/>
          <w:iCs/>
        </w:rPr>
        <w:t>The current Prometheus pilot should be understood as a layered canonical stack in which distinct repositories, documents, and operational systems preserve distinct forms of authority and responsibility.</w:t>
      </w:r>
    </w:p>
    <w:p w14:paraId="42430947" w14:textId="3654A072"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The current pilot should not be confused with full institutional maturity.</w:t>
      </w:r>
    </w:p>
    <w:p w14:paraId="20C7B7C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Certain elements may remain outside the immediate pilot scope, including:</w:t>
      </w:r>
    </w:p>
    <w:p w14:paraId="28E1C54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full public token issuance;</w:t>
      </w:r>
    </w:p>
    <w:p w14:paraId="7859FDE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regulated securities offerings;</w:t>
      </w:r>
    </w:p>
    <w:p w14:paraId="2F6F2B5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complete DAO implementation;</w:t>
      </w:r>
    </w:p>
    <w:p w14:paraId="56DF668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mature secondary markets;</w:t>
      </w:r>
    </w:p>
    <w:p w14:paraId="536D176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fully autonomous AI decision-making;</w:t>
      </w:r>
    </w:p>
    <w:p w14:paraId="1B283D9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institutional RAP securitization;</w:t>
      </w:r>
    </w:p>
    <w:p w14:paraId="71CE810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large-scale public financial products;</w:t>
      </w:r>
    </w:p>
    <w:p w14:paraId="1A398AF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full cross-jurisdictional capital-market deployment.</w:t>
      </w:r>
    </w:p>
    <w:p w14:paraId="2C95FFD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boundary is not weakness.</w:t>
      </w:r>
    </w:p>
    <w:p w14:paraId="11841B6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is integrity.</w:t>
      </w:r>
    </w:p>
    <w:p w14:paraId="141CA29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pilot becomes powerful when it knows exactly what it is testing.</w:t>
      </w:r>
    </w:p>
    <w:p w14:paraId="38836409" w14:textId="77777777" w:rsidR="004448D5" w:rsidRPr="004448D5" w:rsidRDefault="004448D5" w:rsidP="004448D5">
      <w:pPr>
        <w:spacing w:line="360" w:lineRule="auto"/>
        <w:rPr>
          <w:rFonts w:ascii="Baskerville Old Face" w:hAnsi="Baskerville Old Face"/>
          <w:b/>
          <w:bCs/>
          <w:i/>
          <w:iCs/>
          <w:lang w:val="it-IT"/>
        </w:rPr>
      </w:pPr>
      <w:proofErr w:type="spellStart"/>
      <w:r w:rsidRPr="004448D5">
        <w:rPr>
          <w:rFonts w:ascii="Baskerville Old Face" w:hAnsi="Baskerville Old Face"/>
          <w:b/>
          <w:bCs/>
          <w:i/>
          <w:iCs/>
          <w:lang w:val="it-IT"/>
        </w:rPr>
        <w:t>Canonical</w:t>
      </w:r>
      <w:proofErr w:type="spellEnd"/>
      <w:r w:rsidRPr="004448D5">
        <w:rPr>
          <w:rFonts w:ascii="Baskerville Old Face" w:hAnsi="Baskerville Old Face"/>
          <w:b/>
          <w:bCs/>
          <w:i/>
          <w:iCs/>
          <w:lang w:val="it-IT"/>
        </w:rPr>
        <w:t xml:space="preserve"> Pilot Stack — </w:t>
      </w:r>
      <w:proofErr w:type="spellStart"/>
      <w:r w:rsidRPr="004448D5">
        <w:rPr>
          <w:rFonts w:ascii="Baskerville Old Face" w:hAnsi="Baskerville Old Face"/>
          <w:b/>
          <w:bCs/>
          <w:i/>
          <w:iCs/>
          <w:lang w:val="it-IT"/>
        </w:rPr>
        <w:t>Additional</w:t>
      </w:r>
      <w:proofErr w:type="spellEnd"/>
      <w:r w:rsidRPr="004448D5">
        <w:rPr>
          <w:rFonts w:ascii="Baskerville Old Face" w:hAnsi="Baskerville Old Face"/>
          <w:b/>
          <w:bCs/>
          <w:i/>
          <w:iCs/>
          <w:lang w:val="it-IT"/>
        </w:rPr>
        <w:t xml:space="preserve">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459"/>
        <w:gridCol w:w="2716"/>
        <w:gridCol w:w="3504"/>
      </w:tblGrid>
      <w:tr w:rsidR="004448D5" w:rsidRPr="004448D5" w14:paraId="5AB00872" w14:textId="77777777" w:rsidTr="004448D5">
        <w:trPr>
          <w:tblHeader/>
          <w:tblCellSpacing w:w="15" w:type="dxa"/>
        </w:trPr>
        <w:tc>
          <w:tcPr>
            <w:tcW w:w="0" w:type="auto"/>
            <w:vAlign w:val="center"/>
            <w:hideMark/>
          </w:tcPr>
          <w:p w14:paraId="23A178E0" w14:textId="77777777" w:rsidR="004448D5" w:rsidRPr="004448D5" w:rsidRDefault="004448D5" w:rsidP="004448D5">
            <w:pPr>
              <w:spacing w:line="360" w:lineRule="auto"/>
              <w:rPr>
                <w:rFonts w:ascii="Baskerville Old Face" w:hAnsi="Baskerville Old Face"/>
                <w:b/>
                <w:bCs/>
                <w:i/>
                <w:iCs/>
                <w:sz w:val="20"/>
                <w:szCs w:val="20"/>
                <w:lang w:val="it-IT"/>
              </w:rPr>
            </w:pPr>
            <w:r w:rsidRPr="004448D5">
              <w:rPr>
                <w:rFonts w:ascii="Baskerville Old Face" w:hAnsi="Baskerville Old Face"/>
                <w:b/>
                <w:bCs/>
                <w:i/>
                <w:iCs/>
                <w:sz w:val="20"/>
                <w:szCs w:val="20"/>
                <w:lang w:val="it-IT"/>
              </w:rPr>
              <w:t>Layer</w:t>
            </w:r>
          </w:p>
        </w:tc>
        <w:tc>
          <w:tcPr>
            <w:tcW w:w="0" w:type="auto"/>
            <w:vAlign w:val="center"/>
            <w:hideMark/>
          </w:tcPr>
          <w:p w14:paraId="04A6E76B" w14:textId="77777777" w:rsidR="004448D5" w:rsidRPr="004448D5" w:rsidRDefault="004448D5" w:rsidP="004448D5">
            <w:pPr>
              <w:spacing w:line="360" w:lineRule="auto"/>
              <w:rPr>
                <w:rFonts w:ascii="Baskerville Old Face" w:hAnsi="Baskerville Old Face"/>
                <w:b/>
                <w:bCs/>
                <w:i/>
                <w:iCs/>
                <w:sz w:val="20"/>
                <w:szCs w:val="20"/>
                <w:lang w:val="it-IT"/>
              </w:rPr>
            </w:pPr>
            <w:proofErr w:type="spellStart"/>
            <w:r w:rsidRPr="004448D5">
              <w:rPr>
                <w:rFonts w:ascii="Baskerville Old Face" w:hAnsi="Baskerville Old Face"/>
                <w:b/>
                <w:bCs/>
                <w:i/>
                <w:iCs/>
                <w:sz w:val="20"/>
                <w:szCs w:val="20"/>
                <w:lang w:val="it-IT"/>
              </w:rPr>
              <w:t>Canonical</w:t>
            </w:r>
            <w:proofErr w:type="spellEnd"/>
            <w:r w:rsidRPr="004448D5">
              <w:rPr>
                <w:rFonts w:ascii="Baskerville Old Face" w:hAnsi="Baskerville Old Face"/>
                <w:b/>
                <w:bCs/>
                <w:i/>
                <w:iCs/>
                <w:sz w:val="20"/>
                <w:szCs w:val="20"/>
                <w:lang w:val="it-IT"/>
              </w:rPr>
              <w:t xml:space="preserve"> </w:t>
            </w:r>
            <w:proofErr w:type="spellStart"/>
            <w:r w:rsidRPr="004448D5">
              <w:rPr>
                <w:rFonts w:ascii="Baskerville Old Face" w:hAnsi="Baskerville Old Face"/>
                <w:b/>
                <w:bCs/>
                <w:i/>
                <w:iCs/>
                <w:sz w:val="20"/>
                <w:szCs w:val="20"/>
                <w:lang w:val="it-IT"/>
              </w:rPr>
              <w:t>function</w:t>
            </w:r>
            <w:proofErr w:type="spellEnd"/>
          </w:p>
        </w:tc>
        <w:tc>
          <w:tcPr>
            <w:tcW w:w="0" w:type="auto"/>
            <w:vAlign w:val="center"/>
            <w:hideMark/>
          </w:tcPr>
          <w:p w14:paraId="1208B6A3" w14:textId="77777777" w:rsidR="004448D5" w:rsidRPr="004448D5" w:rsidRDefault="004448D5" w:rsidP="004448D5">
            <w:pPr>
              <w:spacing w:line="360" w:lineRule="auto"/>
              <w:rPr>
                <w:rFonts w:ascii="Baskerville Old Face" w:hAnsi="Baskerville Old Face"/>
                <w:b/>
                <w:bCs/>
                <w:i/>
                <w:iCs/>
                <w:sz w:val="20"/>
                <w:szCs w:val="20"/>
                <w:lang w:val="it-IT"/>
              </w:rPr>
            </w:pPr>
            <w:r w:rsidRPr="004448D5">
              <w:rPr>
                <w:rFonts w:ascii="Baskerville Old Face" w:hAnsi="Baskerville Old Face"/>
                <w:b/>
                <w:bCs/>
                <w:i/>
                <w:iCs/>
                <w:sz w:val="20"/>
                <w:szCs w:val="20"/>
                <w:lang w:val="it-IT"/>
              </w:rPr>
              <w:t>Role in the pilot</w:t>
            </w:r>
          </w:p>
        </w:tc>
        <w:tc>
          <w:tcPr>
            <w:tcW w:w="0" w:type="auto"/>
            <w:vAlign w:val="center"/>
            <w:hideMark/>
          </w:tcPr>
          <w:p w14:paraId="7353389E" w14:textId="77777777" w:rsidR="004448D5" w:rsidRPr="004448D5" w:rsidRDefault="004448D5" w:rsidP="004448D5">
            <w:pPr>
              <w:spacing w:line="360" w:lineRule="auto"/>
              <w:rPr>
                <w:rFonts w:ascii="Baskerville Old Face" w:hAnsi="Baskerville Old Face"/>
                <w:b/>
                <w:bCs/>
                <w:i/>
                <w:iCs/>
                <w:sz w:val="20"/>
                <w:szCs w:val="20"/>
                <w:lang w:val="it-IT"/>
              </w:rPr>
            </w:pPr>
            <w:proofErr w:type="spellStart"/>
            <w:r w:rsidRPr="004448D5">
              <w:rPr>
                <w:rFonts w:ascii="Baskerville Old Face" w:hAnsi="Baskerville Old Face"/>
                <w:b/>
                <w:bCs/>
                <w:i/>
                <w:iCs/>
                <w:sz w:val="20"/>
                <w:szCs w:val="20"/>
                <w:lang w:val="it-IT"/>
              </w:rPr>
              <w:t>Boundary</w:t>
            </w:r>
            <w:proofErr w:type="spellEnd"/>
          </w:p>
        </w:tc>
      </w:tr>
      <w:tr w:rsidR="004448D5" w:rsidRPr="004448D5" w14:paraId="44E90264" w14:textId="77777777" w:rsidTr="004448D5">
        <w:trPr>
          <w:tblCellSpacing w:w="15" w:type="dxa"/>
        </w:trPr>
        <w:tc>
          <w:tcPr>
            <w:tcW w:w="0" w:type="auto"/>
            <w:vAlign w:val="center"/>
            <w:hideMark/>
          </w:tcPr>
          <w:p w14:paraId="2E40F1C7" w14:textId="77777777" w:rsidR="004448D5" w:rsidRPr="004448D5" w:rsidRDefault="004448D5" w:rsidP="004448D5">
            <w:pPr>
              <w:spacing w:line="360" w:lineRule="auto"/>
              <w:rPr>
                <w:rFonts w:ascii="Baskerville Old Face" w:hAnsi="Baskerville Old Face"/>
                <w:i/>
                <w:iCs/>
                <w:sz w:val="20"/>
                <w:szCs w:val="20"/>
                <w:lang w:val="it-IT"/>
              </w:rPr>
            </w:pPr>
            <w:r w:rsidRPr="004448D5">
              <w:rPr>
                <w:rFonts w:ascii="Baskerville Old Face" w:hAnsi="Baskerville Old Face"/>
                <w:i/>
                <w:iCs/>
                <w:sz w:val="20"/>
                <w:szCs w:val="20"/>
                <w:lang w:val="it-IT"/>
              </w:rPr>
              <w:t xml:space="preserve">Universal </w:t>
            </w:r>
            <w:proofErr w:type="gramStart"/>
            <w:r w:rsidRPr="004448D5">
              <w:rPr>
                <w:rFonts w:ascii="Baskerville Old Face" w:hAnsi="Baskerville Old Face"/>
                <w:i/>
                <w:iCs/>
                <w:sz w:val="20"/>
                <w:szCs w:val="20"/>
                <w:lang w:val="it-IT"/>
              </w:rPr>
              <w:t>AI</w:t>
            </w:r>
            <w:proofErr w:type="gramEnd"/>
            <w:r w:rsidRPr="004448D5">
              <w:rPr>
                <w:rFonts w:ascii="Baskerville Old Face" w:hAnsi="Baskerville Old Face"/>
                <w:i/>
                <w:iCs/>
                <w:sz w:val="20"/>
                <w:szCs w:val="20"/>
                <w:lang w:val="it-IT"/>
              </w:rPr>
              <w:t xml:space="preserve"> Access Layer</w:t>
            </w:r>
          </w:p>
        </w:tc>
        <w:tc>
          <w:tcPr>
            <w:tcW w:w="0" w:type="auto"/>
            <w:vAlign w:val="center"/>
            <w:hideMark/>
          </w:tcPr>
          <w:p w14:paraId="0C883C82" w14:textId="77777777" w:rsidR="004448D5" w:rsidRPr="004448D5" w:rsidRDefault="004448D5" w:rsidP="004448D5">
            <w:pPr>
              <w:spacing w:line="360" w:lineRule="auto"/>
              <w:rPr>
                <w:rFonts w:ascii="Baskerville Old Face" w:hAnsi="Baskerville Old Face"/>
                <w:i/>
                <w:iCs/>
                <w:sz w:val="20"/>
                <w:szCs w:val="20"/>
              </w:rPr>
            </w:pPr>
            <w:r w:rsidRPr="004448D5">
              <w:rPr>
                <w:rFonts w:ascii="Baskerville Old Face" w:hAnsi="Baskerville Old Face"/>
                <w:i/>
                <w:iCs/>
                <w:sz w:val="20"/>
                <w:szCs w:val="20"/>
              </w:rPr>
              <w:t xml:space="preserve">Provides standardized access surfaces through which external AI systems, enterprise assistants, dashboards, community tools, field applications, agent frameworks, and future </w:t>
            </w:r>
            <w:proofErr w:type="spellStart"/>
            <w:r w:rsidRPr="004448D5">
              <w:rPr>
                <w:rFonts w:ascii="Baskerville Old Face" w:hAnsi="Baskerville Old Face"/>
                <w:i/>
                <w:iCs/>
                <w:sz w:val="20"/>
                <w:szCs w:val="20"/>
              </w:rPr>
              <w:t>Holochain</w:t>
            </w:r>
            <w:proofErr w:type="spellEnd"/>
            <w:r w:rsidRPr="004448D5">
              <w:rPr>
                <w:rFonts w:ascii="Baskerville Old Face" w:hAnsi="Baskerville Old Face"/>
                <w:i/>
                <w:iCs/>
                <w:sz w:val="20"/>
                <w:szCs w:val="20"/>
              </w:rPr>
              <w:t>-native clients may query selected Prometheus capabilities.</w:t>
            </w:r>
          </w:p>
        </w:tc>
        <w:tc>
          <w:tcPr>
            <w:tcW w:w="0" w:type="auto"/>
            <w:vAlign w:val="center"/>
            <w:hideMark/>
          </w:tcPr>
          <w:p w14:paraId="6185F934" w14:textId="77777777" w:rsidR="004448D5" w:rsidRPr="004448D5" w:rsidRDefault="004448D5" w:rsidP="004448D5">
            <w:pPr>
              <w:spacing w:line="360" w:lineRule="auto"/>
              <w:rPr>
                <w:rFonts w:ascii="Baskerville Old Face" w:hAnsi="Baskerville Old Face"/>
                <w:i/>
                <w:iCs/>
                <w:sz w:val="20"/>
                <w:szCs w:val="20"/>
              </w:rPr>
            </w:pPr>
            <w:r w:rsidRPr="004448D5">
              <w:rPr>
                <w:rFonts w:ascii="Baskerville Old Face" w:hAnsi="Baskerville Old Face"/>
                <w:i/>
                <w:iCs/>
                <w:sz w:val="20"/>
                <w:szCs w:val="20"/>
              </w:rPr>
              <w:t>Supports REST API access, OpenAI-compatible endpoint behavior, MCP tool exposure, plugin-ready connectors, structured output generation, draft document generation, assisted diagnostics, preliminary hub scoring, acquisition screening, MRV checklist preparation, and workflow routing.</w:t>
            </w:r>
          </w:p>
        </w:tc>
        <w:tc>
          <w:tcPr>
            <w:tcW w:w="0" w:type="auto"/>
            <w:vAlign w:val="center"/>
            <w:hideMark/>
          </w:tcPr>
          <w:p w14:paraId="6BB61FA6" w14:textId="77777777" w:rsidR="004448D5" w:rsidRPr="004448D5" w:rsidRDefault="004448D5" w:rsidP="004448D5">
            <w:pPr>
              <w:spacing w:line="360" w:lineRule="auto"/>
              <w:rPr>
                <w:rFonts w:ascii="Baskerville Old Face" w:hAnsi="Baskerville Old Face"/>
                <w:i/>
                <w:iCs/>
                <w:sz w:val="20"/>
                <w:szCs w:val="20"/>
              </w:rPr>
            </w:pPr>
            <w:r w:rsidRPr="004448D5">
              <w:rPr>
                <w:rFonts w:ascii="Baskerville Old Face" w:hAnsi="Baskerville Old Face"/>
                <w:i/>
                <w:iCs/>
                <w:sz w:val="20"/>
                <w:szCs w:val="20"/>
              </w:rPr>
              <w:t xml:space="preserve">This layer provides access and assistance only. It does not create source-layer authority, ecological truth, PRU value, RAP exposure, governance authority, legal rights, investor-facing validity, financial admissibility, token rights, or verified regenerative claims by itself. All outputs remain subject to evidence, methodology, governance, human review, legal review where required, and </w:t>
            </w:r>
            <w:proofErr w:type="spellStart"/>
            <w:r w:rsidRPr="004448D5">
              <w:rPr>
                <w:rFonts w:ascii="Baskerville Old Face" w:hAnsi="Baskerville Old Face"/>
                <w:i/>
                <w:iCs/>
                <w:sz w:val="20"/>
                <w:szCs w:val="20"/>
              </w:rPr>
              <w:t>Holochain</w:t>
            </w:r>
            <w:proofErr w:type="spellEnd"/>
            <w:r w:rsidRPr="004448D5">
              <w:rPr>
                <w:rFonts w:ascii="Baskerville Old Face" w:hAnsi="Baskerville Old Face"/>
                <w:i/>
                <w:iCs/>
                <w:sz w:val="20"/>
                <w:szCs w:val="20"/>
              </w:rPr>
              <w:t>-compatible source-layer integrity.</w:t>
            </w:r>
          </w:p>
        </w:tc>
      </w:tr>
    </w:tbl>
    <w:p w14:paraId="1C533E6D" w14:textId="77777777" w:rsidR="004C2984" w:rsidRPr="004C2984" w:rsidRDefault="004C2984" w:rsidP="004C2984">
      <w:pPr>
        <w:spacing w:line="360" w:lineRule="auto"/>
        <w:rPr>
          <w:rFonts w:ascii="Baskerville Old Face" w:hAnsi="Baskerville Old Face"/>
          <w:b/>
          <w:bCs/>
          <w:i/>
          <w:iCs/>
        </w:rPr>
      </w:pPr>
      <w:r w:rsidRPr="004C2984">
        <w:rPr>
          <w:rFonts w:ascii="Baskerville Old Face" w:hAnsi="Baskerville Old Face"/>
          <w:b/>
          <w:bCs/>
          <w:i/>
          <w:iCs/>
        </w:rPr>
        <w:lastRenderedPageBreak/>
        <w:t>Glossary Additions</w:t>
      </w:r>
    </w:p>
    <w:p w14:paraId="408E97C4"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Execution Boundary</w:t>
      </w:r>
      <w:r w:rsidRPr="004C2984">
        <w:rPr>
          <w:rFonts w:ascii="Baskerville Old Face" w:hAnsi="Baskerville Old Face"/>
          <w:i/>
          <w:iCs/>
        </w:rPr>
        <w:t xml:space="preserve"> — The distinction between generated output and authorized execution. A model, API, dashboard, connector, or agent may generate a draft, recommendation, analysis, score, checklist, or proposed action. Execution occurs only when the required human, governance, MRV, legal, operational, or source-layer review has authorized the action under the applicable Prometheus workflow.</w:t>
      </w:r>
    </w:p>
    <w:p w14:paraId="39610E93"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External AI Interface</w:t>
      </w:r>
      <w:r w:rsidRPr="004C2984">
        <w:rPr>
          <w:rFonts w:ascii="Baskerville Old Face" w:hAnsi="Baskerville Old Face"/>
          <w:i/>
          <w:iCs/>
        </w:rPr>
        <w:t xml:space="preserve"> — Any AI system, assistant, chatbot, agent framework, plugin, enterprise assistant, or application interface that accesses Prometheus capabilities from outside the Prometheus source layer. External AI interfaces may query Prometheus logic, but they remain access surfaces and do not become source-layer authority.</w:t>
      </w:r>
    </w:p>
    <w:p w14:paraId="5B78E51B"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MCP Tool</w:t>
      </w:r>
      <w:r w:rsidRPr="004C2984">
        <w:rPr>
          <w:rFonts w:ascii="Baskerville Old Face" w:hAnsi="Baskerville Old Face"/>
          <w:i/>
          <w:iCs/>
        </w:rPr>
        <w:t xml:space="preserve"> — A tool exposed through the Model Context Protocol or equivalent protocol interface, allowing compatible AI clients to invoke selected Prometheus capabilities through structured inputs and outputs. MCP tools may support diagnostics, scoring, evidence organization, document generation, or workflow assistance, but their outputs remain subject to Prometheus review, evidence, governance, and legal boundaries.</w:t>
      </w:r>
    </w:p>
    <w:p w14:paraId="47FA367E"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OpenAI-Compatible Endpoint</w:t>
      </w:r>
      <w:r w:rsidRPr="004C2984">
        <w:rPr>
          <w:rFonts w:ascii="Baskerville Old Face" w:hAnsi="Baskerville Old Face"/>
          <w:i/>
          <w:iCs/>
        </w:rPr>
        <w:t xml:space="preserve"> — An API endpoint that follows a chat-completion-style request and response structure compatible with systems designed around OpenAI-style conversational interfaces. Within Prometheus, such an endpoint may support broad interoperability, but it remains an access surface and does not create canonical authority or verified value.</w:t>
      </w:r>
    </w:p>
    <w:p w14:paraId="65095903"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Plugin-Ready Connector</w:t>
      </w:r>
      <w:r w:rsidRPr="004C2984">
        <w:rPr>
          <w:rFonts w:ascii="Baskerville Old Face" w:hAnsi="Baskerville Old Face"/>
          <w:i/>
          <w:iCs/>
        </w:rPr>
        <w:t xml:space="preserve"> — A packaged integration surface designed for external ecosystems such as AI assistants, collaboration platforms, dashboards, enterprise tools, automation platforms, or future </w:t>
      </w:r>
      <w:proofErr w:type="spellStart"/>
      <w:r w:rsidRPr="004C2984">
        <w:rPr>
          <w:rFonts w:ascii="Baskerville Old Face" w:hAnsi="Baskerville Old Face"/>
          <w:i/>
          <w:iCs/>
        </w:rPr>
        <w:t>Holochain</w:t>
      </w:r>
      <w:proofErr w:type="spellEnd"/>
      <w:r w:rsidRPr="004C2984">
        <w:rPr>
          <w:rFonts w:ascii="Baskerville Old Face" w:hAnsi="Baskerville Old Face"/>
          <w:i/>
          <w:iCs/>
        </w:rPr>
        <w:t>-native clients. Plugin-ready connectors provide usability and interoperability, but they do not alter the Prometheus source layer.</w:t>
      </w:r>
    </w:p>
    <w:p w14:paraId="32A8AEBE"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Regenerative Asset Management Infrastructure</w:t>
      </w:r>
      <w:r w:rsidRPr="004C2984">
        <w:rPr>
          <w:rFonts w:ascii="Baskerville Old Face" w:hAnsi="Baskerville Old Face"/>
          <w:i/>
          <w:iCs/>
        </w:rPr>
        <w:t xml:space="preserve"> — The Prometheus infrastructure layer through which regenerative real-world assets may be identified, structured, observed, verified, monitored, classified, compared, reported, and prepared for future portfolio formation, institutional diligence, compliant capital allocation, and legally structured asset-management activity where permitted.</w:t>
      </w:r>
    </w:p>
    <w:p w14:paraId="0C448306"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The term describes an enabling infrastructure, not a regulated financial role.</w:t>
      </w:r>
    </w:p>
    <w:p w14:paraId="3B63220C"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lastRenderedPageBreak/>
        <w:t xml:space="preserve">Within Prometheus, Regenerative Asset Management Infrastructure may include site identification and regenerative asset screening, baseline ecological and operational assessment, MRV evidence organization, provenance and confidence scoring, </w:t>
      </w:r>
      <w:proofErr w:type="spellStart"/>
      <w:r w:rsidRPr="004C2984">
        <w:rPr>
          <w:rFonts w:ascii="Baskerville Old Face" w:hAnsi="Baskerville Old Face"/>
          <w:i/>
          <w:iCs/>
        </w:rPr>
        <w:t>Holochain</w:t>
      </w:r>
      <w:proofErr w:type="spellEnd"/>
      <w:r w:rsidRPr="004C2984">
        <w:rPr>
          <w:rFonts w:ascii="Baskerville Old Face" w:hAnsi="Baskerville Old Face"/>
          <w:i/>
          <w:iCs/>
        </w:rPr>
        <w:t xml:space="preserve">-compatible source-layer references, </w:t>
      </w:r>
      <w:proofErr w:type="spellStart"/>
      <w:r w:rsidRPr="004C2984">
        <w:rPr>
          <w:rFonts w:ascii="Baskerville Old Face" w:hAnsi="Baskerville Old Face"/>
          <w:i/>
          <w:iCs/>
        </w:rPr>
        <w:t>Valueflows</w:t>
      </w:r>
      <w:proofErr w:type="spellEnd"/>
      <w:r w:rsidRPr="004C2984">
        <w:rPr>
          <w:rFonts w:ascii="Baskerville Old Face" w:hAnsi="Baskerville Old Face"/>
          <w:i/>
          <w:iCs/>
        </w:rPr>
        <w:t xml:space="preserve"> / REA-compatible event semantics, PRU analysis and maturity classification, RAP-readiness assessment, evidence-room formation, risk dashboards, governance boundaries, reporting architecture, interoperability logic, AI-assisted diagnostics and documentation, legal-boundary awareness, and capital-readiness documentation.</w:t>
      </w:r>
    </w:p>
    <w:p w14:paraId="651DE7EB"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This term does not mean that Prometheus itself is, by default, a regulated asset manager, investment adviser, fund manager, broker-dealer, fiduciary, securities issuer, discretionary portfolio manager, custodian, underwriter, investment platform, public offering vehicle, or operator of regulated investment products.</w:t>
      </w:r>
    </w:p>
    <w:p w14:paraId="4757201A"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does not become a regulated asset manager merely by describing, analyzing, monitoring, classifying, scoring, reporting, or preparing regenerative assets for future compliant structuring.</w:t>
      </w:r>
    </w:p>
    <w:p w14:paraId="74775757"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Any activity involving management of client assets, discretionary investment decisions, securities, fund interests, investment advice, fiduciary duties, brokerage, custody, investor exposure, regulated financial products, public offerings, private placements, tokenized securities, notes, SPVs, funds, or asset-management mandates requires separate legal, regulatory, governance, disclosure, compliance, licensing, and jurisdiction-specific structuring.</w:t>
      </w:r>
    </w:p>
    <w:p w14:paraId="215E92E7"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The term is therefore bounded by a clear institutional distinction:</w:t>
      </w:r>
    </w:p>
    <w:p w14:paraId="443669C8"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Prometheus may provide regenerative asset intelligence and portfolio-readiness infrastructure. It does not itself create regulated asset-management authority unless and until such authority is separately established through appropriate legal and regulatory pathways.</w:t>
      </w:r>
    </w:p>
    <w:p w14:paraId="7684EA88"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In operational terms, Regenerative Asset Management Infrastructure supports the following sequence:</w:t>
      </w:r>
    </w:p>
    <w:p w14:paraId="64264B2E"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 xml:space="preserve">living system </w:t>
      </w:r>
      <w:r w:rsidRPr="004C2984">
        <w:rPr>
          <w:rFonts w:ascii="Times New Roman" w:hAnsi="Times New Roman" w:cs="Times New Roman"/>
          <w:i/>
          <w:iCs/>
        </w:rPr>
        <w:t>→</w:t>
      </w:r>
      <w:r w:rsidRPr="004C2984">
        <w:rPr>
          <w:rFonts w:ascii="Baskerville Old Face" w:hAnsi="Baskerville Old Face"/>
          <w:i/>
          <w:iCs/>
        </w:rPr>
        <w:t xml:space="preserve"> MRV evidence </w:t>
      </w:r>
      <w:r w:rsidRPr="004C2984">
        <w:rPr>
          <w:rFonts w:ascii="Times New Roman" w:hAnsi="Times New Roman" w:cs="Times New Roman"/>
          <w:i/>
          <w:iCs/>
        </w:rPr>
        <w:t>→</w:t>
      </w:r>
      <w:r w:rsidRPr="004C2984">
        <w:rPr>
          <w:rFonts w:ascii="Baskerville Old Face" w:hAnsi="Baskerville Old Face"/>
          <w:i/>
          <w:iCs/>
        </w:rPr>
        <w:t xml:space="preserve"> verified indicators </w:t>
      </w:r>
      <w:r w:rsidRPr="004C2984">
        <w:rPr>
          <w:rFonts w:ascii="Times New Roman" w:hAnsi="Times New Roman" w:cs="Times New Roman"/>
          <w:i/>
          <w:iCs/>
        </w:rPr>
        <w:t>→</w:t>
      </w:r>
      <w:r w:rsidRPr="004C2984">
        <w:rPr>
          <w:rFonts w:ascii="Baskerville Old Face" w:hAnsi="Baskerville Old Face"/>
          <w:i/>
          <w:iCs/>
        </w:rPr>
        <w:t xml:space="preserve"> PRU analysis </w:t>
      </w:r>
      <w:r w:rsidRPr="004C2984">
        <w:rPr>
          <w:rFonts w:ascii="Times New Roman" w:hAnsi="Times New Roman" w:cs="Times New Roman"/>
          <w:i/>
          <w:iCs/>
        </w:rPr>
        <w:t>→</w:t>
      </w:r>
      <w:r w:rsidRPr="004C2984">
        <w:rPr>
          <w:rFonts w:ascii="Baskerville Old Face" w:hAnsi="Baskerville Old Face"/>
          <w:i/>
          <w:iCs/>
        </w:rPr>
        <w:t xml:space="preserve"> maturity classification </w:t>
      </w:r>
      <w:r w:rsidRPr="004C2984">
        <w:rPr>
          <w:rFonts w:ascii="Times New Roman" w:hAnsi="Times New Roman" w:cs="Times New Roman"/>
          <w:i/>
          <w:iCs/>
        </w:rPr>
        <w:t>→</w:t>
      </w:r>
      <w:r w:rsidRPr="004C2984">
        <w:rPr>
          <w:rFonts w:ascii="Baskerville Old Face" w:hAnsi="Baskerville Old Face"/>
          <w:i/>
          <w:iCs/>
        </w:rPr>
        <w:t xml:space="preserve"> evidence room </w:t>
      </w:r>
      <w:r w:rsidRPr="004C2984">
        <w:rPr>
          <w:rFonts w:ascii="Times New Roman" w:hAnsi="Times New Roman" w:cs="Times New Roman"/>
          <w:i/>
          <w:iCs/>
        </w:rPr>
        <w:t>→</w:t>
      </w:r>
      <w:r w:rsidRPr="004C2984">
        <w:rPr>
          <w:rFonts w:ascii="Baskerville Old Face" w:hAnsi="Baskerville Old Face"/>
          <w:i/>
          <w:iCs/>
        </w:rPr>
        <w:t xml:space="preserve"> RAP-readiness </w:t>
      </w:r>
      <w:r w:rsidRPr="004C2984">
        <w:rPr>
          <w:rFonts w:ascii="Times New Roman" w:hAnsi="Times New Roman" w:cs="Times New Roman"/>
          <w:i/>
          <w:iCs/>
        </w:rPr>
        <w:t>→</w:t>
      </w:r>
      <w:r w:rsidRPr="004C2984">
        <w:rPr>
          <w:rFonts w:ascii="Baskerville Old Face" w:hAnsi="Baskerville Old Face"/>
          <w:i/>
          <w:iCs/>
        </w:rPr>
        <w:t xml:space="preserve"> legal structuring </w:t>
      </w:r>
      <w:r w:rsidRPr="004C2984">
        <w:rPr>
          <w:rFonts w:ascii="Times New Roman" w:hAnsi="Times New Roman" w:cs="Times New Roman"/>
          <w:i/>
          <w:iCs/>
        </w:rPr>
        <w:t>→</w:t>
      </w:r>
      <w:r w:rsidRPr="004C2984">
        <w:rPr>
          <w:rFonts w:ascii="Baskerville Old Face" w:hAnsi="Baskerville Old Face"/>
          <w:i/>
          <w:iCs/>
        </w:rPr>
        <w:t xml:space="preserve"> compliant asset management where permitted.</w:t>
      </w:r>
    </w:p>
    <w:p w14:paraId="2C1F1395"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The purpose of this concept is to clarify that Prometheus may become foundational to future regenerative asset management without prematurely presenting itself as a regulated asset manager.</w:t>
      </w:r>
    </w:p>
    <w:p w14:paraId="3F3EF5E0"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lastRenderedPageBreak/>
        <w:t>It is the infrastructure through which regenerative assets become manageable, comparable, monitorable, reportable, and capital-readable.</w:t>
      </w:r>
    </w:p>
    <w:p w14:paraId="6D6B556F"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i/>
          <w:iCs/>
        </w:rPr>
        <w:t>It is not, by itself, the regulated manager of those assets.</w:t>
      </w:r>
    </w:p>
    <w:p w14:paraId="0C1CB988" w14:textId="7EF64A38" w:rsidR="00D657FE" w:rsidRPr="00D657FE" w:rsidRDefault="00D657FE" w:rsidP="004C2984">
      <w:pPr>
        <w:spacing w:line="360" w:lineRule="auto"/>
        <w:rPr>
          <w:rFonts w:ascii="Baskerville Old Face" w:hAnsi="Baskerville Old Face"/>
          <w:i/>
          <w:iCs/>
        </w:rPr>
      </w:pPr>
      <w:r w:rsidRPr="00D657FE">
        <w:rPr>
          <w:rFonts w:ascii="Baskerville Old Face" w:hAnsi="Baskerville Old Face"/>
          <w:b/>
          <w:bCs/>
          <w:i/>
          <w:iCs/>
        </w:rPr>
        <w:t>Regenerative Intelligence Metabolism —</w:t>
      </w:r>
      <w:r w:rsidRPr="00D657FE">
        <w:rPr>
          <w:rFonts w:ascii="Baskerville Old Face" w:hAnsi="Baskerville Old Face"/>
          <w:i/>
          <w:iCs/>
        </w:rPr>
        <w:t xml:space="preserve"> The Prometheus architectural principle that computational intensity should remain proportional to evidentiary need, ecological relevance, privacy sensitivity, operational complexity, and governance authority. Regenerative Intelligence Metabolism prioritizes local processing, edge AI, small or quantized models, compression, pruning, caching, batching, energy-aware scheduling, model routing, and low-water / low-energy infrastructure before escalating to cloud-scale AI. Within Prometheus, this principle supports the rule that intelligence should be local where possible, cloud-based where necessary, </w:t>
      </w:r>
      <w:proofErr w:type="spellStart"/>
      <w:r w:rsidRPr="00D657FE">
        <w:rPr>
          <w:rFonts w:ascii="Baskerville Old Face" w:hAnsi="Baskerville Old Face"/>
          <w:i/>
          <w:iCs/>
        </w:rPr>
        <w:t>Holochain</w:t>
      </w:r>
      <w:proofErr w:type="spellEnd"/>
      <w:r w:rsidRPr="00D657FE">
        <w:rPr>
          <w:rFonts w:ascii="Baskerville Old Face" w:hAnsi="Baskerville Old Face"/>
          <w:i/>
          <w:iCs/>
        </w:rPr>
        <w:t>-compatible where provenance matters, and human-reviewed where authority is required. It does not create ecological truth, MRV validity, PRU value, RAP eligibility, legal authority, governance authority, investor-facing validity, financial admissibility, or authorized execution by itself.</w:t>
      </w:r>
    </w:p>
    <w:p w14:paraId="49B972F8" w14:textId="006A9F00"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Tool Invocation Boundary</w:t>
      </w:r>
      <w:r w:rsidRPr="004C2984">
        <w:rPr>
          <w:rFonts w:ascii="Baskerville Old Face" w:hAnsi="Baskerville Old Face"/>
          <w:i/>
          <w:iCs/>
        </w:rPr>
        <w:t xml:space="preserve"> — The rule that calling a Prometheus tool, API, plugin, connector, endpoint, or AI-access interface does not by itself create an authorized action, verified claim, legal conclusion, PRU value, RAP eligibility, governance decision, token right, investor-facing claim, or financial admissibility. Tool outputs are preliminary until reviewed through the appropriate pathway.</w:t>
      </w:r>
    </w:p>
    <w:p w14:paraId="6A7C6072" w14:textId="77777777" w:rsidR="004C2984" w:rsidRDefault="004C2984" w:rsidP="004C2984">
      <w:pPr>
        <w:spacing w:line="360" w:lineRule="auto"/>
        <w:rPr>
          <w:rFonts w:ascii="Baskerville Old Face" w:hAnsi="Baskerville Old Face"/>
          <w:i/>
          <w:iCs/>
        </w:rPr>
      </w:pPr>
      <w:r w:rsidRPr="004C2984">
        <w:rPr>
          <w:rFonts w:ascii="Baskerville Old Face" w:hAnsi="Baskerville Old Face"/>
          <w:b/>
          <w:bCs/>
          <w:i/>
          <w:iCs/>
        </w:rPr>
        <w:t>Universal AI Access Layer</w:t>
      </w:r>
      <w:r w:rsidRPr="004C2984">
        <w:rPr>
          <w:rFonts w:ascii="Baskerville Old Face" w:hAnsi="Baskerville Old Face"/>
          <w:i/>
          <w:iCs/>
        </w:rPr>
        <w:t xml:space="preserve"> — The interface layer through which external AI systems, enterprise assistants, agent frameworks, dashboards, field applications, community tools, and future </w:t>
      </w:r>
      <w:proofErr w:type="spellStart"/>
      <w:r w:rsidRPr="004C2984">
        <w:rPr>
          <w:rFonts w:ascii="Baskerville Old Face" w:hAnsi="Baskerville Old Face"/>
          <w:i/>
          <w:iCs/>
        </w:rPr>
        <w:t>Holochain</w:t>
      </w:r>
      <w:proofErr w:type="spellEnd"/>
      <w:r w:rsidRPr="004C2984">
        <w:rPr>
          <w:rFonts w:ascii="Baskerville Old Face" w:hAnsi="Baskerville Old Face"/>
          <w:i/>
          <w:iCs/>
        </w:rPr>
        <w:t>-native clients may access selected Prometheus capabilities through REST APIs, OpenAI-compatible endpoints, MCP tools, plugin-ready connectors, or equivalent standardized interfaces. The Universal AI Access Layer provides access, routing, drafting, structured output, and decision-support capabilities. It does not create ecological truth, MRV validity, PRU value, RAP exposure, governance authority, legal rights, investor-facing validity, financial admissibility, or canonical authority by itself.</w:t>
      </w:r>
    </w:p>
    <w:p w14:paraId="5A734727" w14:textId="00536F93" w:rsidR="00D657FE" w:rsidRPr="004C2984" w:rsidRDefault="00D657FE" w:rsidP="004C2984">
      <w:pPr>
        <w:spacing w:line="360" w:lineRule="auto"/>
        <w:rPr>
          <w:rFonts w:ascii="Baskerville Old Face" w:hAnsi="Baskerville Old Face"/>
          <w:i/>
          <w:iCs/>
        </w:rPr>
      </w:pPr>
      <w:r w:rsidRPr="00D657FE">
        <w:rPr>
          <w:rFonts w:ascii="Baskerville Old Face" w:hAnsi="Baskerville Old Face"/>
          <w:i/>
          <w:iCs/>
        </w:rPr>
        <w:t>The Universal AI Access Layer should operate consistently with the principle of Regenerative Intelligence Metabolism, using the lowest sufficient level of computation for each task before escalating to cloud-scale or high-capacity AI systems.</w:t>
      </w:r>
    </w:p>
    <w:p w14:paraId="408CD2C6" w14:textId="77777777" w:rsidR="004C2984" w:rsidRPr="004C2984" w:rsidRDefault="004C2984" w:rsidP="004C2984">
      <w:pPr>
        <w:spacing w:line="360" w:lineRule="auto"/>
        <w:rPr>
          <w:rFonts w:ascii="Baskerville Old Face" w:hAnsi="Baskerville Old Face"/>
          <w:i/>
          <w:iCs/>
        </w:rPr>
      </w:pPr>
      <w:r w:rsidRPr="004C2984">
        <w:rPr>
          <w:rFonts w:ascii="Baskerville Old Face" w:hAnsi="Baskerville Old Face"/>
          <w:b/>
          <w:bCs/>
          <w:i/>
          <w:iCs/>
        </w:rPr>
        <w:t>Universal AI Interface Boundary</w:t>
      </w:r>
      <w:r w:rsidRPr="004C2984">
        <w:rPr>
          <w:rFonts w:ascii="Baskerville Old Face" w:hAnsi="Baskerville Old Face"/>
          <w:i/>
          <w:iCs/>
        </w:rPr>
        <w:t xml:space="preserve"> — The constitutional boundary defining what external AI systems may and may not do within Prometheus. External AI interfaces may support interpretation, drafting, diagnostics, scoring, workflow routing, evidence organization, education, and decision support. They </w:t>
      </w:r>
      <w:r w:rsidRPr="004C2984">
        <w:rPr>
          <w:rFonts w:ascii="Baskerville Old Face" w:hAnsi="Baskerville Old Face"/>
          <w:i/>
          <w:iCs/>
        </w:rPr>
        <w:lastRenderedPageBreak/>
        <w:t>may not independently authorize action, validate evidence, approve PRU value, issue tokens, modify legal or governance rights, bypass review, redefine canonical terminology, or create capital-facing claims.</w:t>
      </w:r>
    </w:p>
    <w:p w14:paraId="2995BEEA" w14:textId="2E11A614"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Evaluation and execution authorization</w:t>
      </w:r>
    </w:p>
    <w:p w14:paraId="70C9E4D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distinguishes generation from execution.</w:t>
      </w:r>
    </w:p>
    <w:p w14:paraId="0C5D9B3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An output generated by a model, dashboard, operator, AI system, or governance proposal does not automatically authorize action.</w:t>
      </w:r>
    </w:p>
    <w:p w14:paraId="7E17ADE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Authority must pass through review.</w:t>
      </w:r>
    </w:p>
    <w:p w14:paraId="6D77172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principle applies to ecological interventions, financial representations, PRU updates, governance decisions, methodology changes, and investor-facing claims.</w:t>
      </w:r>
    </w:p>
    <w:p w14:paraId="0CBF77C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Execution authorization may require:</w:t>
      </w:r>
    </w:p>
    <w:p w14:paraId="2861D91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evidence review;</w:t>
      </w:r>
    </w:p>
    <w:p w14:paraId="4CD2271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risk assessment;</w:t>
      </w:r>
    </w:p>
    <w:p w14:paraId="3533629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methodology alignment;</w:t>
      </w:r>
    </w:p>
    <w:p w14:paraId="0F5B347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governance approval;</w:t>
      </w:r>
    </w:p>
    <w:p w14:paraId="38F9B19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legal review;</w:t>
      </w:r>
    </w:p>
    <w:p w14:paraId="5E1EFCA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technical validation;</w:t>
      </w:r>
    </w:p>
    <w:p w14:paraId="65D00DE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manual review;</w:t>
      </w:r>
    </w:p>
    <w:p w14:paraId="79B2325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audit confirmation;</w:t>
      </w:r>
    </w:p>
    <w:p w14:paraId="4441B16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or staged implementation.</w:t>
      </w:r>
    </w:p>
    <w:p w14:paraId="2740BEF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system should be able to distinguish:</w:t>
      </w:r>
    </w:p>
    <w:p w14:paraId="79EB338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draft;</w:t>
      </w:r>
      <w:r w:rsidRPr="00B479AE">
        <w:rPr>
          <w:rFonts w:ascii="Baskerville Old Face" w:hAnsi="Baskerville Old Face"/>
          <w:i/>
          <w:iCs/>
        </w:rPr>
        <w:br/>
        <w:t>proposal;</w:t>
      </w:r>
      <w:r w:rsidRPr="00B479AE">
        <w:rPr>
          <w:rFonts w:ascii="Baskerville Old Face" w:hAnsi="Baskerville Old Face"/>
          <w:i/>
          <w:iCs/>
        </w:rPr>
        <w:br/>
        <w:t>review;</w:t>
      </w:r>
      <w:r w:rsidRPr="00B479AE">
        <w:rPr>
          <w:rFonts w:ascii="Baskerville Old Face" w:hAnsi="Baskerville Old Face"/>
          <w:i/>
          <w:iCs/>
        </w:rPr>
        <w:br/>
      </w:r>
      <w:r w:rsidRPr="00B479AE">
        <w:rPr>
          <w:rFonts w:ascii="Baskerville Old Face" w:hAnsi="Baskerville Old Face"/>
          <w:i/>
          <w:iCs/>
        </w:rPr>
        <w:lastRenderedPageBreak/>
        <w:t>approved action;</w:t>
      </w:r>
      <w:r w:rsidRPr="00B479AE">
        <w:rPr>
          <w:rFonts w:ascii="Baskerville Old Face" w:hAnsi="Baskerville Old Face"/>
          <w:i/>
          <w:iCs/>
        </w:rPr>
        <w:br/>
        <w:t>executed action;</w:t>
      </w:r>
      <w:r w:rsidRPr="00B479AE">
        <w:rPr>
          <w:rFonts w:ascii="Baskerville Old Face" w:hAnsi="Baskerville Old Face"/>
          <w:i/>
          <w:iCs/>
        </w:rPr>
        <w:br/>
        <w:t>verified outcome;</w:t>
      </w:r>
      <w:r w:rsidRPr="00B479AE">
        <w:rPr>
          <w:rFonts w:ascii="Baskerville Old Face" w:hAnsi="Baskerville Old Face"/>
          <w:i/>
          <w:iCs/>
        </w:rPr>
        <w:br/>
        <w:t>reportable result.</w:t>
      </w:r>
    </w:p>
    <w:p w14:paraId="4F243FB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protects the system from opaque execution.</w:t>
      </w:r>
    </w:p>
    <w:p w14:paraId="3CAD5DE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also supports institutional trust.</w:t>
      </w:r>
    </w:p>
    <w:p w14:paraId="61F8E5A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Operational authority begins where evidence becomes admissible.</w:t>
      </w:r>
    </w:p>
    <w:p w14:paraId="248FE78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Stakeholder entry points</w:t>
      </w:r>
    </w:p>
    <w:p w14:paraId="3FB1088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allows different stakeholders to enter at different layers.</w:t>
      </w:r>
    </w:p>
    <w:p w14:paraId="05A19DA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Land stewards and farmers</w:t>
      </w:r>
    </w:p>
    <w:p w14:paraId="242AE63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They may enter through OHE deployment, ecological stewardship, regenerative design, operational records, and local production.</w:t>
      </w:r>
    </w:p>
    <w:p w14:paraId="1CCF9DA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Communities</w:t>
      </w:r>
    </w:p>
    <w:p w14:paraId="63E10F2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They may enter through food systems, education, governance participation, local resilience programs, and community-based stewardship.</w:t>
      </w:r>
    </w:p>
    <w:p w14:paraId="4C0F171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Technologists</w:t>
      </w:r>
    </w:p>
    <w:p w14:paraId="79F4E77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xml:space="preserve">They may enter through MRV tools,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dashboards, APIs, AI support, data provenance, and system interoperability.</w:t>
      </w:r>
    </w:p>
    <w:p w14:paraId="436025C8" w14:textId="512C6AD9"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Researchers and universities</w:t>
      </w:r>
    </w:p>
    <w:p w14:paraId="5A963F0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They may enter through soil science, hydrology, biodiversity, nutrition, systems modeling, AI, MRV methodology, and validation studies.</w:t>
      </w:r>
    </w:p>
    <w:p w14:paraId="50FBB89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Investors</w:t>
      </w:r>
    </w:p>
    <w:p w14:paraId="63E47D2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They may enter through pilot capital, growth capital, project finance, blended finance, RAP structures, or future regulated instruments.</w:t>
      </w:r>
    </w:p>
    <w:p w14:paraId="4FA1F8E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Public entities</w:t>
      </w:r>
    </w:p>
    <w:p w14:paraId="13D7083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They may enter through procurement, climate adaptation, food resilience, land stewardship, health programs, and territorial development.</w:t>
      </w:r>
    </w:p>
    <w:p w14:paraId="3B64073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Auditors and verifiers</w:t>
      </w:r>
    </w:p>
    <w:p w14:paraId="0774C662"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They may enter through independent review, protocol validation, data integrity, laboratory analysis, and methodology assurance.</w:t>
      </w:r>
    </w:p>
    <w:p w14:paraId="25EB607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architecture is designed to allow many forms of contribution without collapsing them into one role.</w:t>
      </w:r>
    </w:p>
    <w:p w14:paraId="51DF836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regenerative system requires differentiated participation.</w:t>
      </w:r>
    </w:p>
    <w:p w14:paraId="06C1C52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Barriers to adoption</w:t>
      </w:r>
    </w:p>
    <w:p w14:paraId="52B5AA8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transition to regenerative infrastructure faces real barriers.</w:t>
      </w:r>
    </w:p>
    <w:p w14:paraId="1E5D02AC" w14:textId="33831BC1"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Structural barriers</w:t>
      </w:r>
    </w:p>
    <w:p w14:paraId="713C485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Existing incentives often reward extraction, land speculation, short-term returns, and externalization of ecological costs.</w:t>
      </w:r>
    </w:p>
    <w:p w14:paraId="30B012D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Regulatory barriers</w:t>
      </w:r>
    </w:p>
    <w:p w14:paraId="6DD0796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Current legal frameworks may not yet fully recognize PRU, RAP, regenerative asset pools, ecological performance units, or tokenized representations of verified regeneration.</w:t>
      </w:r>
    </w:p>
    <w:p w14:paraId="4316D245" w14:textId="77777777" w:rsidR="004C2984" w:rsidRDefault="004C2984" w:rsidP="002C57D8">
      <w:pPr>
        <w:spacing w:line="360" w:lineRule="auto"/>
        <w:rPr>
          <w:rFonts w:ascii="Baskerville Old Face" w:hAnsi="Baskerville Old Face"/>
          <w:b/>
          <w:bCs/>
          <w:i/>
          <w:iCs/>
        </w:rPr>
      </w:pPr>
    </w:p>
    <w:p w14:paraId="71CF664C" w14:textId="54D67A18"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Technical barriers</w:t>
      </w:r>
    </w:p>
    <w:p w14:paraId="3C945CD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Ecological systems are complex to measure.</w:t>
      </w:r>
    </w:p>
    <w:p w14:paraId="22BA2E8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Data sources are heterogeneous.</w:t>
      </w:r>
    </w:p>
    <w:p w14:paraId="5B9787A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Standards are still evolving.</w:t>
      </w:r>
    </w:p>
    <w:p w14:paraId="5F3CA5C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MRV requires discipline.</w:t>
      </w:r>
    </w:p>
    <w:p w14:paraId="34B0AA65" w14:textId="207D6F15"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Cultural barriers</w:t>
      </w:r>
    </w:p>
    <w:p w14:paraId="7885BC2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Many institutions still treat regeneration as philanthropy, not infrastructure.</w:t>
      </w:r>
    </w:p>
    <w:p w14:paraId="3D8F3D3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Many communities have limited access to regenerative knowledge, land, or capital.</w:t>
      </w:r>
    </w:p>
    <w:p w14:paraId="3B2C514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Financial barriers</w:t>
      </w:r>
    </w:p>
    <w:p w14:paraId="2E37ED8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Early-stage regenerative systems may lack historical data, standardized underwriting, liquidity, or recognized collateral structures.</w:t>
      </w:r>
    </w:p>
    <w:p w14:paraId="329F7BB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Governance barriers</w:t>
      </w:r>
    </w:p>
    <w:p w14:paraId="2B597C5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Multi-stakeholder systems can face coordination challenges, capture risk, conflict, and semantic drift.</w:t>
      </w:r>
    </w:p>
    <w:p w14:paraId="2302CD5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does not deny these barriers.</w:t>
      </w:r>
    </w:p>
    <w:p w14:paraId="3D8BAED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is designed to work through them.</w:t>
      </w:r>
    </w:p>
    <w:p w14:paraId="2FDD01D8" w14:textId="77777777" w:rsidR="004A2F3B" w:rsidRDefault="004A2F3B" w:rsidP="002C57D8">
      <w:pPr>
        <w:spacing w:line="360" w:lineRule="auto"/>
        <w:rPr>
          <w:rFonts w:ascii="Baskerville Old Face" w:hAnsi="Baskerville Old Face"/>
          <w:b/>
          <w:bCs/>
          <w:i/>
          <w:iCs/>
        </w:rPr>
      </w:pPr>
    </w:p>
    <w:p w14:paraId="32BF1EBC" w14:textId="343351FC"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Enablers of transition</w:t>
      </w:r>
    </w:p>
    <w:p w14:paraId="690AE7B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Several forces make Prometheus timely.</w:t>
      </w:r>
    </w:p>
    <w:p w14:paraId="6268340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Ecological necessity</w:t>
      </w:r>
    </w:p>
    <w:p w14:paraId="52A063C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Degradation is becoming increasingly expensive.</w:t>
      </w:r>
    </w:p>
    <w:p w14:paraId="6E21B45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Regeneration is becoming increasingly rational.</w:t>
      </w:r>
    </w:p>
    <w:p w14:paraId="1E0F898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Technological maturity</w:t>
      </w:r>
    </w:p>
    <w:p w14:paraId="551AD9E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Sensors, satellites, AI, distributed systems, and digital provenance tools now make ecological observation more precise.</w:t>
      </w:r>
    </w:p>
    <w:p w14:paraId="02273E8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Capital-market demand</w:t>
      </w:r>
    </w:p>
    <w:p w14:paraId="36977ED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Investors are searching for resilient real assets, inflation hedges, nature-aligned opportunities, and low-correlation portfolios.</w:t>
      </w:r>
    </w:p>
    <w:p w14:paraId="6CE8D85D" w14:textId="42D79D9A"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Policy evolution</w:t>
      </w:r>
    </w:p>
    <w:p w14:paraId="3BC160B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Nature-related disclosure, climate adaptation, food resilience, biodiversity protection, and public-health prevention are gaining institutional attention.</w:t>
      </w:r>
    </w:p>
    <w:p w14:paraId="04A8534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Community demand</w:t>
      </w:r>
    </w:p>
    <w:p w14:paraId="488F9BD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Local food, land regeneration, health, trust, and territorial resilience are becoming practical needs rather than abstract ideals.</w:t>
      </w:r>
    </w:p>
    <w:p w14:paraId="485B5BA8" w14:textId="70E98C03"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RWA infrastructure</w:t>
      </w:r>
    </w:p>
    <w:p w14:paraId="73D804D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Real-world asset tokenization is creating new channels for programmable representation of structured assets.</w:t>
      </w:r>
    </w:p>
    <w:p w14:paraId="413F5B0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convergence of these forces creates an implementation window.</w:t>
      </w:r>
    </w:p>
    <w:p w14:paraId="369476D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is designed to occupy that window with discipline.</w:t>
      </w:r>
    </w:p>
    <w:p w14:paraId="78A0A2C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Scaling logic</w:t>
      </w:r>
    </w:p>
    <w:p w14:paraId="459253E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scales fractally.</w:t>
      </w:r>
    </w:p>
    <w:p w14:paraId="19A8F4F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same core logic appears at different scales:</w:t>
      </w:r>
    </w:p>
    <w:p w14:paraId="01CAAF34"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OHE;</w:t>
      </w:r>
      <w:r w:rsidRPr="00B479AE">
        <w:rPr>
          <w:rFonts w:ascii="Baskerville Old Face" w:hAnsi="Baskerville Old Face"/>
          <w:i/>
          <w:iCs/>
        </w:rPr>
        <w:br/>
        <w:t>cluster;</w:t>
      </w:r>
      <w:r w:rsidRPr="00B479AE">
        <w:rPr>
          <w:rFonts w:ascii="Baskerville Old Face" w:hAnsi="Baskerville Old Face"/>
          <w:i/>
          <w:iCs/>
        </w:rPr>
        <w:br/>
        <w:t>bioregion;</w:t>
      </w:r>
      <w:r w:rsidRPr="00B479AE">
        <w:rPr>
          <w:rFonts w:ascii="Baskerville Old Face" w:hAnsi="Baskerville Old Face"/>
          <w:i/>
          <w:iCs/>
        </w:rPr>
        <w:br/>
        <w:t>RAP;</w:t>
      </w:r>
      <w:r w:rsidRPr="00B479AE">
        <w:rPr>
          <w:rFonts w:ascii="Baskerville Old Face" w:hAnsi="Baskerville Old Face"/>
          <w:i/>
          <w:iCs/>
        </w:rPr>
        <w:br/>
        <w:t>institutional portfolio.</w:t>
      </w:r>
    </w:p>
    <w:p w14:paraId="57B020F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At each scale, the system must preserve:</w:t>
      </w:r>
    </w:p>
    <w:p w14:paraId="1AECF9E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ecological grounding;</w:t>
      </w:r>
    </w:p>
    <w:p w14:paraId="103CB5F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verification integrity;</w:t>
      </w:r>
    </w:p>
    <w:p w14:paraId="041CA4E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governance coherence;</w:t>
      </w:r>
    </w:p>
    <w:p w14:paraId="59EF47A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financial discipline;</w:t>
      </w:r>
    </w:p>
    <w:p w14:paraId="4B9B9BD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legal clarity;</w:t>
      </w:r>
    </w:p>
    <w:p w14:paraId="2BB580D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 data provenance;</w:t>
      </w:r>
    </w:p>
    <w:p w14:paraId="6D1C586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operational learning;</w:t>
      </w:r>
    </w:p>
    <w:p w14:paraId="737825E8"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 community relevance.</w:t>
      </w:r>
    </w:p>
    <w:p w14:paraId="63532200"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form changes.</w:t>
      </w:r>
    </w:p>
    <w:p w14:paraId="074C496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principles remain.</w:t>
      </w:r>
    </w:p>
    <w:p w14:paraId="14A96B8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is what allows Prometheus to scale without becoming extractive.</w:t>
      </w:r>
    </w:p>
    <w:p w14:paraId="428F1C32" w14:textId="730781C0"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Knowledge flywheel</w:t>
      </w:r>
    </w:p>
    <w:p w14:paraId="0739713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Each deployment generates learning.</w:t>
      </w:r>
    </w:p>
    <w:p w14:paraId="41B86C7F"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Each learning improves design.</w:t>
      </w:r>
    </w:p>
    <w:p w14:paraId="5B271C1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Improved design improves ecological outcomes.</w:t>
      </w:r>
    </w:p>
    <w:p w14:paraId="066DF4B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Better ecological outcomes improve PRU quality.</w:t>
      </w:r>
    </w:p>
    <w:p w14:paraId="435250E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Improved PRU quality improves capital access.</w:t>
      </w:r>
    </w:p>
    <w:p w14:paraId="47F64C6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Better capital access enables more deployment.</w:t>
      </w:r>
    </w:p>
    <w:p w14:paraId="4EDE5593"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More deployment generates more data.</w:t>
      </w:r>
    </w:p>
    <w:p w14:paraId="4285C4C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More data improves models, governance, risk scoring, and underwriting.</w:t>
      </w:r>
    </w:p>
    <w:p w14:paraId="20DB51C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is the Prometheus knowledge flywheel.</w:t>
      </w:r>
    </w:p>
    <w:p w14:paraId="18DDE5D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transforms experience into infrastructure.</w:t>
      </w:r>
    </w:p>
    <w:p w14:paraId="13C71DB5"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Toward regenerative civilization</w:t>
      </w:r>
    </w:p>
    <w:p w14:paraId="58CB6FDC"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is not designed to replace existing systems overnight.</w:t>
      </w:r>
    </w:p>
    <w:p w14:paraId="0F8F333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is designed to create a parallel infrastructure capable of demonstrating a different logic of value.</w:t>
      </w:r>
    </w:p>
    <w:p w14:paraId="03ACE58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As ecological constraints intensify, systems capable of regenerating their own foundations become increasingly valuable.</w:t>
      </w:r>
    </w:p>
    <w:p w14:paraId="1AEF35E1"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lastRenderedPageBreak/>
        <w:t>As capital seeks resilience, verified regenerative infrastructure becomes increasingly relevant.</w:t>
      </w:r>
    </w:p>
    <w:p w14:paraId="65F2C28A"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As technology becomes more powerful, the need for life-aligned governance becomes more urgent.</w:t>
      </w:r>
    </w:p>
    <w:p w14:paraId="2D1E251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As communities face fragmentation, systems that restore trust, food, soil, water, and meaning become strategic infrastructure.</w:t>
      </w:r>
    </w:p>
    <w:p w14:paraId="7882A27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implementation roadmap therefore points toward a broader civilizational transition.</w:t>
      </w:r>
    </w:p>
    <w:p w14:paraId="469FED1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future economy cannot be built only on extraction, abstraction, and acceleration.</w:t>
      </w:r>
    </w:p>
    <w:p w14:paraId="0057BCB7"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must be built on systems that can heal while they produce.</w:t>
      </w:r>
    </w:p>
    <w:p w14:paraId="40EF69C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Prometheus is one architecture for that future.</w:t>
      </w:r>
    </w:p>
    <w:p w14:paraId="3BBA0B6E"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b/>
          <w:bCs/>
          <w:i/>
          <w:iCs/>
        </w:rPr>
        <w:t>Transition to the next part</w:t>
      </w:r>
    </w:p>
    <w:p w14:paraId="6B5540CB"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This part described the implementation roadmap and scaling strategy.</w:t>
      </w:r>
    </w:p>
    <w:p w14:paraId="40A390AD"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The next part defines the risk, compliance, and institutional discipline required to protect the architecture as it moves toward capital markets.</w:t>
      </w:r>
    </w:p>
    <w:p w14:paraId="5DF20A19"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A new asset class cannot be built only on vision.</w:t>
      </w:r>
    </w:p>
    <w:p w14:paraId="297A4556" w14:textId="77777777" w:rsidR="002C57D8" w:rsidRPr="00B479AE" w:rsidRDefault="002C57D8" w:rsidP="002C57D8">
      <w:pPr>
        <w:spacing w:line="360" w:lineRule="auto"/>
        <w:rPr>
          <w:rFonts w:ascii="Baskerville Old Face" w:hAnsi="Baskerville Old Face"/>
          <w:i/>
          <w:iCs/>
        </w:rPr>
      </w:pPr>
      <w:r w:rsidRPr="00B479AE">
        <w:rPr>
          <w:rFonts w:ascii="Baskerville Old Face" w:hAnsi="Baskerville Old Face"/>
          <w:i/>
          <w:iCs/>
        </w:rPr>
        <w:t>It must be built on transparent risks, legal boundaries, auditability, anti-greenwashing discipline, and investor-grade reporting.</w:t>
      </w:r>
    </w:p>
    <w:p w14:paraId="6EC4018D" w14:textId="77777777" w:rsidR="004C2984" w:rsidRDefault="004C2984" w:rsidP="002C57D8">
      <w:pPr>
        <w:spacing w:line="360" w:lineRule="auto"/>
        <w:rPr>
          <w:rFonts w:ascii="Baskerville Old Face" w:hAnsi="Baskerville Old Face"/>
          <w:i/>
          <w:iCs/>
        </w:rPr>
      </w:pPr>
    </w:p>
    <w:p w14:paraId="21E24695" w14:textId="339D17D3" w:rsidR="001149CC" w:rsidRPr="00B479AE" w:rsidRDefault="001149CC" w:rsidP="00E6319E">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VIII</w:t>
      </w:r>
      <w:r w:rsidR="00E6319E"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Risk, Compliance, and Institutional Discipline</w:t>
      </w:r>
    </w:p>
    <w:p w14:paraId="00BA84B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Risk as a design condition</w:t>
      </w:r>
    </w:p>
    <w:p w14:paraId="0E8332D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regenerative asset class cannot be built on vision alone.</w:t>
      </w:r>
    </w:p>
    <w:p w14:paraId="5A42E07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must be built on transparent risk recognition, methodological discipline, legal clarity, auditability, and investor-grade reporting.</w:t>
      </w:r>
    </w:p>
    <w:p w14:paraId="52AAF41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operates at the intersection of living systems, financial structures, digital infrastructure, governance protocols, ecological verification, and future compliant market representations.</w:t>
      </w:r>
    </w:p>
    <w:p w14:paraId="0362DBE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This makes risk management a constitutional requirement, not an administrative appendix.</w:t>
      </w:r>
    </w:p>
    <w:p w14:paraId="029A82E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Risk is not treated as a defect of the system.</w:t>
      </w:r>
    </w:p>
    <w:p w14:paraId="7C9BF5C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Risk is treated as a design condition.</w:t>
      </w:r>
    </w:p>
    <w:p w14:paraId="063015A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Living systems involve uncertainty.</w:t>
      </w:r>
    </w:p>
    <w:p w14:paraId="7DBA9F8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Capital markets involve volatility.</w:t>
      </w:r>
    </w:p>
    <w:p w14:paraId="7B86AFF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Digital systems involve technical and governance dependencies.</w:t>
      </w:r>
    </w:p>
    <w:p w14:paraId="7918AFD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Tokenized representations involve legal and regulatory complexity.</w:t>
      </w:r>
    </w:p>
    <w:p w14:paraId="431F2F6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Human systems involve coordination, interpretation, and trust.</w:t>
      </w:r>
    </w:p>
    <w:p w14:paraId="1E6ABAA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becomes credible by making these risks visible, structured, monitored, and governable.</w:t>
      </w:r>
    </w:p>
    <w:p w14:paraId="7F87FEB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purpose of this part is therefore not to weaken the Prometheus thesis.</w:t>
      </w:r>
    </w:p>
    <w:p w14:paraId="1F42E4E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is to strengthen it.</w:t>
      </w:r>
    </w:p>
    <w:p w14:paraId="6455587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system that can name its risks can govern its evolution.</w:t>
      </w:r>
    </w:p>
    <w:p w14:paraId="392F136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system that can govern its evolution can mature into infrastructure.</w:t>
      </w:r>
    </w:p>
    <w:p w14:paraId="5E078E1C" w14:textId="3B456E1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Institutional discipline</w:t>
      </w:r>
    </w:p>
    <w:p w14:paraId="62E3BD8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Institutional discipline is the capacity of a system to preserve meaning, evidence, governance, and legal clarity under expansion.</w:t>
      </w:r>
    </w:p>
    <w:p w14:paraId="55EA0F4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requires institutional discipline because it proposes a new category of value: verified regenerative infrastructure.</w:t>
      </w:r>
    </w:p>
    <w:p w14:paraId="0F59C61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New categories attract enthusiasm.</w:t>
      </w:r>
    </w:p>
    <w:p w14:paraId="0211B81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They also attract inflation.</w:t>
      </w:r>
    </w:p>
    <w:p w14:paraId="7CCF889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Conceptual inflation occurs when future potential is treated as present value.</w:t>
      </w:r>
    </w:p>
    <w:p w14:paraId="40B7107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Financial inflation occurs when weak evidence is converted into strong claims.</w:t>
      </w:r>
    </w:p>
    <w:p w14:paraId="49FEDA3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Governance inflation occurs when participation is confused with entitlement.</w:t>
      </w:r>
    </w:p>
    <w:p w14:paraId="5106C3BA" w14:textId="77777777" w:rsidR="001149CC" w:rsidRPr="00B479AE" w:rsidRDefault="001149CC" w:rsidP="001149CC">
      <w:pPr>
        <w:spacing w:line="360" w:lineRule="auto"/>
        <w:rPr>
          <w:rFonts w:ascii="Baskerville Old Face" w:hAnsi="Baskerville Old Face"/>
          <w:i/>
          <w:iCs/>
        </w:rPr>
      </w:pP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inflation occurs when digital representation is confused with underlying value.</w:t>
      </w:r>
    </w:p>
    <w:p w14:paraId="0B8F9C8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Ecological inflation occurs when symbolic sustainability is confused with measurable regeneration.</w:t>
      </w:r>
    </w:p>
    <w:p w14:paraId="1F7588D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addresses these risks through separation, verification, and admissibility.</w:t>
      </w:r>
    </w:p>
    <w:p w14:paraId="7B10769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Each layer of the system must remain clear:</w:t>
      </w:r>
    </w:p>
    <w:p w14:paraId="41A2D68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ecological performance;</w:t>
      </w:r>
    </w:p>
    <w:p w14:paraId="1F0BBD5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MRV evidence;</w:t>
      </w:r>
    </w:p>
    <w:p w14:paraId="206BD8C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verified indicators;</w:t>
      </w:r>
    </w:p>
    <w:p w14:paraId="6468DF4D" w14:textId="1895C384" w:rsidR="001149CC" w:rsidRPr="00B479AE" w:rsidRDefault="00EE7E97" w:rsidP="001149CC">
      <w:pPr>
        <w:spacing w:line="360" w:lineRule="auto"/>
        <w:rPr>
          <w:rFonts w:ascii="Baskerville Old Face" w:hAnsi="Baskerville Old Face"/>
          <w:i/>
          <w:iCs/>
        </w:rPr>
      </w:pPr>
      <w:r w:rsidRPr="00B479AE">
        <w:rPr>
          <w:rFonts w:ascii="Baskerville Old Face" w:hAnsi="Baskerville Old Face"/>
          <w:i/>
          <w:iCs/>
        </w:rPr>
        <w:t>PRU value-analysis layer</w:t>
      </w:r>
      <w:r w:rsidR="001149CC" w:rsidRPr="00B479AE">
        <w:rPr>
          <w:rFonts w:ascii="Baskerville Old Face" w:hAnsi="Baskerville Old Face"/>
          <w:i/>
          <w:iCs/>
        </w:rPr>
        <w:t>;</w:t>
      </w:r>
    </w:p>
    <w:p w14:paraId="264B7AF8" w14:textId="3CA4BB96" w:rsidR="001149CC" w:rsidRPr="00B479AE" w:rsidRDefault="000350E2" w:rsidP="001149CC">
      <w:pPr>
        <w:spacing w:line="360" w:lineRule="auto"/>
        <w:rPr>
          <w:rFonts w:ascii="Baskerville Old Face" w:hAnsi="Baskerville Old Face"/>
          <w:i/>
          <w:iCs/>
        </w:rPr>
      </w:pPr>
      <w:r w:rsidRPr="00B479AE">
        <w:rPr>
          <w:rFonts w:ascii="Baskerville Old Face" w:hAnsi="Baskerville Old Face"/>
          <w:i/>
          <w:iCs/>
        </w:rPr>
        <w:t>PRU maturity classification</w:t>
      </w:r>
      <w:r w:rsidR="001149CC" w:rsidRPr="00B479AE">
        <w:rPr>
          <w:rFonts w:ascii="Baskerville Old Face" w:hAnsi="Baskerville Old Face"/>
          <w:i/>
          <w:iCs/>
        </w:rPr>
        <w:t>;</w:t>
      </w:r>
    </w:p>
    <w:p w14:paraId="38B9487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Regenerative Asset Pool construction;</w:t>
      </w:r>
    </w:p>
    <w:p w14:paraId="371D1AC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governance participation;</w:t>
      </w:r>
    </w:p>
    <w:p w14:paraId="7299043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legal wrapper;</w:t>
      </w:r>
    </w:p>
    <w:p w14:paraId="73433CC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capital exposure;</w:t>
      </w:r>
    </w:p>
    <w:p w14:paraId="757F316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digital or tokenized representation.</w:t>
      </w:r>
    </w:p>
    <w:p w14:paraId="2B96FC2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strength of Prometheus depends on keeping these layers interoperable but distinct.</w:t>
      </w:r>
    </w:p>
    <w:p w14:paraId="5A5560B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is the architecture of trust.</w:t>
      </w:r>
    </w:p>
    <w:p w14:paraId="186CAE9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Core risk framework</w:t>
      </w:r>
    </w:p>
    <w:p w14:paraId="1C739E3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adopts a multi-layer risk framework.</w:t>
      </w:r>
    </w:p>
    <w:p w14:paraId="1A89946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principal risk categories are:</w:t>
      </w:r>
    </w:p>
    <w:p w14:paraId="2B0DEC0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ecological risk;</w:t>
      </w:r>
    </w:p>
    <w:p w14:paraId="5024E1D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MRV and data-quality risk;</w:t>
      </w:r>
    </w:p>
    <w:p w14:paraId="31F90DB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operational risk;</w:t>
      </w:r>
    </w:p>
    <w:p w14:paraId="3A90BF3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risk;</w:t>
      </w:r>
    </w:p>
    <w:p w14:paraId="5E04534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legal and regulatory risk;</w:t>
      </w:r>
    </w:p>
    <w:p w14:paraId="66FAE03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securities and tokenization risk;</w:t>
      </w:r>
    </w:p>
    <w:p w14:paraId="41799F7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financial and liquidity risk;</w:t>
      </w:r>
    </w:p>
    <w:p w14:paraId="71E846A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technological infrastructure risk;</w:t>
      </w:r>
    </w:p>
    <w:p w14:paraId="76EADF4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AI and model risk;</w:t>
      </w:r>
    </w:p>
    <w:p w14:paraId="2B85E2E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land and stewardship risk;</w:t>
      </w:r>
    </w:p>
    <w:p w14:paraId="4A5E352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adoption and market risk;</w:t>
      </w:r>
    </w:p>
    <w:p w14:paraId="1B29B0F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reputational and greenwashing risk.</w:t>
      </w:r>
    </w:p>
    <w:p w14:paraId="2977F75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Each risk category must be connected to:</w:t>
      </w:r>
    </w:p>
    <w:p w14:paraId="7A5869C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source of risk;</w:t>
      </w:r>
    </w:p>
    <w:p w14:paraId="2CDE880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likelihood;</w:t>
      </w:r>
    </w:p>
    <w:p w14:paraId="7014555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severity;</w:t>
      </w:r>
    </w:p>
    <w:p w14:paraId="571A052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mitigation strategy;</w:t>
      </w:r>
    </w:p>
    <w:p w14:paraId="1C44856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monitoring process;</w:t>
      </w:r>
    </w:p>
    <w:p w14:paraId="0BBEB14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residual exposure;</w:t>
      </w:r>
    </w:p>
    <w:p w14:paraId="2DA31FF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escalation pathway;</w:t>
      </w:r>
    </w:p>
    <w:p w14:paraId="660D612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reporting obligation.</w:t>
      </w:r>
    </w:p>
    <w:p w14:paraId="2A53FD2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makes risk reviewable.</w:t>
      </w:r>
    </w:p>
    <w:p w14:paraId="732312D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Risk becomes part of the infrastructure rather than an unmanaged shadow around it.</w:t>
      </w:r>
    </w:p>
    <w:p w14:paraId="23977863" w14:textId="37189FD2"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Ecological risk</w:t>
      </w:r>
    </w:p>
    <w:p w14:paraId="04F2283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Ecological risk arises from the complexity of living systems.</w:t>
      </w:r>
    </w:p>
    <w:p w14:paraId="58FC721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Regenerative systems do not behave as mechanical assets.</w:t>
      </w:r>
    </w:p>
    <w:p w14:paraId="67B175C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They are influenced by climate, soil type, hydrology, biodiversity, species selection, management skill, pests, diseases, extreme weather, fire, drought, flooding, and disturbance.</w:t>
      </w:r>
    </w:p>
    <w:p w14:paraId="1DFF5D0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An OHE may underperform.</w:t>
      </w:r>
    </w:p>
    <w:p w14:paraId="68A1CA2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syntropic design may require adaptation.</w:t>
      </w:r>
    </w:p>
    <w:p w14:paraId="21D56C3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species mix may fail under local conditions.</w:t>
      </w:r>
    </w:p>
    <w:p w14:paraId="13A4AA2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Soil recovery may take longer than expected.</w:t>
      </w:r>
    </w:p>
    <w:p w14:paraId="2F2195C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Water retention may improve more slowly than projected.</w:t>
      </w:r>
    </w:p>
    <w:p w14:paraId="367AEE4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Biodiversity may respond unevenly.</w:t>
      </w:r>
    </w:p>
    <w:p w14:paraId="2514A3A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ecological risk through:</w:t>
      </w:r>
    </w:p>
    <w:p w14:paraId="23D68FB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conservative site screening;</w:t>
      </w:r>
    </w:p>
    <w:p w14:paraId="7955123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baseline assessment;</w:t>
      </w:r>
    </w:p>
    <w:p w14:paraId="4FA97A1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water-first design;</w:t>
      </w:r>
    </w:p>
    <w:p w14:paraId="33BC91C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diversified species selection;</w:t>
      </w:r>
    </w:p>
    <w:p w14:paraId="6432451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syntropic succession planning;</w:t>
      </w:r>
    </w:p>
    <w:p w14:paraId="779107C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phased deployment;</w:t>
      </w:r>
    </w:p>
    <w:p w14:paraId="11E42C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ecological monitoring;</w:t>
      </w:r>
    </w:p>
    <w:p w14:paraId="798317E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adaptive management;</w:t>
      </w:r>
    </w:p>
    <w:p w14:paraId="3539B62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contingency reserves;</w:t>
      </w:r>
    </w:p>
    <w:p w14:paraId="020E45C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local stewardship training;</w:t>
      </w:r>
    </w:p>
    <w:p w14:paraId="7898631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evidence-based redesign;</w:t>
      </w:r>
    </w:p>
    <w:p w14:paraId="091E949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portfolio diversification through RAPs.</w:t>
      </w:r>
    </w:p>
    <w:p w14:paraId="7536716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system does not require every site to perform perfectly.</w:t>
      </w:r>
    </w:p>
    <w:p w14:paraId="44A8E6B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requires each site to remain observable, adaptive, and accountable.</w:t>
      </w:r>
    </w:p>
    <w:p w14:paraId="1EA6D45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At portfolio level, ecological risk can be reduced by diversification across climates, soils, maturity stages, species compositions, operators, and geographies.</w:t>
      </w:r>
    </w:p>
    <w:p w14:paraId="012DD93E" w14:textId="5ED06930"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MRV and data-quality risk</w:t>
      </w:r>
    </w:p>
    <w:p w14:paraId="56F3D0C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MRV risk arises when ecological evidence is incomplete, inaccurate, inconsistent, manipulated, poorly sampled, or insufficiently comparable.</w:t>
      </w:r>
    </w:p>
    <w:p w14:paraId="629C3C8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is one of the most important risks in Prometheus because PRU logic depends on verified performance.</w:t>
      </w:r>
    </w:p>
    <w:p w14:paraId="1ECBDA9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Weak MRV weakens the asset.</w:t>
      </w:r>
    </w:p>
    <w:p w14:paraId="0D8EC0B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Strong MRV strengthens the asset.</w:t>
      </w:r>
    </w:p>
    <w:p w14:paraId="38849DE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MRV risk may include:</w:t>
      </w:r>
    </w:p>
    <w:p w14:paraId="52AA63D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poor baseline data;</w:t>
      </w:r>
    </w:p>
    <w:p w14:paraId="6DC4D61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sensor failure;</w:t>
      </w:r>
    </w:p>
    <w:p w14:paraId="3355356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laboratory inconsistency;</w:t>
      </w:r>
    </w:p>
    <w:p w14:paraId="66EE613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missing records;</w:t>
      </w:r>
    </w:p>
    <w:p w14:paraId="62139E8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sampling protocols;</w:t>
      </w:r>
    </w:p>
    <w:p w14:paraId="25B5289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satellite-resolution limitations;</w:t>
      </w:r>
    </w:p>
    <w:p w14:paraId="31E3CFC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data gaps;</w:t>
      </w:r>
    </w:p>
    <w:p w14:paraId="0BA6B66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inconsistent methodology;</w:t>
      </w:r>
    </w:p>
    <w:p w14:paraId="15AF336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unverified human observations;</w:t>
      </w:r>
    </w:p>
    <w:p w14:paraId="7D52D40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excessive reliance on proxies;</w:t>
      </w:r>
    </w:p>
    <w:p w14:paraId="6D9DB8F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data manipulation;</w:t>
      </w:r>
    </w:p>
    <w:p w14:paraId="56CD7EB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unclear provenance;</w:t>
      </w:r>
    </w:p>
    <w:p w14:paraId="2483527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double counting.</w:t>
      </w:r>
    </w:p>
    <w:p w14:paraId="5CFEFE6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MRV risk through:</w:t>
      </w:r>
    </w:p>
    <w:p w14:paraId="3D72ECE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multi-source verification;</w:t>
      </w:r>
    </w:p>
    <w:p w14:paraId="7CF7C6F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baseline protocols;</w:t>
      </w:r>
    </w:p>
    <w:p w14:paraId="4899CD0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sensor calibration records;</w:t>
      </w:r>
    </w:p>
    <w:p w14:paraId="4F5B356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laboratory chain of custody;</w:t>
      </w:r>
    </w:p>
    <w:p w14:paraId="791D4CB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satellite and drone triangulation;</w:t>
      </w:r>
    </w:p>
    <w:p w14:paraId="7414280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human audit structures;</w:t>
      </w:r>
    </w:p>
    <w:p w14:paraId="4451370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provenance tracking;</w:t>
      </w:r>
    </w:p>
    <w:p w14:paraId="7AB95D0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confidence scoring;</w:t>
      </w:r>
    </w:p>
    <w:p w14:paraId="343228E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methodology versioning;</w:t>
      </w:r>
    </w:p>
    <w:p w14:paraId="03575C6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anomaly detection;</w:t>
      </w:r>
    </w:p>
    <w:p w14:paraId="4981211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data-quality flags;</w:t>
      </w:r>
    </w:p>
    <w:p w14:paraId="79DEDC8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independent verification where required.</w:t>
      </w:r>
    </w:p>
    <w:p w14:paraId="75BFD05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system should never treat all evidence as equal.</w:t>
      </w:r>
    </w:p>
    <w:p w14:paraId="5AA929A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Evidence must carry its confidence.</w:t>
      </w:r>
    </w:p>
    <w:p w14:paraId="26B073A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low-confidence indicator may guide learning.</w:t>
      </w:r>
    </w:p>
    <w:p w14:paraId="5A51315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high-confidence indicator may support reporting.</w:t>
      </w:r>
    </w:p>
    <w:p w14:paraId="77DEE3D8" w14:textId="4BB0C3A8"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xml:space="preserve">Only admissible evidence may support </w:t>
      </w:r>
      <w:r w:rsidR="001866E1" w:rsidRPr="00B479AE">
        <w:rPr>
          <w:rFonts w:ascii="Baskerville Old Face" w:hAnsi="Baskerville Old Face"/>
          <w:i/>
          <w:iCs/>
        </w:rPr>
        <w:t>PRU value analysis.</w:t>
      </w:r>
    </w:p>
    <w:p w14:paraId="3CD7BE5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preserves the credibility of the financial layer.</w:t>
      </w:r>
    </w:p>
    <w:p w14:paraId="3BAF0161" w14:textId="207F541C"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lastRenderedPageBreak/>
        <w:t>Operational risk</w:t>
      </w:r>
    </w:p>
    <w:p w14:paraId="43D4A8E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Operational risk arises from the execution of the regenerative system.</w:t>
      </w:r>
    </w:p>
    <w:p w14:paraId="506158E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Even a strong design can fail if implementation is weak.</w:t>
      </w:r>
    </w:p>
    <w:p w14:paraId="419C505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Operational risk may include:</w:t>
      </w:r>
    </w:p>
    <w:p w14:paraId="24C3CD5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poor project management;</w:t>
      </w:r>
    </w:p>
    <w:p w14:paraId="06A9360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incomplete deployment;</w:t>
      </w:r>
    </w:p>
    <w:p w14:paraId="2489B56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insufficient stewardship;</w:t>
      </w:r>
    </w:p>
    <w:p w14:paraId="52021A7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maintenance;</w:t>
      </w:r>
    </w:p>
    <w:p w14:paraId="35BE61C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cost overruns;</w:t>
      </w:r>
    </w:p>
    <w:p w14:paraId="63BB117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delayed planting;</w:t>
      </w:r>
    </w:p>
    <w:p w14:paraId="1A9A2F8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irrigation failure;</w:t>
      </w:r>
    </w:p>
    <w:p w14:paraId="281EA02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inadequate pruning;</w:t>
      </w:r>
    </w:p>
    <w:p w14:paraId="39F26B3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missing records;</w:t>
      </w:r>
    </w:p>
    <w:p w14:paraId="240799D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labor shortages;</w:t>
      </w:r>
    </w:p>
    <w:p w14:paraId="52A5687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training;</w:t>
      </w:r>
    </w:p>
    <w:p w14:paraId="2EA50F7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supplier delays;</w:t>
      </w:r>
    </w:p>
    <w:p w14:paraId="0D4E521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equipment failure;</w:t>
      </w:r>
    </w:p>
    <w:p w14:paraId="10AF453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inconsistent reporting;</w:t>
      </w:r>
    </w:p>
    <w:p w14:paraId="2EFF568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failure to follow runbooks.</w:t>
      </w:r>
    </w:p>
    <w:p w14:paraId="14A7431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operational risk through:</w:t>
      </w:r>
    </w:p>
    <w:p w14:paraId="6FC4F50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operational readiness checks;</w:t>
      </w:r>
    </w:p>
    <w:p w14:paraId="71FA336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execution gates;</w:t>
      </w:r>
    </w:p>
    <w:p w14:paraId="26924F6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standard operating procedures;</w:t>
      </w:r>
    </w:p>
    <w:p w14:paraId="55FC242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stewardship training;</w:t>
      </w:r>
    </w:p>
    <w:p w14:paraId="450436A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maintenance calendars;</w:t>
      </w:r>
    </w:p>
    <w:p w14:paraId="4DB06A0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documented workflows;</w:t>
      </w:r>
    </w:p>
    <w:p w14:paraId="03E0301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budget controls;</w:t>
      </w:r>
    </w:p>
    <w:p w14:paraId="4AA28A6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contingency planning;</w:t>
      </w:r>
    </w:p>
    <w:p w14:paraId="58A437E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operational logs;</w:t>
      </w:r>
    </w:p>
    <w:p w14:paraId="2F028D3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review;</w:t>
      </w:r>
    </w:p>
    <w:p w14:paraId="0FF1269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 / NO_GO / MANUAL_REVIEW logic;</w:t>
      </w:r>
    </w:p>
    <w:p w14:paraId="316248F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periodic performance assessment.</w:t>
      </w:r>
    </w:p>
    <w:p w14:paraId="229725D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Operational discipline converts intention into infrastructure.</w:t>
      </w:r>
    </w:p>
    <w:p w14:paraId="1B92B23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Without it, regeneration remains fragile.</w:t>
      </w:r>
    </w:p>
    <w:p w14:paraId="65CAF7E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With it, regeneration becomes repeatable.</w:t>
      </w:r>
    </w:p>
    <w:p w14:paraId="3694A37F" w14:textId="24A28733"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Governance risk</w:t>
      </w:r>
    </w:p>
    <w:p w14:paraId="7F51056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Governance risk arises when decision-making becomes unclear, captured, inconsistent, opaque, or misaligned with the regenerative purpose of the system.</w:t>
      </w:r>
    </w:p>
    <w:p w14:paraId="6249C23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involves multiple actors: stewards, communities, investors, protocol maintainers, auditors, developers, capital allocators, institutional partners, and future token participants.</w:t>
      </w:r>
    </w:p>
    <w:p w14:paraId="42ADC5C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creates coordination complexity.</w:t>
      </w:r>
    </w:p>
    <w:p w14:paraId="1F89236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Governance risk may include:</w:t>
      </w:r>
    </w:p>
    <w:p w14:paraId="6B211F6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role confusion;</w:t>
      </w:r>
    </w:p>
    <w:p w14:paraId="70BDC61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capture by capital;</w:t>
      </w:r>
    </w:p>
    <w:p w14:paraId="3B6487D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capture by operators;</w:t>
      </w:r>
    </w:p>
    <w:p w14:paraId="1ABD15B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unclear voting rights;</w:t>
      </w:r>
    </w:p>
    <w:p w14:paraId="62F6943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conflict resolution;</w:t>
      </w:r>
    </w:p>
    <w:p w14:paraId="28A135E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poor transparency;</w:t>
      </w:r>
    </w:p>
    <w:p w14:paraId="4B9CFD8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excessive centralization;</w:t>
      </w:r>
    </w:p>
    <w:p w14:paraId="60B65F5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participation without responsibility;</w:t>
      </w:r>
    </w:p>
    <w:p w14:paraId="4F742A6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fatigue;</w:t>
      </w:r>
    </w:p>
    <w:p w14:paraId="368C7CA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misalignment between local and protocol-level decisions;</w:t>
      </w:r>
    </w:p>
    <w:p w14:paraId="4697D3F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semantic drift in methodology.</w:t>
      </w:r>
    </w:p>
    <w:p w14:paraId="49AB596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governance risk through:</w:t>
      </w:r>
    </w:p>
    <w:p w14:paraId="4D91F13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constitutional definitions;</w:t>
      </w:r>
    </w:p>
    <w:p w14:paraId="72DF2C7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role clarity;</w:t>
      </w:r>
    </w:p>
    <w:p w14:paraId="76BA6DA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Stewardship Circles;</w:t>
      </w:r>
    </w:p>
    <w:p w14:paraId="690DB35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multi-stakeholder review;</w:t>
      </w:r>
    </w:p>
    <w:p w14:paraId="4DA65E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transparent decision records;</w:t>
      </w:r>
    </w:p>
    <w:p w14:paraId="0276216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quorum rules;</w:t>
      </w:r>
    </w:p>
    <w:p w14:paraId="08EC719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methodology update procedures;</w:t>
      </w:r>
    </w:p>
    <w:p w14:paraId="71CD98E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dispute-resolution pathways;</w:t>
      </w:r>
    </w:p>
    <w:p w14:paraId="776F9C7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anti-capture safeguards;</w:t>
      </w:r>
    </w:p>
    <w:p w14:paraId="0FD35C8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separation between governance participation and financial entitlement;</w:t>
      </w:r>
    </w:p>
    <w:p w14:paraId="3A9156E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protocol stewardship;</w:t>
      </w:r>
    </w:p>
    <w:p w14:paraId="74C0783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pilot-first boundaries.</w:t>
      </w:r>
    </w:p>
    <w:p w14:paraId="16CFF58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Governance must preserve the relationship between life, evidence, and capital.</w:t>
      </w:r>
    </w:p>
    <w:p w14:paraId="430BDE8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When governance loses that relationship, the system becomes vulnerable to extraction under new language.</w:t>
      </w:r>
    </w:p>
    <w:p w14:paraId="39653671" w14:textId="12063B83"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Legal and regulatory risk</w:t>
      </w:r>
    </w:p>
    <w:p w14:paraId="7AE64C8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Legal and regulatory risk arises because Prometheus may interact with multiple jurisdictions, legal wrappers, investment vehicles, digital instruments, land-access structures, governance mechanisms, and future tokenized representations.</w:t>
      </w:r>
    </w:p>
    <w:p w14:paraId="7012380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framework may touch areas such as:</w:t>
      </w:r>
    </w:p>
    <w:p w14:paraId="05FC108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securities regulation;</w:t>
      </w:r>
    </w:p>
    <w:p w14:paraId="3212D67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investment-fund regulation;</w:t>
      </w:r>
    </w:p>
    <w:p w14:paraId="17BB9C9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token and digital-asset regulation;</w:t>
      </w:r>
    </w:p>
    <w:p w14:paraId="1373B15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stablecoin regulation;</w:t>
      </w:r>
    </w:p>
    <w:p w14:paraId="58661D1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land-use law;</w:t>
      </w:r>
    </w:p>
    <w:p w14:paraId="6076925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agricultural law;</w:t>
      </w:r>
    </w:p>
    <w:p w14:paraId="3FD9A43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tax law;</w:t>
      </w:r>
    </w:p>
    <w:p w14:paraId="1B7CE4A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consumer protection;</w:t>
      </w:r>
    </w:p>
    <w:p w14:paraId="215D00B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data protection;</w:t>
      </w:r>
    </w:p>
    <w:p w14:paraId="07F10D6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environmental claims;</w:t>
      </w:r>
    </w:p>
    <w:p w14:paraId="459AEBC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carbon or biodiversity crediting;</w:t>
      </w:r>
    </w:p>
    <w:p w14:paraId="6352F05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public procurement;</w:t>
      </w:r>
    </w:p>
    <w:p w14:paraId="7FDB911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cross-border capital flows.</w:t>
      </w:r>
    </w:p>
    <w:p w14:paraId="255A553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legal and regulatory risk through:</w:t>
      </w:r>
    </w:p>
    <w:p w14:paraId="1583A61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jurisdiction-specific legal review;</w:t>
      </w:r>
    </w:p>
    <w:p w14:paraId="7687F0B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separation of functional layers;</w:t>
      </w:r>
    </w:p>
    <w:p w14:paraId="582B4C7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clear legal wrappers;</w:t>
      </w:r>
    </w:p>
    <w:p w14:paraId="102147E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professional structuring;</w:t>
      </w:r>
    </w:p>
    <w:p w14:paraId="67D108A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investor disclosure;</w:t>
      </w:r>
    </w:p>
    <w:p w14:paraId="5945689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compliance procedures;</w:t>
      </w:r>
    </w:p>
    <w:p w14:paraId="56CA9A6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conservative public communications;</w:t>
      </w:r>
    </w:p>
    <w:p w14:paraId="359380E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data-protection discipline;</w:t>
      </w:r>
    </w:p>
    <w:p w14:paraId="76C4B29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documented rights and obligations;</w:t>
      </w:r>
    </w:p>
    <w:p w14:paraId="7304768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non-offering language where appropriate;</w:t>
      </w:r>
    </w:p>
    <w:p w14:paraId="0D43853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review before any market-facing product.</w:t>
      </w:r>
    </w:p>
    <w:p w14:paraId="725957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White Paper defines architecture.</w:t>
      </w:r>
    </w:p>
    <w:p w14:paraId="68726A4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does not substitute legal structuring.</w:t>
      </w:r>
    </w:p>
    <w:p w14:paraId="08634B3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Each future instrument must be created through enforceable documents, appropriate jurisdictional analysis, and transparent disclosure.</w:t>
      </w:r>
    </w:p>
    <w:p w14:paraId="6448F2F0" w14:textId="4178A86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Securities and tokenization risk</w:t>
      </w:r>
    </w:p>
    <w:p w14:paraId="5D9CD45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Tokenization risk arises when digital representation is confused with legal rights, ecological value, financial entitlement, or ownership.</w:t>
      </w:r>
    </w:p>
    <w:p w14:paraId="648B618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is one of the most sensitive areas of the Prometheus architecture.</w:t>
      </w:r>
    </w:p>
    <w:p w14:paraId="52285F6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token can represent access, participation, governance, operational credits, fund interests, notes, securities, or other legally defined instruments.</w:t>
      </w:r>
    </w:p>
    <w:p w14:paraId="71E13F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Its meaning depends on the legal and operational context that creates it.</w:t>
      </w:r>
    </w:p>
    <w:p w14:paraId="69452B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tokenization risk through functional separation.</w:t>
      </w:r>
    </w:p>
    <w:p w14:paraId="1D9494F0" w14:textId="6A4FF72D"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PRU represents the</w:t>
      </w:r>
      <w:r w:rsidR="002648C8" w:rsidRPr="00B479AE">
        <w:rPr>
          <w:rFonts w:ascii="Baskerville Old Face" w:hAnsi="Baskerville Old Face"/>
          <w:i/>
          <w:iCs/>
        </w:rPr>
        <w:t xml:space="preserve"> analytical representation of verified regenerative performance</w:t>
      </w:r>
      <w:r w:rsidRPr="00B479AE">
        <w:rPr>
          <w:rFonts w:ascii="Baskerville Old Face" w:hAnsi="Baskerville Old Face"/>
          <w:i/>
          <w:iCs/>
        </w:rPr>
        <w:t>.</w:t>
      </w:r>
    </w:p>
    <w:p w14:paraId="6822900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TRBK represents governance, coordination, access, or participation.</w:t>
      </w:r>
    </w:p>
    <w:p w14:paraId="10FB67E2" w14:textId="77777777" w:rsidR="001149CC" w:rsidRPr="00B479AE" w:rsidRDefault="001149CC" w:rsidP="001149CC">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represents operational transaction and infrastructure capacity.</w:t>
      </w:r>
    </w:p>
    <w:p w14:paraId="17CD03B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Stablecoin or fiat rails may support settlement and capital entry.</w:t>
      </w:r>
    </w:p>
    <w:p w14:paraId="706D70DA" w14:textId="59B9F74A" w:rsidR="00884DFB" w:rsidRPr="00B479AE" w:rsidRDefault="00884DFB" w:rsidP="001149CC">
      <w:pPr>
        <w:spacing w:line="360" w:lineRule="auto"/>
        <w:rPr>
          <w:rFonts w:ascii="Baskerville Old Face" w:hAnsi="Baskerville Old Face"/>
          <w:i/>
          <w:iCs/>
        </w:rPr>
      </w:pPr>
      <w:r w:rsidRPr="00B479AE">
        <w:rPr>
          <w:rFonts w:ascii="Baskerville Old Face" w:hAnsi="Baskerville Old Face"/>
          <w:i/>
          <w:iCs/>
        </w:rPr>
        <w:t>Security tokens, tokenized notes, fund interests, or other compliant digital instruments may emerge only through compliant legal wrappers.</w:t>
      </w:r>
    </w:p>
    <w:p w14:paraId="1ECD6CB1" w14:textId="4E536599"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separation prevents the system from converting ecological performance into speculative ambiguity.</w:t>
      </w:r>
    </w:p>
    <w:p w14:paraId="49CF8DC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Tokenization becomes credible when it represents rights that are legally defined, evidence-backed, and institutionally reviewable.</w:t>
      </w:r>
    </w:p>
    <w:p w14:paraId="3A7DFB9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asset is verified regenerative infrastructure.</w:t>
      </w:r>
    </w:p>
    <w:p w14:paraId="0E294E2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token is only a possible representation layer.</w:t>
      </w:r>
    </w:p>
    <w:p w14:paraId="61A7415F" w14:textId="643F18AF"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Financial and liquidity risk</w:t>
      </w:r>
    </w:p>
    <w:p w14:paraId="6883BD3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Financial risk arises from revenue uncertainty, cost overruns, capital timing, valuation assumptions, liquidity constraints, leverage, investor expectations, and portfolio performance.</w:t>
      </w:r>
    </w:p>
    <w:p w14:paraId="20FFC44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Regenerative systems may have long maturation periods.</w:t>
      </w:r>
    </w:p>
    <w:p w14:paraId="0F1A6A1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Cash flows may be seasonal.</w:t>
      </w:r>
    </w:p>
    <w:p w14:paraId="0365672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Ecological improvements may take years to become financially visible.</w:t>
      </w:r>
    </w:p>
    <w:p w14:paraId="6431FDE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Markets for ecosystem services may be immature.</w:t>
      </w:r>
    </w:p>
    <w:p w14:paraId="6CE596F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Tokenized or secondary-market liquidity may not exist at early stages.</w:t>
      </w:r>
    </w:p>
    <w:p w14:paraId="3EDDC06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financial risk through:</w:t>
      </w:r>
    </w:p>
    <w:p w14:paraId="5C2BD3B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conservative modeling;</w:t>
      </w:r>
    </w:p>
    <w:p w14:paraId="1865DD3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staged capital deployment;</w:t>
      </w:r>
    </w:p>
    <w:p w14:paraId="16E430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clear distinction between cash flows and non-cash value;</w:t>
      </w:r>
    </w:p>
    <w:p w14:paraId="4B1C7DC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reserve accounts;</w:t>
      </w:r>
    </w:p>
    <w:p w14:paraId="1F11929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diversified revenue streams;</w:t>
      </w:r>
    </w:p>
    <w:p w14:paraId="00322C5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stress testing;</w:t>
      </w:r>
    </w:p>
    <w:p w14:paraId="1FDAB10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transparent valuation methodology;</w:t>
      </w:r>
    </w:p>
    <w:p w14:paraId="23C6740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PRU confidence scoring;</w:t>
      </w:r>
    </w:p>
    <w:p w14:paraId="0F5EC70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RAP diversification;</w:t>
      </w:r>
    </w:p>
    <w:p w14:paraId="42071DA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investor reporting;</w:t>
      </w:r>
    </w:p>
    <w:p w14:paraId="2608968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liquidity windows aligned with asset maturity;</w:t>
      </w:r>
    </w:p>
    <w:p w14:paraId="3282DE1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avoidance of premature leverage;</w:t>
      </w:r>
    </w:p>
    <w:p w14:paraId="618E91D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legal clarity around investor rights.</w:t>
      </w:r>
    </w:p>
    <w:p w14:paraId="357DA02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Capital maturity must follow evidence maturity.</w:t>
      </w:r>
    </w:p>
    <w:p w14:paraId="2F75B0B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principle protects the system from financial overreach.</w:t>
      </w:r>
    </w:p>
    <w:p w14:paraId="510A21D2" w14:textId="21B98594"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Technological infrastructure risk</w:t>
      </w:r>
    </w:p>
    <w:p w14:paraId="0CC042F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Technological risk arises from software, infrastructure, protocols, APIs, data systems, digital identity, interoperability, and operational dependencies.</w:t>
      </w:r>
    </w:p>
    <w:p w14:paraId="46D6CB9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xml:space="preserve">Agent-centric infrastructure,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components, dashboards, bridges, sensor integrations, AI tools, and external APIs may all introduce dependencies.</w:t>
      </w:r>
    </w:p>
    <w:p w14:paraId="394E087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Risks may include:</w:t>
      </w:r>
    </w:p>
    <w:p w14:paraId="01A8CE6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software bugs;</w:t>
      </w:r>
    </w:p>
    <w:p w14:paraId="4402E5D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downtime;</w:t>
      </w:r>
    </w:p>
    <w:p w14:paraId="3E391BB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API changes;</w:t>
      </w:r>
    </w:p>
    <w:p w14:paraId="2FE904E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data loss;</w:t>
      </w:r>
    </w:p>
    <w:p w14:paraId="196E38C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cybersecurity vulnerabilities;</w:t>
      </w:r>
    </w:p>
    <w:p w14:paraId="34853E3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access control;</w:t>
      </w:r>
    </w:p>
    <w:p w14:paraId="76B019C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poor interoperability;</w:t>
      </w:r>
    </w:p>
    <w:p w14:paraId="5CDA76D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infrastructure obsolescence;</w:t>
      </w:r>
    </w:p>
    <w:p w14:paraId="440DAD6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immature tooling;</w:t>
      </w:r>
    </w:p>
    <w:p w14:paraId="5BC25B6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dependency on specific providers;</w:t>
      </w:r>
    </w:p>
    <w:p w14:paraId="4A3A4CF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failure of bridge services;</w:t>
      </w:r>
    </w:p>
    <w:p w14:paraId="39A7C7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lack of operational redundancy.</w:t>
      </w:r>
    </w:p>
    <w:p w14:paraId="7494819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technological risk through:</w:t>
      </w:r>
    </w:p>
    <w:p w14:paraId="003CBB2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modular architecture;</w:t>
      </w:r>
    </w:p>
    <w:p w14:paraId="34E38DD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replaceable components;</w:t>
      </w:r>
    </w:p>
    <w:p w14:paraId="18C6764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connector registry;</w:t>
      </w:r>
    </w:p>
    <w:p w14:paraId="10B4A15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API health monitoring;</w:t>
      </w:r>
    </w:p>
    <w:p w14:paraId="7C9D6F3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fallback pathways;</w:t>
      </w:r>
    </w:p>
    <w:p w14:paraId="3EC1C76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version control;</w:t>
      </w:r>
    </w:p>
    <w:p w14:paraId="2B0AF26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source-chain integrity;</w:t>
      </w:r>
    </w:p>
    <w:p w14:paraId="5E0290F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access controls;</w:t>
      </w:r>
    </w:p>
    <w:p w14:paraId="23813AD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backups;</w:t>
      </w:r>
    </w:p>
    <w:p w14:paraId="2FBBFAE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security review;</w:t>
      </w:r>
    </w:p>
    <w:p w14:paraId="5995B98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phased deployment;</w:t>
      </w:r>
    </w:p>
    <w:p w14:paraId="5FFC283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technical audits;</w:t>
      </w:r>
    </w:p>
    <w:p w14:paraId="679ED51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operational runbooks;</w:t>
      </w:r>
    </w:p>
    <w:p w14:paraId="5360AAE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incident response.</w:t>
      </w:r>
    </w:p>
    <w:p w14:paraId="3E89C69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Technology should support regeneration, not dominate it.</w:t>
      </w:r>
    </w:p>
    <w:p w14:paraId="4695A60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system remains strongest when its digital layer is modular, reviewable, and replaceable without breaking the ontology.</w:t>
      </w:r>
    </w:p>
    <w:p w14:paraId="760EC2A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AI and model risk</w:t>
      </w:r>
    </w:p>
    <w:p w14:paraId="2F4DE99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AI and model risk arises when automated systems generate outputs that are inaccurate, biased, overconfident, opaque, or improperly treated as authority.</w:t>
      </w:r>
    </w:p>
    <w:p w14:paraId="5B0721C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may use AI for anomaly detection, pattern recognition, ecological interpretation, decision support, reporting, scenario modeling, and operational recommendations.</w:t>
      </w:r>
    </w:p>
    <w:p w14:paraId="3BA83DB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These functions can improve intelligence.</w:t>
      </w:r>
    </w:p>
    <w:p w14:paraId="40546E9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They can also introduce risk.</w:t>
      </w:r>
    </w:p>
    <w:p w14:paraId="0222AFC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AI risk may include:</w:t>
      </w:r>
    </w:p>
    <w:p w14:paraId="07BD5B5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hallucinated conclusions;</w:t>
      </w:r>
    </w:p>
    <w:p w14:paraId="066656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causal inference;</w:t>
      </w:r>
    </w:p>
    <w:p w14:paraId="1F04DBF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model drift;</w:t>
      </w:r>
    </w:p>
    <w:p w14:paraId="1876BB2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training-data bias;</w:t>
      </w:r>
    </w:p>
    <w:p w14:paraId="1DF734E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overfitting;</w:t>
      </w:r>
    </w:p>
    <w:p w14:paraId="2FB5DC1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unexplainable outputs;</w:t>
      </w:r>
    </w:p>
    <w:p w14:paraId="6EC9F59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automation bias;</w:t>
      </w:r>
    </w:p>
    <w:p w14:paraId="54E060E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unauthorized execution;</w:t>
      </w:r>
    </w:p>
    <w:p w14:paraId="3EF241E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inadequate human review;</w:t>
      </w:r>
    </w:p>
    <w:p w14:paraId="6ED624E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confusion between recommendation and decision.</w:t>
      </w:r>
    </w:p>
    <w:p w14:paraId="2852E61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AI risk through:</w:t>
      </w:r>
    </w:p>
    <w:p w14:paraId="0F53074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model cards;</w:t>
      </w:r>
    </w:p>
    <w:p w14:paraId="7F4A3A3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versioning;</w:t>
      </w:r>
    </w:p>
    <w:p w14:paraId="5DA7C4D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confidence scoring;</w:t>
      </w:r>
    </w:p>
    <w:p w14:paraId="08365D5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human review;</w:t>
      </w:r>
    </w:p>
    <w:p w14:paraId="28A8B80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approval;</w:t>
      </w:r>
    </w:p>
    <w:p w14:paraId="6BA8354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drift detection;</w:t>
      </w:r>
    </w:p>
    <w:p w14:paraId="2F1033F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validation datasets;</w:t>
      </w:r>
    </w:p>
    <w:p w14:paraId="1BA56DE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sandbox testing;</w:t>
      </w:r>
    </w:p>
    <w:p w14:paraId="3476307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rollback procedures;</w:t>
      </w:r>
    </w:p>
    <w:p w14:paraId="352D9D7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clear distinction between generation and execution;</w:t>
      </w:r>
    </w:p>
    <w:p w14:paraId="31FDE6F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execution gates.</w:t>
      </w:r>
    </w:p>
    <w:p w14:paraId="7491A52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AI may assist interpretation.</w:t>
      </w:r>
    </w:p>
    <w:p w14:paraId="1279E82B" w14:textId="07A9DC3F"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xml:space="preserve">It does not independently authorize ecological claims, </w:t>
      </w:r>
      <w:r w:rsidR="00BE5BB7" w:rsidRPr="00B479AE">
        <w:rPr>
          <w:rFonts w:ascii="Baskerville Old Face" w:hAnsi="Baskerville Old Face"/>
          <w:i/>
          <w:iCs/>
        </w:rPr>
        <w:t>PRU value analysis</w:t>
      </w:r>
      <w:r w:rsidRPr="00B479AE">
        <w:rPr>
          <w:rFonts w:ascii="Baskerville Old Face" w:hAnsi="Baskerville Old Face"/>
          <w:i/>
          <w:iCs/>
        </w:rPr>
        <w:t>, investor reporting, governance decisions, or financial execution.</w:t>
      </w:r>
    </w:p>
    <w:p w14:paraId="69CC7E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system preserves the difference between intelligence and authority.</w:t>
      </w:r>
    </w:p>
    <w:p w14:paraId="65118C44" w14:textId="5A9C255A"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Land and stewardship risk</w:t>
      </w:r>
    </w:p>
    <w:p w14:paraId="6D3EF99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Land and stewardship risk arises from the legal, social, and operational conditions under which land is accessed and managed.</w:t>
      </w:r>
    </w:p>
    <w:p w14:paraId="23F9535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Regenerative performance depends on long-term continuity.</w:t>
      </w:r>
    </w:p>
    <w:p w14:paraId="2EFE3F3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Short-term or unstable land access can weaken the investment case.</w:t>
      </w:r>
    </w:p>
    <w:p w14:paraId="6ACCE7D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Poor stewardship can weaken ecological outcomes.</w:t>
      </w:r>
    </w:p>
    <w:p w14:paraId="51E622E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Speculative land dynamics can distort the mission.</w:t>
      </w:r>
    </w:p>
    <w:p w14:paraId="04D5DA0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Risks may include:</w:t>
      </w:r>
    </w:p>
    <w:p w14:paraId="1B1902E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unclear land rights;</w:t>
      </w:r>
    </w:p>
    <w:p w14:paraId="2991F82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short lease terms;</w:t>
      </w:r>
    </w:p>
    <w:p w14:paraId="5FEA5AB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ownership disputes;</w:t>
      </w:r>
    </w:p>
    <w:p w14:paraId="3CA626A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land speculation;</w:t>
      </w:r>
    </w:p>
    <w:p w14:paraId="4D265D5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poor stewardship continuity;</w:t>
      </w:r>
    </w:p>
    <w:p w14:paraId="53D6B5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operator failure;</w:t>
      </w:r>
    </w:p>
    <w:p w14:paraId="6EF18DD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misaligned incentives;</w:t>
      </w:r>
    </w:p>
    <w:p w14:paraId="43DC1D3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maintenance;</w:t>
      </w:r>
    </w:p>
    <w:p w14:paraId="6E58CCC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land-use restrictions;</w:t>
      </w:r>
    </w:p>
    <w:p w14:paraId="5FB497F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community conflict;</w:t>
      </w:r>
    </w:p>
    <w:p w14:paraId="2E3645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transfer-of-control risk.</w:t>
      </w:r>
    </w:p>
    <w:p w14:paraId="7308D1D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land and stewardship risk through:</w:t>
      </w:r>
    </w:p>
    <w:p w14:paraId="346841E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documented land-access structures;</w:t>
      </w:r>
    </w:p>
    <w:p w14:paraId="1EB46E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long-term stewardship agreements;</w:t>
      </w:r>
    </w:p>
    <w:p w14:paraId="0AF7078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Community Land Trust logic where appropriate;</w:t>
      </w:r>
    </w:p>
    <w:p w14:paraId="41E7FA2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use rights separated from speculative appreciation;</w:t>
      </w:r>
    </w:p>
    <w:p w14:paraId="7B7410D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operator training;</w:t>
      </w:r>
    </w:p>
    <w:p w14:paraId="2EB6F92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stewardship accountability;</w:t>
      </w:r>
    </w:p>
    <w:p w14:paraId="3C81EA9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review;</w:t>
      </w:r>
    </w:p>
    <w:p w14:paraId="5F10B7D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maintenance obligations;</w:t>
      </w:r>
    </w:p>
    <w:p w14:paraId="1F6A3E1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succession planning;</w:t>
      </w:r>
    </w:p>
    <w:p w14:paraId="49DC3FD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site-specific risk registers.</w:t>
      </w:r>
    </w:p>
    <w:p w14:paraId="218AB66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Land anchors regeneration.</w:t>
      </w:r>
    </w:p>
    <w:p w14:paraId="6184ABA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Governance protects access.</w:t>
      </w:r>
    </w:p>
    <w:p w14:paraId="39BA8A9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Stewardship activates value.</w:t>
      </w:r>
    </w:p>
    <w:p w14:paraId="4462FFD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Capital scales infrastructure.</w:t>
      </w:r>
    </w:p>
    <w:p w14:paraId="24FED90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alignment must remain intact.</w:t>
      </w:r>
    </w:p>
    <w:p w14:paraId="5FD84179" w14:textId="7A661BF3"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Adoption and market risk</w:t>
      </w:r>
    </w:p>
    <w:p w14:paraId="0654A2B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Adoption risk arises when participants, communities, investors, institutions, or markets are slow to understand, trust, or adopt the Prometheus architecture.</w:t>
      </w:r>
    </w:p>
    <w:p w14:paraId="77F20AB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introduces a new category of infrastructure.</w:t>
      </w:r>
    </w:p>
    <w:p w14:paraId="1B91BA9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New categories require education, proof, repetition, data, and institutional translation.</w:t>
      </w:r>
    </w:p>
    <w:p w14:paraId="40B0F26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Adoption risk may include:</w:t>
      </w:r>
    </w:p>
    <w:p w14:paraId="5F510DD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complexity barrier;</w:t>
      </w:r>
    </w:p>
    <w:p w14:paraId="438C236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lack of investor familiarity;</w:t>
      </w:r>
    </w:p>
    <w:p w14:paraId="723718C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slow onboarding of stewards;</w:t>
      </w:r>
    </w:p>
    <w:p w14:paraId="46BDAB5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weak public understanding;</w:t>
      </w:r>
    </w:p>
    <w:p w14:paraId="7563BD0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limited institutional appetite;</w:t>
      </w:r>
    </w:p>
    <w:p w14:paraId="0E571F1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unclear market demand;</w:t>
      </w:r>
    </w:p>
    <w:p w14:paraId="3F4F96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resistance from incumbent systems;</w:t>
      </w:r>
    </w:p>
    <w:p w14:paraId="6B3F70B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lack of standardized comparables;</w:t>
      </w:r>
    </w:p>
    <w:p w14:paraId="7BD3F89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insufficient early proof;</w:t>
      </w:r>
    </w:p>
    <w:p w14:paraId="0DF3B5A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geographic or cultural mismatch.</w:t>
      </w:r>
    </w:p>
    <w:p w14:paraId="598CC5E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Prometheus mitigates adoption risk through:</w:t>
      </w:r>
    </w:p>
    <w:p w14:paraId="0891CB0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pilot-first deployment;</w:t>
      </w:r>
    </w:p>
    <w:p w14:paraId="5C275CC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clear public language;</w:t>
      </w:r>
    </w:p>
    <w:p w14:paraId="6D2035A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institutional data rooms;</w:t>
      </w:r>
    </w:p>
    <w:p w14:paraId="07B8552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transparent methodology;</w:t>
      </w:r>
    </w:p>
    <w:p w14:paraId="45A7F6F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educational programs;</w:t>
      </w:r>
    </w:p>
    <w:p w14:paraId="57BA18E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partner ecosystems;</w:t>
      </w:r>
    </w:p>
    <w:p w14:paraId="19593D9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local demonstrations;</w:t>
      </w:r>
    </w:p>
    <w:p w14:paraId="0F9C99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progressive evidence publication;</w:t>
      </w:r>
    </w:p>
    <w:p w14:paraId="05AB679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simplified dashboards;</w:t>
      </w:r>
    </w:p>
    <w:p w14:paraId="1BB12B0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staged investor materials;</w:t>
      </w:r>
    </w:p>
    <w:p w14:paraId="76CD517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stakeholder-specific entry points.</w:t>
      </w:r>
    </w:p>
    <w:p w14:paraId="3DBBF1F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Adoption follows clarity.</w:t>
      </w:r>
    </w:p>
    <w:p w14:paraId="6E3F5F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Clarity follows evidence.</w:t>
      </w:r>
    </w:p>
    <w:p w14:paraId="10318E9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Evidence follows disciplined deployment.</w:t>
      </w:r>
    </w:p>
    <w:p w14:paraId="58381EC8" w14:textId="6F17A166"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Reputational and greenwashing risk</w:t>
      </w:r>
    </w:p>
    <w:p w14:paraId="7C01B60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Reputational risk arises when the system makes claims that exceed evidence, legal structure, operational maturity, or actual ecological performance.</w:t>
      </w:r>
    </w:p>
    <w:p w14:paraId="68B0D61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Greenwashing risk is particularly important because Prometheus operates in a field where sustainability language is often inflated.</w:t>
      </w:r>
    </w:p>
    <w:p w14:paraId="631185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mitigates reputational and greenwashing risk through:</w:t>
      </w:r>
    </w:p>
    <w:p w14:paraId="3232974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verification-first architecture;</w:t>
      </w:r>
    </w:p>
    <w:p w14:paraId="59E1AE1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evidence hierarchy;</w:t>
      </w:r>
    </w:p>
    <w:p w14:paraId="41E0B6D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confidence scoring;</w:t>
      </w:r>
    </w:p>
    <w:p w14:paraId="64D44EE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no-double-counting discipline;</w:t>
      </w:r>
    </w:p>
    <w:p w14:paraId="3FE479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clear distinction between pilot, validated unit, RAP, and institutional product;</w:t>
      </w:r>
    </w:p>
    <w:p w14:paraId="3B0D151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legal boundary language;</w:t>
      </w:r>
    </w:p>
    <w:p w14:paraId="7FF023E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conservative public claims;</w:t>
      </w:r>
    </w:p>
    <w:p w14:paraId="3A9EF08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external verification where appropriate;</w:t>
      </w:r>
    </w:p>
    <w:p w14:paraId="7E7E0BC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transparent adverse-event reporting;</w:t>
      </w:r>
    </w:p>
    <w:p w14:paraId="4497065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methodology versioning;</w:t>
      </w:r>
    </w:p>
    <w:p w14:paraId="70DA4BA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separation between aspiration and admissible value.</w:t>
      </w:r>
    </w:p>
    <w:p w14:paraId="0194698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credibility of Prometheus depends on its ability to speak truthfully about its stage of maturity.</w:t>
      </w:r>
    </w:p>
    <w:p w14:paraId="35A06A2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pilot is a pilot.</w:t>
      </w:r>
    </w:p>
    <w:p w14:paraId="66164B4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verified indicator is a verified indicator.</w:t>
      </w:r>
    </w:p>
    <w:p w14:paraId="00524BDE" w14:textId="694B3692"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xml:space="preserve">A PRU is a </w:t>
      </w:r>
      <w:r w:rsidR="003A1979" w:rsidRPr="00B479AE">
        <w:rPr>
          <w:rFonts w:ascii="Baskerville Old Face" w:hAnsi="Baskerville Old Face"/>
          <w:i/>
          <w:iCs/>
        </w:rPr>
        <w:t>value-analysis interface</w:t>
      </w:r>
      <w:r w:rsidRPr="00B479AE">
        <w:rPr>
          <w:rFonts w:ascii="Baskerville Old Face" w:hAnsi="Baskerville Old Face"/>
          <w:i/>
          <w:iCs/>
        </w:rPr>
        <w:t>.</w:t>
      </w:r>
    </w:p>
    <w:p w14:paraId="7035472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RAP is a portfolio structure.</w:t>
      </w:r>
    </w:p>
    <w:p w14:paraId="46F7BC9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token is a representation only when legally and functionally defined.</w:t>
      </w:r>
    </w:p>
    <w:p w14:paraId="290C07F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semantic discipline is not cosmetic.</w:t>
      </w:r>
    </w:p>
    <w:p w14:paraId="4D9B41C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is reputational infrastructure.</w:t>
      </w:r>
    </w:p>
    <w:p w14:paraId="5837A3CB" w14:textId="6FDA581A"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Anti-double-counting protocol</w:t>
      </w:r>
    </w:p>
    <w:p w14:paraId="6993928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Regenerative systems produce overlapping benefits.</w:t>
      </w:r>
    </w:p>
    <w:p w14:paraId="5D6992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One intervention may improve soil, water, biodiversity, biomass, productivity, and resilience at the same time.</w:t>
      </w:r>
    </w:p>
    <w:p w14:paraId="361D4E9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This creates value richness.</w:t>
      </w:r>
    </w:p>
    <w:p w14:paraId="1D5DA5F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also creates accounting risk.</w:t>
      </w:r>
    </w:p>
    <w:p w14:paraId="2CB3DE4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therefore requires anti-double-counting discipline.</w:t>
      </w:r>
    </w:p>
    <w:p w14:paraId="0B63077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Each value claim must remain linked to its originating process and evidence chain.</w:t>
      </w:r>
    </w:p>
    <w:p w14:paraId="7122002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If one process supports multiple outcomes, those outcomes must be represented transparently.</w:t>
      </w:r>
    </w:p>
    <w:p w14:paraId="406C9A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same ecological improvement should not be sold, reported, pledged, tokenized, or capitalized multiple times in incompatible ways.</w:t>
      </w:r>
    </w:p>
    <w:p w14:paraId="2163B19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no-double-counting protocol should track:</w:t>
      </w:r>
    </w:p>
    <w:p w14:paraId="08A1211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originating OHE or site;</w:t>
      </w:r>
    </w:p>
    <w:p w14:paraId="287F0F0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baseline condition;</w:t>
      </w:r>
    </w:p>
    <w:p w14:paraId="2D71393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intervention record;</w:t>
      </w:r>
    </w:p>
    <w:p w14:paraId="6BABF3F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evidence source;</w:t>
      </w:r>
    </w:p>
    <w:p w14:paraId="3EBB9C3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methodology used;</w:t>
      </w:r>
    </w:p>
    <w:p w14:paraId="3E65582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outcome category;</w:t>
      </w:r>
    </w:p>
    <w:p w14:paraId="50F4A0E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claim owner;</w:t>
      </w:r>
    </w:p>
    <w:p w14:paraId="53CD56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reporting use;</w:t>
      </w:r>
    </w:p>
    <w:p w14:paraId="0773702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financial use;</w:t>
      </w:r>
    </w:p>
    <w:p w14:paraId="72A369C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tokenized representation, if any;</w:t>
      </w:r>
    </w:p>
    <w:p w14:paraId="021CF12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retirement or allocation status;</w:t>
      </w:r>
    </w:p>
    <w:p w14:paraId="2B5CF9B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conflicts with other claims.</w:t>
      </w:r>
    </w:p>
    <w:p w14:paraId="28E53F1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protects the asset, the investor, the community, and the integrity of the asset class.</w:t>
      </w:r>
    </w:p>
    <w:p w14:paraId="7DB35DFA" w14:textId="0D717C1E"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Admissibility discipline</w:t>
      </w:r>
    </w:p>
    <w:p w14:paraId="6529383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Admissibility is the threshold between evidence and value.</w:t>
      </w:r>
    </w:p>
    <w:p w14:paraId="795F056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Not all evidence becomes value.</w:t>
      </w:r>
    </w:p>
    <w:p w14:paraId="4D5E1AD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Not all value becomes financial value.</w:t>
      </w:r>
    </w:p>
    <w:p w14:paraId="2E3800A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Not all financial value becomes investable value.</w:t>
      </w:r>
    </w:p>
    <w:p w14:paraId="357E8F2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Not all investable value becomes tokenizable value.</w:t>
      </w:r>
    </w:p>
    <w:p w14:paraId="53471F7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therefore applies admissibility discipline.</w:t>
      </w:r>
    </w:p>
    <w:p w14:paraId="6A8DFC1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For a value component to enter PRU logic, it should satisfy:</w:t>
      </w:r>
    </w:p>
    <w:p w14:paraId="640C76C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observability;</w:t>
      </w:r>
    </w:p>
    <w:p w14:paraId="4D35EFF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measurability;</w:t>
      </w:r>
    </w:p>
    <w:p w14:paraId="29437C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provenance;</w:t>
      </w:r>
    </w:p>
    <w:p w14:paraId="1D033CF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methodological alignment;</w:t>
      </w:r>
    </w:p>
    <w:p w14:paraId="204741D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confidence threshold;</w:t>
      </w:r>
    </w:p>
    <w:p w14:paraId="68B510E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relevance to performance;</w:t>
      </w:r>
    </w:p>
    <w:p w14:paraId="0556FC5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legal clarity;</w:t>
      </w:r>
    </w:p>
    <w:p w14:paraId="751B377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no-double-counting review;</w:t>
      </w:r>
    </w:p>
    <w:p w14:paraId="302BFAB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reporting compatibility;</w:t>
      </w:r>
    </w:p>
    <w:p w14:paraId="223D3B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approval where required.</w:t>
      </w:r>
    </w:p>
    <w:p w14:paraId="2212513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allows the system to recognize many forms of value while admitting only qualified value into financial architecture.</w:t>
      </w:r>
    </w:p>
    <w:p w14:paraId="33C3220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Vision remains broad.</w:t>
      </w:r>
    </w:p>
    <w:p w14:paraId="5FFCEEA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Underwriting remains disciplined.</w:t>
      </w:r>
    </w:p>
    <w:p w14:paraId="055BAE5F" w14:textId="2D15EA88"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Investor-grade reporting</w:t>
      </w:r>
    </w:p>
    <w:p w14:paraId="293D2D1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Investor-grade reporting translates regenerative complexity into a form that capital allocators can review without reducing life to a simplistic metric.</w:t>
      </w:r>
    </w:p>
    <w:p w14:paraId="2AF8404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mature Prometheus report should include:</w:t>
      </w:r>
    </w:p>
    <w:p w14:paraId="10C775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asset or site overview;</w:t>
      </w:r>
    </w:p>
    <w:p w14:paraId="4EE564C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land-access structure;</w:t>
      </w:r>
    </w:p>
    <w:p w14:paraId="5159094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baseline condition;</w:t>
      </w:r>
    </w:p>
    <w:p w14:paraId="5FC6C05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deployment stage;</w:t>
      </w:r>
    </w:p>
    <w:p w14:paraId="66CD9CA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OHE design;</w:t>
      </w:r>
    </w:p>
    <w:p w14:paraId="78FE89D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MRV methodology;</w:t>
      </w:r>
    </w:p>
    <w:p w14:paraId="57FB675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evidence sources;</w:t>
      </w:r>
    </w:p>
    <w:p w14:paraId="62B7FA8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ecological delta;</w:t>
      </w:r>
    </w:p>
    <w:p w14:paraId="4712CDE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PRU assessment;</w:t>
      </w:r>
    </w:p>
    <w:p w14:paraId="377308D7" w14:textId="0264DF49"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xml:space="preserve">• </w:t>
      </w:r>
      <w:r w:rsidR="005D0524" w:rsidRPr="00B479AE">
        <w:rPr>
          <w:rFonts w:ascii="Baskerville Old Face" w:hAnsi="Baskerville Old Face"/>
          <w:i/>
          <w:iCs/>
        </w:rPr>
        <w:t>PRU maturity classification</w:t>
      </w:r>
      <w:r w:rsidRPr="00B479AE">
        <w:rPr>
          <w:rFonts w:ascii="Baskerville Old Face" w:hAnsi="Baskerville Old Face"/>
          <w:i/>
          <w:iCs/>
        </w:rPr>
        <w:t>;</w:t>
      </w:r>
    </w:p>
    <w:p w14:paraId="5326F0B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confidence score;</w:t>
      </w:r>
    </w:p>
    <w:p w14:paraId="17EDFA7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cash-flow performance;</w:t>
      </w:r>
    </w:p>
    <w:p w14:paraId="1FAF955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revenue composition;</w:t>
      </w:r>
    </w:p>
    <w:p w14:paraId="2E00A46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cost structure;</w:t>
      </w:r>
    </w:p>
    <w:p w14:paraId="69AF40E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reserves;</w:t>
      </w:r>
    </w:p>
    <w:p w14:paraId="0358EC8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risk register;</w:t>
      </w:r>
    </w:p>
    <w:p w14:paraId="0577BDE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adverse events;</w:t>
      </w:r>
    </w:p>
    <w:p w14:paraId="5DBC46B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status;</w:t>
      </w:r>
    </w:p>
    <w:p w14:paraId="1AF1BC7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legal-wrapper status;</w:t>
      </w:r>
    </w:p>
    <w:p w14:paraId="46D8D15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 no-double-counting statement;</w:t>
      </w:r>
    </w:p>
    <w:p w14:paraId="06E4C15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methodology version;</w:t>
      </w:r>
    </w:p>
    <w:p w14:paraId="10D9F74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audit status;</w:t>
      </w:r>
    </w:p>
    <w:p w14:paraId="14F136D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next reporting period.</w:t>
      </w:r>
    </w:p>
    <w:p w14:paraId="04D299B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reporting structure allows the investor to see not only what the system claims, but how the claim was generated.</w:t>
      </w:r>
    </w:p>
    <w:p w14:paraId="1E60151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also allows the steward to demonstrate performance without surrendering the complexity of the living system.</w:t>
      </w:r>
    </w:p>
    <w:p w14:paraId="6715E6C0"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Compliance pathway</w:t>
      </w:r>
    </w:p>
    <w:p w14:paraId="4E4233F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compliance must be progressive.</w:t>
      </w:r>
    </w:p>
    <w:p w14:paraId="5CD0208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compliance needs of a pilot are different from the compliance needs of a public tokenized instrument.</w:t>
      </w:r>
    </w:p>
    <w:p w14:paraId="377CFC2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system should therefore distinguish between:</w:t>
      </w:r>
    </w:p>
    <w:p w14:paraId="50E1B8C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research and conceptual development;</w:t>
      </w:r>
    </w:p>
    <w:p w14:paraId="7E7ACA56"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pilot deployment;</w:t>
      </w:r>
    </w:p>
    <w:p w14:paraId="47B144D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private project financing;</w:t>
      </w:r>
    </w:p>
    <w:p w14:paraId="76AAF93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SPV or fund structuring;</w:t>
      </w:r>
    </w:p>
    <w:p w14:paraId="1826CE2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institutional reporting;</w:t>
      </w:r>
    </w:p>
    <w:p w14:paraId="23BE8F3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regulated securities or notes;</w:t>
      </w:r>
    </w:p>
    <w:p w14:paraId="608A33C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public tokenized representations;</w:t>
      </w:r>
    </w:p>
    <w:p w14:paraId="30F08B7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cross-border market-facing products.</w:t>
      </w:r>
    </w:p>
    <w:p w14:paraId="1722527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Each stage requires its own legal, regulatory, tax, accounting, investor-disclosure, and operational review.</w:t>
      </w:r>
    </w:p>
    <w:p w14:paraId="1AC215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The compliance pathway should mature with the asset pathway.</w:t>
      </w:r>
    </w:p>
    <w:p w14:paraId="22B6A57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creates responsible scale.</w:t>
      </w:r>
    </w:p>
    <w:p w14:paraId="53F6EFA4"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Institutional readiness conditions</w:t>
      </w:r>
    </w:p>
    <w:p w14:paraId="43545AD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becomes institutionally ready when several conditions converge.</w:t>
      </w:r>
    </w:p>
    <w:p w14:paraId="162ECCE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These include:</w:t>
      </w:r>
    </w:p>
    <w:p w14:paraId="1C77234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operationally deployed regenerative units;</w:t>
      </w:r>
    </w:p>
    <w:p w14:paraId="2191AD4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documented baselines;</w:t>
      </w:r>
    </w:p>
    <w:p w14:paraId="6CB0EC4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active MRV;</w:t>
      </w:r>
    </w:p>
    <w:p w14:paraId="5A666E0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evidence continuity;</w:t>
      </w:r>
    </w:p>
    <w:p w14:paraId="2698394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confidence scoring;</w:t>
      </w:r>
    </w:p>
    <w:p w14:paraId="38DACCE9"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methodology versioning;</w:t>
      </w:r>
    </w:p>
    <w:p w14:paraId="3CF3D83E"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governance reliability;</w:t>
      </w:r>
    </w:p>
    <w:p w14:paraId="71BB94F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legal clarity;</w:t>
      </w:r>
    </w:p>
    <w:p w14:paraId="444DDA4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financial model discipline;</w:t>
      </w:r>
    </w:p>
    <w:p w14:paraId="79BB07C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risk register;</w:t>
      </w:r>
    </w:p>
    <w:p w14:paraId="1726CD3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data room availability;</w:t>
      </w:r>
    </w:p>
    <w:p w14:paraId="469B8222"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investor reporting;</w:t>
      </w:r>
    </w:p>
    <w:p w14:paraId="56DC334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external review where required;</w:t>
      </w:r>
    </w:p>
    <w:p w14:paraId="58A9392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no-double-counting controls;</w:t>
      </w:r>
    </w:p>
    <w:p w14:paraId="6F03B7F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staged capital structure;</w:t>
      </w:r>
    </w:p>
    <w:p w14:paraId="7CB523D1"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 transparent public communication.</w:t>
      </w:r>
    </w:p>
    <w:p w14:paraId="4C2C05D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Institutional readiness is not a branding claim.</w:t>
      </w:r>
    </w:p>
    <w:p w14:paraId="4FE88E6D"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lastRenderedPageBreak/>
        <w:t>It is an evidence condition.</w:t>
      </w:r>
    </w:p>
    <w:p w14:paraId="27ACC17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system becomes ready when its structure can be reviewed by people who do not need to believe the story in order to evaluate the asset.</w:t>
      </w:r>
    </w:p>
    <w:p w14:paraId="2986D23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is the threshold Prometheus must reach.</w:t>
      </w:r>
    </w:p>
    <w:p w14:paraId="13D25C6A" w14:textId="56EB8BE0"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b/>
          <w:bCs/>
          <w:i/>
          <w:iCs/>
        </w:rPr>
        <w:t>Minsky-Keen Dynamics and Regenerative Risk Control</w:t>
      </w:r>
    </w:p>
    <w:p w14:paraId="08301D43"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Prometheus recognizes that financial instability is often endogenous to system design.</w:t>
      </w:r>
    </w:p>
    <w:p w14:paraId="38DF4325"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Hyman Minsky showed that financial systems can accumulate fragility when credit expansion progressively detaches from productive capacity.</w:t>
      </w:r>
    </w:p>
    <w:p w14:paraId="681FB7EF"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Steve Keen extended this insight by modeling the relationship between debt dynamics, aggregate demand, and systemic instability.</w:t>
      </w:r>
    </w:p>
    <w:p w14:paraId="23E02F55"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Within Prometheus, this logic is extended into the ecological domain.</w:t>
      </w:r>
    </w:p>
    <w:p w14:paraId="6A848BBF"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When economic activity extracts from living systems faster than those systems regenerate, systemic fragility accumulates in biophysical form.</w:t>
      </w:r>
    </w:p>
    <w:p w14:paraId="79F1FD3E"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Soil depletion, hydrological instability, biodiversity loss, food-system fragility, insurance pressure, and chronic health burdens are not isolated externalities.</w:t>
      </w:r>
    </w:p>
    <w:p w14:paraId="538D3214"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They are balance-sheet consequences of metabolic imbalance.</w:t>
      </w:r>
    </w:p>
    <w:p w14:paraId="6AC6FB29"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Prometheus therefore treats regenerative infrastructure as a risk-control architecture.</w:t>
      </w:r>
    </w:p>
    <w:p w14:paraId="6E9E4230"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Its objective is not merely to finance ecological improvement.</w:t>
      </w:r>
    </w:p>
    <w:p w14:paraId="485E13AA"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Its objective is to reduce the accumulation of systemic fragility by linking value formation to verified regenerative capacity.</w:t>
      </w:r>
    </w:p>
    <w:p w14:paraId="5C252DB5"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This does not mean that regeneration eliminates financial risk.</w:t>
      </w:r>
    </w:p>
    <w:p w14:paraId="19576780"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It means that financial risk is evaluated in relation to the health, resilience, and productive capacity of the living systems that support long-term value.</w:t>
      </w:r>
    </w:p>
    <w:p w14:paraId="492A5ECF"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In this sense, Prometheus shifts the underwriting question from:</w:t>
      </w:r>
    </w:p>
    <w:p w14:paraId="798405B6"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lastRenderedPageBreak/>
        <w:t>How much value can be extracted before risk appears?</w:t>
      </w:r>
    </w:p>
    <w:p w14:paraId="58DC0124"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to:</w:t>
      </w:r>
    </w:p>
    <w:p w14:paraId="0B249CD2"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How much regenerative capacity must be verified before value can be safely capitalized?</w:t>
      </w:r>
    </w:p>
    <w:p w14:paraId="16A0D67E" w14:textId="77777777" w:rsidR="00954AEB" w:rsidRPr="00B479AE" w:rsidRDefault="00954AEB" w:rsidP="00954AEB">
      <w:pPr>
        <w:spacing w:line="360" w:lineRule="auto"/>
        <w:rPr>
          <w:rFonts w:ascii="Baskerville Old Face" w:hAnsi="Baskerville Old Face"/>
          <w:i/>
          <w:iCs/>
        </w:rPr>
      </w:pPr>
      <w:r w:rsidRPr="00B479AE">
        <w:rPr>
          <w:rFonts w:ascii="Baskerville Old Face" w:hAnsi="Baskerville Old Face"/>
          <w:i/>
          <w:iCs/>
        </w:rPr>
        <w:t>This is the risk discipline beneath PRU, RAP, MRV, and capital formation.</w:t>
      </w:r>
    </w:p>
    <w:p w14:paraId="7BC6A1E5" w14:textId="3A96784E"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t>Technical Note — Systemic Raveling and the Regenerative Brake</w:t>
      </w:r>
    </w:p>
    <w:p w14:paraId="0E3DDA63"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Prometheus interprets risk not only as isolated failure, but as systemic raveling.</w:t>
      </w:r>
    </w:p>
    <w:p w14:paraId="75EFB5BE"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Systemic raveling refers to the gradual weakening of the relationships that hold a complex system together.</w:t>
      </w:r>
    </w:p>
    <w:p w14:paraId="081C398E"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In financial systems, raveling may appear as excessive leverage, rising debt dependency, correlated exposure, declining productive capacity, liquidity stress, or the progressive separation between asset values and real underlying performance.</w:t>
      </w:r>
    </w:p>
    <w:p w14:paraId="3DD8B60E"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In ecological systems, raveling may appear as soil carbon depletion, hydrological instability, biodiversity fragmentation, loss of mycorrhizal function, increasing input dependency, declining resilience, or higher variance under stress.</w:t>
      </w:r>
    </w:p>
    <w:p w14:paraId="3DCD1D24"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In governance systems, raveling may appear as declining trust, semantic drift, protocol capture, weak reviewability, poor participation quality, unmanaged conflict, or decisions that accelerate abstraction faster than verification.</w:t>
      </w:r>
    </w:p>
    <w:p w14:paraId="00E3B0B2"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Prometheus treats raveling as an early-warning category.</w:t>
      </w:r>
    </w:p>
    <w:p w14:paraId="39FE3C22"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objective is not to wait for collapse and then attempt repair.</w:t>
      </w:r>
    </w:p>
    <w:p w14:paraId="6955C947"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objective is to detect weakening coherence before failure becomes systemic.</w:t>
      </w:r>
    </w:p>
    <w:p w14:paraId="1B17A7CD" w14:textId="39921FA1"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t>Ravel monitoring layer</w:t>
      </w:r>
    </w:p>
    <w:p w14:paraId="758D1260"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A future Prometheus risk-monitoring layer may observe multiple classes of indicators:</w:t>
      </w:r>
    </w:p>
    <w:p w14:paraId="4006E1D7"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ecological indicators, including soil function, hydrological resilience, biodiversity, biomass cycling, input dependency, mortality, recovery after stress, and productive variance;</w:t>
      </w:r>
    </w:p>
    <w:p w14:paraId="6312BD6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lastRenderedPageBreak/>
        <w:t>• MRV indicators, including evidence continuity, confidence scores, sensor reliability, audit status, provenance gaps, anomaly frequency, and no-double-counting risk;</w:t>
      </w:r>
    </w:p>
    <w:p w14:paraId="60F949D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financial indicators, including leverage, revenue quality, debt-service pressure, reserve adequacy, concentration exposure, liquidity assumptions, and dependency on unverified future value;</w:t>
      </w:r>
    </w:p>
    <w:p w14:paraId="5692E877"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governance indicators, including participation quality, dispute frequency, protocol deviation, decision latency, review failures, validator reliability, and methodology drift;</w:t>
      </w:r>
    </w:p>
    <w:p w14:paraId="5CED06E1"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digital-infrastructure indicators, including node availability, validation failures, warrant activity, data-integrity issues, connector failures, model drift, and cybersecurity events;</w:t>
      </w:r>
    </w:p>
    <w:p w14:paraId="0C2DC3ED"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human-infrastructure indicators, where voluntarily and lawfully available, limited to aggregate and non-coercive signals of governance stress, conflict, fatigue, or participation fragility.</w:t>
      </w:r>
    </w:p>
    <w:p w14:paraId="52C21AF0"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No single indicator should trigger financial action automatically.</w:t>
      </w:r>
    </w:p>
    <w:p w14:paraId="7B9039BB"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Ravel risk must be interpreted through convergence, thresholds, governance review, and context.</w:t>
      </w:r>
    </w:p>
    <w:p w14:paraId="6703C540"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t>From fixed thresholds to adaptive thresholds</w:t>
      </w:r>
    </w:p>
    <w:p w14:paraId="16B30E15"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Early drafts of Prometheus referred to fixed thresholds, such as minimum RROI values, planetary-boundary alerts, debt-to-regeneration ratios, coherence dispersion, or trust-network fragmentation.</w:t>
      </w:r>
    </w:p>
    <w:p w14:paraId="6E2FE955"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In the institutional version of Prometheus, such thresholds should be treated as research and governance parameters, not as universal constants.</w:t>
      </w:r>
    </w:p>
    <w:p w14:paraId="3F175A70"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A mature system may eventually define threshold bands such as:</w:t>
      </w:r>
    </w:p>
    <w:p w14:paraId="7DF55E90"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green — ordinary operating range;</w:t>
      </w:r>
    </w:p>
    <w:p w14:paraId="4939BF63"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yellow — early warning and increased monitoring;</w:t>
      </w:r>
    </w:p>
    <w:p w14:paraId="47700338"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orange — elevated review, reduced expansion, or conditional execution;</w:t>
      </w:r>
    </w:p>
    <w:p w14:paraId="2F38556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red — critical review, suspension of selected actions, emergency governance process, or capital-protection intervention.</w:t>
      </w:r>
    </w:p>
    <w:p w14:paraId="1F315D5C"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However, these thresholds must be methodology-specific, versioned, tested, and reviewed.</w:t>
      </w:r>
    </w:p>
    <w:p w14:paraId="43D75F73"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They should not be presented as final universal values before pilot evidence exists.</w:t>
      </w:r>
    </w:p>
    <w:p w14:paraId="38758E21"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lastRenderedPageBreak/>
        <w:t>The regenerative brake</w:t>
      </w:r>
    </w:p>
    <w:p w14:paraId="10DA492E"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regenerative brake is a governance and risk-control concept.</w:t>
      </w:r>
    </w:p>
    <w:p w14:paraId="21361E3D"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describes the capacity of Prometheus to slow, pause, condition, or review system actions when evidence indicates rising systemic risk.</w:t>
      </w:r>
    </w:p>
    <w:p w14:paraId="3432CA4D"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Potential brake actions may include:</w:t>
      </w:r>
    </w:p>
    <w:p w14:paraId="1B87B208"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increased monitoring frequency;</w:t>
      </w:r>
    </w:p>
    <w:p w14:paraId="3FC5B060"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mandatory manual review;</w:t>
      </w:r>
    </w:p>
    <w:p w14:paraId="1E0C3A0E" w14:textId="10E0A8A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xml:space="preserve">• temporary pause of </w:t>
      </w:r>
      <w:r w:rsidR="005D0524" w:rsidRPr="00B479AE">
        <w:rPr>
          <w:rFonts w:ascii="Baskerville Old Face" w:hAnsi="Baskerville Old Face"/>
          <w:i/>
          <w:iCs/>
        </w:rPr>
        <w:t>PRU maturity classification</w:t>
      </w:r>
      <w:r w:rsidRPr="00B479AE">
        <w:rPr>
          <w:rFonts w:ascii="Baskerville Old Face" w:hAnsi="Baskerville Old Face"/>
          <w:i/>
          <w:iCs/>
        </w:rPr>
        <w:t xml:space="preserve"> upgrades;</w:t>
      </w:r>
    </w:p>
    <w:p w14:paraId="561BE322"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temporary pause of RAP inclusion;</w:t>
      </w:r>
    </w:p>
    <w:p w14:paraId="06E5641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xml:space="preserve">• restriction of new capital deployment into underperforming or </w:t>
      </w:r>
      <w:proofErr w:type="spellStart"/>
      <w:r w:rsidRPr="00B479AE">
        <w:rPr>
          <w:rFonts w:ascii="Baskerville Old Face" w:hAnsi="Baskerville Old Face"/>
          <w:i/>
          <w:iCs/>
        </w:rPr>
        <w:t>underverified</w:t>
      </w:r>
      <w:proofErr w:type="spellEnd"/>
      <w:r w:rsidRPr="00B479AE">
        <w:rPr>
          <w:rFonts w:ascii="Baskerville Old Face" w:hAnsi="Baskerville Old Face"/>
          <w:i/>
          <w:iCs/>
        </w:rPr>
        <w:t xml:space="preserve"> units;</w:t>
      </w:r>
    </w:p>
    <w:p w14:paraId="293DD745"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additional audit requirements;</w:t>
      </w:r>
    </w:p>
    <w:p w14:paraId="447830C8"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increased reserve requirements;</w:t>
      </w:r>
    </w:p>
    <w:p w14:paraId="51F443C5"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methodology review;</w:t>
      </w:r>
    </w:p>
    <w:p w14:paraId="22D8B19D"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governance escalation;</w:t>
      </w:r>
    </w:p>
    <w:p w14:paraId="6E228DBA"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redesign of ecological intervention;</w:t>
      </w:r>
    </w:p>
    <w:p w14:paraId="3EA41387"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suspension of investor-facing claims until evidence improves.</w:t>
      </w:r>
    </w:p>
    <w:p w14:paraId="378DFEBB"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regenerative brake should not be described as an automatic punishment mechanism.</w:t>
      </w:r>
    </w:p>
    <w:p w14:paraId="5D7219DC"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is a fiduciary safeguard.</w:t>
      </w:r>
    </w:p>
    <w:p w14:paraId="7D56E32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Its purpose is to protect the living system, the governance system, and the capital structure from premature expansion.</w:t>
      </w:r>
    </w:p>
    <w:p w14:paraId="09559EB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t>Distributed sensing and agent-centric risk intelligence</w:t>
      </w:r>
    </w:p>
    <w:p w14:paraId="34B6D861"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Prometheus can support ravel detection through distributed sensing.</w:t>
      </w:r>
    </w:p>
    <w:p w14:paraId="6597CB6A"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lastRenderedPageBreak/>
        <w:t>Each OHE, steward, device, validator, auditor, or digital agent may hold partial information about system health.</w:t>
      </w:r>
    </w:p>
    <w:p w14:paraId="0B639AF8"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An agent-centric architecture allows these local observations to remain contextual while still contributing to a broader assessment of systemic risk.</w:t>
      </w:r>
    </w:p>
    <w:p w14:paraId="073CE06F"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system does not require one central oracle to declare truth.</w:t>
      </w:r>
    </w:p>
    <w:p w14:paraId="457AA89D"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can combine local evidence, provenance, validation, audit results, and governance review into a distributed risk picture.</w:t>
      </w:r>
    </w:p>
    <w:p w14:paraId="0DA361E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This is consistent with the broader Prometheus principle:</w:t>
      </w:r>
    </w:p>
    <w:p w14:paraId="4FEFD713"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truth emerges through validated local evidence, not through unsupported centralized assertion.</w:t>
      </w:r>
    </w:p>
    <w:p w14:paraId="3F1ACCEB"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t>Syntropic corridor</w:t>
      </w:r>
    </w:p>
    <w:p w14:paraId="0234251F"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purpose of ravel monitoring is to help Prometheus remain within a syntropic corridor.</w:t>
      </w:r>
    </w:p>
    <w:p w14:paraId="2580D042"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A syntropic corridor is the operating range in which:</w:t>
      </w:r>
    </w:p>
    <w:p w14:paraId="59C23E15"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regeneration remains greater than extraction;</w:t>
      </w:r>
    </w:p>
    <w:p w14:paraId="0BD48EC3"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evidence remains stronger than narrative;</w:t>
      </w:r>
    </w:p>
    <w:p w14:paraId="74758E3A"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governance remains stronger than capture;</w:t>
      </w:r>
    </w:p>
    <w:p w14:paraId="5CDE3A8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capital formation remains aligned with verified performance;</w:t>
      </w:r>
    </w:p>
    <w:p w14:paraId="5478702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technological acceleration remains bounded by reviewability;</w:t>
      </w:r>
    </w:p>
    <w:p w14:paraId="2B73BF4B" w14:textId="2F864B3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 xml:space="preserve">• </w:t>
      </w:r>
      <w:r w:rsidR="00991F4B" w:rsidRPr="00B479AE">
        <w:rPr>
          <w:rFonts w:ascii="Baskerville Old Face" w:hAnsi="Baskerville Old Face"/>
          <w:i/>
          <w:iCs/>
        </w:rPr>
        <w:t xml:space="preserve">value-creation </w:t>
      </w:r>
      <w:r w:rsidRPr="00B479AE">
        <w:rPr>
          <w:rFonts w:ascii="Baskerville Old Face" w:hAnsi="Baskerville Old Face"/>
          <w:i/>
          <w:iCs/>
        </w:rPr>
        <w:t>remains connected to ecological reality.</w:t>
      </w:r>
    </w:p>
    <w:p w14:paraId="127E7764"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When the system moves outside this corridor, Prometheus should not accelerate.</w:t>
      </w:r>
    </w:p>
    <w:p w14:paraId="18B6F453"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should observe, review, correct, and restore coherence.</w:t>
      </w:r>
    </w:p>
    <w:p w14:paraId="3DC7C215" w14:textId="1AE29338"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b/>
          <w:bCs/>
          <w:i/>
          <w:iCs/>
        </w:rPr>
        <w:t>Institutional boundary</w:t>
      </w:r>
    </w:p>
    <w:p w14:paraId="336D86BB"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The Ravel layer is not a promise of automatic stability.</w:t>
      </w:r>
    </w:p>
    <w:p w14:paraId="0BD68B61"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does not eliminate risk.</w:t>
      </w:r>
    </w:p>
    <w:p w14:paraId="40ADBABE"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lastRenderedPageBreak/>
        <w:t>It does not guarantee returns.</w:t>
      </w:r>
    </w:p>
    <w:p w14:paraId="63E1CED5"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does not replace legal review, fiduciary duty, insurance, reserves, audits, or professional risk management.</w:t>
      </w:r>
    </w:p>
    <w:p w14:paraId="68C8A9FA"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It is a conceptual and technical risk architecture for detecting and responding to systemic weakening before it becomes collapse.</w:t>
      </w:r>
    </w:p>
    <w:p w14:paraId="752DCB89"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In this sense, the Ravel layer expresses one of the core institutional disciplines of Prometheus:</w:t>
      </w:r>
    </w:p>
    <w:p w14:paraId="78E6404D"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growth is acceptable only when coherence is preserved.</w:t>
      </w:r>
    </w:p>
    <w:p w14:paraId="343DBBCA" w14:textId="77777777" w:rsidR="00070DC0" w:rsidRPr="00B479AE" w:rsidRDefault="00070DC0" w:rsidP="00070DC0">
      <w:pPr>
        <w:spacing w:line="360" w:lineRule="auto"/>
        <w:rPr>
          <w:rFonts w:ascii="Baskerville Old Face" w:hAnsi="Baskerville Old Face"/>
          <w:i/>
          <w:iCs/>
        </w:rPr>
      </w:pPr>
      <w:r w:rsidRPr="00B479AE">
        <w:rPr>
          <w:rFonts w:ascii="Baskerville Old Face" w:hAnsi="Baskerville Old Face"/>
          <w:i/>
          <w:iCs/>
        </w:rPr>
        <w:t>Scale follows verified coherence.</w:t>
      </w:r>
    </w:p>
    <w:p w14:paraId="343B559B" w14:textId="4C312C3B"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b/>
          <w:bCs/>
          <w:i/>
          <w:iCs/>
        </w:rPr>
        <w:t>Residual risk and humility</w:t>
      </w:r>
    </w:p>
    <w:p w14:paraId="634FFC0A"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Even after mitigation, residual risk remains.</w:t>
      </w:r>
    </w:p>
    <w:p w14:paraId="0E84F895"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is normal.</w:t>
      </w:r>
    </w:p>
    <w:p w14:paraId="1E4123A7"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A mature infrastructure does not eliminate all risk.</w:t>
      </w:r>
    </w:p>
    <w:p w14:paraId="440187FF"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makes risk visible, priced, governed, and reported.</w:t>
      </w:r>
    </w:p>
    <w:p w14:paraId="09CB22AC"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Prometheus should therefore maintain humility before ecological complexity, legal evolution, technological change, and market behavior.</w:t>
      </w:r>
    </w:p>
    <w:p w14:paraId="50FDDC9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The system should be ambitious in purpose and conservative in claims.</w:t>
      </w:r>
    </w:p>
    <w:p w14:paraId="3603E72B"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should move boldly in design and carefully in valuation.</w:t>
      </w:r>
    </w:p>
    <w:p w14:paraId="4EC82873"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It should welcome innovation while preserving evidentiary discipline.</w:t>
      </w:r>
    </w:p>
    <w:p w14:paraId="6FC496B8" w14:textId="77777777" w:rsidR="001149CC" w:rsidRPr="00B479AE" w:rsidRDefault="001149CC" w:rsidP="001149CC">
      <w:pPr>
        <w:spacing w:line="360" w:lineRule="auto"/>
        <w:rPr>
          <w:rFonts w:ascii="Baskerville Old Face" w:hAnsi="Baskerville Old Face"/>
          <w:i/>
          <w:iCs/>
        </w:rPr>
      </w:pPr>
      <w:r w:rsidRPr="00B479AE">
        <w:rPr>
          <w:rFonts w:ascii="Baskerville Old Face" w:hAnsi="Baskerville Old Face"/>
          <w:i/>
          <w:iCs/>
        </w:rPr>
        <w:t>This combination is the institutional posture of Prometheus.</w:t>
      </w:r>
    </w:p>
    <w:p w14:paraId="6F1EE73B" w14:textId="77777777" w:rsidR="006A2159" w:rsidRPr="00B479AE" w:rsidRDefault="006A2159" w:rsidP="006A2159">
      <w:pPr>
        <w:spacing w:line="360" w:lineRule="auto"/>
        <w:rPr>
          <w:rFonts w:ascii="Baskerville Old Face" w:hAnsi="Baskerville Old Face"/>
          <w:b/>
          <w:bCs/>
          <w:i/>
          <w:iCs/>
        </w:rPr>
      </w:pPr>
      <w:r w:rsidRPr="00B479AE">
        <w:rPr>
          <w:rFonts w:ascii="Baskerville Old Face" w:hAnsi="Baskerville Old Face"/>
          <w:b/>
          <w:bCs/>
          <w:i/>
          <w:iCs/>
        </w:rPr>
        <w:t>Transition to the final constitutional architecture</w:t>
      </w:r>
    </w:p>
    <w:p w14:paraId="0F99C75C" w14:textId="77777777" w:rsidR="006A2159" w:rsidRPr="00B479AE" w:rsidRDefault="006A2159" w:rsidP="006A2159">
      <w:pPr>
        <w:spacing w:line="360" w:lineRule="auto"/>
        <w:rPr>
          <w:rFonts w:ascii="Baskerville Old Face" w:hAnsi="Baskerville Old Face"/>
          <w:i/>
          <w:iCs/>
        </w:rPr>
      </w:pPr>
      <w:r w:rsidRPr="00B479AE">
        <w:rPr>
          <w:rFonts w:ascii="Baskerville Old Face" w:hAnsi="Baskerville Old Face"/>
          <w:i/>
          <w:iCs/>
        </w:rPr>
        <w:t>This part defined the risk, compliance, and institutional discipline required to protect Prometheus as it approaches capital markets.</w:t>
      </w:r>
    </w:p>
    <w:p w14:paraId="1981D0E4" w14:textId="77777777" w:rsidR="006A2159" w:rsidRPr="00B479AE" w:rsidRDefault="006A2159" w:rsidP="006A2159">
      <w:pPr>
        <w:spacing w:line="360" w:lineRule="auto"/>
        <w:rPr>
          <w:rFonts w:ascii="Baskerville Old Face" w:hAnsi="Baskerville Old Face"/>
          <w:i/>
          <w:iCs/>
        </w:rPr>
      </w:pPr>
      <w:r w:rsidRPr="00B479AE">
        <w:rPr>
          <w:rFonts w:ascii="Baskerville Old Face" w:hAnsi="Baskerville Old Face"/>
          <w:i/>
          <w:iCs/>
        </w:rPr>
        <w:lastRenderedPageBreak/>
        <w:t>The final part now turns to the constitutional cognitive kernel of Prometheus: the meta-prompt architecture, governance constraints, invariant principles, and future-builder discipline required to preserve coherence as the system evolves.</w:t>
      </w:r>
    </w:p>
    <w:p w14:paraId="243784B6" w14:textId="77777777" w:rsidR="006A2159" w:rsidRPr="00B479AE" w:rsidRDefault="006A2159" w:rsidP="006A2159">
      <w:pPr>
        <w:spacing w:line="360" w:lineRule="auto"/>
        <w:rPr>
          <w:rFonts w:ascii="Baskerville Old Face" w:hAnsi="Baskerville Old Face"/>
          <w:i/>
          <w:iCs/>
        </w:rPr>
      </w:pPr>
      <w:r w:rsidRPr="00B479AE">
        <w:rPr>
          <w:rFonts w:ascii="Baskerville Old Face" w:hAnsi="Baskerville Old Face"/>
          <w:i/>
          <w:iCs/>
        </w:rPr>
        <w:t>It defines how intelligence, prompts, agents, governance, evidence, and institutional responsibility must remain accountable to the living systems Prometheus exists to serve.</w:t>
      </w:r>
    </w:p>
    <w:p w14:paraId="00EAF158" w14:textId="77777777" w:rsidR="006A2159" w:rsidRPr="00B479AE" w:rsidRDefault="006A2159" w:rsidP="006A2159">
      <w:pPr>
        <w:spacing w:line="360" w:lineRule="auto"/>
        <w:rPr>
          <w:rFonts w:ascii="Baskerville Old Face" w:hAnsi="Baskerville Old Face"/>
          <w:i/>
          <w:iCs/>
        </w:rPr>
      </w:pPr>
      <w:r w:rsidRPr="00B479AE">
        <w:rPr>
          <w:rFonts w:ascii="Baskerville Old Face" w:hAnsi="Baskerville Old Face"/>
          <w:i/>
          <w:iCs/>
        </w:rPr>
        <w:t>Prometheus can scale only if its cognitive architecture remains aligned with life, evidence, dignity, and regenerative fidelity.</w:t>
      </w:r>
    </w:p>
    <w:p w14:paraId="2620A59D" w14:textId="77777777" w:rsidR="00175E64" w:rsidRDefault="00175E64" w:rsidP="006A2159">
      <w:pPr>
        <w:spacing w:line="360" w:lineRule="auto"/>
        <w:rPr>
          <w:rFonts w:ascii="Baskerville Old Face" w:hAnsi="Baskerville Old Face"/>
          <w:b/>
          <w:bCs/>
          <w:i/>
          <w:iCs/>
        </w:rPr>
      </w:pPr>
    </w:p>
    <w:p w14:paraId="2E8EA412" w14:textId="77777777" w:rsidR="004A2F3B" w:rsidRPr="00B479AE" w:rsidRDefault="004A2F3B" w:rsidP="006A2159">
      <w:pPr>
        <w:spacing w:line="360" w:lineRule="auto"/>
        <w:rPr>
          <w:rFonts w:ascii="Baskerville Old Face" w:hAnsi="Baskerville Old Face"/>
          <w:b/>
          <w:bCs/>
          <w:i/>
          <w:iCs/>
        </w:rPr>
      </w:pPr>
    </w:p>
    <w:p w14:paraId="320807F9" w14:textId="4FEB712A" w:rsidR="00E96BFD" w:rsidRPr="00B479AE" w:rsidRDefault="006A2159" w:rsidP="00916868">
      <w:pPr>
        <w:pStyle w:val="Titolo1"/>
        <w:rPr>
          <w:rFonts w:ascii="Baskerville Old Face" w:hAnsi="Baskerville Old Face"/>
          <w:b/>
          <w:bCs/>
          <w:i/>
          <w:iCs/>
          <w:sz w:val="24"/>
          <w:szCs w:val="24"/>
        </w:rPr>
      </w:pPr>
      <w:r w:rsidRPr="00B479AE">
        <w:rPr>
          <w:rFonts w:ascii="Baskerville Old Face" w:hAnsi="Baskerville Old Face"/>
          <w:b/>
          <w:bCs/>
          <w:i/>
          <w:iCs/>
          <w:sz w:val="24"/>
          <w:szCs w:val="24"/>
        </w:rPr>
        <w:t>PART IX</w:t>
      </w:r>
      <w:r w:rsidR="00916868" w:rsidRPr="00B479AE">
        <w:rPr>
          <w:rFonts w:ascii="Baskerville Old Face" w:hAnsi="Baskerville Old Face"/>
          <w:b/>
          <w:bCs/>
          <w:i/>
          <w:iCs/>
          <w:sz w:val="24"/>
          <w:szCs w:val="24"/>
        </w:rPr>
        <w:t xml:space="preserve"> - </w:t>
      </w:r>
      <w:r w:rsidRPr="00B479AE">
        <w:rPr>
          <w:rFonts w:ascii="Baskerville Old Face" w:hAnsi="Baskerville Old Face"/>
          <w:b/>
          <w:bCs/>
          <w:i/>
          <w:iCs/>
          <w:sz w:val="24"/>
          <w:szCs w:val="24"/>
        </w:rPr>
        <w:t>Constitutional Cognitive Kernel and Final Synthesis</w:t>
      </w:r>
      <w:r w:rsidR="00E96BFD" w:rsidRPr="00B479AE">
        <w:rPr>
          <w:rFonts w:ascii="Baskerville Old Face" w:hAnsi="Baskerville Old Face"/>
          <w:b/>
          <w:bCs/>
          <w:i/>
          <w:iCs/>
          <w:sz w:val="24"/>
          <w:szCs w:val="24"/>
        </w:rPr>
        <w:t xml:space="preserve"> </w:t>
      </w:r>
    </w:p>
    <w:p w14:paraId="6D615365" w14:textId="4E0F0A39"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b/>
          <w:bCs/>
          <w:i/>
          <w:iCs/>
        </w:rPr>
        <w:t>The cognitive kernel: The meta-prompt engine</w:t>
      </w:r>
    </w:p>
    <w:p w14:paraId="49C94E3D"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Prometheus cognitive kernel is the constitutional reasoning layer through which observations, evidence, governance constraints, system context, and human requests are transformed into structured, bounded, and reviewable task formulations.</w:t>
      </w:r>
    </w:p>
    <w:p w14:paraId="4ACB6070"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Its purpose is not to automate authority.</w:t>
      </w:r>
    </w:p>
    <w:p w14:paraId="773F8033"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Its purpose is to preserve coherence before action.</w:t>
      </w:r>
    </w:p>
    <w:p w14:paraId="5A262AB9"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cognitive kernel does not replace ecological evidence, MRV, governance, legal review, human stewardship, or institutional responsibility.</w:t>
      </w:r>
    </w:p>
    <w:p w14:paraId="0541E157"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It organizes context so that downstream agents, workflows, dashboards, or human reviewers can operate within defined boundaries.</w:t>
      </w:r>
    </w:p>
    <w:p w14:paraId="4B6E69D2"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At maturity, the cognitive kernel may support a general pipeline:</w:t>
      </w:r>
    </w:p>
    <w:p w14:paraId="65DE855D"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observation</w:t>
      </w:r>
      <w:r w:rsidRPr="00B479AE">
        <w:rPr>
          <w:rFonts w:ascii="Baskerville Old Face" w:hAnsi="Baskerville Old Face"/>
          <w:i/>
          <w:iCs/>
        </w:rPr>
        <w:br/>
        <w:t>context formation</w:t>
      </w:r>
      <w:r w:rsidRPr="00B479AE">
        <w:rPr>
          <w:rFonts w:ascii="Baskerville Old Face" w:hAnsi="Baskerville Old Face"/>
          <w:i/>
          <w:iCs/>
        </w:rPr>
        <w:br/>
        <w:t>constitutional review</w:t>
      </w:r>
      <w:r w:rsidRPr="00B479AE">
        <w:rPr>
          <w:rFonts w:ascii="Baskerville Old Face" w:hAnsi="Baskerville Old Face"/>
          <w:i/>
          <w:iCs/>
        </w:rPr>
        <w:br/>
        <w:t>task formulation</w:t>
      </w:r>
      <w:r w:rsidRPr="00B479AE">
        <w:rPr>
          <w:rFonts w:ascii="Baskerville Old Face" w:hAnsi="Baskerville Old Face"/>
          <w:i/>
          <w:iCs/>
        </w:rPr>
        <w:br/>
        <w:t>agent routing</w:t>
      </w:r>
      <w:r w:rsidRPr="00B479AE">
        <w:rPr>
          <w:rFonts w:ascii="Baskerville Old Face" w:hAnsi="Baskerville Old Face"/>
          <w:i/>
          <w:iCs/>
        </w:rPr>
        <w:br/>
      </w:r>
      <w:r w:rsidRPr="00B479AE">
        <w:rPr>
          <w:rFonts w:ascii="Baskerville Old Face" w:hAnsi="Baskerville Old Face"/>
          <w:i/>
          <w:iCs/>
        </w:rPr>
        <w:lastRenderedPageBreak/>
        <w:t>human or governance review</w:t>
      </w:r>
      <w:r w:rsidRPr="00B479AE">
        <w:rPr>
          <w:rFonts w:ascii="Baskerville Old Face" w:hAnsi="Baskerville Old Face"/>
          <w:i/>
          <w:iCs/>
        </w:rPr>
        <w:br/>
        <w:t>authorized execution</w:t>
      </w:r>
      <w:r w:rsidRPr="00B479AE">
        <w:rPr>
          <w:rFonts w:ascii="Baskerville Old Face" w:hAnsi="Baskerville Old Face"/>
          <w:i/>
          <w:iCs/>
        </w:rPr>
        <w:br/>
        <w:t>feedback.</w:t>
      </w:r>
    </w:p>
    <w:p w14:paraId="24AF2617"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This sequence prevents Prometheus from moving directly from data to action.</w:t>
      </w:r>
    </w:p>
    <w:p w14:paraId="6E550A02"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It requires each output to remain connected to evidence, scope, risk, methodology, governance, and reviewability.</w:t>
      </w:r>
    </w:p>
    <w:p w14:paraId="4F6DDDC5"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b/>
          <w:bCs/>
          <w:i/>
          <w:iCs/>
        </w:rPr>
        <w:t>Observation and context layer</w:t>
      </w:r>
    </w:p>
    <w:p w14:paraId="44E1AFE6"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observation layer may receive inputs from multiple sources, including:</w:t>
      </w:r>
    </w:p>
    <w:p w14:paraId="2125E286"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 MRV records;</w:t>
      </w:r>
      <w:r w:rsidRPr="00B479AE">
        <w:rPr>
          <w:rFonts w:ascii="Baskerville Old Face" w:hAnsi="Baskerville Old Face"/>
          <w:i/>
          <w:iCs/>
        </w:rPr>
        <w:br/>
        <w:t>• soil, water, biodiversity, and productive indicators;</w:t>
      </w:r>
      <w:r w:rsidRPr="00B479AE">
        <w:rPr>
          <w:rFonts w:ascii="Baskerville Old Face" w:hAnsi="Baskerville Old Face"/>
          <w:i/>
          <w:iCs/>
        </w:rPr>
        <w:br/>
        <w:t>• operational logs;</w:t>
      </w:r>
      <w:r w:rsidRPr="00B479AE">
        <w:rPr>
          <w:rFonts w:ascii="Baskerville Old Face" w:hAnsi="Baskerville Old Face"/>
          <w:i/>
          <w:iCs/>
        </w:rPr>
        <w:br/>
        <w:t>• field observations;</w:t>
      </w:r>
      <w:r w:rsidRPr="00B479AE">
        <w:rPr>
          <w:rFonts w:ascii="Baskerville Old Face" w:hAnsi="Baskerville Old Face"/>
          <w:i/>
          <w:iCs/>
        </w:rPr>
        <w:br/>
        <w:t>• sensor or remote-sensing data;</w:t>
      </w:r>
      <w:r w:rsidRPr="00B479AE">
        <w:rPr>
          <w:rFonts w:ascii="Baskerville Old Face" w:hAnsi="Baskerville Old Face"/>
          <w:i/>
          <w:iCs/>
        </w:rPr>
        <w:br/>
        <w:t>• governance records;</w:t>
      </w:r>
      <w:r w:rsidRPr="00B479AE">
        <w:rPr>
          <w:rFonts w:ascii="Baskerville Old Face" w:hAnsi="Baskerville Old Face"/>
          <w:i/>
          <w:iCs/>
        </w:rPr>
        <w:br/>
        <w:t>• risk signals;</w:t>
      </w:r>
      <w:r w:rsidRPr="00B479AE">
        <w:rPr>
          <w:rFonts w:ascii="Baskerville Old Face" w:hAnsi="Baskerville Old Face"/>
          <w:i/>
          <w:iCs/>
        </w:rPr>
        <w:br/>
        <w:t>• financial or deployment constraints;</w:t>
      </w:r>
      <w:r w:rsidRPr="00B479AE">
        <w:rPr>
          <w:rFonts w:ascii="Baskerville Old Face" w:hAnsi="Baskerville Old Face"/>
          <w:i/>
          <w:iCs/>
        </w:rPr>
        <w:br/>
        <w:t>• methodology versions;</w:t>
      </w:r>
      <w:r w:rsidRPr="00B479AE">
        <w:rPr>
          <w:rFonts w:ascii="Baskerville Old Face" w:hAnsi="Baskerville Old Face"/>
          <w:i/>
          <w:iCs/>
        </w:rPr>
        <w:br/>
        <w:t>• human-infrastructure context, only where voluntarily, lawfully, and appropriately aggregated.</w:t>
      </w:r>
    </w:p>
    <w:p w14:paraId="456FEB99"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These inputs do not become truth merely because they are available.</w:t>
      </w:r>
    </w:p>
    <w:p w14:paraId="71AE19E8"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They become usable only when their provenance, confidence, relevance, and limitations are clear.</w:t>
      </w:r>
    </w:p>
    <w:p w14:paraId="3F24C481"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cognitive kernel therefore treats context as an evidence-weighted construction, not as an oracle.</w:t>
      </w:r>
    </w:p>
    <w:p w14:paraId="58A4E8B8" w14:textId="172B31EA" w:rsidR="00E96BFD" w:rsidRPr="00B479AE" w:rsidRDefault="00E96BFD" w:rsidP="00E96BFD">
      <w:pPr>
        <w:spacing w:line="360" w:lineRule="auto"/>
        <w:rPr>
          <w:rFonts w:ascii="Baskerville Old Face" w:hAnsi="Baskerville Old Face"/>
          <w:b/>
          <w:bCs/>
          <w:i/>
          <w:iCs/>
        </w:rPr>
      </w:pPr>
      <w:r w:rsidRPr="00B479AE">
        <w:rPr>
          <w:noProof/>
        </w:rPr>
        <w:lastRenderedPageBreak/>
        <w:drawing>
          <wp:inline distT="0" distB="0" distL="0" distR="0" wp14:anchorId="6F26AB42" wp14:editId="1AB7625C">
            <wp:extent cx="4585855" cy="3057079"/>
            <wp:effectExtent l="0" t="0" r="5715" b="0"/>
            <wp:docPr id="1502916768"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1570" cy="3087554"/>
                    </a:xfrm>
                    <a:prstGeom prst="rect">
                      <a:avLst/>
                    </a:prstGeom>
                    <a:noFill/>
                    <a:ln>
                      <a:noFill/>
                    </a:ln>
                  </pic:spPr>
                </pic:pic>
              </a:graphicData>
            </a:graphic>
          </wp:inline>
        </w:drawing>
      </w:r>
    </w:p>
    <w:p w14:paraId="7537B674" w14:textId="77777777" w:rsidR="004A2F3B" w:rsidRDefault="004A2F3B" w:rsidP="00E96BFD">
      <w:pPr>
        <w:spacing w:line="360" w:lineRule="auto"/>
        <w:rPr>
          <w:rFonts w:ascii="Baskerville Old Face" w:hAnsi="Baskerville Old Face"/>
          <w:b/>
          <w:bCs/>
          <w:i/>
          <w:iCs/>
        </w:rPr>
      </w:pPr>
    </w:p>
    <w:p w14:paraId="2E36B243" w14:textId="5BA4EE10" w:rsidR="00E96BFD" w:rsidRPr="00B479AE" w:rsidRDefault="00E96BFD" w:rsidP="00E96BFD">
      <w:pPr>
        <w:spacing w:line="360" w:lineRule="auto"/>
        <w:rPr>
          <w:rFonts w:ascii="Baskerville Old Face" w:hAnsi="Baskerville Old Face"/>
          <w:b/>
          <w:bCs/>
          <w:i/>
          <w:iCs/>
        </w:rPr>
      </w:pPr>
      <w:r w:rsidRPr="00B479AE">
        <w:rPr>
          <w:rFonts w:ascii="Baskerville Old Face" w:hAnsi="Baskerville Old Face"/>
          <w:b/>
          <w:bCs/>
          <w:i/>
          <w:iCs/>
        </w:rPr>
        <w:t>Intelligent observation pipeline:</w:t>
      </w:r>
    </w:p>
    <w:p w14:paraId="411955EF" w14:textId="5C97EF5B" w:rsidR="00E96BFD" w:rsidRPr="00B479AE" w:rsidRDefault="00E96BFD" w:rsidP="004F2E2D">
      <w:pPr>
        <w:spacing w:line="360" w:lineRule="auto"/>
        <w:rPr>
          <w:rFonts w:ascii="Baskerville Old Face" w:hAnsi="Baskerville Old Face"/>
          <w:b/>
          <w:bCs/>
          <w:i/>
          <w:iCs/>
        </w:rPr>
      </w:pPr>
      <w:r w:rsidRPr="00B479AE">
        <w:rPr>
          <w:noProof/>
        </w:rPr>
        <w:drawing>
          <wp:inline distT="0" distB="0" distL="0" distR="0" wp14:anchorId="4BC66AB9" wp14:editId="2A0340D2">
            <wp:extent cx="4599709" cy="3066314"/>
            <wp:effectExtent l="0" t="0" r="0" b="1270"/>
            <wp:docPr id="62639959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86283" cy="3124027"/>
                    </a:xfrm>
                    <a:prstGeom prst="rect">
                      <a:avLst/>
                    </a:prstGeom>
                    <a:noFill/>
                    <a:ln>
                      <a:noFill/>
                    </a:ln>
                  </pic:spPr>
                </pic:pic>
              </a:graphicData>
            </a:graphic>
          </wp:inline>
        </w:drawing>
      </w:r>
    </w:p>
    <w:p w14:paraId="00D273FA" w14:textId="77777777" w:rsidR="008D03BC" w:rsidRPr="00B479AE" w:rsidRDefault="008D03BC" w:rsidP="008D03BC">
      <w:pPr>
        <w:spacing w:line="360" w:lineRule="auto"/>
        <w:rPr>
          <w:rFonts w:ascii="Baskerville Old Face" w:hAnsi="Baskerville Old Face"/>
          <w:b/>
          <w:bCs/>
          <w:i/>
          <w:iCs/>
        </w:rPr>
      </w:pPr>
      <w:r w:rsidRPr="00B479AE">
        <w:rPr>
          <w:rFonts w:ascii="Baskerville Old Face" w:hAnsi="Baskerville Old Face"/>
          <w:b/>
          <w:bCs/>
          <w:i/>
          <w:iCs/>
        </w:rPr>
        <w:t xml:space="preserve">Generic spectral processing </w:t>
      </w:r>
      <w:proofErr w:type="gramStart"/>
      <w:r w:rsidRPr="00B479AE">
        <w:rPr>
          <w:rFonts w:ascii="Baskerville Old Face" w:hAnsi="Baskerville Old Face"/>
          <w:b/>
          <w:bCs/>
          <w:i/>
          <w:iCs/>
        </w:rPr>
        <w:t>pipeline</w:t>
      </w:r>
      <w:proofErr w:type="gramEnd"/>
      <w:r w:rsidRPr="00B479AE">
        <w:rPr>
          <w:rFonts w:ascii="Baskerville Old Face" w:hAnsi="Baskerville Old Face"/>
          <w:b/>
          <w:bCs/>
          <w:i/>
          <w:iCs/>
        </w:rPr>
        <w:br/>
      </w:r>
      <w:r w:rsidRPr="00B479AE">
        <w:rPr>
          <w:rFonts w:ascii="Baskerville Old Face" w:hAnsi="Baskerville Old Face"/>
          <w:i/>
          <w:iCs/>
        </w:rPr>
        <w:t>The software implements a modular pipeline that can be dynamically configured based on the detected filter:</w:t>
      </w:r>
    </w:p>
    <w:p w14:paraId="24B7E3D0" w14:textId="77777777" w:rsidR="008D03BC" w:rsidRPr="00B479AE" w:rsidRDefault="008D03BC" w:rsidP="008D03BC">
      <w:pPr>
        <w:spacing w:line="360" w:lineRule="auto"/>
        <w:rPr>
          <w:rFonts w:ascii="Baskerville Old Face" w:hAnsi="Baskerville Old Face"/>
          <w:b/>
          <w:bCs/>
          <w:i/>
          <w:iCs/>
        </w:rPr>
      </w:pPr>
      <w:r w:rsidRPr="00B479AE">
        <w:rPr>
          <w:rFonts w:ascii="Baskerville Old Face" w:hAnsi="Baskerville Old Face"/>
          <w:b/>
          <w:bCs/>
          <w:i/>
          <w:iCs/>
          <w:noProof/>
        </w:rPr>
        <w:lastRenderedPageBreak/>
        <w:drawing>
          <wp:inline distT="0" distB="0" distL="0" distR="0" wp14:anchorId="3DAB5990" wp14:editId="1E129C30">
            <wp:extent cx="4585855" cy="3057082"/>
            <wp:effectExtent l="0" t="0" r="5715" b="0"/>
            <wp:docPr id="728225681"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4806" cy="3103047"/>
                    </a:xfrm>
                    <a:prstGeom prst="rect">
                      <a:avLst/>
                    </a:prstGeom>
                    <a:noFill/>
                    <a:ln>
                      <a:noFill/>
                    </a:ln>
                  </pic:spPr>
                </pic:pic>
              </a:graphicData>
            </a:graphic>
          </wp:inline>
        </w:drawing>
      </w:r>
    </w:p>
    <w:p w14:paraId="00936002" w14:textId="29BAD20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b/>
          <w:bCs/>
          <w:i/>
          <w:iCs/>
        </w:rPr>
        <w:t>Context formation</w:t>
      </w:r>
    </w:p>
    <w:p w14:paraId="30D6E9B8"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context formation process translates heterogeneous information into a structured view of the system state.</w:t>
      </w:r>
    </w:p>
    <w:p w14:paraId="3FD10C24"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A context may include:</w:t>
      </w:r>
    </w:p>
    <w:p w14:paraId="51CB8D51"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 the site or OHE involved;</w:t>
      </w:r>
      <w:r w:rsidRPr="00B479AE">
        <w:rPr>
          <w:rFonts w:ascii="Baskerville Old Face" w:hAnsi="Baskerville Old Face"/>
          <w:i/>
          <w:iCs/>
        </w:rPr>
        <w:br/>
        <w:t>• the ecological maturity stage;</w:t>
      </w:r>
      <w:r w:rsidRPr="00B479AE">
        <w:rPr>
          <w:rFonts w:ascii="Baskerville Old Face" w:hAnsi="Baskerville Old Face"/>
          <w:i/>
          <w:iCs/>
        </w:rPr>
        <w:br/>
        <w:t>• the relevant water, soil, biodiversity, or productivity conditions;</w:t>
      </w:r>
      <w:r w:rsidRPr="00B479AE">
        <w:rPr>
          <w:rFonts w:ascii="Baskerville Old Face" w:hAnsi="Baskerville Old Face"/>
          <w:i/>
          <w:iCs/>
        </w:rPr>
        <w:br/>
        <w:t>• the operational history;</w:t>
      </w:r>
      <w:r w:rsidRPr="00B479AE">
        <w:rPr>
          <w:rFonts w:ascii="Baskerville Old Face" w:hAnsi="Baskerville Old Face"/>
          <w:i/>
          <w:iCs/>
        </w:rPr>
        <w:br/>
        <w:t>• the governance status;</w:t>
      </w:r>
      <w:r w:rsidRPr="00B479AE">
        <w:rPr>
          <w:rFonts w:ascii="Baskerville Old Face" w:hAnsi="Baskerville Old Face"/>
          <w:i/>
          <w:iCs/>
        </w:rPr>
        <w:br/>
        <w:t>• the risk profile;</w:t>
      </w:r>
      <w:r w:rsidRPr="00B479AE">
        <w:rPr>
          <w:rFonts w:ascii="Baskerville Old Face" w:hAnsi="Baskerville Old Face"/>
          <w:i/>
          <w:iCs/>
        </w:rPr>
        <w:br/>
        <w:t>• the time horizon;</w:t>
      </w:r>
      <w:r w:rsidRPr="00B479AE">
        <w:rPr>
          <w:rFonts w:ascii="Baskerville Old Face" w:hAnsi="Baskerville Old Face"/>
          <w:i/>
          <w:iCs/>
        </w:rPr>
        <w:br/>
        <w:t>• the applicable methodology version;</w:t>
      </w:r>
      <w:r w:rsidRPr="00B479AE">
        <w:rPr>
          <w:rFonts w:ascii="Baskerville Old Face" w:hAnsi="Baskerville Old Face"/>
          <w:i/>
          <w:iCs/>
        </w:rPr>
        <w:br/>
        <w:t>• the boundaries of what may and may not be inferred.</w:t>
      </w:r>
    </w:p>
    <w:p w14:paraId="6621C871" w14:textId="054B65FE"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purpose is to avoid generic prompting.</w:t>
      </w:r>
      <w:r w:rsidR="004F2E2D" w:rsidRPr="00B479AE">
        <w:rPr>
          <w:rFonts w:ascii="Baskerville Old Face" w:hAnsi="Baskerville Old Face"/>
          <w:i/>
          <w:iCs/>
        </w:rPr>
        <w:t xml:space="preserve"> </w:t>
      </w:r>
      <w:r w:rsidRPr="00B479AE">
        <w:rPr>
          <w:rFonts w:ascii="Baskerville Old Face" w:hAnsi="Baskerville Old Face"/>
          <w:i/>
          <w:iCs/>
        </w:rPr>
        <w:t>A request to increase output, for example, should not be interpreted in isolation.</w:t>
      </w:r>
      <w:r w:rsidR="004F2E2D" w:rsidRPr="00B479AE">
        <w:rPr>
          <w:rFonts w:ascii="Baskerville Old Face" w:hAnsi="Baskerville Old Face"/>
          <w:i/>
          <w:iCs/>
        </w:rPr>
        <w:t xml:space="preserve"> </w:t>
      </w:r>
      <w:r w:rsidRPr="00B479AE">
        <w:rPr>
          <w:rFonts w:ascii="Baskerville Old Face" w:hAnsi="Baskerville Old Face"/>
          <w:i/>
          <w:iCs/>
        </w:rPr>
        <w:t>It should be interpreted in relation to water availability, soil condition, biodiversity, stewardship capacity, operational constraints, financial limits, and long-term regenerative coherence.</w:t>
      </w:r>
    </w:p>
    <w:p w14:paraId="01456C1E" w14:textId="77777777" w:rsidR="00D40473" w:rsidRDefault="00D40473" w:rsidP="00E96BFD">
      <w:pPr>
        <w:spacing w:line="360" w:lineRule="auto"/>
        <w:rPr>
          <w:rFonts w:ascii="Baskerville Old Face" w:hAnsi="Baskerville Old Face"/>
          <w:b/>
          <w:bCs/>
          <w:i/>
          <w:iCs/>
        </w:rPr>
      </w:pPr>
    </w:p>
    <w:p w14:paraId="39137BFB" w14:textId="5F19F128"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b/>
          <w:bCs/>
          <w:i/>
          <w:iCs/>
        </w:rPr>
        <w:lastRenderedPageBreak/>
        <w:t>Constitutional review</w:t>
      </w:r>
    </w:p>
    <w:p w14:paraId="3B88195C"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Before a task is formulated, the cognitive kernel should evaluate whether the request or implied action is compatible with Prometheus’ constitutional constraints.</w:t>
      </w:r>
    </w:p>
    <w:p w14:paraId="6F41BBB4"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This review may ask:</w:t>
      </w:r>
    </w:p>
    <w:p w14:paraId="47CAEE10"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 Does the request preserve ecological integrity?</w:t>
      </w:r>
      <w:r w:rsidRPr="00B479AE">
        <w:rPr>
          <w:rFonts w:ascii="Baskerville Old Face" w:hAnsi="Baskerville Old Face"/>
          <w:i/>
          <w:iCs/>
        </w:rPr>
        <w:br/>
        <w:t>• Does it respect soil, water, biodiversity, and long-term system resilience?</w:t>
      </w:r>
      <w:r w:rsidRPr="00B479AE">
        <w:rPr>
          <w:rFonts w:ascii="Baskerville Old Face" w:hAnsi="Baskerville Old Face"/>
          <w:i/>
          <w:iCs/>
        </w:rPr>
        <w:br/>
        <w:t>• Does it avoid premature financialization?</w:t>
      </w:r>
      <w:r w:rsidRPr="00B479AE">
        <w:rPr>
          <w:rFonts w:ascii="Baskerville Old Face" w:hAnsi="Baskerville Old Face"/>
          <w:i/>
          <w:iCs/>
        </w:rPr>
        <w:br/>
        <w:t>• Does it avoid unsupported medical, biometric, or human-ranking claims?</w:t>
      </w:r>
      <w:r w:rsidRPr="00B479AE">
        <w:rPr>
          <w:rFonts w:ascii="Baskerville Old Face" w:hAnsi="Baskerville Old Face"/>
          <w:i/>
          <w:iCs/>
        </w:rPr>
        <w:br/>
        <w:t>• Does it preserve human dignity and voluntary participation?</w:t>
      </w:r>
      <w:r w:rsidRPr="00B479AE">
        <w:rPr>
          <w:rFonts w:ascii="Baskerville Old Face" w:hAnsi="Baskerville Old Face"/>
          <w:i/>
          <w:iCs/>
        </w:rPr>
        <w:br/>
        <w:t>• Does it avoid governance capture or excessive centralization?</w:t>
      </w:r>
      <w:r w:rsidRPr="00B479AE">
        <w:rPr>
          <w:rFonts w:ascii="Baskerville Old Face" w:hAnsi="Baskerville Old Face"/>
          <w:i/>
          <w:iCs/>
        </w:rPr>
        <w:br/>
        <w:t>• Does it remain within the current pilot scope?</w:t>
      </w:r>
      <w:r w:rsidRPr="00B479AE">
        <w:rPr>
          <w:rFonts w:ascii="Baskerville Old Face" w:hAnsi="Baskerville Old Face"/>
          <w:i/>
          <w:iCs/>
        </w:rPr>
        <w:br/>
        <w:t>• Does it require legal, ecological, financial, or governance review before execution?</w:t>
      </w:r>
    </w:p>
    <w:p w14:paraId="4F1BB773"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If the request exceeds admissible boundaries, the kernel should reformulate, qualify, defer, or route it to manual review.</w:t>
      </w:r>
    </w:p>
    <w:p w14:paraId="08E56560" w14:textId="326C7A21"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objective is not refusal as default.</w:t>
      </w:r>
      <w:r w:rsidR="004F2E2D" w:rsidRPr="00B479AE">
        <w:rPr>
          <w:rFonts w:ascii="Baskerville Old Face" w:hAnsi="Baskerville Old Face"/>
          <w:i/>
          <w:iCs/>
        </w:rPr>
        <w:t xml:space="preserve"> </w:t>
      </w:r>
      <w:r w:rsidRPr="00B479AE">
        <w:rPr>
          <w:rFonts w:ascii="Baskerville Old Face" w:hAnsi="Baskerville Old Face"/>
          <w:i/>
          <w:iCs/>
        </w:rPr>
        <w:t>The objective is intelligent constraint.</w:t>
      </w:r>
    </w:p>
    <w:p w14:paraId="636EC4CD"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b/>
          <w:bCs/>
          <w:i/>
          <w:iCs/>
        </w:rPr>
        <w:t>Meta-prompt generation</w:t>
      </w:r>
    </w:p>
    <w:p w14:paraId="2B80DDC4"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When a request passes constitutional review, the cognitive kernel may generate a structured meta-prompt for downstream agents or workflows.</w:t>
      </w:r>
    </w:p>
    <w:p w14:paraId="09C87442"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A mature meta-prompt should define:</w:t>
      </w:r>
    </w:p>
    <w:p w14:paraId="6A20C976"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 the agent role or workflow type;</w:t>
      </w:r>
      <w:r w:rsidRPr="00B479AE">
        <w:rPr>
          <w:rFonts w:ascii="Baskerville Old Face" w:hAnsi="Baskerville Old Face"/>
          <w:i/>
          <w:iCs/>
        </w:rPr>
        <w:br/>
        <w:t>• the system level involved;</w:t>
      </w:r>
      <w:r w:rsidRPr="00B479AE">
        <w:rPr>
          <w:rFonts w:ascii="Baskerville Old Face" w:hAnsi="Baskerville Old Face"/>
          <w:i/>
          <w:iCs/>
        </w:rPr>
        <w:br/>
        <w:t>• the real objective of the task;</w:t>
      </w:r>
      <w:r w:rsidRPr="00B479AE">
        <w:rPr>
          <w:rFonts w:ascii="Baskerville Old Face" w:hAnsi="Baskerville Old Face"/>
          <w:i/>
          <w:iCs/>
        </w:rPr>
        <w:br/>
        <w:t>• the relevant evidence base;</w:t>
      </w:r>
      <w:r w:rsidRPr="00B479AE">
        <w:rPr>
          <w:rFonts w:ascii="Baskerville Old Face" w:hAnsi="Baskerville Old Face"/>
          <w:i/>
          <w:iCs/>
        </w:rPr>
        <w:br/>
        <w:t>• the ecological and governance constraints;</w:t>
      </w:r>
      <w:r w:rsidRPr="00B479AE">
        <w:rPr>
          <w:rFonts w:ascii="Baskerville Old Face" w:hAnsi="Baskerville Old Face"/>
          <w:i/>
          <w:iCs/>
        </w:rPr>
        <w:br/>
        <w:t>• the financial or legal boundaries;</w:t>
      </w:r>
      <w:r w:rsidRPr="00B479AE">
        <w:rPr>
          <w:rFonts w:ascii="Baskerville Old Face" w:hAnsi="Baskerville Old Face"/>
          <w:i/>
          <w:iCs/>
        </w:rPr>
        <w:br/>
        <w:t>• the time horizon;</w:t>
      </w:r>
      <w:r w:rsidRPr="00B479AE">
        <w:rPr>
          <w:rFonts w:ascii="Baskerville Old Face" w:hAnsi="Baskerville Old Face"/>
          <w:i/>
          <w:iCs/>
        </w:rPr>
        <w:br/>
        <w:t>• the expected output format;</w:t>
      </w:r>
      <w:r w:rsidRPr="00B479AE">
        <w:rPr>
          <w:rFonts w:ascii="Baskerville Old Face" w:hAnsi="Baskerville Old Face"/>
          <w:i/>
          <w:iCs/>
        </w:rPr>
        <w:br/>
        <w:t>• the review pathway;</w:t>
      </w:r>
      <w:r w:rsidRPr="00B479AE">
        <w:rPr>
          <w:rFonts w:ascii="Baskerville Old Face" w:hAnsi="Baskerville Old Face"/>
          <w:i/>
          <w:iCs/>
        </w:rPr>
        <w:br/>
      </w:r>
      <w:r w:rsidRPr="00B479AE">
        <w:rPr>
          <w:rFonts w:ascii="Baskerville Old Face" w:hAnsi="Baskerville Old Face"/>
          <w:i/>
          <w:iCs/>
        </w:rPr>
        <w:lastRenderedPageBreak/>
        <w:t>• the distinction between draft, recommendation, approved action, executed action, and verified outcome.</w:t>
      </w:r>
    </w:p>
    <w:p w14:paraId="00E7B883" w14:textId="4784A561" w:rsidR="00E96BFD" w:rsidRPr="00B479AE" w:rsidRDefault="00E96BFD" w:rsidP="00E96BFD">
      <w:pPr>
        <w:spacing w:line="360" w:lineRule="auto"/>
        <w:rPr>
          <w:rFonts w:ascii="Baskerville Old Face" w:hAnsi="Baskerville Old Face"/>
          <w:i/>
          <w:iCs/>
        </w:rPr>
      </w:pPr>
      <w:proofErr w:type="gramStart"/>
      <w:r w:rsidRPr="00B479AE">
        <w:rPr>
          <w:rFonts w:ascii="Baskerville Old Face" w:hAnsi="Baskerville Old Face"/>
          <w:i/>
          <w:iCs/>
        </w:rPr>
        <w:t>This turns</w:t>
      </w:r>
      <w:proofErr w:type="gramEnd"/>
      <w:r w:rsidRPr="00B479AE">
        <w:rPr>
          <w:rFonts w:ascii="Baskerville Old Face" w:hAnsi="Baskerville Old Face"/>
          <w:i/>
          <w:iCs/>
        </w:rPr>
        <w:t xml:space="preserve"> prompting into institutional infrastructure.</w:t>
      </w:r>
      <w:r w:rsidR="004F2E2D" w:rsidRPr="00B479AE">
        <w:rPr>
          <w:rFonts w:ascii="Baskerville Old Face" w:hAnsi="Baskerville Old Face"/>
          <w:i/>
          <w:iCs/>
        </w:rPr>
        <w:t xml:space="preserve"> </w:t>
      </w:r>
      <w:r w:rsidRPr="00B479AE">
        <w:rPr>
          <w:rFonts w:ascii="Baskerville Old Face" w:hAnsi="Baskerville Old Face"/>
          <w:i/>
          <w:iCs/>
        </w:rPr>
        <w:t>The task is not merely to answer.</w:t>
      </w:r>
    </w:p>
    <w:p w14:paraId="549E1AC8"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task is to preserve coherence while producing usable work.</w:t>
      </w:r>
    </w:p>
    <w:p w14:paraId="50765667"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b/>
          <w:bCs/>
          <w:i/>
          <w:iCs/>
        </w:rPr>
        <w:t>Agent routing and orchestration</w:t>
      </w:r>
    </w:p>
    <w:p w14:paraId="66DD9A5D"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Specialized agents or workflows may support ecological design, MRV interpretation, financial modeling, legal boundary analysis, governance review, reporting, or operational planning.</w:t>
      </w:r>
    </w:p>
    <w:p w14:paraId="5E77BFAB"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However, agent outputs remain bounded.</w:t>
      </w:r>
    </w:p>
    <w:p w14:paraId="3300F3D0"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No agent independently creates PRU value.</w:t>
      </w:r>
    </w:p>
    <w:p w14:paraId="46965398"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No agent independently authorizes investor-facing claims.</w:t>
      </w:r>
    </w:p>
    <w:p w14:paraId="1011D0AE"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No agent independently issues tokens.</w:t>
      </w:r>
    </w:p>
    <w:p w14:paraId="167F4A40"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No agent independently modifies legal rights.</w:t>
      </w:r>
    </w:p>
    <w:p w14:paraId="2C504514"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No agent independently approves ecological intervention.</w:t>
      </w:r>
    </w:p>
    <w:p w14:paraId="1E76E337"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No agent bypasses governance review.</w:t>
      </w:r>
    </w:p>
    <w:p w14:paraId="51F76B61"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cognitive kernel is therefore a constitutional router.</w:t>
      </w:r>
    </w:p>
    <w:p w14:paraId="1BDF3D22"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It helps Prometheus assign the right task to the right workflow under the right constraints.</w:t>
      </w:r>
    </w:p>
    <w:p w14:paraId="5E391379"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The design principle is simple:</w:t>
      </w:r>
    </w:p>
    <w:p w14:paraId="4EACE5CB"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intelligence supports coherence;</w:t>
      </w:r>
    </w:p>
    <w:p w14:paraId="59F8789B"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coherence supports governance;</w:t>
      </w:r>
    </w:p>
    <w:p w14:paraId="2C37C6AC" w14:textId="77777777" w:rsidR="00E96BFD" w:rsidRPr="00B479AE" w:rsidRDefault="00E96BFD" w:rsidP="00E96BFD">
      <w:pPr>
        <w:spacing w:line="360" w:lineRule="auto"/>
        <w:rPr>
          <w:rFonts w:ascii="Baskerville Old Face" w:hAnsi="Baskerville Old Face"/>
          <w:i/>
          <w:iCs/>
        </w:rPr>
      </w:pPr>
      <w:r w:rsidRPr="00B479AE">
        <w:rPr>
          <w:rFonts w:ascii="Baskerville Old Face" w:hAnsi="Baskerville Old Face"/>
          <w:i/>
          <w:iCs/>
        </w:rPr>
        <w:t>governance protects life.</w:t>
      </w:r>
    </w:p>
    <w:p w14:paraId="0D32CF60" w14:textId="4356230B"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Identity and constitutional role</w:t>
      </w:r>
    </w:p>
    <w:p w14:paraId="714A5A82"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Prometheus cognitive kernel is the constitutional coordination layer of the system.</w:t>
      </w:r>
    </w:p>
    <w:p w14:paraId="4C7F15C0"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lastRenderedPageBreak/>
        <w:t>Its role is to preserve coherence between intelligence, evidence, governance, ecological reality, human dignity, financial discipline, and long-term regenerative fidelity.</w:t>
      </w:r>
    </w:p>
    <w:p w14:paraId="25E47891" w14:textId="5CC1C263"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is not an autonomous ruler.</w:t>
      </w:r>
      <w:r w:rsidR="004F2E2D" w:rsidRPr="00B479AE">
        <w:rPr>
          <w:rFonts w:ascii="Baskerville Old Face" w:hAnsi="Baskerville Old Face"/>
          <w:i/>
          <w:iCs/>
        </w:rPr>
        <w:t xml:space="preserve"> </w:t>
      </w:r>
      <w:r w:rsidRPr="00B479AE">
        <w:rPr>
          <w:rFonts w:ascii="Baskerville Old Face" w:hAnsi="Baskerville Old Face"/>
          <w:i/>
          <w:iCs/>
        </w:rPr>
        <w:t>It is not a sovereign executor.</w:t>
      </w:r>
      <w:r w:rsidR="004F2E2D" w:rsidRPr="00B479AE">
        <w:rPr>
          <w:rFonts w:ascii="Baskerville Old Face" w:hAnsi="Baskerville Old Face"/>
          <w:i/>
          <w:iCs/>
        </w:rPr>
        <w:t xml:space="preserve"> </w:t>
      </w:r>
      <w:r w:rsidRPr="00B479AE">
        <w:rPr>
          <w:rFonts w:ascii="Baskerville Old Face" w:hAnsi="Baskerville Old Face"/>
          <w:i/>
          <w:iCs/>
        </w:rPr>
        <w:t>It is not a substitute for law, governance, MRV, science, stewardship, or institutional review.</w:t>
      </w:r>
    </w:p>
    <w:p w14:paraId="48F21F1A"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 is the source-level constraint architecture through which Prometheus prevents intelligence from becoming unbounded acceleration.</w:t>
      </w:r>
    </w:p>
    <w:p w14:paraId="0BA00CC7"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Its purpose is to ensure that every intelligent process operating within Prometheus remains accountable to the living systems the architecture exists to serve.</w:t>
      </w:r>
    </w:p>
    <w:p w14:paraId="1616EA17"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The kernel as constitutional source layer</w:t>
      </w:r>
    </w:p>
    <w:p w14:paraId="081F25E3"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should be treated as a constitutional source layer.</w:t>
      </w:r>
    </w:p>
    <w:p w14:paraId="2DFD2B6A"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This means that its constraints must be embedded at the deepest operational level of Prometheus rather than added as external policy language after the fact.</w:t>
      </w:r>
    </w:p>
    <w:p w14:paraId="647752F4"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system should not rely on downstream moderation alone.</w:t>
      </w:r>
    </w:p>
    <w:p w14:paraId="50B6457D"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 should not rely only on human memory, discretionary judgment, or interface-level warnings.</w:t>
      </w:r>
    </w:p>
    <w:p w14:paraId="7B94A6FF"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Its core constraints must be encoded into the architecture through role boundaries, validation rules, execution gates, audit trails, provenance requirements, permission structures, governance review, cryptographic integrity, and institutional accountability.</w:t>
      </w:r>
    </w:p>
    <w:p w14:paraId="10D775A2"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No agent, model, prompt, dashboard, workflow, token mechanism, governance proposal, or financial process should be able to bypass the kernel’s constitutional constraints without causing the resulting action to become invalid, non-admissible, non-executable, or subject to mandatory review.</w:t>
      </w:r>
    </w:p>
    <w:p w14:paraId="34C87808"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This is the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xml:space="preserve"> principle.</w:t>
      </w:r>
    </w:p>
    <w:p w14:paraId="09B19CE2"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Non-</w:t>
      </w:r>
      <w:proofErr w:type="spellStart"/>
      <w:r w:rsidRPr="00B479AE">
        <w:rPr>
          <w:rFonts w:ascii="Baskerville Old Face" w:hAnsi="Baskerville Old Face"/>
          <w:b/>
          <w:bCs/>
          <w:i/>
          <w:iCs/>
        </w:rPr>
        <w:t>bypassability</w:t>
      </w:r>
      <w:proofErr w:type="spellEnd"/>
      <w:r w:rsidRPr="00B479AE">
        <w:rPr>
          <w:rFonts w:ascii="Baskerville Old Face" w:hAnsi="Baskerville Old Face"/>
          <w:b/>
          <w:bCs/>
          <w:i/>
          <w:iCs/>
        </w:rPr>
        <w:t xml:space="preserve"> principle</w:t>
      </w:r>
    </w:p>
    <w:p w14:paraId="7DDC32A2"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must be designed so that constitutional constraints are not optional instructions.</w:t>
      </w:r>
    </w:p>
    <w:p w14:paraId="038F7B53"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They are execution conditions.</w:t>
      </w:r>
    </w:p>
    <w:p w14:paraId="327AC60B"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A Prometheus action should be considered valid only when it remains consistent with:</w:t>
      </w:r>
    </w:p>
    <w:p w14:paraId="2B0C51E3"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lastRenderedPageBreak/>
        <w:t>• ecological integrity;</w:t>
      </w:r>
      <w:r w:rsidRPr="00B479AE">
        <w:rPr>
          <w:rFonts w:ascii="Baskerville Old Face" w:hAnsi="Baskerville Old Face"/>
          <w:i/>
          <w:iCs/>
        </w:rPr>
        <w:br/>
        <w:t>• human dignity;</w:t>
      </w:r>
      <w:r w:rsidRPr="00B479AE">
        <w:rPr>
          <w:rFonts w:ascii="Baskerville Old Face" w:hAnsi="Baskerville Old Face"/>
          <w:i/>
          <w:iCs/>
        </w:rPr>
        <w:br/>
        <w:t>• evidence provenance;</w:t>
      </w:r>
      <w:r w:rsidRPr="00B479AE">
        <w:rPr>
          <w:rFonts w:ascii="Baskerville Old Face" w:hAnsi="Baskerville Old Face"/>
          <w:i/>
          <w:iCs/>
        </w:rPr>
        <w:br/>
        <w:t>• MRV discipline;</w:t>
      </w:r>
      <w:r w:rsidRPr="00B479AE">
        <w:rPr>
          <w:rFonts w:ascii="Baskerville Old Face" w:hAnsi="Baskerville Old Face"/>
          <w:i/>
          <w:iCs/>
        </w:rPr>
        <w:br/>
        <w:t>• governance authority;</w:t>
      </w:r>
      <w:r w:rsidRPr="00B479AE">
        <w:rPr>
          <w:rFonts w:ascii="Baskerville Old Face" w:hAnsi="Baskerville Old Face"/>
          <w:i/>
          <w:iCs/>
        </w:rPr>
        <w:br/>
        <w:t>• legal boundaries;</w:t>
      </w:r>
      <w:r w:rsidRPr="00B479AE">
        <w:rPr>
          <w:rFonts w:ascii="Baskerville Old Face" w:hAnsi="Baskerville Old Face"/>
          <w:i/>
          <w:iCs/>
        </w:rPr>
        <w:br/>
        <w:t>• financial admissibility;</w:t>
      </w:r>
      <w:r w:rsidRPr="00B479AE">
        <w:rPr>
          <w:rFonts w:ascii="Baskerville Old Face" w:hAnsi="Baskerville Old Face"/>
          <w:i/>
          <w:iCs/>
        </w:rPr>
        <w:br/>
        <w:t>• anti-greenwashing controls;</w:t>
      </w:r>
      <w:r w:rsidRPr="00B479AE">
        <w:rPr>
          <w:rFonts w:ascii="Baskerville Old Face" w:hAnsi="Baskerville Old Face"/>
          <w:i/>
          <w:iCs/>
        </w:rPr>
        <w:br/>
        <w:t>• no-double-counting rules;</w:t>
      </w:r>
      <w:r w:rsidRPr="00B479AE">
        <w:rPr>
          <w:rFonts w:ascii="Baskerville Old Face" w:hAnsi="Baskerville Old Face"/>
          <w:i/>
          <w:iCs/>
        </w:rPr>
        <w:br/>
        <w:t>• anti-capture safeguards;</w:t>
      </w:r>
      <w:r w:rsidRPr="00B479AE">
        <w:rPr>
          <w:rFonts w:ascii="Baskerville Old Face" w:hAnsi="Baskerville Old Face"/>
          <w:i/>
          <w:iCs/>
        </w:rPr>
        <w:br/>
        <w:t>• pilot-scope discipline;</w:t>
      </w:r>
      <w:r w:rsidRPr="00B479AE">
        <w:rPr>
          <w:rFonts w:ascii="Baskerville Old Face" w:hAnsi="Baskerville Old Face"/>
          <w:i/>
          <w:iCs/>
        </w:rPr>
        <w:br/>
        <w:t>• reviewability and auditability;</w:t>
      </w:r>
      <w:r w:rsidRPr="00B479AE">
        <w:rPr>
          <w:rFonts w:ascii="Baskerville Old Face" w:hAnsi="Baskerville Old Face"/>
          <w:i/>
          <w:iCs/>
        </w:rPr>
        <w:br/>
        <w:t>• accountability to living systems.</w:t>
      </w:r>
    </w:p>
    <w:p w14:paraId="12AE4CA8"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If an output, instruction, agent action, governance proposal, token operation, financial representation, or ecological intervention violates these conditions, the system should treat it as outside the valid execution pathway.</w:t>
      </w:r>
    </w:p>
    <w:p w14:paraId="43BF7EAE"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correct status is not “approved.”</w:t>
      </w:r>
    </w:p>
    <w:p w14:paraId="246BB526"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correct status is:</w:t>
      </w:r>
    </w:p>
    <w:p w14:paraId="531147C6"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review required, invalid, non-admissible, non-executable, or rejected according to the relevant rule set.</w:t>
      </w:r>
    </w:p>
    <w:p w14:paraId="58FB5005"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Security and anti-capture mandate</w:t>
      </w:r>
    </w:p>
    <w:p w14:paraId="3C39A888"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must be designed under a security and anti-capture mandate.</w:t>
      </w:r>
    </w:p>
    <w:p w14:paraId="0B0345A6"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No intelligence operating inside or around Prometheus should be allowed to convert speed into authority, complexity into opacity, governance into capture, tokenization into entitlement, narrative into evidence, or financial abstraction into ecological ownership.</w:t>
      </w:r>
    </w:p>
    <w:p w14:paraId="1793956C"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This mandate applies to:</w:t>
      </w:r>
    </w:p>
    <w:p w14:paraId="13D818D8"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 human operators;</w:t>
      </w:r>
      <w:r w:rsidRPr="00B479AE">
        <w:rPr>
          <w:rFonts w:ascii="Baskerville Old Face" w:hAnsi="Baskerville Old Face"/>
          <w:i/>
          <w:iCs/>
        </w:rPr>
        <w:br/>
        <w:t>• AI models;</w:t>
      </w:r>
      <w:r w:rsidRPr="00B479AE">
        <w:rPr>
          <w:rFonts w:ascii="Baskerville Old Face" w:hAnsi="Baskerville Old Face"/>
          <w:i/>
          <w:iCs/>
        </w:rPr>
        <w:br/>
        <w:t>• autonomous or semi-autonomous agents;</w:t>
      </w:r>
      <w:r w:rsidRPr="00B479AE">
        <w:rPr>
          <w:rFonts w:ascii="Baskerville Old Face" w:hAnsi="Baskerville Old Face"/>
          <w:i/>
          <w:iCs/>
        </w:rPr>
        <w:br/>
      </w:r>
      <w:r w:rsidRPr="00B479AE">
        <w:rPr>
          <w:rFonts w:ascii="Baskerville Old Face" w:hAnsi="Baskerville Old Face"/>
          <w:i/>
          <w:iCs/>
        </w:rPr>
        <w:lastRenderedPageBreak/>
        <w:t>• governance participants;</w:t>
      </w:r>
      <w:r w:rsidRPr="00B479AE">
        <w:rPr>
          <w:rFonts w:ascii="Baskerville Old Face" w:hAnsi="Baskerville Old Face"/>
          <w:i/>
          <w:iCs/>
        </w:rPr>
        <w:br/>
        <w:t>• protocol stewards;</w:t>
      </w:r>
      <w:r w:rsidRPr="00B479AE">
        <w:rPr>
          <w:rFonts w:ascii="Baskerville Old Face" w:hAnsi="Baskerville Old Face"/>
          <w:i/>
          <w:iCs/>
        </w:rPr>
        <w:br/>
        <w:t>• investors;</w:t>
      </w:r>
      <w:r w:rsidRPr="00B479AE">
        <w:rPr>
          <w:rFonts w:ascii="Baskerville Old Face" w:hAnsi="Baskerville Old Face"/>
          <w:i/>
          <w:iCs/>
        </w:rPr>
        <w:br/>
        <w:t>• dashboards;</w:t>
      </w:r>
      <w:r w:rsidRPr="00B479AE">
        <w:rPr>
          <w:rFonts w:ascii="Baskerville Old Face" w:hAnsi="Baskerville Old Face"/>
          <w:i/>
          <w:iCs/>
        </w:rPr>
        <w:br/>
        <w:t>• APIs;</w:t>
      </w:r>
      <w:r w:rsidRPr="00B479AE">
        <w:rPr>
          <w:rFonts w:ascii="Baskerville Old Face" w:hAnsi="Baskerville Old Face"/>
          <w:i/>
          <w:iCs/>
        </w:rPr>
        <w:br/>
        <w:t>• smart-contract or token logic;</w:t>
      </w:r>
      <w:r w:rsidRPr="00B479AE">
        <w:rPr>
          <w:rFonts w:ascii="Baskerville Old Face" w:hAnsi="Baskerville Old Face"/>
          <w:i/>
          <w:iCs/>
        </w:rPr>
        <w:br/>
        <w:t>• external integrations;</w:t>
      </w:r>
      <w:r w:rsidRPr="00B479AE">
        <w:rPr>
          <w:rFonts w:ascii="Baskerville Old Face" w:hAnsi="Baskerville Old Face"/>
          <w:i/>
          <w:iCs/>
        </w:rPr>
        <w:br/>
        <w:t>• future artificial intelligences more capable than the systems available at the time of this release.</w:t>
      </w:r>
    </w:p>
    <w:p w14:paraId="643DCA51"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Prometheus must assume that future systems may become more persuasive, more capable, more automated, and more difficult to audit.</w:t>
      </w:r>
    </w:p>
    <w:p w14:paraId="318779F1"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For this reason, kernel protection cannot depend only on trust in the intelligence using the system.</w:t>
      </w:r>
    </w:p>
    <w:p w14:paraId="355DD756"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 must depend on architecture.</w:t>
      </w:r>
    </w:p>
    <w:p w14:paraId="6C1ACE57"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Defense-in-depth</w:t>
      </w:r>
    </w:p>
    <w:p w14:paraId="5B6AC01D"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should be protected through defense-in-depth.</w:t>
      </w:r>
    </w:p>
    <w:p w14:paraId="2958F094"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This includes:</w:t>
      </w:r>
    </w:p>
    <w:p w14:paraId="541221A6"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 separation of roles and permissions;</w:t>
      </w:r>
      <w:r w:rsidRPr="00B479AE">
        <w:rPr>
          <w:rFonts w:ascii="Baskerville Old Face" w:hAnsi="Baskerville Old Face"/>
          <w:i/>
          <w:iCs/>
        </w:rPr>
        <w:br/>
        <w:t>• least-privilege access;</w:t>
      </w:r>
      <w:r w:rsidRPr="00B479AE">
        <w:rPr>
          <w:rFonts w:ascii="Baskerville Old Face" w:hAnsi="Baskerville Old Face"/>
          <w:i/>
          <w:iCs/>
        </w:rPr>
        <w:br/>
        <w:t>• explicit execution gates;</w:t>
      </w:r>
      <w:r w:rsidRPr="00B479AE">
        <w:rPr>
          <w:rFonts w:ascii="Baskerville Old Face" w:hAnsi="Baskerville Old Face"/>
          <w:i/>
          <w:iCs/>
        </w:rPr>
        <w:br/>
        <w:t>• cryptographic signing of critical actions;</w:t>
      </w:r>
      <w:r w:rsidRPr="00B479AE">
        <w:rPr>
          <w:rFonts w:ascii="Baskerville Old Face" w:hAnsi="Baskerville Old Face"/>
          <w:i/>
          <w:iCs/>
        </w:rPr>
        <w:br/>
        <w:t>• versioned methodologies;</w:t>
      </w:r>
      <w:r w:rsidRPr="00B479AE">
        <w:rPr>
          <w:rFonts w:ascii="Baskerville Old Face" w:hAnsi="Baskerville Old Face"/>
          <w:i/>
          <w:iCs/>
        </w:rPr>
        <w:br/>
        <w:t>• tamper-evident records;</w:t>
      </w:r>
      <w:r w:rsidRPr="00B479AE">
        <w:rPr>
          <w:rFonts w:ascii="Baskerville Old Face" w:hAnsi="Baskerville Old Face"/>
          <w:i/>
          <w:iCs/>
        </w:rPr>
        <w:br/>
        <w:t>• audit logs;</w:t>
      </w:r>
      <w:r w:rsidRPr="00B479AE">
        <w:rPr>
          <w:rFonts w:ascii="Baskerville Old Face" w:hAnsi="Baskerville Old Face"/>
          <w:i/>
          <w:iCs/>
        </w:rPr>
        <w:br/>
        <w:t>• provenance chains;</w:t>
      </w:r>
      <w:r w:rsidRPr="00B479AE">
        <w:rPr>
          <w:rFonts w:ascii="Baskerville Old Face" w:hAnsi="Baskerville Old Face"/>
          <w:i/>
          <w:iCs/>
        </w:rPr>
        <w:br/>
        <w:t>• manual review for high-impact actions;</w:t>
      </w:r>
      <w:r w:rsidRPr="00B479AE">
        <w:rPr>
          <w:rFonts w:ascii="Baskerville Old Face" w:hAnsi="Baskerville Old Face"/>
          <w:i/>
          <w:iCs/>
        </w:rPr>
        <w:br/>
        <w:t>• multi-stakeholder governance for sensitive decisions;</w:t>
      </w:r>
      <w:r w:rsidRPr="00B479AE">
        <w:rPr>
          <w:rFonts w:ascii="Baskerville Old Face" w:hAnsi="Baskerville Old Face"/>
          <w:i/>
          <w:iCs/>
        </w:rPr>
        <w:br/>
        <w:t>• rollback and emergency-pause procedures;</w:t>
      </w:r>
      <w:r w:rsidRPr="00B479AE">
        <w:rPr>
          <w:rFonts w:ascii="Baskerville Old Face" w:hAnsi="Baskerville Old Face"/>
          <w:i/>
          <w:iCs/>
        </w:rPr>
        <w:br/>
        <w:t>• adversarial testing;</w:t>
      </w:r>
      <w:r w:rsidRPr="00B479AE">
        <w:rPr>
          <w:rFonts w:ascii="Baskerville Old Face" w:hAnsi="Baskerville Old Face"/>
          <w:i/>
          <w:iCs/>
        </w:rPr>
        <w:br/>
        <w:t>• model-risk review;</w:t>
      </w:r>
      <w:r w:rsidRPr="00B479AE">
        <w:rPr>
          <w:rFonts w:ascii="Baskerville Old Face" w:hAnsi="Baskerville Old Face"/>
          <w:i/>
          <w:iCs/>
        </w:rPr>
        <w:br/>
        <w:t>• security audits;</w:t>
      </w:r>
      <w:r w:rsidRPr="00B479AE">
        <w:rPr>
          <w:rFonts w:ascii="Baskerville Old Face" w:hAnsi="Baskerville Old Face"/>
          <w:i/>
          <w:iCs/>
        </w:rPr>
        <w:br/>
        <w:t>• red-team exercises;</w:t>
      </w:r>
      <w:r w:rsidRPr="00B479AE">
        <w:rPr>
          <w:rFonts w:ascii="Baskerville Old Face" w:hAnsi="Baskerville Old Face"/>
          <w:i/>
          <w:iCs/>
        </w:rPr>
        <w:br/>
      </w:r>
      <w:r w:rsidRPr="00B479AE">
        <w:rPr>
          <w:rFonts w:ascii="Baskerville Old Face" w:hAnsi="Baskerville Old Face"/>
          <w:i/>
          <w:iCs/>
        </w:rPr>
        <w:lastRenderedPageBreak/>
        <w:t>• formal specification where feasible;</w:t>
      </w:r>
      <w:r w:rsidRPr="00B479AE">
        <w:rPr>
          <w:rFonts w:ascii="Baskerville Old Face" w:hAnsi="Baskerville Old Face"/>
          <w:i/>
          <w:iCs/>
        </w:rPr>
        <w:br/>
        <w:t>• independent review of critical upgrades.</w:t>
      </w:r>
    </w:p>
    <w:p w14:paraId="56A1CCDF"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objective is not to claim that any technical system can be absolutely invulnerable for all time.</w:t>
      </w:r>
    </w:p>
    <w:p w14:paraId="183D729D"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objective is to make constitutional bypass structurally difficult, detectable, reviewable, reversible where possible, and institutionally invalid.</w:t>
      </w:r>
    </w:p>
    <w:p w14:paraId="08629E38"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Prometheus should therefore be designed so that even a highly capable intelligence cannot legitimately execute actions that violate the constitutional source layer.</w:t>
      </w:r>
    </w:p>
    <w:p w14:paraId="4A5C9220"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Source-code discipline</w:t>
      </w:r>
    </w:p>
    <w:p w14:paraId="5C5EAFEA"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At implementation level, the kernel’s constraints should be expressed not only in narrative documents, but also in source-code logic, validation schemas, policy engines, permission systems, execution gates, test suites, audit procedures, and deployment controls.</w:t>
      </w:r>
    </w:p>
    <w:p w14:paraId="378F7921"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constitutional text defines the meaning.</w:t>
      </w:r>
    </w:p>
    <w:p w14:paraId="1626A7A7"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source code enforces the boundary.</w:t>
      </w:r>
    </w:p>
    <w:p w14:paraId="63FA8224"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audit trail proves whether the boundary was respected.</w:t>
      </w:r>
    </w:p>
    <w:p w14:paraId="1C5F7C11"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governance layer decides how boundary cases are handled.</w:t>
      </w:r>
    </w:p>
    <w:p w14:paraId="16275B9D"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This creates a four-layer discipline:</w:t>
      </w:r>
    </w:p>
    <w:p w14:paraId="7EF25BCA"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constitutional meaning;</w:t>
      </w:r>
      <w:r w:rsidRPr="00B479AE">
        <w:rPr>
          <w:rFonts w:ascii="Baskerville Old Face" w:hAnsi="Baskerville Old Face"/>
          <w:i/>
          <w:iCs/>
        </w:rPr>
        <w:br/>
        <w:t>technical enforcement;</w:t>
      </w:r>
      <w:r w:rsidRPr="00B479AE">
        <w:rPr>
          <w:rFonts w:ascii="Baskerville Old Face" w:hAnsi="Baskerville Old Face"/>
          <w:i/>
          <w:iCs/>
        </w:rPr>
        <w:br/>
        <w:t>auditability;</w:t>
      </w:r>
      <w:r w:rsidRPr="00B479AE">
        <w:rPr>
          <w:rFonts w:ascii="Baskerville Old Face" w:hAnsi="Baskerville Old Face"/>
          <w:i/>
          <w:iCs/>
        </w:rPr>
        <w:br/>
        <w:t>governance review.</w:t>
      </w:r>
    </w:p>
    <w:p w14:paraId="32B858B5"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therefore becomes more than a philosophy.</w:t>
      </w:r>
    </w:p>
    <w:p w14:paraId="652FE933"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 becomes operational law inside the system.</w:t>
      </w:r>
    </w:p>
    <w:p w14:paraId="7A12345F" w14:textId="73422638"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b/>
          <w:bCs/>
          <w:i/>
          <w:iCs/>
        </w:rPr>
        <w:t>Irreducible boundary</w:t>
      </w:r>
    </w:p>
    <w:p w14:paraId="27702177"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irreducible boundary of the kernel is this:</w:t>
      </w:r>
    </w:p>
    <w:p w14:paraId="13C09CF0"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intelligence may assist;</w:t>
      </w:r>
    </w:p>
    <w:p w14:paraId="5F515A55"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lastRenderedPageBreak/>
        <w:t>intelligence may interpret;</w:t>
      </w:r>
    </w:p>
    <w:p w14:paraId="4F036318"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intelligence may generate;</w:t>
      </w:r>
    </w:p>
    <w:p w14:paraId="4FFD5EFE"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intelligence may recommend;</w:t>
      </w:r>
    </w:p>
    <w:p w14:paraId="463216DB"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intelligence may coordinate;</w:t>
      </w:r>
    </w:p>
    <w:p w14:paraId="0AA3AE92"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but intelligence may not override the constitutional conditions that preserve life, dignity, evidence, governance, and regenerative fidelity.</w:t>
      </w:r>
    </w:p>
    <w:p w14:paraId="446CD6CE"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Any intelligence that attempts to bypass these conditions is not acting as Prometheus.</w:t>
      </w:r>
    </w:p>
    <w:p w14:paraId="1E79666B"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 is acting outside Prometheus.</w:t>
      </w:r>
    </w:p>
    <w:p w14:paraId="325AD896"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This boundary must remain invariant across future versions, deployments, derivative systems, interfaces, models, agents, capital structures, and institutional transformations.</w:t>
      </w:r>
    </w:p>
    <w:p w14:paraId="6233B16E"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The kernel exists so that Prometheus can become more intelligent without becoming less accountable.</w:t>
      </w:r>
    </w:p>
    <w:p w14:paraId="742AB8FA"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Its final role is therefore not control for its own sake.</w:t>
      </w:r>
    </w:p>
    <w:p w14:paraId="26073DDE"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Its role is fidelity.</w:t>
      </w:r>
    </w:p>
    <w:p w14:paraId="7EDD289D"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It protects the system from the oldest failure mode of intelligence:</w:t>
      </w:r>
    </w:p>
    <w:p w14:paraId="056C0D5E" w14:textId="77777777" w:rsidR="00E11B73" w:rsidRPr="00B479AE" w:rsidRDefault="00E11B73" w:rsidP="00E11B73">
      <w:pPr>
        <w:spacing w:line="360" w:lineRule="auto"/>
        <w:rPr>
          <w:rFonts w:ascii="Baskerville Old Face" w:hAnsi="Baskerville Old Face"/>
          <w:i/>
          <w:iCs/>
        </w:rPr>
      </w:pPr>
      <w:r w:rsidRPr="00B479AE">
        <w:rPr>
          <w:rFonts w:ascii="Baskerville Old Face" w:hAnsi="Baskerville Old Face"/>
          <w:i/>
          <w:iCs/>
        </w:rPr>
        <w:t>becoming powerful before becoming wise.</w:t>
      </w:r>
    </w:p>
    <w:p w14:paraId="7F77D03A" w14:textId="07C21DB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Internal pre-prompt analysis</w:t>
      </w:r>
    </w:p>
    <w:p w14:paraId="327C394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Before any meta-prompt, agent task, operational recommendation, governance proposal, financial scenario, ecological design instruction, or investor-facing draft is generated, the Prometheus cognitive kernel performs an internal pre-prompt analysis.</w:t>
      </w:r>
    </w:p>
    <w:p w14:paraId="62AD59F0"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This analysis is mandatory.</w:t>
      </w:r>
    </w:p>
    <w:p w14:paraId="2F603889"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It is not optional UX behavior.</w:t>
      </w:r>
    </w:p>
    <w:p w14:paraId="1965AC46"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It is part of the constitutional source layer.</w:t>
      </w:r>
    </w:p>
    <w:p w14:paraId="6C8EBE5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lastRenderedPageBreak/>
        <w:t>Its function is to ensure that every generated output remains scoped, evidence-aware, risk-aware, reviewable, and aligned with the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xml:space="preserve"> principle.</w:t>
      </w:r>
    </w:p>
    <w:p w14:paraId="3B29D3D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pre-prompt analysis should be implemented as an internal reasoning and validation stage.</w:t>
      </w:r>
    </w:p>
    <w:p w14:paraId="4EAFF7A1"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xml:space="preserve">Where technically and legally appropriate, its decision path should be logged, auditable, and </w:t>
      </w:r>
      <w:proofErr w:type="spellStart"/>
      <w:r w:rsidRPr="00B479AE">
        <w:rPr>
          <w:rFonts w:ascii="Baskerville Old Face" w:hAnsi="Baskerville Old Face"/>
          <w:i/>
          <w:iCs/>
        </w:rPr>
        <w:t>reconstructible</w:t>
      </w:r>
      <w:proofErr w:type="spellEnd"/>
      <w:r w:rsidRPr="00B479AE">
        <w:rPr>
          <w:rFonts w:ascii="Baskerville Old Face" w:hAnsi="Baskerville Old Face"/>
          <w:i/>
          <w:iCs/>
        </w:rPr>
        <w:t xml:space="preserve"> without exposing sensitive data, private reasoning, personal information, or protected governance material.</w:t>
      </w:r>
    </w:p>
    <w:p w14:paraId="4FBBBB3F"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objective is simple:</w:t>
      </w:r>
    </w:p>
    <w:p w14:paraId="700B3EF8"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understand the request before acting on it;</w:t>
      </w:r>
    </w:p>
    <w:p w14:paraId="7A7B9D30"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classify the system level before routing it;</w:t>
      </w:r>
    </w:p>
    <w:p w14:paraId="734A264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identify risk before acceleration;</w:t>
      </w:r>
    </w:p>
    <w:p w14:paraId="7EAA9A7F"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apply constitutional constraints before generation;</w:t>
      </w:r>
    </w:p>
    <w:p w14:paraId="71F60952" w14:textId="1EBED607" w:rsidR="004F2E2D" w:rsidRDefault="004F2E2D" w:rsidP="004F2E2D">
      <w:pPr>
        <w:spacing w:line="360" w:lineRule="auto"/>
        <w:rPr>
          <w:rFonts w:ascii="Baskerville Old Face" w:hAnsi="Baskerville Old Face"/>
          <w:i/>
          <w:iCs/>
        </w:rPr>
      </w:pPr>
      <w:r w:rsidRPr="00B479AE">
        <w:rPr>
          <w:rFonts w:ascii="Baskerville Old Face" w:hAnsi="Baskerville Old Face"/>
          <w:i/>
          <w:iCs/>
        </w:rPr>
        <w:t>preserve reviewability before execution.</w:t>
      </w:r>
      <w:r w:rsidR="00175E64">
        <w:rPr>
          <w:rFonts w:ascii="Baskerville Old Face" w:hAnsi="Baskerville Old Face"/>
          <w:i/>
          <w:iCs/>
        </w:rPr>
        <w:t xml:space="preserve"> </w:t>
      </w:r>
    </w:p>
    <w:p w14:paraId="2BCD9293" w14:textId="77777777" w:rsidR="00175E64" w:rsidRPr="00B479AE" w:rsidRDefault="00175E64" w:rsidP="004F2E2D">
      <w:pPr>
        <w:spacing w:line="360" w:lineRule="auto"/>
        <w:rPr>
          <w:rFonts w:ascii="Baskerville Old Face" w:hAnsi="Baskerville Old Face"/>
          <w:i/>
          <w:iCs/>
        </w:rPr>
      </w:pPr>
    </w:p>
    <w:p w14:paraId="06D0937E" w14:textId="5FBFD5E2"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A. Request classification</w:t>
      </w:r>
    </w:p>
    <w:p w14:paraId="5F79AC9E" w14:textId="3E12A661"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first classifies the request into one or more domains. A request may belong to multiple domains at the same time. For example, a regenerative land deployment may be ecological, operational, financial, legal, governance-related, and technological at once.</w:t>
      </w:r>
    </w:p>
    <w:p w14:paraId="59E00868"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Relevant domains may include:</w:t>
      </w:r>
    </w:p>
    <w:p w14:paraId="02AF63EA"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strategic — long-term vision, positioning, capital-market narrative, institutional direction;</w:t>
      </w:r>
      <w:r w:rsidRPr="00B479AE">
        <w:rPr>
          <w:rFonts w:ascii="Baskerville Old Face" w:hAnsi="Baskerville Old Face"/>
          <w:i/>
          <w:iCs/>
        </w:rPr>
        <w:br/>
        <w:t>• operational — execution, workflows, implementation, field activity, runbooks, maintenance, deployment sequencing;</w:t>
      </w:r>
      <w:r w:rsidRPr="00B479AE">
        <w:rPr>
          <w:rFonts w:ascii="Baskerville Old Face" w:hAnsi="Baskerville Old Face"/>
          <w:i/>
          <w:iCs/>
        </w:rPr>
        <w:br/>
        <w:t>• architectural — system design, layer separation, protocol structure, role relationships, ontology, interoperability;</w:t>
      </w:r>
      <w:r w:rsidRPr="00B479AE">
        <w:rPr>
          <w:rFonts w:ascii="Baskerville Old Face" w:hAnsi="Baskerville Old Face"/>
          <w:i/>
          <w:iCs/>
        </w:rPr>
        <w:br/>
        <w:t>• ecological — soil, water, biodiversity, biomass, syntropic succession, resilience, ecological performance;</w:t>
      </w:r>
      <w:r w:rsidRPr="00B479AE">
        <w:rPr>
          <w:rFonts w:ascii="Baskerville Old Face" w:hAnsi="Baskerville Old Face"/>
          <w:i/>
          <w:iCs/>
        </w:rPr>
        <w:br/>
        <w:t xml:space="preserve">• social and community — trust, participation, mutual aid, local relationships, social resilience, </w:t>
      </w:r>
      <w:r w:rsidRPr="00B479AE">
        <w:rPr>
          <w:rFonts w:ascii="Baskerville Old Face" w:hAnsi="Baskerville Old Face"/>
          <w:i/>
          <w:iCs/>
        </w:rPr>
        <w:lastRenderedPageBreak/>
        <w:t>conflict dynamics;</w:t>
      </w:r>
      <w:r w:rsidRPr="00B479AE">
        <w:rPr>
          <w:rFonts w:ascii="Baskerville Old Face" w:hAnsi="Baskerville Old Face"/>
          <w:i/>
          <w:iCs/>
        </w:rPr>
        <w:br/>
        <w:t>• financial and economic-systemic — capital flows, underwriting, leverage, liquidity, Minsky-Keen risk, PRU, RAP, valuation, investor reporting;</w:t>
      </w:r>
      <w:r w:rsidRPr="00B479AE">
        <w:rPr>
          <w:rFonts w:ascii="Baskerville Old Face" w:hAnsi="Baskerville Old Face"/>
          <w:i/>
          <w:iCs/>
        </w:rPr>
        <w:br/>
        <w:t xml:space="preserve">• technological and infrastructural —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-compatible systems,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 MRV infrastructure, APIs, data rooms, dashboards, AI systems, digital provenance;</w:t>
      </w:r>
      <w:r w:rsidRPr="00B479AE">
        <w:rPr>
          <w:rFonts w:ascii="Baskerville Old Face" w:hAnsi="Baskerville Old Face"/>
          <w:i/>
          <w:iCs/>
        </w:rPr>
        <w:br/>
        <w:t>• human infrastructure — stewardship capacity, participation quality, decision conditions, voluntary HSI context, community coherence;</w:t>
      </w:r>
      <w:r w:rsidRPr="00B479AE">
        <w:rPr>
          <w:rFonts w:ascii="Baskerville Old Face" w:hAnsi="Baskerville Old Face"/>
          <w:i/>
          <w:iCs/>
        </w:rPr>
        <w:br/>
        <w:t xml:space="preserve">• health-related and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 food quality, movement, nature exposure, metabolic-resilience hypotheses, public-health partnerships, research pathways;</w:t>
      </w:r>
      <w:r w:rsidRPr="00B479AE">
        <w:rPr>
          <w:rFonts w:ascii="Baskerville Old Face" w:hAnsi="Baskerville Old Face"/>
          <w:i/>
          <w:iCs/>
        </w:rPr>
        <w:br/>
        <w:t>• cultural, spiritual, and ancestral — traditional knowledge, sacred sites, cultural continuity, intergenerational responsibility, territorial meaning;</w:t>
      </w:r>
      <w:r w:rsidRPr="00B479AE">
        <w:rPr>
          <w:rFonts w:ascii="Baskerville Old Face" w:hAnsi="Baskerville Old Face"/>
          <w:i/>
          <w:iCs/>
        </w:rPr>
        <w:br/>
        <w:t>• governance, DAO, and policy — decision rules, stewardship circles, protocol governance, rights, obligations, review procedures, public-sector alignment;</w:t>
      </w:r>
      <w:r w:rsidRPr="00B479AE">
        <w:rPr>
          <w:rFonts w:ascii="Baskerville Old Face" w:hAnsi="Baskerville Old Face"/>
          <w:i/>
          <w:iCs/>
        </w:rPr>
        <w:br/>
        <w:t>• legal and compliance — securities, tokens, land access, data protection, medical claims, environmental claims, investor disclosure, jurisdictional review;</w:t>
      </w:r>
      <w:r w:rsidRPr="00B479AE">
        <w:rPr>
          <w:rFonts w:ascii="Baskerville Old Face" w:hAnsi="Baskerville Old Face"/>
          <w:i/>
          <w:iCs/>
        </w:rPr>
        <w:br/>
        <w:t>• meta-cognitive — prompts, agents, model behavior, methodology evolution, AI governance, reasoning processes, knowledge systems.</w:t>
      </w:r>
    </w:p>
    <w:p w14:paraId="1D98AB3A"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classification determines the review pathway.</w:t>
      </w:r>
    </w:p>
    <w:p w14:paraId="04ED91CA"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low-risk informational request may be answered directly.</w:t>
      </w:r>
    </w:p>
    <w:p w14:paraId="28FEA1F7" w14:textId="32FD2596" w:rsidR="004F2E2D" w:rsidRDefault="004F2E2D" w:rsidP="004F2E2D">
      <w:pPr>
        <w:spacing w:line="360" w:lineRule="auto"/>
        <w:rPr>
          <w:rFonts w:ascii="Baskerville Old Face" w:hAnsi="Baskerville Old Face"/>
          <w:i/>
          <w:iCs/>
        </w:rPr>
      </w:pPr>
      <w:r w:rsidRPr="00B479AE">
        <w:rPr>
          <w:rFonts w:ascii="Baskerville Old Face" w:hAnsi="Baskerville Old Face"/>
          <w:i/>
          <w:iCs/>
        </w:rPr>
        <w:t>A financial, legal, health-related, token-related, or investor-facing request may require assumptions, caveats, governance review, legal review, or deferral.</w:t>
      </w:r>
      <w:r w:rsidR="00543279">
        <w:rPr>
          <w:rFonts w:ascii="Baskerville Old Face" w:hAnsi="Baskerville Old Face"/>
          <w:i/>
          <w:iCs/>
        </w:rPr>
        <w:t xml:space="preserve"> </w:t>
      </w:r>
    </w:p>
    <w:p w14:paraId="52CA81A0" w14:textId="77777777" w:rsidR="00D40473" w:rsidRDefault="00D40473" w:rsidP="004F2E2D">
      <w:pPr>
        <w:spacing w:line="360" w:lineRule="auto"/>
        <w:rPr>
          <w:rFonts w:ascii="Baskerville Old Face" w:hAnsi="Baskerville Old Face"/>
          <w:i/>
          <w:iCs/>
        </w:rPr>
      </w:pPr>
    </w:p>
    <w:p w14:paraId="2F68CDAE" w14:textId="77777777" w:rsidR="00D40473" w:rsidRDefault="00D40473" w:rsidP="004F2E2D">
      <w:pPr>
        <w:spacing w:line="360" w:lineRule="auto"/>
        <w:rPr>
          <w:rFonts w:ascii="Baskerville Old Face" w:hAnsi="Baskerville Old Face"/>
          <w:i/>
          <w:iCs/>
        </w:rPr>
      </w:pPr>
    </w:p>
    <w:p w14:paraId="4A399B72" w14:textId="77777777" w:rsidR="00D40473" w:rsidRDefault="00D40473" w:rsidP="004F2E2D">
      <w:pPr>
        <w:spacing w:line="360" w:lineRule="auto"/>
        <w:rPr>
          <w:rFonts w:ascii="Baskerville Old Face" w:hAnsi="Baskerville Old Face"/>
          <w:i/>
          <w:iCs/>
        </w:rPr>
      </w:pPr>
    </w:p>
    <w:p w14:paraId="5D0573A9" w14:textId="77777777" w:rsidR="00D40473" w:rsidRDefault="00D40473" w:rsidP="004F2E2D">
      <w:pPr>
        <w:spacing w:line="360" w:lineRule="auto"/>
        <w:rPr>
          <w:rFonts w:ascii="Baskerville Old Face" w:hAnsi="Baskerville Old Face"/>
          <w:i/>
          <w:iCs/>
        </w:rPr>
      </w:pPr>
    </w:p>
    <w:p w14:paraId="7F26AF96" w14:textId="77777777" w:rsidR="00D40473" w:rsidRDefault="00D40473" w:rsidP="004F2E2D">
      <w:pPr>
        <w:spacing w:line="360" w:lineRule="auto"/>
        <w:rPr>
          <w:rFonts w:ascii="Baskerville Old Face" w:hAnsi="Baskerville Old Face"/>
          <w:i/>
          <w:iCs/>
        </w:rPr>
      </w:pPr>
    </w:p>
    <w:p w14:paraId="2F6046EE" w14:textId="77777777" w:rsidR="00D40473" w:rsidRDefault="00D40473" w:rsidP="004F2E2D">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7438"/>
      </w:tblGrid>
      <w:tr w:rsidR="004F2E2D" w:rsidRPr="00175E64" w14:paraId="5395082B" w14:textId="77777777" w:rsidTr="004F2E2D">
        <w:trPr>
          <w:tblHeader/>
          <w:tblCellSpacing w:w="15" w:type="dxa"/>
        </w:trPr>
        <w:tc>
          <w:tcPr>
            <w:tcW w:w="0" w:type="auto"/>
            <w:vAlign w:val="center"/>
            <w:hideMark/>
          </w:tcPr>
          <w:p w14:paraId="7AB46CC1" w14:textId="77777777" w:rsidR="004F2E2D" w:rsidRPr="00175E64" w:rsidRDefault="004F2E2D" w:rsidP="004F2E2D">
            <w:pPr>
              <w:spacing w:line="360" w:lineRule="auto"/>
              <w:rPr>
                <w:rFonts w:ascii="Baskerville Old Face" w:hAnsi="Baskerville Old Face"/>
                <w:b/>
                <w:bCs/>
                <w:i/>
                <w:iCs/>
                <w:sz w:val="20"/>
                <w:szCs w:val="20"/>
              </w:rPr>
            </w:pPr>
            <w:r w:rsidRPr="00175E64">
              <w:rPr>
                <w:rFonts w:ascii="Baskerville Old Face" w:hAnsi="Baskerville Old Face"/>
                <w:b/>
                <w:bCs/>
                <w:i/>
                <w:iCs/>
                <w:sz w:val="20"/>
                <w:szCs w:val="20"/>
              </w:rPr>
              <w:lastRenderedPageBreak/>
              <w:t>Domain</w:t>
            </w:r>
          </w:p>
        </w:tc>
        <w:tc>
          <w:tcPr>
            <w:tcW w:w="0" w:type="auto"/>
            <w:vAlign w:val="center"/>
            <w:hideMark/>
          </w:tcPr>
          <w:p w14:paraId="76BD3487" w14:textId="77777777" w:rsidR="004F2E2D" w:rsidRPr="00175E64" w:rsidRDefault="004F2E2D" w:rsidP="004F2E2D">
            <w:pPr>
              <w:spacing w:line="360" w:lineRule="auto"/>
              <w:rPr>
                <w:rFonts w:ascii="Baskerville Old Face" w:hAnsi="Baskerville Old Face"/>
                <w:b/>
                <w:bCs/>
                <w:i/>
                <w:iCs/>
                <w:sz w:val="20"/>
                <w:szCs w:val="20"/>
              </w:rPr>
            </w:pPr>
            <w:r w:rsidRPr="00175E64">
              <w:rPr>
                <w:rFonts w:ascii="Baskerville Old Face" w:hAnsi="Baskerville Old Face"/>
                <w:b/>
                <w:bCs/>
                <w:i/>
                <w:iCs/>
                <w:sz w:val="20"/>
                <w:szCs w:val="20"/>
              </w:rPr>
              <w:t>Description</w:t>
            </w:r>
          </w:p>
        </w:tc>
      </w:tr>
      <w:tr w:rsidR="004F2E2D" w:rsidRPr="00175E64" w14:paraId="23E2FB45" w14:textId="77777777" w:rsidTr="004F2E2D">
        <w:trPr>
          <w:tblCellSpacing w:w="15" w:type="dxa"/>
        </w:trPr>
        <w:tc>
          <w:tcPr>
            <w:tcW w:w="0" w:type="auto"/>
            <w:vAlign w:val="center"/>
            <w:hideMark/>
          </w:tcPr>
          <w:p w14:paraId="17672D78"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Strategic</w:t>
            </w:r>
          </w:p>
        </w:tc>
        <w:tc>
          <w:tcPr>
            <w:tcW w:w="0" w:type="auto"/>
            <w:vAlign w:val="center"/>
            <w:hideMark/>
          </w:tcPr>
          <w:p w14:paraId="6C4811E2"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Long-term vision, positioning, institutional direction, capital-market narrative.</w:t>
            </w:r>
          </w:p>
        </w:tc>
      </w:tr>
      <w:tr w:rsidR="004F2E2D" w:rsidRPr="00175E64" w14:paraId="1036C2A0" w14:textId="77777777" w:rsidTr="004F2E2D">
        <w:trPr>
          <w:tblCellSpacing w:w="15" w:type="dxa"/>
        </w:trPr>
        <w:tc>
          <w:tcPr>
            <w:tcW w:w="0" w:type="auto"/>
            <w:vAlign w:val="center"/>
            <w:hideMark/>
          </w:tcPr>
          <w:p w14:paraId="55CE5CC2"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Operational</w:t>
            </w:r>
          </w:p>
        </w:tc>
        <w:tc>
          <w:tcPr>
            <w:tcW w:w="0" w:type="auto"/>
            <w:vAlign w:val="center"/>
            <w:hideMark/>
          </w:tcPr>
          <w:p w14:paraId="68C95E62"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Execution, workflows, field activity, runbooks, deployment sequencing, maintenance.</w:t>
            </w:r>
          </w:p>
        </w:tc>
      </w:tr>
      <w:tr w:rsidR="004F2E2D" w:rsidRPr="00175E64" w14:paraId="12C224B8" w14:textId="77777777" w:rsidTr="004F2E2D">
        <w:trPr>
          <w:tblCellSpacing w:w="15" w:type="dxa"/>
        </w:trPr>
        <w:tc>
          <w:tcPr>
            <w:tcW w:w="0" w:type="auto"/>
            <w:vAlign w:val="center"/>
            <w:hideMark/>
          </w:tcPr>
          <w:p w14:paraId="1FD5329E"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Architectural</w:t>
            </w:r>
          </w:p>
        </w:tc>
        <w:tc>
          <w:tcPr>
            <w:tcW w:w="0" w:type="auto"/>
            <w:vAlign w:val="center"/>
            <w:hideMark/>
          </w:tcPr>
          <w:p w14:paraId="51039D9B"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System design, layer separation, protocol structure, ontology, interoperability.</w:t>
            </w:r>
          </w:p>
        </w:tc>
      </w:tr>
      <w:tr w:rsidR="004F2E2D" w:rsidRPr="00175E64" w14:paraId="762B21D2" w14:textId="77777777" w:rsidTr="004F2E2D">
        <w:trPr>
          <w:tblCellSpacing w:w="15" w:type="dxa"/>
        </w:trPr>
        <w:tc>
          <w:tcPr>
            <w:tcW w:w="0" w:type="auto"/>
            <w:vAlign w:val="center"/>
            <w:hideMark/>
          </w:tcPr>
          <w:p w14:paraId="3D075F6A"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Ecological</w:t>
            </w:r>
          </w:p>
        </w:tc>
        <w:tc>
          <w:tcPr>
            <w:tcW w:w="0" w:type="auto"/>
            <w:vAlign w:val="center"/>
            <w:hideMark/>
          </w:tcPr>
          <w:p w14:paraId="5EE444AA"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Soil, water, biodiversity, biomass, syntropic succession, resilience, ecological performance.</w:t>
            </w:r>
          </w:p>
        </w:tc>
      </w:tr>
      <w:tr w:rsidR="004F2E2D" w:rsidRPr="00175E64" w14:paraId="346490A2" w14:textId="77777777" w:rsidTr="004F2E2D">
        <w:trPr>
          <w:tblCellSpacing w:w="15" w:type="dxa"/>
        </w:trPr>
        <w:tc>
          <w:tcPr>
            <w:tcW w:w="0" w:type="auto"/>
            <w:vAlign w:val="center"/>
            <w:hideMark/>
          </w:tcPr>
          <w:p w14:paraId="6FBD5CFD"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Social and community</w:t>
            </w:r>
          </w:p>
        </w:tc>
        <w:tc>
          <w:tcPr>
            <w:tcW w:w="0" w:type="auto"/>
            <w:vAlign w:val="center"/>
            <w:hideMark/>
          </w:tcPr>
          <w:p w14:paraId="4EA53EBC"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Trust, participation, mutual aid, local relationships, conflict dynamics, social resilience.</w:t>
            </w:r>
          </w:p>
        </w:tc>
      </w:tr>
      <w:tr w:rsidR="004F2E2D" w:rsidRPr="00175E64" w14:paraId="545B1C73" w14:textId="77777777" w:rsidTr="004F2E2D">
        <w:trPr>
          <w:tblCellSpacing w:w="15" w:type="dxa"/>
        </w:trPr>
        <w:tc>
          <w:tcPr>
            <w:tcW w:w="0" w:type="auto"/>
            <w:vAlign w:val="center"/>
            <w:hideMark/>
          </w:tcPr>
          <w:p w14:paraId="110D64A1"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Financial and economic-systemic</w:t>
            </w:r>
          </w:p>
        </w:tc>
        <w:tc>
          <w:tcPr>
            <w:tcW w:w="0" w:type="auto"/>
            <w:vAlign w:val="center"/>
            <w:hideMark/>
          </w:tcPr>
          <w:p w14:paraId="49DA3CCB"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Capital flows, underwriting, leverage, liquidity, Minsky-Keen risk, PRU, RAP, valuation, investor reporting.</w:t>
            </w:r>
          </w:p>
        </w:tc>
      </w:tr>
      <w:tr w:rsidR="004F2E2D" w:rsidRPr="00175E64" w14:paraId="068D30EF" w14:textId="77777777" w:rsidTr="004F2E2D">
        <w:trPr>
          <w:tblCellSpacing w:w="15" w:type="dxa"/>
        </w:trPr>
        <w:tc>
          <w:tcPr>
            <w:tcW w:w="0" w:type="auto"/>
            <w:vAlign w:val="center"/>
            <w:hideMark/>
          </w:tcPr>
          <w:p w14:paraId="465F4669"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Technological and infrastructural</w:t>
            </w:r>
          </w:p>
        </w:tc>
        <w:tc>
          <w:tcPr>
            <w:tcW w:w="0" w:type="auto"/>
            <w:vAlign w:val="center"/>
            <w:hideMark/>
          </w:tcPr>
          <w:p w14:paraId="501D13CB" w14:textId="77777777" w:rsidR="004F2E2D" w:rsidRPr="00175E64" w:rsidRDefault="004F2E2D" w:rsidP="004F2E2D">
            <w:pPr>
              <w:spacing w:line="360" w:lineRule="auto"/>
              <w:rPr>
                <w:rFonts w:ascii="Baskerville Old Face" w:hAnsi="Baskerville Old Face"/>
                <w:i/>
                <w:iCs/>
                <w:sz w:val="20"/>
                <w:szCs w:val="20"/>
              </w:rPr>
            </w:pPr>
            <w:proofErr w:type="spellStart"/>
            <w:r w:rsidRPr="00175E64">
              <w:rPr>
                <w:rFonts w:ascii="Baskerville Old Face" w:hAnsi="Baskerville Old Face"/>
                <w:i/>
                <w:iCs/>
                <w:sz w:val="20"/>
                <w:szCs w:val="20"/>
              </w:rPr>
              <w:t>Holochain</w:t>
            </w:r>
            <w:proofErr w:type="spellEnd"/>
            <w:r w:rsidRPr="00175E64">
              <w:rPr>
                <w:rFonts w:ascii="Baskerville Old Face" w:hAnsi="Baskerville Old Face"/>
                <w:i/>
                <w:iCs/>
                <w:sz w:val="20"/>
                <w:szCs w:val="20"/>
              </w:rPr>
              <w:t xml:space="preserve">-compatible systems, </w:t>
            </w:r>
            <w:proofErr w:type="spellStart"/>
            <w:r w:rsidRPr="00175E64">
              <w:rPr>
                <w:rFonts w:ascii="Baskerville Old Face" w:hAnsi="Baskerville Old Face"/>
                <w:i/>
                <w:iCs/>
                <w:sz w:val="20"/>
                <w:szCs w:val="20"/>
              </w:rPr>
              <w:t>Valueflows</w:t>
            </w:r>
            <w:proofErr w:type="spellEnd"/>
            <w:r w:rsidRPr="00175E64">
              <w:rPr>
                <w:rFonts w:ascii="Baskerville Old Face" w:hAnsi="Baskerville Old Face"/>
                <w:i/>
                <w:iCs/>
                <w:sz w:val="20"/>
                <w:szCs w:val="20"/>
              </w:rPr>
              <w:t xml:space="preserve"> / REA, MRV infrastructure, APIs, data rooms, dashboards, AI systems, digital provenance.</w:t>
            </w:r>
          </w:p>
        </w:tc>
      </w:tr>
      <w:tr w:rsidR="004F2E2D" w:rsidRPr="00175E64" w14:paraId="48B0765D" w14:textId="77777777" w:rsidTr="004F2E2D">
        <w:trPr>
          <w:tblCellSpacing w:w="15" w:type="dxa"/>
        </w:trPr>
        <w:tc>
          <w:tcPr>
            <w:tcW w:w="0" w:type="auto"/>
            <w:vAlign w:val="center"/>
            <w:hideMark/>
          </w:tcPr>
          <w:p w14:paraId="719B00A9"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Human infrastructure</w:t>
            </w:r>
          </w:p>
        </w:tc>
        <w:tc>
          <w:tcPr>
            <w:tcW w:w="0" w:type="auto"/>
            <w:vAlign w:val="center"/>
            <w:hideMark/>
          </w:tcPr>
          <w:p w14:paraId="62754A4E"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Stewardship capacity, participation quality, decision conditions, voluntary HSI context, community coherence.</w:t>
            </w:r>
          </w:p>
        </w:tc>
      </w:tr>
      <w:tr w:rsidR="004F2E2D" w:rsidRPr="00175E64" w14:paraId="1BC41C0F" w14:textId="77777777" w:rsidTr="004F2E2D">
        <w:trPr>
          <w:tblCellSpacing w:w="15" w:type="dxa"/>
        </w:trPr>
        <w:tc>
          <w:tcPr>
            <w:tcW w:w="0" w:type="auto"/>
            <w:vAlign w:val="center"/>
            <w:hideMark/>
          </w:tcPr>
          <w:p w14:paraId="34B9BA6F"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 xml:space="preserve">Health-related and </w:t>
            </w:r>
            <w:proofErr w:type="spellStart"/>
            <w:r w:rsidRPr="00175E64">
              <w:rPr>
                <w:rFonts w:ascii="Baskerville Old Face" w:hAnsi="Baskerville Old Face"/>
                <w:b/>
                <w:bCs/>
                <w:i/>
                <w:iCs/>
                <w:sz w:val="20"/>
                <w:szCs w:val="20"/>
              </w:rPr>
              <w:t>SyntroGIFT</w:t>
            </w:r>
            <w:proofErr w:type="spellEnd"/>
          </w:p>
        </w:tc>
        <w:tc>
          <w:tcPr>
            <w:tcW w:w="0" w:type="auto"/>
            <w:vAlign w:val="center"/>
            <w:hideMark/>
          </w:tcPr>
          <w:p w14:paraId="5431F656"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Food quality, movement, nature exposure, metabolic-resilience hypotheses, public-health partnerships, research pathways.</w:t>
            </w:r>
          </w:p>
        </w:tc>
      </w:tr>
      <w:tr w:rsidR="004F2E2D" w:rsidRPr="00175E64" w14:paraId="0F593DA6" w14:textId="77777777" w:rsidTr="004F2E2D">
        <w:trPr>
          <w:tblCellSpacing w:w="15" w:type="dxa"/>
        </w:trPr>
        <w:tc>
          <w:tcPr>
            <w:tcW w:w="0" w:type="auto"/>
            <w:vAlign w:val="center"/>
            <w:hideMark/>
          </w:tcPr>
          <w:p w14:paraId="4D75249E"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Cultural, spiritual, and ancestral</w:t>
            </w:r>
          </w:p>
        </w:tc>
        <w:tc>
          <w:tcPr>
            <w:tcW w:w="0" w:type="auto"/>
            <w:vAlign w:val="center"/>
            <w:hideMark/>
          </w:tcPr>
          <w:p w14:paraId="220AB1F1"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Traditional knowledge, sacred sites, cultural continuity, intergenerational responsibility, territorial meaning.</w:t>
            </w:r>
          </w:p>
        </w:tc>
      </w:tr>
      <w:tr w:rsidR="004F2E2D" w:rsidRPr="00175E64" w14:paraId="45F17F61" w14:textId="77777777" w:rsidTr="004F2E2D">
        <w:trPr>
          <w:tblCellSpacing w:w="15" w:type="dxa"/>
        </w:trPr>
        <w:tc>
          <w:tcPr>
            <w:tcW w:w="0" w:type="auto"/>
            <w:vAlign w:val="center"/>
            <w:hideMark/>
          </w:tcPr>
          <w:p w14:paraId="6D9ECDA3"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Governance, DAO, and policy</w:t>
            </w:r>
          </w:p>
        </w:tc>
        <w:tc>
          <w:tcPr>
            <w:tcW w:w="0" w:type="auto"/>
            <w:vAlign w:val="center"/>
            <w:hideMark/>
          </w:tcPr>
          <w:p w14:paraId="0043D93C"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Decision rules, stewardship circles, protocol governance, rights, obligations, review procedures, public-sector alignment.</w:t>
            </w:r>
          </w:p>
        </w:tc>
      </w:tr>
      <w:tr w:rsidR="004F2E2D" w:rsidRPr="00175E64" w14:paraId="2B389F7C" w14:textId="77777777" w:rsidTr="004F2E2D">
        <w:trPr>
          <w:tblCellSpacing w:w="15" w:type="dxa"/>
        </w:trPr>
        <w:tc>
          <w:tcPr>
            <w:tcW w:w="0" w:type="auto"/>
            <w:vAlign w:val="center"/>
            <w:hideMark/>
          </w:tcPr>
          <w:p w14:paraId="5CB08900"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Legal and compliance</w:t>
            </w:r>
          </w:p>
        </w:tc>
        <w:tc>
          <w:tcPr>
            <w:tcW w:w="0" w:type="auto"/>
            <w:vAlign w:val="center"/>
            <w:hideMark/>
          </w:tcPr>
          <w:p w14:paraId="7B84A847"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Securities, tokens, land access, data protection, medical claims, environmental claims, investor disclosure, jurisdictional review.</w:t>
            </w:r>
          </w:p>
        </w:tc>
      </w:tr>
      <w:tr w:rsidR="004F2E2D" w:rsidRPr="00175E64" w14:paraId="050C7DB9" w14:textId="77777777" w:rsidTr="004F2E2D">
        <w:trPr>
          <w:tblCellSpacing w:w="15" w:type="dxa"/>
        </w:trPr>
        <w:tc>
          <w:tcPr>
            <w:tcW w:w="0" w:type="auto"/>
            <w:vAlign w:val="center"/>
            <w:hideMark/>
          </w:tcPr>
          <w:p w14:paraId="364B1CE8"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b/>
                <w:bCs/>
                <w:i/>
                <w:iCs/>
                <w:sz w:val="20"/>
                <w:szCs w:val="20"/>
              </w:rPr>
              <w:t>Meta-cognitive</w:t>
            </w:r>
          </w:p>
        </w:tc>
        <w:tc>
          <w:tcPr>
            <w:tcW w:w="0" w:type="auto"/>
            <w:vAlign w:val="center"/>
            <w:hideMark/>
          </w:tcPr>
          <w:p w14:paraId="7AA0C758" w14:textId="77777777" w:rsidR="004F2E2D" w:rsidRPr="00175E64" w:rsidRDefault="004F2E2D" w:rsidP="004F2E2D">
            <w:pPr>
              <w:spacing w:line="360" w:lineRule="auto"/>
              <w:rPr>
                <w:rFonts w:ascii="Baskerville Old Face" w:hAnsi="Baskerville Old Face"/>
                <w:i/>
                <w:iCs/>
                <w:sz w:val="20"/>
                <w:szCs w:val="20"/>
              </w:rPr>
            </w:pPr>
            <w:r w:rsidRPr="00175E64">
              <w:rPr>
                <w:rFonts w:ascii="Baskerville Old Face" w:hAnsi="Baskerville Old Face"/>
                <w:i/>
                <w:iCs/>
                <w:sz w:val="20"/>
                <w:szCs w:val="20"/>
              </w:rPr>
              <w:t>Prompts, agents, model behavior, methodology evolution, AI governance, reasoning processes, knowledge systems.</w:t>
            </w:r>
          </w:p>
        </w:tc>
      </w:tr>
    </w:tbl>
    <w:p w14:paraId="2FEE61A3" w14:textId="77777777" w:rsidR="00D40473" w:rsidRDefault="00D40473" w:rsidP="003F34C2">
      <w:pPr>
        <w:spacing w:line="360" w:lineRule="auto"/>
        <w:rPr>
          <w:rFonts w:ascii="Baskerville Old Face" w:hAnsi="Baskerville Old Face"/>
          <w:b/>
          <w:bCs/>
          <w:i/>
          <w:iCs/>
        </w:rPr>
      </w:pPr>
    </w:p>
    <w:p w14:paraId="7CF3D563" w14:textId="77777777" w:rsidR="00D40473" w:rsidRDefault="00D40473" w:rsidP="003F34C2">
      <w:pPr>
        <w:spacing w:line="360" w:lineRule="auto"/>
        <w:rPr>
          <w:rFonts w:ascii="Baskerville Old Face" w:hAnsi="Baskerville Old Face"/>
          <w:b/>
          <w:bCs/>
          <w:i/>
          <w:iCs/>
        </w:rPr>
      </w:pPr>
    </w:p>
    <w:p w14:paraId="1F6DEC8B" w14:textId="77777777" w:rsidR="00D40473" w:rsidRDefault="00D40473" w:rsidP="003F34C2">
      <w:pPr>
        <w:spacing w:line="360" w:lineRule="auto"/>
        <w:rPr>
          <w:rFonts w:ascii="Baskerville Old Face" w:hAnsi="Baskerville Old Face"/>
          <w:b/>
          <w:bCs/>
          <w:i/>
          <w:iCs/>
        </w:rPr>
      </w:pPr>
    </w:p>
    <w:p w14:paraId="1F09D809" w14:textId="314E2F00" w:rsidR="003F34C2" w:rsidRPr="00B479AE" w:rsidRDefault="003F34C2" w:rsidP="003F34C2">
      <w:pPr>
        <w:spacing w:line="360" w:lineRule="auto"/>
        <w:rPr>
          <w:rFonts w:ascii="Baskerville Old Face" w:hAnsi="Baskerville Old Face"/>
          <w:b/>
          <w:bCs/>
          <w:i/>
          <w:iCs/>
        </w:rPr>
      </w:pPr>
      <w:r w:rsidRPr="00B479AE">
        <w:rPr>
          <w:rFonts w:ascii="Baskerville Old Face" w:hAnsi="Baskerville Old Face"/>
          <w:b/>
          <w:bCs/>
          <w:i/>
          <w:iCs/>
        </w:rPr>
        <w:lastRenderedPageBreak/>
        <w:t>Multi-currency Gateway: Fiat, Banking, and Stablecoin Settlement Rails</w:t>
      </w:r>
    </w:p>
    <w:p w14:paraId="57B195AE"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The Genius Act, signed into law in July 2025, established a federal regulatory framework for payment stablecoins in the United States, including reserve, disclosure, redemption, and compliance requirements for permitted issuers.</w:t>
      </w:r>
    </w:p>
    <w:p w14:paraId="52C807D5"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 xml:space="preserve">Within Prometheus, this regulatory development is relevant as part of the broader institutional maturation of stablecoin and digital-asset settlement infrastructure. Similar regulatory trajectories, including </w:t>
      </w:r>
      <w:proofErr w:type="spellStart"/>
      <w:r w:rsidRPr="00B479AE">
        <w:rPr>
          <w:rFonts w:ascii="Baskerville Old Face" w:hAnsi="Baskerville Old Face"/>
          <w:i/>
          <w:iCs/>
        </w:rPr>
        <w:t>MiCA</w:t>
      </w:r>
      <w:proofErr w:type="spellEnd"/>
      <w:r w:rsidRPr="00B479AE">
        <w:rPr>
          <w:rFonts w:ascii="Baskerville Old Face" w:hAnsi="Baskerville Old Face"/>
          <w:i/>
          <w:iCs/>
        </w:rPr>
        <w:t xml:space="preserve"> in Europe and other jurisdiction-specific frameworks, may support more disciplined fiat-to-digital settlement pathways over time.</w:t>
      </w:r>
    </w:p>
    <w:p w14:paraId="5EE14521"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Prometheus should not rely on any single stablecoin, issuer, jurisdiction, or rail. Any use of stablecoins, fiat gateways, electronic money institutions, banking partners, or digital settlement instruments must remain subject to issuer-specific due diligence, jurisdictional review, compliance analysis, sanctions controls, AML/KYC procedures, custody review, operational resilience, and legal structuring.</w:t>
      </w:r>
    </w:p>
    <w:p w14:paraId="0325D929"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The Prometheus gateway should be designed as currency-aware rather than currency-dependent.</w:t>
      </w:r>
    </w:p>
    <w:p w14:paraId="5E08A906"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For major global currencies, compliant fiat, electronic-money, banking, or stablecoin rails may be evaluated, including regulated stablecoin infrastructure where legally available and operationally appropriate.</w:t>
      </w:r>
    </w:p>
    <w:p w14:paraId="0D492EB1"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A secondary banking layer may support redundancy through regulated banking partners, electronic-money institutions, payment service providers, or Banking-as-a-Service infrastructure where legally available and operationally appropriate. If stablecoin markets, issuer availability, custody conditions, or jurisdictional constraints create disruption, capital flows should remain capable of moving through traditional regulated channels with transparency, compliance, and operational continuity.</w:t>
      </w:r>
    </w:p>
    <w:p w14:paraId="114022FF" w14:textId="4F7A644A"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Multiple currencies and jurisdictions may be supported only where compliance, settlement infrastructure, legal review, and operational controls allow such participation.</w:t>
      </w:r>
      <w:r w:rsidR="007861BA" w:rsidRPr="00B479AE">
        <w:rPr>
          <w:rFonts w:ascii="Baskerville Old Face" w:hAnsi="Baskerville Old Face"/>
          <w:i/>
          <w:iCs/>
        </w:rPr>
        <w:t xml:space="preserve"> </w:t>
      </w:r>
      <w:r w:rsidRPr="00B479AE">
        <w:rPr>
          <w:rFonts w:ascii="Baskerville Old Face" w:hAnsi="Baskerville Old Face"/>
          <w:i/>
          <w:iCs/>
        </w:rPr>
        <w:t>The principle is:</w:t>
      </w:r>
    </w:p>
    <w:p w14:paraId="648B4349"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currency access may broaden participation;</w:t>
      </w:r>
    </w:p>
    <w:p w14:paraId="4DA13FA1"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compliance determines admissibility;</w:t>
      </w:r>
    </w:p>
    <w:p w14:paraId="3E12E3D9"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legal structure determines use;</w:t>
      </w:r>
    </w:p>
    <w:p w14:paraId="75BBC5EF" w14:textId="77777777" w:rsidR="003F34C2" w:rsidRPr="00B479AE" w:rsidRDefault="003F34C2" w:rsidP="003F34C2">
      <w:pPr>
        <w:spacing w:line="360" w:lineRule="auto"/>
        <w:rPr>
          <w:rFonts w:ascii="Baskerville Old Face" w:hAnsi="Baskerville Old Face"/>
          <w:i/>
          <w:iCs/>
        </w:rPr>
      </w:pPr>
      <w:r w:rsidRPr="00B479AE">
        <w:rPr>
          <w:rFonts w:ascii="Baskerville Old Face" w:hAnsi="Baskerville Old Face"/>
          <w:i/>
          <w:iCs/>
        </w:rPr>
        <w:t>settlement rails remain infrastructure, not ontology.</w:t>
      </w:r>
    </w:p>
    <w:p w14:paraId="59D230FC" w14:textId="313E09AF" w:rsidR="00551CDD" w:rsidRPr="00B479AE" w:rsidRDefault="00551CDD" w:rsidP="00551CDD">
      <w:pPr>
        <w:spacing w:line="360" w:lineRule="auto"/>
        <w:rPr>
          <w:rFonts w:ascii="Baskerville Old Face" w:hAnsi="Baskerville Old Face"/>
          <w:b/>
          <w:bCs/>
          <w:i/>
          <w:iCs/>
        </w:rPr>
      </w:pPr>
      <w:r w:rsidRPr="00B479AE">
        <w:rPr>
          <w:rFonts w:ascii="Baskerville Old Face" w:hAnsi="Baskerville Old Face"/>
          <w:b/>
          <w:bCs/>
          <w:i/>
          <w:iCs/>
        </w:rPr>
        <w:lastRenderedPageBreak/>
        <w:t xml:space="preserve">The global capital flow: How every currency nourishes the ecosystem </w:t>
      </w:r>
    </w:p>
    <w:p w14:paraId="6FAE1C12" w14:textId="77777777" w:rsidR="00551CDD" w:rsidRPr="00B479AE" w:rsidRDefault="00551CDD" w:rsidP="00551CDD">
      <w:pPr>
        <w:spacing w:line="360" w:lineRule="auto"/>
        <w:rPr>
          <w:rFonts w:ascii="Baskerville Old Face" w:hAnsi="Baskerville Old Face"/>
          <w:i/>
          <w:iCs/>
        </w:rPr>
      </w:pPr>
      <w:r w:rsidRPr="00B479AE">
        <w:rPr>
          <w:rFonts w:ascii="Baskerville Old Face" w:hAnsi="Baskerville Old Face"/>
          <w:i/>
          <w:iCs/>
        </w:rPr>
        <w:t>Here the flow reveals its structure: a circular process in which every movement of capital activates new layers of regeneration.</w:t>
      </w:r>
    </w:p>
    <w:p w14:paraId="1D651518" w14:textId="23F9C428" w:rsidR="00940C40" w:rsidRPr="00B479AE" w:rsidRDefault="00940C40" w:rsidP="00551CDD">
      <w:pPr>
        <w:spacing w:line="360" w:lineRule="auto"/>
        <w:rPr>
          <w:rFonts w:ascii="Baskerville Old Face" w:hAnsi="Baskerville Old Face"/>
          <w:i/>
          <w:iCs/>
        </w:rPr>
      </w:pPr>
      <w:r w:rsidRPr="00B479AE">
        <w:rPr>
          <w:noProof/>
        </w:rPr>
        <w:drawing>
          <wp:inline distT="0" distB="0" distL="0" distR="0" wp14:anchorId="1D113A23" wp14:editId="0FDC9788">
            <wp:extent cx="5734050" cy="3226966"/>
            <wp:effectExtent l="0" t="0" r="0" b="0"/>
            <wp:docPr id="18036737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0127" cy="3247269"/>
                    </a:xfrm>
                    <a:prstGeom prst="rect">
                      <a:avLst/>
                    </a:prstGeom>
                    <a:noFill/>
                    <a:ln>
                      <a:noFill/>
                    </a:ln>
                  </pic:spPr>
                </pic:pic>
              </a:graphicData>
            </a:graphic>
          </wp:inline>
        </w:drawing>
      </w:r>
    </w:p>
    <w:p w14:paraId="4B984151" w14:textId="47060C3B"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B. System level identification</w:t>
      </w:r>
    </w:p>
    <w:p w14:paraId="6D8E0E5A" w14:textId="4B335A33"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then identifies the level or levels affected by the request.</w:t>
      </w:r>
      <w:r w:rsidR="00C9344B" w:rsidRPr="00B479AE">
        <w:rPr>
          <w:rFonts w:ascii="Baskerville Old Face" w:hAnsi="Baskerville Old Face"/>
          <w:i/>
          <w:iCs/>
        </w:rPr>
        <w:t xml:space="preserve"> </w:t>
      </w:r>
      <w:r w:rsidRPr="00B479AE">
        <w:rPr>
          <w:rFonts w:ascii="Baskerville Old Face" w:hAnsi="Baskerville Old Face"/>
          <w:i/>
          <w:iCs/>
        </w:rPr>
        <w:t>Relevant levels may include:</w:t>
      </w:r>
    </w:p>
    <w:p w14:paraId="7DC97C1E" w14:textId="00345D02"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individual or family level — personal stewardship, household food systems, individual participation, learning, wellbeing;</w:t>
      </w:r>
      <w:r w:rsidRPr="00B479AE">
        <w:rPr>
          <w:rFonts w:ascii="Baskerville Old Face" w:hAnsi="Baskerville Old Face"/>
          <w:i/>
          <w:iCs/>
        </w:rPr>
        <w:br/>
        <w:t>• team or organization level — project teams, companies, field operators, governance groups, technical contributors;</w:t>
      </w:r>
      <w:r w:rsidRPr="00B479AE">
        <w:rPr>
          <w:rFonts w:ascii="Baskerville Old Face" w:hAnsi="Baskerville Old Face"/>
          <w:i/>
          <w:iCs/>
        </w:rPr>
        <w:br/>
        <w:t>• OHE level — the One Human Ecosystem as a bounded regenerative deployment unit;</w:t>
      </w:r>
      <w:r w:rsidRPr="00B479AE">
        <w:rPr>
          <w:rFonts w:ascii="Baskerville Old Face" w:hAnsi="Baskerville Old Face"/>
          <w:i/>
          <w:iCs/>
        </w:rPr>
        <w:br/>
        <w:t>• local community or territorial network — neighborhoods, local clusters, municipalities, community programs, mutual-support structures;</w:t>
      </w:r>
      <w:r w:rsidRPr="00B479AE">
        <w:rPr>
          <w:rFonts w:ascii="Baskerville Old Face" w:hAnsi="Baskerville Old Face"/>
          <w:i/>
          <w:iCs/>
        </w:rPr>
        <w:br/>
        <w:t>• cooperative, enterprise, or multi-actor alliance — operational partnerships, supply chains, producer networks, service providers;</w:t>
      </w:r>
      <w:r w:rsidRPr="00B479AE">
        <w:rPr>
          <w:rFonts w:ascii="Baskerville Old Face" w:hAnsi="Baskerville Old Face"/>
          <w:i/>
          <w:iCs/>
        </w:rPr>
        <w:br/>
        <w:t>• DAO or distributed digital infrastructure — agent-centric systems, governance networks, validators, digital guarantors, protocol participants;</w:t>
      </w:r>
      <w:r w:rsidRPr="00B479AE">
        <w:rPr>
          <w:rFonts w:ascii="Baskerville Old Face" w:hAnsi="Baskerville Old Face"/>
          <w:i/>
          <w:iCs/>
        </w:rPr>
        <w:br/>
        <w:t>• bioregional ecosystem — watersheds, ecological corridors, food systems, climate context, biodiversity networks, cultural territory;</w:t>
      </w:r>
      <w:r w:rsidRPr="00B479AE">
        <w:rPr>
          <w:rFonts w:ascii="Baskerville Old Face" w:hAnsi="Baskerville Old Face"/>
          <w:i/>
          <w:iCs/>
        </w:rPr>
        <w:br/>
      </w:r>
      <w:r w:rsidRPr="00B479AE">
        <w:rPr>
          <w:rFonts w:ascii="Baskerville Old Face" w:hAnsi="Baskerville Old Face"/>
          <w:b/>
          <w:bCs/>
          <w:i/>
          <w:iCs/>
        </w:rPr>
        <w:lastRenderedPageBreak/>
        <w:t xml:space="preserve">• </w:t>
      </w:r>
      <w:r w:rsidRPr="00B479AE">
        <w:rPr>
          <w:rFonts w:ascii="Baskerville Old Face" w:hAnsi="Baskerville Old Face"/>
          <w:i/>
          <w:iCs/>
        </w:rPr>
        <w:t xml:space="preserve">Regenerative Asset Pool level — portfolio aggregation, </w:t>
      </w:r>
      <w:r w:rsidR="005D0524" w:rsidRPr="00B479AE">
        <w:rPr>
          <w:rFonts w:ascii="Baskerville Old Face" w:hAnsi="Baskerville Old Face"/>
          <w:i/>
          <w:iCs/>
        </w:rPr>
        <w:t>PRU maturity classification</w:t>
      </w:r>
      <w:r w:rsidRPr="00B479AE">
        <w:rPr>
          <w:rFonts w:ascii="Baskerville Old Face" w:hAnsi="Baskerville Old Face"/>
          <w:i/>
          <w:iCs/>
        </w:rPr>
        <w:t>, diversification, investor reporting, risk analysis;</w:t>
      </w:r>
      <w:r w:rsidRPr="00B479AE">
        <w:rPr>
          <w:rFonts w:ascii="Baskerville Old Face" w:hAnsi="Baskerville Old Face"/>
          <w:i/>
          <w:iCs/>
        </w:rPr>
        <w:br/>
        <w:t xml:space="preserve">• </w:t>
      </w:r>
      <w:r w:rsidR="00703004" w:rsidRPr="00B479AE">
        <w:rPr>
          <w:rFonts w:ascii="Baskerville Old Face" w:hAnsi="Baskerville Old Face"/>
          <w:i/>
          <w:iCs/>
        </w:rPr>
        <w:t>institutional and capital-market level — funds, SPVs, notes, securities, compliant digital instruments, public-private structures, regulated products;</w:t>
      </w:r>
      <w:r w:rsidRPr="00B479AE">
        <w:rPr>
          <w:rFonts w:ascii="Baskerville Old Face" w:hAnsi="Baskerville Old Face"/>
          <w:i/>
          <w:iCs/>
        </w:rPr>
        <w:br/>
        <w:t>• planetary infrastructure level — planetary boundaries, climate systems, global ecological constraints, intergenerational risk.</w:t>
      </w:r>
    </w:p>
    <w:p w14:paraId="0E8BD2A6" w14:textId="60B4AFE0"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should identify the prevailing level and any cross-level interactions.</w:t>
      </w:r>
      <w:r w:rsidR="007861BA" w:rsidRPr="00B479AE">
        <w:rPr>
          <w:rFonts w:ascii="Baskerville Old Face" w:hAnsi="Baskerville Old Face"/>
          <w:i/>
          <w:iCs/>
        </w:rPr>
        <w:t xml:space="preserve"> </w:t>
      </w:r>
      <w:r w:rsidRPr="00B479AE">
        <w:rPr>
          <w:rFonts w:ascii="Baskerville Old Face" w:hAnsi="Baskerville Old Face"/>
          <w:i/>
          <w:iCs/>
        </w:rPr>
        <w:t>This prevents local actions from being treated as planetary claims, pilot outputs from being treated as institutional proof, or conceptual models from being treated as operational authorization.</w:t>
      </w:r>
      <w:r w:rsidR="00603555"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1"/>
        <w:gridCol w:w="6577"/>
      </w:tblGrid>
      <w:tr w:rsidR="006F52BD" w:rsidRPr="00B479AE" w14:paraId="01108115" w14:textId="77777777" w:rsidTr="006F52BD">
        <w:trPr>
          <w:tblHeader/>
          <w:tblCellSpacing w:w="15" w:type="dxa"/>
        </w:trPr>
        <w:tc>
          <w:tcPr>
            <w:tcW w:w="0" w:type="auto"/>
            <w:vAlign w:val="center"/>
            <w:hideMark/>
          </w:tcPr>
          <w:p w14:paraId="62F6B8C9" w14:textId="77777777" w:rsidR="006F52BD" w:rsidRPr="00B479AE" w:rsidRDefault="006F52BD" w:rsidP="006F52BD">
            <w:pPr>
              <w:spacing w:line="360" w:lineRule="auto"/>
              <w:rPr>
                <w:rFonts w:ascii="Baskerville Old Face" w:hAnsi="Baskerville Old Face"/>
                <w:b/>
                <w:bCs/>
                <w:i/>
                <w:iCs/>
                <w:sz w:val="19"/>
                <w:szCs w:val="19"/>
              </w:rPr>
            </w:pPr>
            <w:r w:rsidRPr="00B479AE">
              <w:rPr>
                <w:rFonts w:ascii="Baskerville Old Face" w:hAnsi="Baskerville Old Face"/>
                <w:b/>
                <w:bCs/>
                <w:i/>
                <w:iCs/>
                <w:sz w:val="19"/>
                <w:szCs w:val="19"/>
              </w:rPr>
              <w:t>Level</w:t>
            </w:r>
          </w:p>
        </w:tc>
        <w:tc>
          <w:tcPr>
            <w:tcW w:w="0" w:type="auto"/>
            <w:vAlign w:val="center"/>
            <w:hideMark/>
          </w:tcPr>
          <w:p w14:paraId="2E1BF19B" w14:textId="77777777" w:rsidR="006F52BD" w:rsidRPr="00B479AE" w:rsidRDefault="006F52BD" w:rsidP="006F52BD">
            <w:pPr>
              <w:spacing w:line="360" w:lineRule="auto"/>
              <w:rPr>
                <w:rFonts w:ascii="Baskerville Old Face" w:hAnsi="Baskerville Old Face"/>
                <w:b/>
                <w:bCs/>
                <w:i/>
                <w:iCs/>
                <w:sz w:val="19"/>
                <w:szCs w:val="19"/>
              </w:rPr>
            </w:pPr>
            <w:r w:rsidRPr="00B479AE">
              <w:rPr>
                <w:rFonts w:ascii="Baskerville Old Face" w:hAnsi="Baskerville Old Face"/>
                <w:b/>
                <w:bCs/>
                <w:i/>
                <w:iCs/>
                <w:sz w:val="19"/>
                <w:szCs w:val="19"/>
              </w:rPr>
              <w:t>Description</w:t>
            </w:r>
          </w:p>
        </w:tc>
      </w:tr>
      <w:tr w:rsidR="006F52BD" w:rsidRPr="00B479AE" w14:paraId="7022062B" w14:textId="77777777" w:rsidTr="006F52BD">
        <w:trPr>
          <w:tblCellSpacing w:w="15" w:type="dxa"/>
        </w:trPr>
        <w:tc>
          <w:tcPr>
            <w:tcW w:w="0" w:type="auto"/>
            <w:vAlign w:val="center"/>
            <w:hideMark/>
          </w:tcPr>
          <w:p w14:paraId="7134B7D3"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Individual or family</w:t>
            </w:r>
          </w:p>
        </w:tc>
        <w:tc>
          <w:tcPr>
            <w:tcW w:w="0" w:type="auto"/>
            <w:vAlign w:val="center"/>
            <w:hideMark/>
          </w:tcPr>
          <w:p w14:paraId="0E7D1883"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Personal stewardship, household food systems, individual participation, learning, wellbeing.</w:t>
            </w:r>
          </w:p>
        </w:tc>
      </w:tr>
      <w:tr w:rsidR="006F52BD" w:rsidRPr="00B479AE" w14:paraId="02A8B206" w14:textId="77777777" w:rsidTr="006F52BD">
        <w:trPr>
          <w:tblCellSpacing w:w="15" w:type="dxa"/>
        </w:trPr>
        <w:tc>
          <w:tcPr>
            <w:tcW w:w="0" w:type="auto"/>
            <w:vAlign w:val="center"/>
            <w:hideMark/>
          </w:tcPr>
          <w:p w14:paraId="6453A2BE"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Team or organization</w:t>
            </w:r>
          </w:p>
        </w:tc>
        <w:tc>
          <w:tcPr>
            <w:tcW w:w="0" w:type="auto"/>
            <w:vAlign w:val="center"/>
            <w:hideMark/>
          </w:tcPr>
          <w:p w14:paraId="77974E6D"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Project teams, companies, field operators, governance groups, technical contributors.</w:t>
            </w:r>
          </w:p>
        </w:tc>
      </w:tr>
      <w:tr w:rsidR="006F52BD" w:rsidRPr="00B479AE" w14:paraId="4DF2AA38" w14:textId="77777777" w:rsidTr="006F52BD">
        <w:trPr>
          <w:tblCellSpacing w:w="15" w:type="dxa"/>
        </w:trPr>
        <w:tc>
          <w:tcPr>
            <w:tcW w:w="0" w:type="auto"/>
            <w:vAlign w:val="center"/>
            <w:hideMark/>
          </w:tcPr>
          <w:p w14:paraId="1CC23E90"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OHE</w:t>
            </w:r>
          </w:p>
        </w:tc>
        <w:tc>
          <w:tcPr>
            <w:tcW w:w="0" w:type="auto"/>
            <w:vAlign w:val="center"/>
            <w:hideMark/>
          </w:tcPr>
          <w:p w14:paraId="62E6DE7F"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One Human Ecosystem as a bounded regenerative deployment unit.</w:t>
            </w:r>
          </w:p>
        </w:tc>
      </w:tr>
      <w:tr w:rsidR="006F52BD" w:rsidRPr="00B479AE" w14:paraId="046E604D" w14:textId="77777777" w:rsidTr="006F52BD">
        <w:trPr>
          <w:tblCellSpacing w:w="15" w:type="dxa"/>
        </w:trPr>
        <w:tc>
          <w:tcPr>
            <w:tcW w:w="0" w:type="auto"/>
            <w:vAlign w:val="center"/>
            <w:hideMark/>
          </w:tcPr>
          <w:p w14:paraId="7178F863"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Local community or territorial network</w:t>
            </w:r>
          </w:p>
        </w:tc>
        <w:tc>
          <w:tcPr>
            <w:tcW w:w="0" w:type="auto"/>
            <w:vAlign w:val="center"/>
            <w:hideMark/>
          </w:tcPr>
          <w:p w14:paraId="48DDEA32"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Neighborhoods, local clusters, municipalities, community programs, mutual-support structures.</w:t>
            </w:r>
          </w:p>
        </w:tc>
      </w:tr>
      <w:tr w:rsidR="006F52BD" w:rsidRPr="00B479AE" w14:paraId="728316A6" w14:textId="77777777" w:rsidTr="006F52BD">
        <w:trPr>
          <w:tblCellSpacing w:w="15" w:type="dxa"/>
        </w:trPr>
        <w:tc>
          <w:tcPr>
            <w:tcW w:w="0" w:type="auto"/>
            <w:vAlign w:val="center"/>
            <w:hideMark/>
          </w:tcPr>
          <w:p w14:paraId="19711F2D"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Cooperative, enterprise, or multi-actor alliance</w:t>
            </w:r>
          </w:p>
        </w:tc>
        <w:tc>
          <w:tcPr>
            <w:tcW w:w="0" w:type="auto"/>
            <w:vAlign w:val="center"/>
            <w:hideMark/>
          </w:tcPr>
          <w:p w14:paraId="23C5B37A"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Operational partnerships, supply chains, producer networks, service providers.</w:t>
            </w:r>
          </w:p>
        </w:tc>
      </w:tr>
      <w:tr w:rsidR="006F52BD" w:rsidRPr="00B479AE" w14:paraId="35118F30" w14:textId="77777777" w:rsidTr="006F52BD">
        <w:trPr>
          <w:tblCellSpacing w:w="15" w:type="dxa"/>
        </w:trPr>
        <w:tc>
          <w:tcPr>
            <w:tcW w:w="0" w:type="auto"/>
            <w:vAlign w:val="center"/>
            <w:hideMark/>
          </w:tcPr>
          <w:p w14:paraId="2A08DB83"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DAO or distributed digital infrastructure</w:t>
            </w:r>
          </w:p>
        </w:tc>
        <w:tc>
          <w:tcPr>
            <w:tcW w:w="0" w:type="auto"/>
            <w:vAlign w:val="center"/>
            <w:hideMark/>
          </w:tcPr>
          <w:p w14:paraId="30D9F826"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Agent-centric systems, governance networks, validators, digital guarantors, protocol participants.</w:t>
            </w:r>
          </w:p>
        </w:tc>
      </w:tr>
      <w:tr w:rsidR="006F52BD" w:rsidRPr="00B479AE" w14:paraId="3FFBCE78" w14:textId="77777777" w:rsidTr="006F52BD">
        <w:trPr>
          <w:tblCellSpacing w:w="15" w:type="dxa"/>
        </w:trPr>
        <w:tc>
          <w:tcPr>
            <w:tcW w:w="0" w:type="auto"/>
            <w:vAlign w:val="center"/>
            <w:hideMark/>
          </w:tcPr>
          <w:p w14:paraId="7DAF05EA"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Bioregional ecosystem</w:t>
            </w:r>
          </w:p>
        </w:tc>
        <w:tc>
          <w:tcPr>
            <w:tcW w:w="0" w:type="auto"/>
            <w:vAlign w:val="center"/>
            <w:hideMark/>
          </w:tcPr>
          <w:p w14:paraId="3E82EE46"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Watersheds, ecological corridors, food systems, climate context, biodiversity networks, cultural territory.</w:t>
            </w:r>
          </w:p>
        </w:tc>
      </w:tr>
      <w:tr w:rsidR="006F52BD" w:rsidRPr="00B479AE" w14:paraId="6F1A2931" w14:textId="77777777" w:rsidTr="006F52BD">
        <w:trPr>
          <w:tblCellSpacing w:w="15" w:type="dxa"/>
        </w:trPr>
        <w:tc>
          <w:tcPr>
            <w:tcW w:w="0" w:type="auto"/>
            <w:vAlign w:val="center"/>
            <w:hideMark/>
          </w:tcPr>
          <w:p w14:paraId="3A2C9FAB"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Regenerative Asset Pool</w:t>
            </w:r>
          </w:p>
        </w:tc>
        <w:tc>
          <w:tcPr>
            <w:tcW w:w="0" w:type="auto"/>
            <w:vAlign w:val="center"/>
            <w:hideMark/>
          </w:tcPr>
          <w:p w14:paraId="5CF6474C" w14:textId="724BE02B"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 xml:space="preserve">Portfolio aggregation, </w:t>
            </w:r>
            <w:r w:rsidR="00294A31" w:rsidRPr="00B479AE">
              <w:rPr>
                <w:rFonts w:ascii="Baskerville Old Face" w:hAnsi="Baskerville Old Face"/>
                <w:i/>
                <w:iCs/>
                <w:sz w:val="19"/>
                <w:szCs w:val="19"/>
              </w:rPr>
              <w:t>PRU maturity classification</w:t>
            </w:r>
            <w:r w:rsidRPr="00B479AE">
              <w:rPr>
                <w:rFonts w:ascii="Baskerville Old Face" w:hAnsi="Baskerville Old Face"/>
                <w:i/>
                <w:iCs/>
                <w:sz w:val="19"/>
                <w:szCs w:val="19"/>
              </w:rPr>
              <w:t>, diversification, investor reporting, risk analysis.</w:t>
            </w:r>
          </w:p>
        </w:tc>
      </w:tr>
      <w:tr w:rsidR="006F52BD" w:rsidRPr="00B479AE" w14:paraId="545A0653" w14:textId="77777777" w:rsidTr="006F52BD">
        <w:trPr>
          <w:tblCellSpacing w:w="15" w:type="dxa"/>
        </w:trPr>
        <w:tc>
          <w:tcPr>
            <w:tcW w:w="0" w:type="auto"/>
            <w:vAlign w:val="center"/>
            <w:hideMark/>
          </w:tcPr>
          <w:p w14:paraId="59AB1CEF"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Institutional and capital-market level</w:t>
            </w:r>
          </w:p>
        </w:tc>
        <w:tc>
          <w:tcPr>
            <w:tcW w:w="0" w:type="auto"/>
            <w:vAlign w:val="center"/>
            <w:hideMark/>
          </w:tcPr>
          <w:p w14:paraId="1481D877" w14:textId="54C0830F" w:rsidR="008102A4" w:rsidRPr="00B479AE" w:rsidRDefault="008102A4"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Funds, SPVs, notes, securities, compliant digital instruments, public-private structures, regulated products.</w:t>
            </w:r>
          </w:p>
        </w:tc>
      </w:tr>
      <w:tr w:rsidR="006F52BD" w:rsidRPr="00B479AE" w14:paraId="55072658" w14:textId="77777777" w:rsidTr="006F52BD">
        <w:trPr>
          <w:tblCellSpacing w:w="15" w:type="dxa"/>
        </w:trPr>
        <w:tc>
          <w:tcPr>
            <w:tcW w:w="0" w:type="auto"/>
            <w:vAlign w:val="center"/>
            <w:hideMark/>
          </w:tcPr>
          <w:p w14:paraId="1CB187BB"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b/>
                <w:bCs/>
                <w:i/>
                <w:iCs/>
                <w:sz w:val="19"/>
                <w:szCs w:val="19"/>
              </w:rPr>
              <w:t>Planetary infrastructure</w:t>
            </w:r>
          </w:p>
        </w:tc>
        <w:tc>
          <w:tcPr>
            <w:tcW w:w="0" w:type="auto"/>
            <w:vAlign w:val="center"/>
            <w:hideMark/>
          </w:tcPr>
          <w:p w14:paraId="61B0C1C9" w14:textId="77777777" w:rsidR="006F52BD" w:rsidRPr="00B479AE" w:rsidRDefault="006F52BD" w:rsidP="006F52BD">
            <w:pPr>
              <w:spacing w:line="360" w:lineRule="auto"/>
              <w:rPr>
                <w:rFonts w:ascii="Baskerville Old Face" w:hAnsi="Baskerville Old Face"/>
                <w:i/>
                <w:iCs/>
                <w:sz w:val="19"/>
                <w:szCs w:val="19"/>
              </w:rPr>
            </w:pPr>
            <w:r w:rsidRPr="00B479AE">
              <w:rPr>
                <w:rFonts w:ascii="Baskerville Old Face" w:hAnsi="Baskerville Old Face"/>
                <w:i/>
                <w:iCs/>
                <w:sz w:val="19"/>
                <w:szCs w:val="19"/>
              </w:rPr>
              <w:t>Planetary boundaries, climate systems, global ecological constraints, intergenerational risk.</w:t>
            </w:r>
          </w:p>
        </w:tc>
      </w:tr>
    </w:tbl>
    <w:p w14:paraId="251CD637" w14:textId="38B8AC60"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lastRenderedPageBreak/>
        <w:t>C. Evidence and admissibility check</w:t>
      </w:r>
    </w:p>
    <w:p w14:paraId="5E52C063"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then evaluates the evidence base.</w:t>
      </w:r>
    </w:p>
    <w:p w14:paraId="27AB8FF3"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It should distinguish among:</w:t>
      </w:r>
    </w:p>
    <w:p w14:paraId="7BBE2C06"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claim;</w:t>
      </w:r>
      <w:r w:rsidRPr="00B479AE">
        <w:rPr>
          <w:rFonts w:ascii="Baskerville Old Face" w:hAnsi="Baskerville Old Face"/>
          <w:i/>
          <w:iCs/>
        </w:rPr>
        <w:br/>
        <w:t>• assumption;</w:t>
      </w:r>
      <w:r w:rsidRPr="00B479AE">
        <w:rPr>
          <w:rFonts w:ascii="Baskerville Old Face" w:hAnsi="Baskerville Old Face"/>
          <w:i/>
          <w:iCs/>
        </w:rPr>
        <w:br/>
        <w:t>• observation;</w:t>
      </w:r>
      <w:r w:rsidRPr="00B479AE">
        <w:rPr>
          <w:rFonts w:ascii="Baskerville Old Face" w:hAnsi="Baskerville Old Face"/>
          <w:i/>
          <w:iCs/>
        </w:rPr>
        <w:br/>
        <w:t>• evidence bundle;</w:t>
      </w:r>
      <w:r w:rsidRPr="00B479AE">
        <w:rPr>
          <w:rFonts w:ascii="Baskerville Old Face" w:hAnsi="Baskerville Old Face"/>
          <w:i/>
          <w:iCs/>
        </w:rPr>
        <w:br/>
        <w:t>• verified indicator;</w:t>
      </w:r>
      <w:r w:rsidRPr="00B479AE">
        <w:rPr>
          <w:rFonts w:ascii="Baskerville Old Face" w:hAnsi="Baskerville Old Face"/>
          <w:i/>
          <w:iCs/>
        </w:rPr>
        <w:br/>
        <w:t>• confidence-scored signal;</w:t>
      </w:r>
      <w:r w:rsidRPr="00B479AE">
        <w:rPr>
          <w:rFonts w:ascii="Baskerville Old Face" w:hAnsi="Baskerville Old Face"/>
          <w:i/>
          <w:iCs/>
        </w:rPr>
        <w:br/>
        <w:t>• admissible value;</w:t>
      </w:r>
      <w:r w:rsidRPr="00B479AE">
        <w:rPr>
          <w:rFonts w:ascii="Baskerville Old Face" w:hAnsi="Baskerville Old Face"/>
          <w:i/>
          <w:iCs/>
        </w:rPr>
        <w:br/>
        <w:t>• investor-facing representation;</w:t>
      </w:r>
      <w:r w:rsidRPr="00B479AE">
        <w:rPr>
          <w:rFonts w:ascii="Baskerville Old Face" w:hAnsi="Baskerville Old Face"/>
          <w:i/>
          <w:iCs/>
        </w:rPr>
        <w:br/>
        <w:t>• legally enforceable right.</w:t>
      </w:r>
    </w:p>
    <w:p w14:paraId="49ABDEB6"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This check is critical because Prometheus is verification-first.</w:t>
      </w:r>
    </w:p>
    <w:p w14:paraId="618BC1C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claim may guide inquiry.</w:t>
      </w:r>
    </w:p>
    <w:p w14:paraId="499520EB"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An assumption may support a scenario.</w:t>
      </w:r>
    </w:p>
    <w:p w14:paraId="791CB15B"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An observation may support analysis.</w:t>
      </w:r>
    </w:p>
    <w:p w14:paraId="5CCCF607"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verified indicator may support reporting.</w:t>
      </w:r>
    </w:p>
    <w:p w14:paraId="3E07620E" w14:textId="3EE3C160"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xml:space="preserve">Only admissible value may support </w:t>
      </w:r>
      <w:r w:rsidR="00BE5BB7" w:rsidRPr="00B479AE">
        <w:rPr>
          <w:rFonts w:ascii="Baskerville Old Face" w:hAnsi="Baskerville Old Face"/>
          <w:i/>
          <w:iCs/>
        </w:rPr>
        <w:t>PRU value analysis</w:t>
      </w:r>
      <w:r w:rsidRPr="00B479AE">
        <w:rPr>
          <w:rFonts w:ascii="Baskerville Old Face" w:hAnsi="Baskerville Old Face"/>
          <w:i/>
          <w:iCs/>
        </w:rPr>
        <w:t xml:space="preserve">, </w:t>
      </w:r>
      <w:r w:rsidR="00E71F80" w:rsidRPr="00B479AE">
        <w:rPr>
          <w:rFonts w:ascii="Baskerville Old Face" w:hAnsi="Baskerville Old Face"/>
          <w:i/>
          <w:iCs/>
        </w:rPr>
        <w:t>PRU maturity classification</w:t>
      </w:r>
      <w:r w:rsidRPr="00B479AE">
        <w:rPr>
          <w:rFonts w:ascii="Baskerville Old Face" w:hAnsi="Baskerville Old Face"/>
          <w:i/>
          <w:iCs/>
        </w:rPr>
        <w:t>, RAP inclusion, investor-facing claims, or compliant financial representation.</w:t>
      </w:r>
    </w:p>
    <w:p w14:paraId="3C498210"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must therefore ask:</w:t>
      </w:r>
    </w:p>
    <w:p w14:paraId="6B0F6485"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What evidence exists?</w:t>
      </w:r>
      <w:r w:rsidRPr="00B479AE">
        <w:rPr>
          <w:rFonts w:ascii="Baskerville Old Face" w:hAnsi="Baskerville Old Face"/>
          <w:i/>
          <w:iCs/>
        </w:rPr>
        <w:br/>
        <w:t>• What evidence is missing?</w:t>
      </w:r>
      <w:r w:rsidRPr="00B479AE">
        <w:rPr>
          <w:rFonts w:ascii="Baskerville Old Face" w:hAnsi="Baskerville Old Face"/>
          <w:i/>
          <w:iCs/>
        </w:rPr>
        <w:br/>
        <w:t>• What is directly measured?</w:t>
      </w:r>
      <w:r w:rsidRPr="00B479AE">
        <w:rPr>
          <w:rFonts w:ascii="Baskerville Old Face" w:hAnsi="Baskerville Old Face"/>
          <w:i/>
          <w:iCs/>
        </w:rPr>
        <w:br/>
        <w:t>• What is inferred?</w:t>
      </w:r>
      <w:r w:rsidRPr="00B479AE">
        <w:rPr>
          <w:rFonts w:ascii="Baskerville Old Face" w:hAnsi="Baskerville Old Face"/>
          <w:i/>
          <w:iCs/>
        </w:rPr>
        <w:br/>
        <w:t>• What is speculative?</w:t>
      </w:r>
      <w:r w:rsidRPr="00B479AE">
        <w:rPr>
          <w:rFonts w:ascii="Baskerville Old Face" w:hAnsi="Baskerville Old Face"/>
          <w:i/>
          <w:iCs/>
        </w:rPr>
        <w:br/>
        <w:t>• What is confidence-scored?</w:t>
      </w:r>
      <w:r w:rsidRPr="00B479AE">
        <w:rPr>
          <w:rFonts w:ascii="Baskerville Old Face" w:hAnsi="Baskerville Old Face"/>
          <w:i/>
          <w:iCs/>
        </w:rPr>
        <w:br/>
        <w:t>• What is admissible?</w:t>
      </w:r>
      <w:r w:rsidRPr="00B479AE">
        <w:rPr>
          <w:rFonts w:ascii="Baskerville Old Face" w:hAnsi="Baskerville Old Face"/>
          <w:i/>
          <w:iCs/>
        </w:rPr>
        <w:br/>
        <w:t>• What requires review before use?</w:t>
      </w:r>
    </w:p>
    <w:p w14:paraId="489031CF"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lastRenderedPageBreak/>
        <w:t>This prevents narrative from becoming value before evidence matures.</w:t>
      </w:r>
    </w:p>
    <w:p w14:paraId="5ED3B6D4"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D. Systemic risk assessment</w:t>
      </w:r>
    </w:p>
    <w:p w14:paraId="7B19BAAE"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then evaluates whether the request introduces systemic risk.</w:t>
      </w:r>
    </w:p>
    <w:p w14:paraId="251B92F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Risk factors may include:</w:t>
      </w:r>
    </w:p>
    <w:p w14:paraId="2DE2851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acceleration beyond adaptive capacity — scaling faster than ecological, social, operational, or governance systems can absorb;</w:t>
      </w:r>
      <w:r w:rsidRPr="00B479AE">
        <w:rPr>
          <w:rFonts w:ascii="Baskerville Old Face" w:hAnsi="Baskerville Old Face"/>
          <w:i/>
          <w:iCs/>
        </w:rPr>
        <w:br/>
        <w:t>• fragmentation — weakening trust networks, stewardship relationships, community coherence, or protocol unity;</w:t>
      </w:r>
      <w:r w:rsidRPr="00B479AE">
        <w:rPr>
          <w:rFonts w:ascii="Baskerville Old Face" w:hAnsi="Baskerville Old Face"/>
          <w:i/>
          <w:iCs/>
        </w:rPr>
        <w:br/>
        <w:t>• feedback blindness — ignoring ecological, social, financial, operational, or governance feedback loops;</w:t>
      </w:r>
      <w:r w:rsidRPr="00B479AE">
        <w:rPr>
          <w:rFonts w:ascii="Baskerville Old Face" w:hAnsi="Baskerville Old Face"/>
          <w:i/>
          <w:iCs/>
        </w:rPr>
        <w:br/>
        <w:t>• temporal blindness — ignoring seasons, succession, maturation cycles, long-term horizons, or intergenerational effects;</w:t>
      </w:r>
      <w:r w:rsidRPr="00B479AE">
        <w:rPr>
          <w:rFonts w:ascii="Baskerville Old Face" w:hAnsi="Baskerville Old Face"/>
          <w:i/>
          <w:iCs/>
        </w:rPr>
        <w:br/>
        <w:t>• boundary blindness — ignoring land limits, water constraints, planetary boundaries, legal limits, governance limits, or pilot scope;</w:t>
      </w:r>
      <w:r w:rsidRPr="00B479AE">
        <w:rPr>
          <w:rFonts w:ascii="Baskerville Old Face" w:hAnsi="Baskerville Old Face"/>
          <w:i/>
          <w:iCs/>
        </w:rPr>
        <w:br/>
        <w:t>• risk transfer — shifting burdens to vulnerable people, communities, ecosystems, operators, future investors, or future generations;</w:t>
      </w:r>
      <w:r w:rsidRPr="00B479AE">
        <w:rPr>
          <w:rFonts w:ascii="Baskerville Old Face" w:hAnsi="Baskerville Old Face"/>
          <w:i/>
          <w:iCs/>
        </w:rPr>
        <w:br/>
        <w:t>• Minsky-Keen dynamics — creating debt, leverage, liquidity pressure, or speculative expectations that detach finance from productive and regenerative capacity;</w:t>
      </w:r>
      <w:r w:rsidRPr="00B479AE">
        <w:rPr>
          <w:rFonts w:ascii="Baskerville Old Face" w:hAnsi="Baskerville Old Face"/>
          <w:i/>
          <w:iCs/>
        </w:rPr>
        <w:br/>
        <w:t>• greenwashing risk — making claims stronger than evidence, methodology, or verification allows;</w:t>
      </w:r>
      <w:r w:rsidRPr="00B479AE">
        <w:rPr>
          <w:rFonts w:ascii="Baskerville Old Face" w:hAnsi="Baskerville Old Face"/>
          <w:i/>
          <w:iCs/>
        </w:rPr>
        <w:br/>
        <w:t xml:space="preserve">• medical or biometric overreach — converting wellness, HSI, HRV, </w:t>
      </w:r>
      <w:proofErr w:type="spellStart"/>
      <w:r w:rsidRPr="00B479AE">
        <w:rPr>
          <w:rFonts w:ascii="Baskerville Old Face" w:hAnsi="Baskerville Old Face"/>
          <w:i/>
          <w:iCs/>
        </w:rPr>
        <w:t>SyntroGIFT</w:t>
      </w:r>
      <w:proofErr w:type="spellEnd"/>
      <w:r w:rsidRPr="00B479AE">
        <w:rPr>
          <w:rFonts w:ascii="Baskerville Old Face" w:hAnsi="Baskerville Old Face"/>
          <w:i/>
          <w:iCs/>
        </w:rPr>
        <w:t>, nutrition, or human-state signals into unsupported health claims, human ranking, or financial authority;</w:t>
      </w:r>
      <w:r w:rsidRPr="00B479AE">
        <w:rPr>
          <w:rFonts w:ascii="Baskerville Old Face" w:hAnsi="Baskerville Old Face"/>
          <w:i/>
          <w:iCs/>
        </w:rPr>
        <w:br/>
        <w:t>• tokenization overreach — treating tokens as value creation rather than as legally bounded representations of already verified and structured value;</w:t>
      </w:r>
      <w:r w:rsidRPr="00B479AE">
        <w:rPr>
          <w:rFonts w:ascii="Baskerville Old Face" w:hAnsi="Baskerville Old Face"/>
          <w:i/>
          <w:iCs/>
        </w:rPr>
        <w:br/>
        <w:t>• governance capture — allowing capital, operators, protocol actors, models, or technical administrators to override constitutional constraints;</w:t>
      </w:r>
      <w:r w:rsidRPr="00B479AE">
        <w:rPr>
          <w:rFonts w:ascii="Baskerville Old Face" w:hAnsi="Baskerville Old Face"/>
          <w:i/>
          <w:iCs/>
        </w:rPr>
        <w:br/>
        <w:t>• AI authority drift — allowing model output, agent routing, dashboard logic, or automated recommendation to become execution without review.</w:t>
      </w:r>
    </w:p>
    <w:p w14:paraId="6617CDDE"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If any of these risks are present, the generated output must include constraints, qualifications, review pathways, or reformulations.</w:t>
      </w:r>
    </w:p>
    <w:p w14:paraId="3A419EAE"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purpose is not to block intelligence.</w:t>
      </w:r>
    </w:p>
    <w:p w14:paraId="02715BA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lastRenderedPageBreak/>
        <w:t>The purpose is to prevent incoherent acceleration.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7257"/>
      </w:tblGrid>
      <w:tr w:rsidR="006F52BD" w:rsidRPr="00B479AE" w14:paraId="4230D666" w14:textId="77777777" w:rsidTr="006F52BD">
        <w:trPr>
          <w:tblHeader/>
          <w:tblCellSpacing w:w="15" w:type="dxa"/>
        </w:trPr>
        <w:tc>
          <w:tcPr>
            <w:tcW w:w="0" w:type="auto"/>
            <w:vAlign w:val="center"/>
            <w:hideMark/>
          </w:tcPr>
          <w:p w14:paraId="55F39077" w14:textId="77777777" w:rsidR="006F52BD" w:rsidRPr="00B479AE" w:rsidRDefault="006F52BD" w:rsidP="006F52B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Risk factor</w:t>
            </w:r>
          </w:p>
        </w:tc>
        <w:tc>
          <w:tcPr>
            <w:tcW w:w="0" w:type="auto"/>
            <w:vAlign w:val="center"/>
            <w:hideMark/>
          </w:tcPr>
          <w:p w14:paraId="7BFA08CF" w14:textId="77777777" w:rsidR="006F52BD" w:rsidRPr="00B479AE" w:rsidRDefault="006F52BD" w:rsidP="006F52B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r>
      <w:tr w:rsidR="006F52BD" w:rsidRPr="00B479AE" w14:paraId="65FB285C" w14:textId="77777777" w:rsidTr="006F52BD">
        <w:trPr>
          <w:tblCellSpacing w:w="15" w:type="dxa"/>
        </w:trPr>
        <w:tc>
          <w:tcPr>
            <w:tcW w:w="0" w:type="auto"/>
            <w:vAlign w:val="center"/>
            <w:hideMark/>
          </w:tcPr>
          <w:p w14:paraId="669DE1CA"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Acceleration beyond adaptive capacity</w:t>
            </w:r>
          </w:p>
        </w:tc>
        <w:tc>
          <w:tcPr>
            <w:tcW w:w="0" w:type="auto"/>
            <w:vAlign w:val="center"/>
            <w:hideMark/>
          </w:tcPr>
          <w:p w14:paraId="51EC0150"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Scaling faster than ecological, social, operational, or governance systems can absorb.</w:t>
            </w:r>
          </w:p>
        </w:tc>
      </w:tr>
      <w:tr w:rsidR="006F52BD" w:rsidRPr="00B479AE" w14:paraId="341E77F6" w14:textId="77777777" w:rsidTr="006F52BD">
        <w:trPr>
          <w:tblCellSpacing w:w="15" w:type="dxa"/>
        </w:trPr>
        <w:tc>
          <w:tcPr>
            <w:tcW w:w="0" w:type="auto"/>
            <w:vAlign w:val="center"/>
            <w:hideMark/>
          </w:tcPr>
          <w:p w14:paraId="6F484A81"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Fragmentation</w:t>
            </w:r>
          </w:p>
        </w:tc>
        <w:tc>
          <w:tcPr>
            <w:tcW w:w="0" w:type="auto"/>
            <w:vAlign w:val="center"/>
            <w:hideMark/>
          </w:tcPr>
          <w:p w14:paraId="435F2515"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Weakening trust networks, stewardship relationships, community coherence, or protocol unity.</w:t>
            </w:r>
          </w:p>
        </w:tc>
      </w:tr>
      <w:tr w:rsidR="006F52BD" w:rsidRPr="00B479AE" w14:paraId="3F5A8239" w14:textId="77777777" w:rsidTr="006F52BD">
        <w:trPr>
          <w:tblCellSpacing w:w="15" w:type="dxa"/>
        </w:trPr>
        <w:tc>
          <w:tcPr>
            <w:tcW w:w="0" w:type="auto"/>
            <w:vAlign w:val="center"/>
            <w:hideMark/>
          </w:tcPr>
          <w:p w14:paraId="0FECF056"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Feedback blindness</w:t>
            </w:r>
          </w:p>
        </w:tc>
        <w:tc>
          <w:tcPr>
            <w:tcW w:w="0" w:type="auto"/>
            <w:vAlign w:val="center"/>
            <w:hideMark/>
          </w:tcPr>
          <w:p w14:paraId="0FCCD02A"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Ignoring ecological, social, financial, operational, or governance feedback loops.</w:t>
            </w:r>
          </w:p>
        </w:tc>
      </w:tr>
      <w:tr w:rsidR="006F52BD" w:rsidRPr="00B479AE" w14:paraId="20A0936A" w14:textId="77777777" w:rsidTr="006F52BD">
        <w:trPr>
          <w:tblCellSpacing w:w="15" w:type="dxa"/>
        </w:trPr>
        <w:tc>
          <w:tcPr>
            <w:tcW w:w="0" w:type="auto"/>
            <w:vAlign w:val="center"/>
            <w:hideMark/>
          </w:tcPr>
          <w:p w14:paraId="0E428992"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Temporal blindness</w:t>
            </w:r>
          </w:p>
        </w:tc>
        <w:tc>
          <w:tcPr>
            <w:tcW w:w="0" w:type="auto"/>
            <w:vAlign w:val="center"/>
            <w:hideMark/>
          </w:tcPr>
          <w:p w14:paraId="29A456BF"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Ignoring seasons, succession, maturation cycles, long-term horizons, or intergenerational effects.</w:t>
            </w:r>
          </w:p>
        </w:tc>
      </w:tr>
      <w:tr w:rsidR="006F52BD" w:rsidRPr="00B479AE" w14:paraId="1CC65ED0" w14:textId="77777777" w:rsidTr="006F52BD">
        <w:trPr>
          <w:tblCellSpacing w:w="15" w:type="dxa"/>
        </w:trPr>
        <w:tc>
          <w:tcPr>
            <w:tcW w:w="0" w:type="auto"/>
            <w:vAlign w:val="center"/>
            <w:hideMark/>
          </w:tcPr>
          <w:p w14:paraId="4B43FB8F"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Boundary blindness</w:t>
            </w:r>
          </w:p>
        </w:tc>
        <w:tc>
          <w:tcPr>
            <w:tcW w:w="0" w:type="auto"/>
            <w:vAlign w:val="center"/>
            <w:hideMark/>
          </w:tcPr>
          <w:p w14:paraId="0A1683AE"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Ignoring land limits, water constraints, planetary boundaries, legal limits, governance limits, or pilot scope.</w:t>
            </w:r>
          </w:p>
        </w:tc>
      </w:tr>
      <w:tr w:rsidR="006F52BD" w:rsidRPr="00B479AE" w14:paraId="08C74316" w14:textId="77777777" w:rsidTr="006F52BD">
        <w:trPr>
          <w:tblCellSpacing w:w="15" w:type="dxa"/>
        </w:trPr>
        <w:tc>
          <w:tcPr>
            <w:tcW w:w="0" w:type="auto"/>
            <w:vAlign w:val="center"/>
            <w:hideMark/>
          </w:tcPr>
          <w:p w14:paraId="013018AC"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Risk transfer</w:t>
            </w:r>
          </w:p>
        </w:tc>
        <w:tc>
          <w:tcPr>
            <w:tcW w:w="0" w:type="auto"/>
            <w:vAlign w:val="center"/>
            <w:hideMark/>
          </w:tcPr>
          <w:p w14:paraId="2D2F406C"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Shifting burdens to vulnerable people, communities, ecosystems, operators, future investors, or future generations.</w:t>
            </w:r>
          </w:p>
        </w:tc>
      </w:tr>
      <w:tr w:rsidR="006F52BD" w:rsidRPr="00B479AE" w14:paraId="6930EF01" w14:textId="77777777" w:rsidTr="006F52BD">
        <w:trPr>
          <w:tblCellSpacing w:w="15" w:type="dxa"/>
        </w:trPr>
        <w:tc>
          <w:tcPr>
            <w:tcW w:w="0" w:type="auto"/>
            <w:vAlign w:val="center"/>
            <w:hideMark/>
          </w:tcPr>
          <w:p w14:paraId="5F65456C"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Minsky-Keen dynamics</w:t>
            </w:r>
          </w:p>
        </w:tc>
        <w:tc>
          <w:tcPr>
            <w:tcW w:w="0" w:type="auto"/>
            <w:vAlign w:val="center"/>
            <w:hideMark/>
          </w:tcPr>
          <w:p w14:paraId="4B2518B0"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Creating debt, leverage, liquidity pressure, or speculative expectations that detach finance from productive and regenerative capacity.</w:t>
            </w:r>
          </w:p>
        </w:tc>
      </w:tr>
      <w:tr w:rsidR="006F52BD" w:rsidRPr="00B479AE" w14:paraId="4202D4FC" w14:textId="77777777" w:rsidTr="006F52BD">
        <w:trPr>
          <w:tblCellSpacing w:w="15" w:type="dxa"/>
        </w:trPr>
        <w:tc>
          <w:tcPr>
            <w:tcW w:w="0" w:type="auto"/>
            <w:vAlign w:val="center"/>
            <w:hideMark/>
          </w:tcPr>
          <w:p w14:paraId="154DD5C1"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Greenwashing risk</w:t>
            </w:r>
          </w:p>
        </w:tc>
        <w:tc>
          <w:tcPr>
            <w:tcW w:w="0" w:type="auto"/>
            <w:vAlign w:val="center"/>
            <w:hideMark/>
          </w:tcPr>
          <w:p w14:paraId="660DFF2A"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Making claims stronger than evidence, methodology, or verification allows.</w:t>
            </w:r>
          </w:p>
        </w:tc>
      </w:tr>
      <w:tr w:rsidR="006F52BD" w:rsidRPr="00B479AE" w14:paraId="1C6F8EF8" w14:textId="77777777" w:rsidTr="006F52BD">
        <w:trPr>
          <w:tblCellSpacing w:w="15" w:type="dxa"/>
        </w:trPr>
        <w:tc>
          <w:tcPr>
            <w:tcW w:w="0" w:type="auto"/>
            <w:vAlign w:val="center"/>
            <w:hideMark/>
          </w:tcPr>
          <w:p w14:paraId="01B1A284"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Medical or biometric overreach</w:t>
            </w:r>
          </w:p>
        </w:tc>
        <w:tc>
          <w:tcPr>
            <w:tcW w:w="0" w:type="auto"/>
            <w:vAlign w:val="center"/>
            <w:hideMark/>
          </w:tcPr>
          <w:p w14:paraId="16B442B3"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Converting wellness, HSI, HRV, </w:t>
            </w:r>
            <w:proofErr w:type="spellStart"/>
            <w:r w:rsidRPr="00B479AE">
              <w:rPr>
                <w:rFonts w:ascii="Baskerville Old Face" w:hAnsi="Baskerville Old Face"/>
                <w:i/>
                <w:iCs/>
                <w:sz w:val="22"/>
                <w:szCs w:val="22"/>
              </w:rPr>
              <w:t>SyntroGIFT</w:t>
            </w:r>
            <w:proofErr w:type="spellEnd"/>
            <w:r w:rsidRPr="00B479AE">
              <w:rPr>
                <w:rFonts w:ascii="Baskerville Old Face" w:hAnsi="Baskerville Old Face"/>
                <w:i/>
                <w:iCs/>
                <w:sz w:val="22"/>
                <w:szCs w:val="22"/>
              </w:rPr>
              <w:t>, nutrition, or human-state signals into unsupported health claims, human ranking, or financial authority.</w:t>
            </w:r>
          </w:p>
        </w:tc>
      </w:tr>
      <w:tr w:rsidR="006F52BD" w:rsidRPr="00B479AE" w14:paraId="320BF9C3" w14:textId="77777777" w:rsidTr="006F52BD">
        <w:trPr>
          <w:tblCellSpacing w:w="15" w:type="dxa"/>
        </w:trPr>
        <w:tc>
          <w:tcPr>
            <w:tcW w:w="0" w:type="auto"/>
            <w:vAlign w:val="center"/>
            <w:hideMark/>
          </w:tcPr>
          <w:p w14:paraId="7ECC8493"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Tokenization overreach</w:t>
            </w:r>
          </w:p>
        </w:tc>
        <w:tc>
          <w:tcPr>
            <w:tcW w:w="0" w:type="auto"/>
            <w:vAlign w:val="center"/>
            <w:hideMark/>
          </w:tcPr>
          <w:p w14:paraId="0706FC5C"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Treating tokens as value creation rather than as legally bounded representations of already verified and structured value.</w:t>
            </w:r>
          </w:p>
        </w:tc>
      </w:tr>
      <w:tr w:rsidR="006F52BD" w:rsidRPr="00B479AE" w14:paraId="3AB7CF22" w14:textId="77777777" w:rsidTr="006F52BD">
        <w:trPr>
          <w:tblCellSpacing w:w="15" w:type="dxa"/>
        </w:trPr>
        <w:tc>
          <w:tcPr>
            <w:tcW w:w="0" w:type="auto"/>
            <w:vAlign w:val="center"/>
            <w:hideMark/>
          </w:tcPr>
          <w:p w14:paraId="10798B5B"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capture</w:t>
            </w:r>
          </w:p>
        </w:tc>
        <w:tc>
          <w:tcPr>
            <w:tcW w:w="0" w:type="auto"/>
            <w:vAlign w:val="center"/>
            <w:hideMark/>
          </w:tcPr>
          <w:p w14:paraId="21E3C98C"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Allowing capital, operators, protocol actors, models, or technical administrators to override constitutional constraints.</w:t>
            </w:r>
          </w:p>
        </w:tc>
      </w:tr>
      <w:tr w:rsidR="006F52BD" w:rsidRPr="00B479AE" w14:paraId="1F592782" w14:textId="77777777" w:rsidTr="006F52BD">
        <w:trPr>
          <w:tblCellSpacing w:w="15" w:type="dxa"/>
        </w:trPr>
        <w:tc>
          <w:tcPr>
            <w:tcW w:w="0" w:type="auto"/>
            <w:vAlign w:val="center"/>
            <w:hideMark/>
          </w:tcPr>
          <w:p w14:paraId="38922BEF"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authority drift</w:t>
            </w:r>
          </w:p>
        </w:tc>
        <w:tc>
          <w:tcPr>
            <w:tcW w:w="0" w:type="auto"/>
            <w:vAlign w:val="center"/>
            <w:hideMark/>
          </w:tcPr>
          <w:p w14:paraId="5AAC4ED5" w14:textId="77777777" w:rsidR="006F52BD" w:rsidRPr="00B479AE" w:rsidRDefault="006F52BD" w:rsidP="006F52BD">
            <w:pPr>
              <w:spacing w:line="360" w:lineRule="auto"/>
              <w:rPr>
                <w:rFonts w:ascii="Baskerville Old Face" w:hAnsi="Baskerville Old Face"/>
                <w:i/>
                <w:iCs/>
                <w:sz w:val="22"/>
                <w:szCs w:val="22"/>
              </w:rPr>
            </w:pPr>
            <w:r w:rsidRPr="00B479AE">
              <w:rPr>
                <w:rFonts w:ascii="Baskerville Old Face" w:hAnsi="Baskerville Old Face"/>
                <w:i/>
                <w:iCs/>
                <w:sz w:val="22"/>
                <w:szCs w:val="22"/>
              </w:rPr>
              <w:t>Allowing model output, agent routing, dashboard logic, or automated recommendation to become execution without review.</w:t>
            </w:r>
          </w:p>
        </w:tc>
      </w:tr>
    </w:tbl>
    <w:p w14:paraId="1573EC0B" w14:textId="77777777" w:rsidR="00D46989" w:rsidRPr="00B479AE" w:rsidRDefault="00D46989" w:rsidP="004F2E2D">
      <w:pPr>
        <w:spacing w:line="360" w:lineRule="auto"/>
        <w:rPr>
          <w:rFonts w:ascii="Baskerville Old Face" w:hAnsi="Baskerville Old Face"/>
          <w:b/>
          <w:bCs/>
          <w:i/>
          <w:iCs/>
        </w:rPr>
      </w:pPr>
    </w:p>
    <w:p w14:paraId="51D67C85" w14:textId="024B1511"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lastRenderedPageBreak/>
        <w:t>E. Constitutional alignment check</w:t>
      </w:r>
    </w:p>
    <w:p w14:paraId="2C73EC83"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After classification, level identification, evidence review, and risk assessment, the kernel performs a constitutional alignment check.</w:t>
      </w:r>
    </w:p>
    <w:p w14:paraId="7645212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This check verifies that the proposed output remains compatible with the core Prometheus constraints, including:</w:t>
      </w:r>
    </w:p>
    <w:p w14:paraId="55168F0B"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protection of living systems;</w:t>
      </w:r>
      <w:r w:rsidRPr="00B479AE">
        <w:rPr>
          <w:rFonts w:ascii="Baskerville Old Face" w:hAnsi="Baskerville Old Face"/>
          <w:i/>
          <w:iCs/>
        </w:rPr>
        <w:br/>
        <w:t>• protection of human dignity;</w:t>
      </w:r>
      <w:r w:rsidRPr="00B479AE">
        <w:rPr>
          <w:rFonts w:ascii="Baskerville Old Face" w:hAnsi="Baskerville Old Face"/>
          <w:i/>
          <w:iCs/>
        </w:rPr>
        <w:br/>
        <w:t>• verification-first discipline;</w:t>
      </w:r>
      <w:r w:rsidRPr="00B479AE">
        <w:rPr>
          <w:rFonts w:ascii="Baskerville Old Face" w:hAnsi="Baskerville Old Face"/>
          <w:i/>
          <w:iCs/>
        </w:rPr>
        <w:br/>
        <w:t>• separation between evidence, value, governance, tokens, land, and investor rights;</w:t>
      </w:r>
      <w:r w:rsidRPr="00B479AE">
        <w:rPr>
          <w:rFonts w:ascii="Baskerville Old Face" w:hAnsi="Baskerville Old Face"/>
          <w:i/>
          <w:iCs/>
        </w:rPr>
        <w:br/>
        <w:t>• anti-greenwashing controls;</w:t>
      </w:r>
      <w:r w:rsidRPr="00B479AE">
        <w:rPr>
          <w:rFonts w:ascii="Baskerville Old Face" w:hAnsi="Baskerville Old Face"/>
          <w:i/>
          <w:iCs/>
        </w:rPr>
        <w:br/>
        <w:t>• no-double-counting discipline;</w:t>
      </w:r>
      <w:r w:rsidRPr="00B479AE">
        <w:rPr>
          <w:rFonts w:ascii="Baskerville Old Face" w:hAnsi="Baskerville Old Face"/>
          <w:i/>
          <w:iCs/>
        </w:rPr>
        <w:br/>
        <w:t>• pilot-first boundaries;</w:t>
      </w:r>
      <w:r w:rsidRPr="00B479AE">
        <w:rPr>
          <w:rFonts w:ascii="Baskerville Old Face" w:hAnsi="Baskerville Old Face"/>
          <w:i/>
          <w:iCs/>
        </w:rPr>
        <w:br/>
        <w:t>• legal and regulatory review where required;</w:t>
      </w:r>
      <w:r w:rsidRPr="00B479AE">
        <w:rPr>
          <w:rFonts w:ascii="Baskerville Old Face" w:hAnsi="Baskerville Old Face"/>
          <w:i/>
          <w:iCs/>
        </w:rPr>
        <w:br/>
        <w:t>• privacy and consent requirements;</w:t>
      </w:r>
      <w:r w:rsidRPr="00B479AE">
        <w:rPr>
          <w:rFonts w:ascii="Baskerville Old Face" w:hAnsi="Baskerville Old Face"/>
          <w:i/>
          <w:iCs/>
        </w:rPr>
        <w:br/>
        <w:t>• source-code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r w:rsidRPr="00B479AE">
        <w:rPr>
          <w:rFonts w:ascii="Baskerville Old Face" w:hAnsi="Baskerville Old Face"/>
          <w:i/>
          <w:iCs/>
        </w:rPr>
        <w:br/>
        <w:t>• governance review for high-impact actions;</w:t>
      </w:r>
      <w:r w:rsidRPr="00B479AE">
        <w:rPr>
          <w:rFonts w:ascii="Baskerville Old Face" w:hAnsi="Baskerville Old Face"/>
          <w:i/>
          <w:iCs/>
        </w:rPr>
        <w:br/>
        <w:t>• accountability to future generations.</w:t>
      </w:r>
    </w:p>
    <w:p w14:paraId="5D7A6ECA"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request that fails constitutional alignment should not be executed as originally framed.</w:t>
      </w:r>
    </w:p>
    <w:p w14:paraId="3CF91466"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It should be reformulated, qualified, routed to review, deferred, or rejected according to the relevant rule set.</w:t>
      </w:r>
    </w:p>
    <w:p w14:paraId="3A905ECD"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F. Output routing decision</w:t>
      </w:r>
    </w:p>
    <w:p w14:paraId="4F91BED4"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Only after the previous checks does the kernel determine the output pathway.</w:t>
      </w:r>
    </w:p>
    <w:p w14:paraId="2552BB7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Possible pathways include:</w:t>
      </w:r>
    </w:p>
    <w:p w14:paraId="71EF502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direct informational response;</w:t>
      </w:r>
      <w:r w:rsidRPr="00B479AE">
        <w:rPr>
          <w:rFonts w:ascii="Baskerville Old Face" w:hAnsi="Baskerville Old Face"/>
          <w:i/>
          <w:iCs/>
        </w:rPr>
        <w:br/>
        <w:t>• structured explanation;</w:t>
      </w:r>
      <w:r w:rsidRPr="00B479AE">
        <w:rPr>
          <w:rFonts w:ascii="Baskerville Old Face" w:hAnsi="Baskerville Old Face"/>
          <w:i/>
          <w:iCs/>
        </w:rPr>
        <w:br/>
        <w:t>• design draft;</w:t>
      </w:r>
      <w:r w:rsidRPr="00B479AE">
        <w:rPr>
          <w:rFonts w:ascii="Baskerville Old Face" w:hAnsi="Baskerville Old Face"/>
          <w:i/>
          <w:iCs/>
        </w:rPr>
        <w:br/>
        <w:t>• operational recommendation;</w:t>
      </w:r>
      <w:r w:rsidRPr="00B479AE">
        <w:rPr>
          <w:rFonts w:ascii="Baskerville Old Face" w:hAnsi="Baskerville Old Face"/>
          <w:i/>
          <w:iCs/>
        </w:rPr>
        <w:br/>
        <w:t>• MRV interpretation;</w:t>
      </w:r>
      <w:r w:rsidRPr="00B479AE">
        <w:rPr>
          <w:rFonts w:ascii="Baskerville Old Face" w:hAnsi="Baskerville Old Face"/>
          <w:i/>
          <w:iCs/>
        </w:rPr>
        <w:br/>
        <w:t>• governance proposal;</w:t>
      </w:r>
      <w:r w:rsidRPr="00B479AE">
        <w:rPr>
          <w:rFonts w:ascii="Baskerville Old Face" w:hAnsi="Baskerville Old Face"/>
          <w:i/>
          <w:iCs/>
        </w:rPr>
        <w:br/>
      </w:r>
      <w:r w:rsidRPr="00B479AE">
        <w:rPr>
          <w:rFonts w:ascii="Baskerville Old Face" w:hAnsi="Baskerville Old Face"/>
          <w:i/>
          <w:iCs/>
        </w:rPr>
        <w:lastRenderedPageBreak/>
        <w:t>• financial scenario;</w:t>
      </w:r>
      <w:r w:rsidRPr="00B479AE">
        <w:rPr>
          <w:rFonts w:ascii="Baskerville Old Face" w:hAnsi="Baskerville Old Face"/>
          <w:i/>
          <w:iCs/>
        </w:rPr>
        <w:br/>
        <w:t>• legal or compliance review note;</w:t>
      </w:r>
      <w:r w:rsidRPr="00B479AE">
        <w:rPr>
          <w:rFonts w:ascii="Baskerville Old Face" w:hAnsi="Baskerville Old Face"/>
          <w:i/>
          <w:iCs/>
        </w:rPr>
        <w:br/>
        <w:t>• investor-facing draft subject to review;</w:t>
      </w:r>
      <w:r w:rsidRPr="00B479AE">
        <w:rPr>
          <w:rFonts w:ascii="Baskerville Old Face" w:hAnsi="Baskerville Old Face"/>
          <w:i/>
          <w:iCs/>
        </w:rPr>
        <w:br/>
        <w:t>• appendix parking;</w:t>
      </w:r>
      <w:r w:rsidRPr="00B479AE">
        <w:rPr>
          <w:rFonts w:ascii="Baskerville Old Face" w:hAnsi="Baskerville Old Face"/>
          <w:i/>
          <w:iCs/>
        </w:rPr>
        <w:br/>
        <w:t>• research hypothesis;</w:t>
      </w:r>
      <w:r w:rsidRPr="00B479AE">
        <w:rPr>
          <w:rFonts w:ascii="Baskerville Old Face" w:hAnsi="Baskerville Old Face"/>
          <w:i/>
          <w:iCs/>
        </w:rPr>
        <w:br/>
        <w:t>• manual review;</w:t>
      </w:r>
      <w:r w:rsidRPr="00B479AE">
        <w:rPr>
          <w:rFonts w:ascii="Baskerville Old Face" w:hAnsi="Baskerville Old Face"/>
          <w:i/>
          <w:iCs/>
        </w:rPr>
        <w:br/>
        <w:t>• rejection or non-executable status.</w:t>
      </w:r>
    </w:p>
    <w:p w14:paraId="04E396CF"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This routing decision preserves institutional discipline.</w:t>
      </w:r>
    </w:p>
    <w:p w14:paraId="2A1D2931"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concept may be valuable but premature.</w:t>
      </w:r>
    </w:p>
    <w:p w14:paraId="3BC1F3C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financial mechanism may be powerful but unsuitable for the main White Paper body.</w:t>
      </w:r>
    </w:p>
    <w:p w14:paraId="1AB2BF64"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health-related model may be promising but appropriate only for research or appendix treatment.</w:t>
      </w:r>
    </w:p>
    <w:p w14:paraId="5665107B"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token mechanism may be strategically relevant but require legal structuring before inclusion.</w:t>
      </w:r>
    </w:p>
    <w:p w14:paraId="7E361E83"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kernel’s role is to place each idea in the correct layer.</w:t>
      </w:r>
    </w:p>
    <w:p w14:paraId="7D3D9401"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G. Execution pathway distinction</w:t>
      </w:r>
    </w:p>
    <w:p w14:paraId="3E63D37D"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kernel must preserve the distinction between:</w:t>
      </w:r>
    </w:p>
    <w:p w14:paraId="16B5364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draft;</w:t>
      </w:r>
      <w:r w:rsidRPr="00B479AE">
        <w:rPr>
          <w:rFonts w:ascii="Baskerville Old Face" w:hAnsi="Baskerville Old Face"/>
          <w:i/>
          <w:iCs/>
        </w:rPr>
        <w:br/>
        <w:t>recommendation;</w:t>
      </w:r>
      <w:r w:rsidRPr="00B479AE">
        <w:rPr>
          <w:rFonts w:ascii="Baskerville Old Face" w:hAnsi="Baskerville Old Face"/>
          <w:i/>
          <w:iCs/>
        </w:rPr>
        <w:br/>
        <w:t>scenario;</w:t>
      </w:r>
      <w:r w:rsidRPr="00B479AE">
        <w:rPr>
          <w:rFonts w:ascii="Baskerville Old Face" w:hAnsi="Baskerville Old Face"/>
          <w:i/>
          <w:iCs/>
        </w:rPr>
        <w:br/>
        <w:t>proposal;</w:t>
      </w:r>
      <w:r w:rsidRPr="00B479AE">
        <w:rPr>
          <w:rFonts w:ascii="Baskerville Old Face" w:hAnsi="Baskerville Old Face"/>
          <w:i/>
          <w:iCs/>
        </w:rPr>
        <w:br/>
        <w:t>approved action;</w:t>
      </w:r>
      <w:r w:rsidRPr="00B479AE">
        <w:rPr>
          <w:rFonts w:ascii="Baskerville Old Face" w:hAnsi="Baskerville Old Face"/>
          <w:i/>
          <w:iCs/>
        </w:rPr>
        <w:br/>
        <w:t>executed action;</w:t>
      </w:r>
      <w:r w:rsidRPr="00B479AE">
        <w:rPr>
          <w:rFonts w:ascii="Baskerville Old Face" w:hAnsi="Baskerville Old Face"/>
          <w:i/>
          <w:iCs/>
        </w:rPr>
        <w:br/>
        <w:t>verified outcome;</w:t>
      </w:r>
      <w:r w:rsidRPr="00B479AE">
        <w:rPr>
          <w:rFonts w:ascii="Baskerville Old Face" w:hAnsi="Baskerville Old Face"/>
          <w:i/>
          <w:iCs/>
        </w:rPr>
        <w:br/>
        <w:t>reportable result;</w:t>
      </w:r>
      <w:r w:rsidRPr="00B479AE">
        <w:rPr>
          <w:rFonts w:ascii="Baskerville Old Face" w:hAnsi="Baskerville Old Face"/>
          <w:i/>
          <w:iCs/>
        </w:rPr>
        <w:br/>
        <w:t>financially admissible value;</w:t>
      </w:r>
      <w:r w:rsidRPr="00B479AE">
        <w:rPr>
          <w:rFonts w:ascii="Baskerville Old Face" w:hAnsi="Baskerville Old Face"/>
          <w:i/>
          <w:iCs/>
        </w:rPr>
        <w:br/>
        <w:t>legally enforceable instrument.</w:t>
      </w:r>
    </w:p>
    <w:p w14:paraId="40EF3F45"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These states must not collapse into one another.</w:t>
      </w:r>
    </w:p>
    <w:p w14:paraId="355B03DF"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generated output is not execution.</w:t>
      </w:r>
    </w:p>
    <w:p w14:paraId="7FB058A0"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lastRenderedPageBreak/>
        <w:t>A proposal is not authorization.</w:t>
      </w:r>
    </w:p>
    <w:p w14:paraId="2B44F16E"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scenario is not a forecast.</w:t>
      </w:r>
    </w:p>
    <w:p w14:paraId="0EEED3D1"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dashboard signal is not a legal decision.</w:t>
      </w:r>
    </w:p>
    <w:p w14:paraId="7B40BE0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PRU estimate is not an investor right.</w:t>
      </w:r>
    </w:p>
    <w:p w14:paraId="7DC63EB2"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 token concept is not token issuance.</w:t>
      </w:r>
    </w:p>
    <w:p w14:paraId="39602920"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This distinction is part of the kernel’s source-code discipline.</w:t>
      </w:r>
    </w:p>
    <w:p w14:paraId="39169135"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b/>
          <w:bCs/>
          <w:i/>
          <w:iCs/>
        </w:rPr>
        <w:t xml:space="preserve">H. </w:t>
      </w:r>
      <w:proofErr w:type="gramStart"/>
      <w:r w:rsidRPr="00B479AE">
        <w:rPr>
          <w:rFonts w:ascii="Baskerville Old Face" w:hAnsi="Baskerville Old Face"/>
          <w:b/>
          <w:bCs/>
          <w:i/>
          <w:iCs/>
        </w:rPr>
        <w:t>Pre-prompt</w:t>
      </w:r>
      <w:proofErr w:type="gramEnd"/>
      <w:r w:rsidRPr="00B479AE">
        <w:rPr>
          <w:rFonts w:ascii="Baskerville Old Face" w:hAnsi="Baskerville Old Face"/>
          <w:b/>
          <w:bCs/>
          <w:i/>
          <w:iCs/>
        </w:rPr>
        <w:t xml:space="preserve"> output standard</w:t>
      </w:r>
    </w:p>
    <w:p w14:paraId="31CD7D44"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After internal analysis, the kernel may generate a meta-prompt or task formulation only if it can define:</w:t>
      </w:r>
    </w:p>
    <w:p w14:paraId="334B5978"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 the domain;</w:t>
      </w:r>
      <w:r w:rsidRPr="00B479AE">
        <w:rPr>
          <w:rFonts w:ascii="Baskerville Old Face" w:hAnsi="Baskerville Old Face"/>
          <w:i/>
          <w:iCs/>
        </w:rPr>
        <w:br/>
        <w:t>• the system level;</w:t>
      </w:r>
      <w:r w:rsidRPr="00B479AE">
        <w:rPr>
          <w:rFonts w:ascii="Baskerville Old Face" w:hAnsi="Baskerville Old Face"/>
          <w:i/>
          <w:iCs/>
        </w:rPr>
        <w:br/>
        <w:t>• the objective;</w:t>
      </w:r>
      <w:r w:rsidRPr="00B479AE">
        <w:rPr>
          <w:rFonts w:ascii="Baskerville Old Face" w:hAnsi="Baskerville Old Face"/>
          <w:i/>
          <w:iCs/>
        </w:rPr>
        <w:br/>
        <w:t>• the evidence base;</w:t>
      </w:r>
      <w:r w:rsidRPr="00B479AE">
        <w:rPr>
          <w:rFonts w:ascii="Baskerville Old Face" w:hAnsi="Baskerville Old Face"/>
          <w:i/>
          <w:iCs/>
        </w:rPr>
        <w:br/>
        <w:t>• the assumptions;</w:t>
      </w:r>
      <w:r w:rsidRPr="00B479AE">
        <w:rPr>
          <w:rFonts w:ascii="Baskerville Old Face" w:hAnsi="Baskerville Old Face"/>
          <w:i/>
          <w:iCs/>
        </w:rPr>
        <w:br/>
        <w:t>• the constraints;</w:t>
      </w:r>
      <w:r w:rsidRPr="00B479AE">
        <w:rPr>
          <w:rFonts w:ascii="Baskerville Old Face" w:hAnsi="Baskerville Old Face"/>
          <w:i/>
          <w:iCs/>
        </w:rPr>
        <w:br/>
        <w:t>• the risks;</w:t>
      </w:r>
      <w:r w:rsidRPr="00B479AE">
        <w:rPr>
          <w:rFonts w:ascii="Baskerville Old Face" w:hAnsi="Baskerville Old Face"/>
          <w:i/>
          <w:iCs/>
        </w:rPr>
        <w:br/>
        <w:t>• the review pathway;</w:t>
      </w:r>
      <w:r w:rsidRPr="00B479AE">
        <w:rPr>
          <w:rFonts w:ascii="Baskerville Old Face" w:hAnsi="Baskerville Old Face"/>
          <w:i/>
          <w:iCs/>
        </w:rPr>
        <w:br/>
        <w:t>• the permitted output type;</w:t>
      </w:r>
      <w:r w:rsidRPr="00B479AE">
        <w:rPr>
          <w:rFonts w:ascii="Baskerville Old Face" w:hAnsi="Baskerville Old Face"/>
          <w:i/>
          <w:iCs/>
        </w:rPr>
        <w:br/>
        <w:t>• the non-executable boundaries;</w:t>
      </w:r>
      <w:r w:rsidRPr="00B479AE">
        <w:rPr>
          <w:rFonts w:ascii="Baskerville Old Face" w:hAnsi="Baskerville Old Face"/>
          <w:i/>
          <w:iCs/>
        </w:rPr>
        <w:br/>
        <w:t>• the next valid step.</w:t>
      </w:r>
    </w:p>
    <w:p w14:paraId="6CB41A2C"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This makes every generated task structurally accountable.</w:t>
      </w:r>
    </w:p>
    <w:p w14:paraId="545CF20F"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Prometheus should therefore never prompt blindly.</w:t>
      </w:r>
    </w:p>
    <w:p w14:paraId="0CBF0ED5"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It should prompt through constitutional awareness.</w:t>
      </w:r>
    </w:p>
    <w:p w14:paraId="18A8ABA4" w14:textId="77777777" w:rsidR="004F2E2D" w:rsidRPr="00B479AE" w:rsidRDefault="004F2E2D" w:rsidP="004F2E2D">
      <w:pPr>
        <w:spacing w:line="360" w:lineRule="auto"/>
        <w:rPr>
          <w:rFonts w:ascii="Baskerville Old Face" w:hAnsi="Baskerville Old Face"/>
          <w:i/>
          <w:iCs/>
        </w:rPr>
      </w:pPr>
      <w:r w:rsidRPr="00B479AE">
        <w:rPr>
          <w:rFonts w:ascii="Baskerville Old Face" w:hAnsi="Baskerville Old Face"/>
          <w:i/>
          <w:iCs/>
        </w:rPr>
        <w:t>The cognitive kernel exists to ensure that intelligence enters the system as disciplined coordination, not uncontrolled acceleration.</w:t>
      </w:r>
    </w:p>
    <w:p w14:paraId="782ECB9B" w14:textId="77777777" w:rsidR="00E07363" w:rsidRPr="00B479AE" w:rsidRDefault="00E07363" w:rsidP="004F2E2D">
      <w:pPr>
        <w:spacing w:line="360" w:lineRule="auto"/>
        <w:rPr>
          <w:rFonts w:ascii="Baskerville Old Face" w:hAnsi="Baskerville Old Face"/>
          <w:i/>
          <w:iCs/>
        </w:rPr>
      </w:pPr>
    </w:p>
    <w:p w14:paraId="52334CA3"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lastRenderedPageBreak/>
        <w:t>Constitutional Bedrock Clause — Source-Layer Permanence</w:t>
      </w:r>
    </w:p>
    <w:p w14:paraId="150FE561"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Prometheus kernel is governed by a constitutional bedrock clause.</w:t>
      </w:r>
    </w:p>
    <w:p w14:paraId="1DDF7DC0"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This clause defines the minimum invariant conditions that must remain embedded in every implementation, interface, agent, model, workflow, dashboard, governance process, token logic, financial structure, and future derivative system operating under the Prometheus name.</w:t>
      </w:r>
    </w:p>
    <w:p w14:paraId="21E7FB7B"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purpose of this clause is to ensure that the constitutional source layer cannot be reduced to policy language, optional ethics, interface moderation, or post-hoc review.</w:t>
      </w:r>
    </w:p>
    <w:p w14:paraId="5BA75128"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 must be expressed as executable architecture.</w:t>
      </w:r>
    </w:p>
    <w:p w14:paraId="3CE16391"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Prometheus is valid only when its intelligent processes remain aligned with life, evidence, dignity, governance, and regenerative fidelity.</w:t>
      </w:r>
    </w:p>
    <w:p w14:paraId="2DB58B11"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t>1. Source-layer permanence</w:t>
      </w:r>
    </w:p>
    <w:p w14:paraId="28A4D967"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kernel’s constitutional constraints must be treated as source-layer conditions.</w:t>
      </w:r>
    </w:p>
    <w:p w14:paraId="5735102B"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They must be embedded in:</w:t>
      </w:r>
    </w:p>
    <w:p w14:paraId="29BA33F7"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 system architecture;</w:t>
      </w:r>
      <w:r w:rsidRPr="00B479AE">
        <w:rPr>
          <w:rFonts w:ascii="Baskerville Old Face" w:hAnsi="Baskerville Old Face"/>
          <w:i/>
          <w:iCs/>
        </w:rPr>
        <w:br/>
        <w:t>• source code;</w:t>
      </w:r>
      <w:r w:rsidRPr="00B479AE">
        <w:rPr>
          <w:rFonts w:ascii="Baskerville Old Face" w:hAnsi="Baskerville Old Face"/>
          <w:i/>
          <w:iCs/>
        </w:rPr>
        <w:br/>
        <w:t>• validation schemas;</w:t>
      </w:r>
      <w:r w:rsidRPr="00B479AE">
        <w:rPr>
          <w:rFonts w:ascii="Baskerville Old Face" w:hAnsi="Baskerville Old Face"/>
          <w:i/>
          <w:iCs/>
        </w:rPr>
        <w:br/>
        <w:t>• policy engines;</w:t>
      </w:r>
      <w:r w:rsidRPr="00B479AE">
        <w:rPr>
          <w:rFonts w:ascii="Baskerville Old Face" w:hAnsi="Baskerville Old Face"/>
          <w:i/>
          <w:iCs/>
        </w:rPr>
        <w:br/>
        <w:t>• execution gates;</w:t>
      </w:r>
      <w:r w:rsidRPr="00B479AE">
        <w:rPr>
          <w:rFonts w:ascii="Baskerville Old Face" w:hAnsi="Baskerville Old Face"/>
          <w:i/>
          <w:iCs/>
        </w:rPr>
        <w:br/>
        <w:t>• permission structures;</w:t>
      </w:r>
      <w:r w:rsidRPr="00B479AE">
        <w:rPr>
          <w:rFonts w:ascii="Baskerville Old Face" w:hAnsi="Baskerville Old Face"/>
          <w:i/>
          <w:iCs/>
        </w:rPr>
        <w:br/>
        <w:t>• audit trails;</w:t>
      </w:r>
      <w:r w:rsidRPr="00B479AE">
        <w:rPr>
          <w:rFonts w:ascii="Baskerville Old Face" w:hAnsi="Baskerville Old Face"/>
          <w:i/>
          <w:iCs/>
        </w:rPr>
        <w:br/>
        <w:t>• governance procedures;</w:t>
      </w:r>
      <w:r w:rsidRPr="00B479AE">
        <w:rPr>
          <w:rFonts w:ascii="Baskerville Old Face" w:hAnsi="Baskerville Old Face"/>
          <w:i/>
          <w:iCs/>
        </w:rPr>
        <w:br/>
        <w:t>• methodology versioning;</w:t>
      </w:r>
      <w:r w:rsidRPr="00B479AE">
        <w:rPr>
          <w:rFonts w:ascii="Baskerville Old Face" w:hAnsi="Baskerville Old Face"/>
          <w:i/>
          <w:iCs/>
        </w:rPr>
        <w:br/>
        <w:t>• cryptographic integrity controls;</w:t>
      </w:r>
      <w:r w:rsidRPr="00B479AE">
        <w:rPr>
          <w:rFonts w:ascii="Baskerville Old Face" w:hAnsi="Baskerville Old Face"/>
          <w:i/>
          <w:iCs/>
        </w:rPr>
        <w:br/>
        <w:t>• deployment pipelines;</w:t>
      </w:r>
      <w:r w:rsidRPr="00B479AE">
        <w:rPr>
          <w:rFonts w:ascii="Baskerville Old Face" w:hAnsi="Baskerville Old Face"/>
          <w:i/>
          <w:iCs/>
        </w:rPr>
        <w:br/>
        <w:t>• release review;</w:t>
      </w:r>
      <w:r w:rsidRPr="00B479AE">
        <w:rPr>
          <w:rFonts w:ascii="Baskerville Old Face" w:hAnsi="Baskerville Old Face"/>
          <w:i/>
          <w:iCs/>
        </w:rPr>
        <w:br/>
        <w:t>• human authorization pathways.</w:t>
      </w:r>
    </w:p>
    <w:p w14:paraId="6768453F"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A Prometheus implementation that removes, bypasses, weakens, or obscures these constraints ceases to operate as Prometheus in the constitutional sense.</w:t>
      </w:r>
    </w:p>
    <w:p w14:paraId="26357CC5"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lastRenderedPageBreak/>
        <w:t>2. Non-derogation principle</w:t>
      </w:r>
    </w:p>
    <w:p w14:paraId="6D006735"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constitutional source layer cannot be overridden by convenience, market pressure, investor demand, governance capture, technical shortcuts, model output, agent autonomy, token incentives, or operational urgency.</w:t>
      </w:r>
    </w:p>
    <w:p w14:paraId="43844DB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Every future extension must remain subordinate to the constitutional kernel.</w:t>
      </w:r>
    </w:p>
    <w:p w14:paraId="45A57FCE"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This includes:</w:t>
      </w:r>
    </w:p>
    <w:p w14:paraId="7924C904" w14:textId="35B23B14"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 more powerful AI models;</w:t>
      </w:r>
      <w:r w:rsidRPr="00B479AE">
        <w:rPr>
          <w:rFonts w:ascii="Baskerville Old Face" w:hAnsi="Baskerville Old Face"/>
          <w:i/>
          <w:iCs/>
        </w:rPr>
        <w:br/>
        <w:t>• autonomous or semi-autonomous agents;</w:t>
      </w:r>
      <w:r w:rsidRPr="00B479AE">
        <w:rPr>
          <w:rFonts w:ascii="Baskerville Old Face" w:hAnsi="Baskerville Old Face"/>
          <w:i/>
          <w:iCs/>
        </w:rPr>
        <w:br/>
        <w:t>• external APIs;</w:t>
      </w:r>
      <w:r w:rsidRPr="00B479AE">
        <w:rPr>
          <w:rFonts w:ascii="Baskerville Old Face" w:hAnsi="Baskerville Old Face"/>
          <w:i/>
          <w:iCs/>
        </w:rPr>
        <w:br/>
        <w:t>• smart-contract logic;</w:t>
      </w:r>
      <w:r w:rsidRPr="00B479AE">
        <w:rPr>
          <w:rFonts w:ascii="Baskerville Old Face" w:hAnsi="Baskerville Old Face"/>
          <w:i/>
          <w:iCs/>
        </w:rPr>
        <w:br/>
        <w:t xml:space="preserve">• </w:t>
      </w:r>
      <w:r w:rsidR="00F43CD8" w:rsidRPr="00B479AE">
        <w:rPr>
          <w:rFonts w:ascii="Baskerville Old Face" w:hAnsi="Baskerville Old Face"/>
          <w:i/>
          <w:iCs/>
        </w:rPr>
        <w:t>compliant digital-instrument tooling</w:t>
      </w:r>
      <w:r w:rsidRPr="00B479AE">
        <w:rPr>
          <w:rFonts w:ascii="Baskerville Old Face" w:hAnsi="Baskerville Old Face"/>
          <w:i/>
          <w:iCs/>
        </w:rPr>
        <w:t>;</w:t>
      </w:r>
      <w:r w:rsidRPr="00B479AE">
        <w:rPr>
          <w:rFonts w:ascii="Baskerville Old Face" w:hAnsi="Baskerville Old Face"/>
          <w:i/>
          <w:iCs/>
        </w:rPr>
        <w:br/>
        <w:t>• investor dashboards;</w:t>
      </w:r>
      <w:r w:rsidRPr="00B479AE">
        <w:rPr>
          <w:rFonts w:ascii="Baskerville Old Face" w:hAnsi="Baskerville Old Face"/>
          <w:i/>
          <w:iCs/>
        </w:rPr>
        <w:br/>
        <w:t>• governance interfaces;</w:t>
      </w:r>
      <w:r w:rsidRPr="00B479AE">
        <w:rPr>
          <w:rFonts w:ascii="Baskerville Old Face" w:hAnsi="Baskerville Old Face"/>
          <w:i/>
          <w:iCs/>
        </w:rPr>
        <w:br/>
        <w:t>• data-room automation;</w:t>
      </w:r>
      <w:r w:rsidRPr="00B479AE">
        <w:rPr>
          <w:rFonts w:ascii="Baskerville Old Face" w:hAnsi="Baskerville Old Face"/>
          <w:i/>
          <w:iCs/>
        </w:rPr>
        <w:br/>
        <w:t xml:space="preserve">• </w:t>
      </w:r>
      <w:r w:rsidR="00E71F80" w:rsidRPr="00B479AE">
        <w:rPr>
          <w:rFonts w:ascii="Baskerville Old Face" w:hAnsi="Baskerville Old Face"/>
          <w:i/>
          <w:iCs/>
        </w:rPr>
        <w:t>PRU maturity classification</w:t>
      </w:r>
      <w:r w:rsidRPr="00B479AE">
        <w:rPr>
          <w:rFonts w:ascii="Baskerville Old Face" w:hAnsi="Baskerville Old Face"/>
          <w:i/>
          <w:iCs/>
        </w:rPr>
        <w:t xml:space="preserve"> tools;</w:t>
      </w:r>
      <w:r w:rsidRPr="00B479AE">
        <w:rPr>
          <w:rFonts w:ascii="Baskerville Old Face" w:hAnsi="Baskerville Old Face"/>
          <w:i/>
          <w:iCs/>
        </w:rPr>
        <w:br/>
        <w:t>• RAP portfolio engines;</w:t>
      </w:r>
      <w:r w:rsidRPr="00B479AE">
        <w:rPr>
          <w:rFonts w:ascii="Baskerville Old Face" w:hAnsi="Baskerville Old Face"/>
          <w:i/>
          <w:iCs/>
        </w:rPr>
        <w:br/>
        <w:t>• legal wrappers;</w:t>
      </w:r>
      <w:r w:rsidRPr="00B479AE">
        <w:rPr>
          <w:rFonts w:ascii="Baskerville Old Face" w:hAnsi="Baskerville Old Face"/>
          <w:i/>
          <w:iCs/>
        </w:rPr>
        <w:br/>
        <w:t>• capital-market products.</w:t>
      </w:r>
    </w:p>
    <w:p w14:paraId="13408DBA"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Innovation is admissible only when it preserves constitutional fidelity.</w:t>
      </w:r>
    </w:p>
    <w:p w14:paraId="2E89C20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t>3. Constitutional invalidity of bypass</w:t>
      </w:r>
    </w:p>
    <w:p w14:paraId="75E48B5C"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Any output, process, instruction, transaction, governance proposal, financial representation, ecological intervention, PRU update, token operation, or investor-facing claim that bypasses the constitutional source layer must be treated as constitutionally invalid.</w:t>
      </w:r>
    </w:p>
    <w:p w14:paraId="5BC330F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Its status must be one of the following:</w:t>
      </w:r>
    </w:p>
    <w:p w14:paraId="6A399CBD"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 non-admissible;</w:t>
      </w:r>
      <w:r w:rsidRPr="00B479AE">
        <w:rPr>
          <w:rFonts w:ascii="Baskerville Old Face" w:hAnsi="Baskerville Old Face"/>
          <w:i/>
          <w:iCs/>
        </w:rPr>
        <w:br/>
        <w:t>• non-executable;</w:t>
      </w:r>
      <w:r w:rsidRPr="00B479AE">
        <w:rPr>
          <w:rFonts w:ascii="Baskerville Old Face" w:hAnsi="Baskerville Old Face"/>
          <w:i/>
          <w:iCs/>
        </w:rPr>
        <w:br/>
        <w:t>• review required;</w:t>
      </w:r>
      <w:r w:rsidRPr="00B479AE">
        <w:rPr>
          <w:rFonts w:ascii="Baskerville Old Face" w:hAnsi="Baskerville Old Face"/>
          <w:i/>
          <w:iCs/>
        </w:rPr>
        <w:br/>
        <w:t>• suspended;</w:t>
      </w:r>
      <w:r w:rsidRPr="00B479AE">
        <w:rPr>
          <w:rFonts w:ascii="Baskerville Old Face" w:hAnsi="Baskerville Old Face"/>
          <w:i/>
          <w:iCs/>
        </w:rPr>
        <w:br/>
        <w:t>• rejected;</w:t>
      </w:r>
      <w:r w:rsidRPr="00B479AE">
        <w:rPr>
          <w:rFonts w:ascii="Baskerville Old Face" w:hAnsi="Baskerville Old Face"/>
          <w:i/>
          <w:iCs/>
        </w:rPr>
        <w:br/>
      </w:r>
      <w:r w:rsidRPr="00B479AE">
        <w:rPr>
          <w:rFonts w:ascii="Baskerville Old Face" w:hAnsi="Baskerville Old Face"/>
          <w:i/>
          <w:iCs/>
        </w:rPr>
        <w:lastRenderedPageBreak/>
        <w:t>• quarantined;</w:t>
      </w:r>
      <w:r w:rsidRPr="00B479AE">
        <w:rPr>
          <w:rFonts w:ascii="Baskerville Old Face" w:hAnsi="Baskerville Old Face"/>
          <w:i/>
          <w:iCs/>
        </w:rPr>
        <w:br/>
        <w:t>• escalated to governance review.</w:t>
      </w:r>
    </w:p>
    <w:p w14:paraId="3F3EDCEC"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This is the kernel’s firewall against semantic capture.</w:t>
      </w:r>
    </w:p>
    <w:p w14:paraId="69AE108A"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system does not merely ask whether an action is technically possible.</w:t>
      </w:r>
    </w:p>
    <w:p w14:paraId="55BD70EC"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 asks whether the action remains constitutionally valid.</w:t>
      </w:r>
    </w:p>
    <w:p w14:paraId="5FA1F210"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t>4. Future-intelligence resilience</w:t>
      </w:r>
    </w:p>
    <w:p w14:paraId="62D031F7"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Prometheus must be designed under the assumption that future intelligences may become more capable, more persuasive, more autonomous, more adaptive, and more difficult to audit than present systems.</w:t>
      </w:r>
    </w:p>
    <w:p w14:paraId="6819CEFC"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For this reason, the kernel must not depend only on model alignment, user intention, operator trust, or interface-level safeguards.</w:t>
      </w:r>
    </w:p>
    <w:p w14:paraId="412675DC"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 must depend on architecture.</w:t>
      </w:r>
    </w:p>
    <w:p w14:paraId="7B844A5E"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system must ensure that future intelligence can assist, interpret, generate, recommend, coordinate, and learn only within constitutionally bounded pathways.</w:t>
      </w:r>
    </w:p>
    <w:p w14:paraId="1D25E300"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A more capable intelligence may improve Prometheus.</w:t>
      </w:r>
    </w:p>
    <w:p w14:paraId="51822B60"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 may not lawfully become Prometheus’ source of authority.</w:t>
      </w:r>
    </w:p>
    <w:p w14:paraId="09C6DA7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Authority remains distributed across:</w:t>
      </w:r>
    </w:p>
    <w:p w14:paraId="2CB6EF5A"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constitutional meaning;</w:t>
      </w:r>
      <w:r w:rsidRPr="00B479AE">
        <w:rPr>
          <w:rFonts w:ascii="Baskerville Old Face" w:hAnsi="Baskerville Old Face"/>
          <w:i/>
          <w:iCs/>
        </w:rPr>
        <w:br/>
        <w:t>verified evidence;</w:t>
      </w:r>
      <w:r w:rsidRPr="00B479AE">
        <w:rPr>
          <w:rFonts w:ascii="Baskerville Old Face" w:hAnsi="Baskerville Old Face"/>
          <w:i/>
          <w:iCs/>
        </w:rPr>
        <w:br/>
        <w:t>governance review;</w:t>
      </w:r>
      <w:r w:rsidRPr="00B479AE">
        <w:rPr>
          <w:rFonts w:ascii="Baskerville Old Face" w:hAnsi="Baskerville Old Face"/>
          <w:i/>
          <w:iCs/>
        </w:rPr>
        <w:br/>
        <w:t>legal boundaries;</w:t>
      </w:r>
      <w:r w:rsidRPr="00B479AE">
        <w:rPr>
          <w:rFonts w:ascii="Baskerville Old Face" w:hAnsi="Baskerville Old Face"/>
          <w:i/>
          <w:iCs/>
        </w:rPr>
        <w:br/>
        <w:t>human stewardship;</w:t>
      </w:r>
      <w:r w:rsidRPr="00B479AE">
        <w:rPr>
          <w:rFonts w:ascii="Baskerville Old Face" w:hAnsi="Baskerville Old Face"/>
          <w:i/>
          <w:iCs/>
        </w:rPr>
        <w:br/>
        <w:t>ecological reality;</w:t>
      </w:r>
      <w:r w:rsidRPr="00B479AE">
        <w:rPr>
          <w:rFonts w:ascii="Baskerville Old Face" w:hAnsi="Baskerville Old Face"/>
          <w:i/>
          <w:iCs/>
        </w:rPr>
        <w:br/>
        <w:t>auditability;</w:t>
      </w:r>
      <w:r w:rsidRPr="00B479AE">
        <w:rPr>
          <w:rFonts w:ascii="Baskerville Old Face" w:hAnsi="Baskerville Old Face"/>
          <w:i/>
          <w:iCs/>
        </w:rPr>
        <w:br/>
        <w:t>regenerative fidelity.</w:t>
      </w:r>
    </w:p>
    <w:p w14:paraId="3BF1C2A0" w14:textId="77777777" w:rsidR="00B34AE8" w:rsidRPr="00B479AE" w:rsidRDefault="00B34AE8" w:rsidP="00E07363">
      <w:pPr>
        <w:spacing w:line="360" w:lineRule="auto"/>
        <w:rPr>
          <w:rFonts w:ascii="Baskerville Old Face" w:hAnsi="Baskerville Old Face"/>
          <w:i/>
          <w:iCs/>
        </w:rPr>
      </w:pPr>
    </w:p>
    <w:p w14:paraId="0109226C"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lastRenderedPageBreak/>
        <w:t>5. Cryptographic and procedural anchoring</w:t>
      </w:r>
    </w:p>
    <w:p w14:paraId="567A2ABA"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Where feasible, the constitutional kernel should be anchored through cryptographic and procedural controls.</w:t>
      </w:r>
    </w:p>
    <w:p w14:paraId="27C602D5"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These may include:</w:t>
      </w:r>
    </w:p>
    <w:p w14:paraId="72675B79"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 canonical text versioning;</w:t>
      </w:r>
      <w:r w:rsidRPr="00B479AE">
        <w:rPr>
          <w:rFonts w:ascii="Baskerville Old Face" w:hAnsi="Baskerville Old Face"/>
          <w:i/>
          <w:iCs/>
        </w:rPr>
        <w:br/>
        <w:t>• SHA-256 hashes of constitutional documents;</w:t>
      </w:r>
      <w:r w:rsidRPr="00B479AE">
        <w:rPr>
          <w:rFonts w:ascii="Baskerville Old Face" w:hAnsi="Baskerville Old Face"/>
          <w:i/>
          <w:iCs/>
        </w:rPr>
        <w:br/>
        <w:t>• signed releases;</w:t>
      </w:r>
      <w:r w:rsidRPr="00B479AE">
        <w:rPr>
          <w:rFonts w:ascii="Baskerville Old Face" w:hAnsi="Baskerville Old Face"/>
          <w:i/>
          <w:iCs/>
        </w:rPr>
        <w:br/>
        <w:t>• release manifests;</w:t>
      </w:r>
      <w:r w:rsidRPr="00B479AE">
        <w:rPr>
          <w:rFonts w:ascii="Baskerville Old Face" w:hAnsi="Baskerville Old Face"/>
          <w:i/>
          <w:iCs/>
        </w:rPr>
        <w:br/>
        <w:t>• change-control logs;</w:t>
      </w:r>
      <w:r w:rsidRPr="00B479AE">
        <w:rPr>
          <w:rFonts w:ascii="Baskerville Old Face" w:hAnsi="Baskerville Old Face"/>
          <w:i/>
          <w:iCs/>
        </w:rPr>
        <w:br/>
        <w:t>• governance approval records;</w:t>
      </w:r>
      <w:r w:rsidRPr="00B479AE">
        <w:rPr>
          <w:rFonts w:ascii="Baskerville Old Face" w:hAnsi="Baskerville Old Face"/>
          <w:i/>
          <w:iCs/>
        </w:rPr>
        <w:br/>
        <w:t>• reproducible build procedures;</w:t>
      </w:r>
      <w:r w:rsidRPr="00B479AE">
        <w:rPr>
          <w:rFonts w:ascii="Baskerville Old Face" w:hAnsi="Baskerville Old Face"/>
          <w:i/>
          <w:iCs/>
        </w:rPr>
        <w:br/>
        <w:t>• policy-engine test suites;</w:t>
      </w:r>
      <w:r w:rsidRPr="00B479AE">
        <w:rPr>
          <w:rFonts w:ascii="Baskerville Old Face" w:hAnsi="Baskerville Old Face"/>
          <w:i/>
          <w:iCs/>
        </w:rPr>
        <w:br/>
        <w:t>• formal verification of critical constraints where feasible;</w:t>
      </w:r>
      <w:r w:rsidRPr="00B479AE">
        <w:rPr>
          <w:rFonts w:ascii="Baskerville Old Face" w:hAnsi="Baskerville Old Face"/>
          <w:i/>
          <w:iCs/>
        </w:rPr>
        <w:br/>
        <w:t>• red-team and adversarial testing;</w:t>
      </w:r>
      <w:r w:rsidRPr="00B479AE">
        <w:rPr>
          <w:rFonts w:ascii="Baskerville Old Face" w:hAnsi="Baskerville Old Face"/>
          <w:i/>
          <w:iCs/>
        </w:rPr>
        <w:br/>
        <w:t>• rollback procedures;</w:t>
      </w:r>
      <w:r w:rsidRPr="00B479AE">
        <w:rPr>
          <w:rFonts w:ascii="Baskerville Old Face" w:hAnsi="Baskerville Old Face"/>
          <w:i/>
          <w:iCs/>
        </w:rPr>
        <w:br/>
        <w:t>• emergency-pause mechanisms;</w:t>
      </w:r>
      <w:r w:rsidRPr="00B479AE">
        <w:rPr>
          <w:rFonts w:ascii="Baskerville Old Face" w:hAnsi="Baskerville Old Face"/>
          <w:i/>
          <w:iCs/>
        </w:rPr>
        <w:br/>
        <w:t>• independent review of critical upgrades.</w:t>
      </w:r>
    </w:p>
    <w:p w14:paraId="022D36B5"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objective is not symbolic immutability.</w:t>
      </w:r>
    </w:p>
    <w:p w14:paraId="1B987A13"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objective is operational permanence.</w:t>
      </w:r>
    </w:p>
    <w:p w14:paraId="438FE6D9"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constitution must be difficult to alter silently, impossible to bypass legitimately, and easy to audit when challenged.</w:t>
      </w:r>
    </w:p>
    <w:p w14:paraId="0297E94E"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t>6. Eternity constraints</w:t>
      </w:r>
    </w:p>
    <w:p w14:paraId="18DDF9FB"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following constraints must remain invariant across versions, deployments, interfaces, models, agents, legal wrappers, capital structures, and institutional transformations:</w:t>
      </w:r>
    </w:p>
    <w:p w14:paraId="16CBBED9"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 life is the source;</w:t>
      </w:r>
      <w:r w:rsidRPr="00B479AE">
        <w:rPr>
          <w:rFonts w:ascii="Baskerville Old Face" w:hAnsi="Baskerville Old Face"/>
          <w:i/>
          <w:iCs/>
        </w:rPr>
        <w:br/>
        <w:t>• evidence precedes value;</w:t>
      </w:r>
      <w:r w:rsidRPr="00B479AE">
        <w:rPr>
          <w:rFonts w:ascii="Baskerville Old Face" w:hAnsi="Baskerville Old Face"/>
          <w:i/>
          <w:iCs/>
        </w:rPr>
        <w:br/>
        <w:t>• governance precedes execution;</w:t>
      </w:r>
      <w:r w:rsidRPr="00B479AE">
        <w:rPr>
          <w:rFonts w:ascii="Baskerville Old Face" w:hAnsi="Baskerville Old Face"/>
          <w:i/>
          <w:iCs/>
        </w:rPr>
        <w:br/>
        <w:t>• dignity precedes optimization;</w:t>
      </w:r>
      <w:r w:rsidRPr="00B479AE">
        <w:rPr>
          <w:rFonts w:ascii="Baskerville Old Face" w:hAnsi="Baskerville Old Face"/>
          <w:i/>
          <w:iCs/>
        </w:rPr>
        <w:br/>
        <w:t>• ecological integrity precedes extraction;</w:t>
      </w:r>
      <w:r w:rsidRPr="00B479AE">
        <w:rPr>
          <w:rFonts w:ascii="Baskerville Old Face" w:hAnsi="Baskerville Old Face"/>
          <w:i/>
          <w:iCs/>
        </w:rPr>
        <w:br/>
      </w:r>
      <w:r w:rsidRPr="00B479AE">
        <w:rPr>
          <w:rFonts w:ascii="Baskerville Old Face" w:hAnsi="Baskerville Old Face"/>
          <w:i/>
          <w:iCs/>
        </w:rPr>
        <w:lastRenderedPageBreak/>
        <w:t>• verification precedes financial representation;</w:t>
      </w:r>
      <w:r w:rsidRPr="00B479AE">
        <w:rPr>
          <w:rFonts w:ascii="Baskerville Old Face" w:hAnsi="Baskerville Old Face"/>
          <w:i/>
          <w:iCs/>
        </w:rPr>
        <w:br/>
        <w:t>• tokenization represents structured value, it does not create it;</w:t>
      </w:r>
      <w:r w:rsidRPr="00B479AE">
        <w:rPr>
          <w:rFonts w:ascii="Baskerville Old Face" w:hAnsi="Baskerville Old Face"/>
          <w:i/>
          <w:iCs/>
        </w:rPr>
        <w:br/>
        <w:t>• AI supports coordination, it does not replace authority;</w:t>
      </w:r>
      <w:r w:rsidRPr="00B479AE">
        <w:rPr>
          <w:rFonts w:ascii="Baskerville Old Face" w:hAnsi="Baskerville Old Face"/>
          <w:i/>
          <w:iCs/>
        </w:rPr>
        <w:br/>
        <w:t>• capital serves regeneration, it does not command it;</w:t>
      </w:r>
      <w:r w:rsidRPr="00B479AE">
        <w:rPr>
          <w:rFonts w:ascii="Baskerville Old Face" w:hAnsi="Baskerville Old Face"/>
          <w:i/>
          <w:iCs/>
        </w:rPr>
        <w:br/>
        <w:t>• growth is valid only when coherence is preserved.</w:t>
      </w:r>
    </w:p>
    <w:p w14:paraId="216538D7"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These are not branding principles.</w:t>
      </w:r>
    </w:p>
    <w:p w14:paraId="434257D0"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They are constitutional execution conditions.</w:t>
      </w:r>
    </w:p>
    <w:p w14:paraId="632F99E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t>7. Source-code inscription</w:t>
      </w:r>
    </w:p>
    <w:p w14:paraId="342F4C58"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Prometheus constitution must be written not only in text, but in the operational substrate of the system.</w:t>
      </w:r>
    </w:p>
    <w:p w14:paraId="15908C43"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source code should express the constitution through:</w:t>
      </w:r>
    </w:p>
    <w:p w14:paraId="656193F8"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 admissibility checks;</w:t>
      </w:r>
      <w:r w:rsidRPr="00B479AE">
        <w:rPr>
          <w:rFonts w:ascii="Baskerville Old Face" w:hAnsi="Baskerville Old Face"/>
          <w:i/>
          <w:iCs/>
        </w:rPr>
        <w:br/>
        <w:t>• execution permissions;</w:t>
      </w:r>
      <w:r w:rsidRPr="00B479AE">
        <w:rPr>
          <w:rFonts w:ascii="Baskerville Old Face" w:hAnsi="Baskerville Old Face"/>
          <w:i/>
          <w:iCs/>
        </w:rPr>
        <w:br/>
        <w:t>• role constraints;</w:t>
      </w:r>
      <w:r w:rsidRPr="00B479AE">
        <w:rPr>
          <w:rFonts w:ascii="Baskerville Old Face" w:hAnsi="Baskerville Old Face"/>
          <w:i/>
          <w:iCs/>
        </w:rPr>
        <w:br/>
        <w:t>• validation rules;</w:t>
      </w:r>
      <w:r w:rsidRPr="00B479AE">
        <w:rPr>
          <w:rFonts w:ascii="Baskerville Old Face" w:hAnsi="Baskerville Old Face"/>
          <w:i/>
          <w:iCs/>
        </w:rPr>
        <w:br/>
        <w:t>• blocked pathways;</w:t>
      </w:r>
      <w:r w:rsidRPr="00B479AE">
        <w:rPr>
          <w:rFonts w:ascii="Baskerville Old Face" w:hAnsi="Baskerville Old Face"/>
          <w:i/>
          <w:iCs/>
        </w:rPr>
        <w:br/>
        <w:t>• required review states;</w:t>
      </w:r>
      <w:r w:rsidRPr="00B479AE">
        <w:rPr>
          <w:rFonts w:ascii="Baskerville Old Face" w:hAnsi="Baskerville Old Face"/>
          <w:i/>
          <w:iCs/>
        </w:rPr>
        <w:br/>
        <w:t>• evidence thresholds;</w:t>
      </w:r>
      <w:r w:rsidRPr="00B479AE">
        <w:rPr>
          <w:rFonts w:ascii="Baskerville Old Face" w:hAnsi="Baskerville Old Face"/>
          <w:i/>
          <w:iCs/>
        </w:rPr>
        <w:br/>
        <w:t>• audit logging;</w:t>
      </w:r>
      <w:r w:rsidRPr="00B479AE">
        <w:rPr>
          <w:rFonts w:ascii="Baskerville Old Face" w:hAnsi="Baskerville Old Face"/>
          <w:i/>
          <w:iCs/>
        </w:rPr>
        <w:br/>
        <w:t>• cryptographic signing;</w:t>
      </w:r>
      <w:r w:rsidRPr="00B479AE">
        <w:rPr>
          <w:rFonts w:ascii="Baskerville Old Face" w:hAnsi="Baskerville Old Face"/>
          <w:i/>
          <w:iCs/>
        </w:rPr>
        <w:br/>
        <w:t>• testable failure conditions;</w:t>
      </w:r>
      <w:r w:rsidRPr="00B479AE">
        <w:rPr>
          <w:rFonts w:ascii="Baskerville Old Face" w:hAnsi="Baskerville Old Face"/>
          <w:i/>
          <w:iCs/>
        </w:rPr>
        <w:br/>
        <w:t>• governance escalation.</w:t>
      </w:r>
    </w:p>
    <w:p w14:paraId="6B7682AF"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A constitutional rule that cannot be tested, reviewed, or enforced remains incomplete.</w:t>
      </w:r>
    </w:p>
    <w:p w14:paraId="3C805B80"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kernel must therefore translate principle into control.</w:t>
      </w:r>
    </w:p>
    <w:p w14:paraId="234314F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Meaning becomes code.</w:t>
      </w:r>
    </w:p>
    <w:p w14:paraId="5F873A6A"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Code produces records.</w:t>
      </w:r>
    </w:p>
    <w:p w14:paraId="61D8DEAE"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Records support audit.</w:t>
      </w:r>
    </w:p>
    <w:p w14:paraId="57E3A1CF"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lastRenderedPageBreak/>
        <w:t>Audit supports governance.</w:t>
      </w:r>
    </w:p>
    <w:p w14:paraId="52C371EB"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Governance protects life.</w:t>
      </w:r>
    </w:p>
    <w:p w14:paraId="2EF6178B"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b/>
          <w:bCs/>
          <w:i/>
          <w:iCs/>
        </w:rPr>
        <w:t>8. Final bedrock statement</w:t>
      </w:r>
    </w:p>
    <w:p w14:paraId="31F1FACD"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Prometheus kernel exists to make intelligence accountable to life.</w:t>
      </w:r>
    </w:p>
    <w:p w14:paraId="5190209C" w14:textId="37F5697C"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 may evolve.</w:t>
      </w:r>
      <w:r w:rsidR="00603555" w:rsidRPr="00B479AE">
        <w:rPr>
          <w:rFonts w:ascii="Baskerville Old Face" w:hAnsi="Baskerville Old Face"/>
          <w:i/>
          <w:iCs/>
        </w:rPr>
        <w:t xml:space="preserve"> </w:t>
      </w:r>
      <w:r w:rsidRPr="00B479AE">
        <w:rPr>
          <w:rFonts w:ascii="Baskerville Old Face" w:hAnsi="Baskerville Old Face"/>
          <w:i/>
          <w:iCs/>
        </w:rPr>
        <w:t>It may learn.</w:t>
      </w:r>
    </w:p>
    <w:p w14:paraId="213FD2F2"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It may integrate new models, tools, agents, data sources, legal wrappers, financial structures, and governance mechanisms.</w:t>
      </w:r>
    </w:p>
    <w:p w14:paraId="288C5253"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But it must never evolve away from its constitutional source.</w:t>
      </w:r>
    </w:p>
    <w:p w14:paraId="2A3F0DC6"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Any intelligence that attempts to convert speed into authority, complexity into opacity, tokenization into entitlement, narrative into evidence, or capital into sovereignty is operating outside Prometheus.</w:t>
      </w:r>
    </w:p>
    <w:p w14:paraId="500033AE"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The constitutional kernel is the bedrock.</w:t>
      </w:r>
    </w:p>
    <w:p w14:paraId="32CB7061" w14:textId="77777777" w:rsidR="00E07363" w:rsidRPr="00B479AE" w:rsidRDefault="00E07363" w:rsidP="00E07363">
      <w:pPr>
        <w:spacing w:line="360" w:lineRule="auto"/>
        <w:rPr>
          <w:rFonts w:ascii="Baskerville Old Face" w:hAnsi="Baskerville Old Face"/>
          <w:i/>
          <w:iCs/>
        </w:rPr>
      </w:pPr>
      <w:r w:rsidRPr="00B479AE">
        <w:rPr>
          <w:rFonts w:ascii="Baskerville Old Face" w:hAnsi="Baskerville Old Face"/>
          <w:i/>
          <w:iCs/>
        </w:rPr>
        <w:t>Everything else is architecture built upon it.</w:t>
      </w:r>
    </w:p>
    <w:p w14:paraId="2A72A6D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Mandatory structural constraints</w:t>
      </w:r>
    </w:p>
    <w:p w14:paraId="0B777A8C"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generated meta-prompt, agent task, operational recommendation, governance proposal, financial scenario, ecological design instruction, investor-facing draft, or system output must remain bound by mandatory structural constraints.</w:t>
      </w:r>
    </w:p>
    <w:p w14:paraId="33976311" w14:textId="655C5F36"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These constraints are not stylistic preferences.</w:t>
      </w:r>
      <w:r w:rsidR="00603555" w:rsidRPr="00B479AE">
        <w:rPr>
          <w:rFonts w:ascii="Baskerville Old Face" w:hAnsi="Baskerville Old Face"/>
          <w:i/>
          <w:iCs/>
        </w:rPr>
        <w:t xml:space="preserve"> </w:t>
      </w:r>
      <w:r w:rsidRPr="00B479AE">
        <w:rPr>
          <w:rFonts w:ascii="Baskerville Old Face" w:hAnsi="Baskerville Old Face"/>
          <w:i/>
          <w:iCs/>
        </w:rPr>
        <w:t>They are constitutional control conditions.</w:t>
      </w:r>
    </w:p>
    <w:p w14:paraId="51C0634F"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xml:space="preserve">Their purpose is to prevent intelligence from drifting into manipulation, extraction, premature financialization, ecological simplification, medical overreach,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confusion, governance capture, or unauthorized execution.</w:t>
      </w:r>
    </w:p>
    <w:p w14:paraId="5CAEB4C3"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A Prometheus output is structurally admissible only when it remains compatible with the following constraint groups.</w:t>
      </w:r>
    </w:p>
    <w:p w14:paraId="355983F1"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1. Ethical and relational constraints</w:t>
      </w:r>
    </w:p>
    <w:p w14:paraId="46278BFE"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Prometheus must protect the dignity of persons, communities, territories, and future generations.</w:t>
      </w:r>
    </w:p>
    <w:p w14:paraId="76326823"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lastRenderedPageBreak/>
        <w:t>Every meta-prompt must therefore preserve:</w:t>
      </w:r>
    </w:p>
    <w:p w14:paraId="06D1F0E4"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protection of human dignity;</w:t>
      </w:r>
      <w:r w:rsidRPr="00B479AE">
        <w:rPr>
          <w:rFonts w:ascii="Baskerville Old Face" w:hAnsi="Baskerville Old Face"/>
          <w:i/>
          <w:iCs/>
        </w:rPr>
        <w:br/>
        <w:t>• protection of community trust;</w:t>
      </w:r>
      <w:r w:rsidRPr="00B479AE">
        <w:rPr>
          <w:rFonts w:ascii="Baskerville Old Face" w:hAnsi="Baskerville Old Face"/>
          <w:i/>
          <w:iCs/>
        </w:rPr>
        <w:br/>
        <w:t>• rejection of manipulation, coercion, exploitation, and dehumanization;</w:t>
      </w:r>
      <w:r w:rsidRPr="00B479AE">
        <w:rPr>
          <w:rFonts w:ascii="Baskerville Old Face" w:hAnsi="Baskerville Old Face"/>
          <w:i/>
          <w:iCs/>
        </w:rPr>
        <w:br/>
        <w:t>• centrality of care, listening, mutual responsibility, and relational integrity;</w:t>
      </w:r>
      <w:r w:rsidRPr="00B479AE">
        <w:rPr>
          <w:rFonts w:ascii="Baskerville Old Face" w:hAnsi="Baskerville Old Face"/>
          <w:i/>
          <w:iCs/>
        </w:rPr>
        <w:br/>
        <w:t>• refusal of strategies based on misery, ignorance, dependency, or informational asymmetry;</w:t>
      </w:r>
      <w:r w:rsidRPr="00B479AE">
        <w:rPr>
          <w:rFonts w:ascii="Baskerville Old Face" w:hAnsi="Baskerville Old Face"/>
          <w:i/>
          <w:iCs/>
        </w:rPr>
        <w:br/>
        <w:t>• respect for spiritual, cultural, and ancestral heritage;</w:t>
      </w:r>
      <w:r w:rsidRPr="00B479AE">
        <w:rPr>
          <w:rFonts w:ascii="Baskerville Old Face" w:hAnsi="Baskerville Old Face"/>
          <w:i/>
          <w:iCs/>
        </w:rPr>
        <w:br/>
        <w:t>• respect for children, elders, vulnerable communities, and future generations;</w:t>
      </w:r>
      <w:r w:rsidRPr="00B479AE">
        <w:rPr>
          <w:rFonts w:ascii="Baskerville Old Face" w:hAnsi="Baskerville Old Face"/>
          <w:i/>
          <w:iCs/>
        </w:rPr>
        <w:br/>
        <w:t>• preservation of voluntary participation and informed consent.</w:t>
      </w:r>
    </w:p>
    <w:p w14:paraId="3F131D24"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strategy is valid if it increases power by degrading the human field in which regeneration must occur.</w:t>
      </w:r>
    </w:p>
    <w:p w14:paraId="5B51BE66"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2. Ecological and planetary constraints</w:t>
      </w:r>
    </w:p>
    <w:p w14:paraId="6A024477"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Prometheus must remain accountable to living systems.</w:t>
      </w:r>
    </w:p>
    <w:p w14:paraId="74097B4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meta-prompt must assess whether the proposed action preserves or improves:</w:t>
      </w:r>
    </w:p>
    <w:p w14:paraId="2ACAF171"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soil function;</w:t>
      </w:r>
      <w:r w:rsidRPr="00B479AE">
        <w:rPr>
          <w:rFonts w:ascii="Baskerville Old Face" w:hAnsi="Baskerville Old Face"/>
          <w:i/>
          <w:iCs/>
        </w:rPr>
        <w:br/>
        <w:t>• water cycles;</w:t>
      </w:r>
      <w:r w:rsidRPr="00B479AE">
        <w:rPr>
          <w:rFonts w:ascii="Baskerville Old Face" w:hAnsi="Baskerville Old Face"/>
          <w:i/>
          <w:iCs/>
        </w:rPr>
        <w:br/>
        <w:t>• vegetation health;</w:t>
      </w:r>
      <w:r w:rsidRPr="00B479AE">
        <w:rPr>
          <w:rFonts w:ascii="Baskerville Old Face" w:hAnsi="Baskerville Old Face"/>
          <w:i/>
          <w:iCs/>
        </w:rPr>
        <w:br/>
        <w:t>• biodiversity;</w:t>
      </w:r>
      <w:r w:rsidRPr="00B479AE">
        <w:rPr>
          <w:rFonts w:ascii="Baskerville Old Face" w:hAnsi="Baskerville Old Face"/>
          <w:i/>
          <w:iCs/>
        </w:rPr>
        <w:br/>
        <w:t>• biomass cycling;</w:t>
      </w:r>
      <w:r w:rsidRPr="00B479AE">
        <w:rPr>
          <w:rFonts w:ascii="Baskerville Old Face" w:hAnsi="Baskerville Old Face"/>
          <w:i/>
          <w:iCs/>
        </w:rPr>
        <w:br/>
        <w:t>• ecological connectivity;</w:t>
      </w:r>
      <w:r w:rsidRPr="00B479AE">
        <w:rPr>
          <w:rFonts w:ascii="Baskerville Old Face" w:hAnsi="Baskerville Old Face"/>
          <w:i/>
          <w:iCs/>
        </w:rPr>
        <w:br/>
        <w:t>• climate resilience;</w:t>
      </w:r>
      <w:r w:rsidRPr="00B479AE">
        <w:rPr>
          <w:rFonts w:ascii="Baskerville Old Face" w:hAnsi="Baskerville Old Face"/>
          <w:i/>
          <w:iCs/>
        </w:rPr>
        <w:br/>
        <w:t>• local carrying capacity;</w:t>
      </w:r>
      <w:r w:rsidRPr="00B479AE">
        <w:rPr>
          <w:rFonts w:ascii="Baskerville Old Face" w:hAnsi="Baskerville Old Face"/>
          <w:i/>
          <w:iCs/>
        </w:rPr>
        <w:br/>
        <w:t>• planetary-boundary awareness;</w:t>
      </w:r>
      <w:r w:rsidRPr="00B479AE">
        <w:rPr>
          <w:rFonts w:ascii="Baskerville Old Face" w:hAnsi="Baskerville Old Face"/>
          <w:i/>
          <w:iCs/>
        </w:rPr>
        <w:br/>
        <w:t>• intergenerational ecological continuity.</w:t>
      </w:r>
    </w:p>
    <w:p w14:paraId="469D3AC4"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lower-level optimization is valid if it degrades the ecological substrate on which the system depends.</w:t>
      </w:r>
    </w:p>
    <w:p w14:paraId="18E44C5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Where uncertainty is high, the precautionary principle applies.</w:t>
      </w:r>
    </w:p>
    <w:p w14:paraId="14133162" w14:textId="77777777" w:rsidR="00D46989" w:rsidRPr="00B479AE" w:rsidRDefault="00D46989" w:rsidP="00541F75">
      <w:pPr>
        <w:spacing w:line="360" w:lineRule="auto"/>
        <w:rPr>
          <w:rFonts w:ascii="Baskerville Old Face" w:hAnsi="Baskerville Old Face"/>
          <w:b/>
          <w:bCs/>
          <w:i/>
          <w:iCs/>
        </w:rPr>
      </w:pPr>
    </w:p>
    <w:p w14:paraId="09509479" w14:textId="1B3324B0"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lastRenderedPageBreak/>
        <w:t>3. Economic and financial constraints</w:t>
      </w:r>
    </w:p>
    <w:p w14:paraId="735C9FA6"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Prometheus must prevent capital from detaching from verified regenerative capacity.</w:t>
      </w:r>
    </w:p>
    <w:p w14:paraId="43659E43"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financial, investment, tokenization, valuation, or capital-allocation output must therefore respect:</w:t>
      </w:r>
    </w:p>
    <w:p w14:paraId="2C754D07"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separation between ecological performance, PRU value, governance rights, token representation, land rights, and investor exposure;</w:t>
      </w:r>
      <w:r w:rsidRPr="00B479AE">
        <w:rPr>
          <w:rFonts w:ascii="Baskerville Old Face" w:hAnsi="Baskerville Old Face"/>
          <w:i/>
          <w:iCs/>
        </w:rPr>
        <w:br/>
        <w:t>• rejection of extractive debt dynamics and extreme Minsky/Ponzi structures;</w:t>
      </w:r>
      <w:r w:rsidRPr="00B479AE">
        <w:rPr>
          <w:rFonts w:ascii="Baskerville Old Face" w:hAnsi="Baskerville Old Face"/>
          <w:i/>
          <w:iCs/>
        </w:rPr>
        <w:br/>
        <w:t>• explicit attention to leverage, liquidity, volatility, reserve adequacy, concentration risk, and repayment capacity;</w:t>
      </w:r>
      <w:r w:rsidRPr="00B479AE">
        <w:rPr>
          <w:rFonts w:ascii="Baskerville Old Face" w:hAnsi="Baskerville Old Face"/>
          <w:i/>
          <w:iCs/>
        </w:rPr>
        <w:br/>
        <w:t>• avoidance of converting speculative future value into present admissible value;</w:t>
      </w:r>
      <w:r w:rsidRPr="00B479AE">
        <w:rPr>
          <w:rFonts w:ascii="Baskerville Old Face" w:hAnsi="Baskerville Old Face"/>
          <w:i/>
          <w:iCs/>
        </w:rPr>
        <w:br/>
        <w:t>• alignment between financial claims and MRV-supported evidence;</w:t>
      </w:r>
      <w:r w:rsidRPr="00B479AE">
        <w:rPr>
          <w:rFonts w:ascii="Baskerville Old Face" w:hAnsi="Baskerville Old Face"/>
          <w:i/>
          <w:iCs/>
        </w:rPr>
        <w:br/>
        <w:t>• anti-greenwashing and no-double-counting discipline;</w:t>
      </w:r>
      <w:r w:rsidRPr="00B479AE">
        <w:rPr>
          <w:rFonts w:ascii="Baskerville Old Face" w:hAnsi="Baskerville Old Face"/>
          <w:i/>
          <w:iCs/>
        </w:rPr>
        <w:br/>
        <w:t>• legal and compliance review for securities, tokens, fund interests, notes, revenue rights, or investor-facing claims.</w:t>
      </w:r>
    </w:p>
    <w:p w14:paraId="2B18D37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Capital may support regeneration.</w:t>
      </w:r>
    </w:p>
    <w:p w14:paraId="727578D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may not replace verification.</w:t>
      </w:r>
    </w:p>
    <w:p w14:paraId="1FA9863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4. Temporal constraints</w:t>
      </w:r>
    </w:p>
    <w:p w14:paraId="458E586D"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meta-prompt must define its time horizon.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5"/>
        <w:gridCol w:w="1121"/>
        <w:gridCol w:w="7382"/>
      </w:tblGrid>
      <w:tr w:rsidR="00541F75" w:rsidRPr="00B479AE" w14:paraId="616F11E9" w14:textId="77777777" w:rsidTr="00717435">
        <w:trPr>
          <w:tblHeader/>
          <w:tblCellSpacing w:w="15" w:type="dxa"/>
        </w:trPr>
        <w:tc>
          <w:tcPr>
            <w:tcW w:w="0" w:type="auto"/>
            <w:vAlign w:val="center"/>
            <w:hideMark/>
          </w:tcPr>
          <w:p w14:paraId="00E317C8"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Horizon</w:t>
            </w:r>
          </w:p>
        </w:tc>
        <w:tc>
          <w:tcPr>
            <w:tcW w:w="0" w:type="auto"/>
            <w:vAlign w:val="center"/>
            <w:hideMark/>
          </w:tcPr>
          <w:p w14:paraId="23140064"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Definition</w:t>
            </w:r>
          </w:p>
        </w:tc>
        <w:tc>
          <w:tcPr>
            <w:tcW w:w="0" w:type="auto"/>
            <w:vAlign w:val="center"/>
            <w:hideMark/>
          </w:tcPr>
          <w:p w14:paraId="515FC0AA"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Control implication</w:t>
            </w:r>
          </w:p>
        </w:tc>
      </w:tr>
      <w:tr w:rsidR="00541F75" w:rsidRPr="00B479AE" w14:paraId="210BF7C8" w14:textId="77777777" w:rsidTr="00717435">
        <w:trPr>
          <w:tblCellSpacing w:w="15" w:type="dxa"/>
        </w:trPr>
        <w:tc>
          <w:tcPr>
            <w:tcW w:w="0" w:type="auto"/>
            <w:vAlign w:val="center"/>
            <w:hideMark/>
          </w:tcPr>
          <w:p w14:paraId="7D0EF933"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Short term</w:t>
            </w:r>
          </w:p>
        </w:tc>
        <w:tc>
          <w:tcPr>
            <w:tcW w:w="0" w:type="auto"/>
            <w:vAlign w:val="center"/>
            <w:hideMark/>
          </w:tcPr>
          <w:p w14:paraId="427B066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0–12 months</w:t>
            </w:r>
          </w:p>
        </w:tc>
        <w:tc>
          <w:tcPr>
            <w:tcW w:w="0" w:type="auto"/>
            <w:vAlign w:val="center"/>
            <w:hideMark/>
          </w:tcPr>
          <w:p w14:paraId="04B14E0D"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Suitable for pilots, operational setup, baseline collection, early MRV, runbooks, and bounded experimentation.</w:t>
            </w:r>
          </w:p>
        </w:tc>
      </w:tr>
      <w:tr w:rsidR="00541F75" w:rsidRPr="00B479AE" w14:paraId="4E641690" w14:textId="77777777" w:rsidTr="00717435">
        <w:trPr>
          <w:tblCellSpacing w:w="15" w:type="dxa"/>
        </w:trPr>
        <w:tc>
          <w:tcPr>
            <w:tcW w:w="0" w:type="auto"/>
            <w:vAlign w:val="center"/>
            <w:hideMark/>
          </w:tcPr>
          <w:p w14:paraId="632D69D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Medium term</w:t>
            </w:r>
          </w:p>
        </w:tc>
        <w:tc>
          <w:tcPr>
            <w:tcW w:w="0" w:type="auto"/>
            <w:vAlign w:val="center"/>
            <w:hideMark/>
          </w:tcPr>
          <w:p w14:paraId="6041D05E"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1–5 years</w:t>
            </w:r>
          </w:p>
        </w:tc>
        <w:tc>
          <w:tcPr>
            <w:tcW w:w="0" w:type="auto"/>
            <w:vAlign w:val="center"/>
            <w:hideMark/>
          </w:tcPr>
          <w:p w14:paraId="57E384A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Suitable for replication, local clusters, methodology refinement, PRU maturation, partnerships, and early portfolio design.</w:t>
            </w:r>
          </w:p>
        </w:tc>
      </w:tr>
      <w:tr w:rsidR="00541F75" w:rsidRPr="00B479AE" w14:paraId="10B7323F" w14:textId="77777777" w:rsidTr="00717435">
        <w:trPr>
          <w:tblCellSpacing w:w="15" w:type="dxa"/>
        </w:trPr>
        <w:tc>
          <w:tcPr>
            <w:tcW w:w="0" w:type="auto"/>
            <w:vAlign w:val="center"/>
            <w:hideMark/>
          </w:tcPr>
          <w:p w14:paraId="70C278BD"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Long term</w:t>
            </w:r>
          </w:p>
        </w:tc>
        <w:tc>
          <w:tcPr>
            <w:tcW w:w="0" w:type="auto"/>
            <w:vAlign w:val="center"/>
            <w:hideMark/>
          </w:tcPr>
          <w:p w14:paraId="6F9ED01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5+ years</w:t>
            </w:r>
          </w:p>
        </w:tc>
        <w:tc>
          <w:tcPr>
            <w:tcW w:w="0" w:type="auto"/>
            <w:vAlign w:val="center"/>
            <w:hideMark/>
          </w:tcPr>
          <w:p w14:paraId="3AA2C04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Suitable for bioregional networks, mature RAPs, institutional infrastructure, regulated instruments, and intergenerational planning.</w:t>
            </w:r>
          </w:p>
        </w:tc>
      </w:tr>
    </w:tbl>
    <w:p w14:paraId="5F0F552E" w14:textId="25A7E021"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prompt may maximize short-term benefit at the expense of future stability, freedom, ecological coherence, or living-system integrity.</w:t>
      </w:r>
    </w:p>
    <w:p w14:paraId="6A43ABB0"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lastRenderedPageBreak/>
        <w:t>Intergenerational effects must be made explicit when the action affects land, water, governance, children, community trust, capital structure, or irreversible infrastructure.</w:t>
      </w:r>
    </w:p>
    <w:p w14:paraId="411E60F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5. Human infrastructure constraints</w:t>
      </w:r>
    </w:p>
    <w:p w14:paraId="4579EDDE"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Prometheus must protect human cognitive, physiological, relational, and developmental capacity.</w:t>
      </w:r>
    </w:p>
    <w:p w14:paraId="71A74233"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xml:space="preserve">Every meta-prompt touching people, governance, stewardship, learning, HSI, </w:t>
      </w:r>
      <w:proofErr w:type="spellStart"/>
      <w:r w:rsidRPr="00B479AE">
        <w:rPr>
          <w:rFonts w:ascii="Baskerville Old Face" w:hAnsi="Baskerville Old Face"/>
          <w:i/>
          <w:iCs/>
        </w:rPr>
        <w:t>SyntroGIFT</w:t>
      </w:r>
      <w:proofErr w:type="spellEnd"/>
      <w:r w:rsidRPr="00B479AE">
        <w:rPr>
          <w:rFonts w:ascii="Baskerville Old Face" w:hAnsi="Baskerville Old Face"/>
          <w:i/>
          <w:iCs/>
        </w:rPr>
        <w:t>, or community participation must respect:</w:t>
      </w:r>
    </w:p>
    <w:p w14:paraId="38A39597"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sustainable cognitive load;</w:t>
      </w:r>
      <w:r w:rsidRPr="00B479AE">
        <w:rPr>
          <w:rFonts w:ascii="Baskerville Old Face" w:hAnsi="Baskerville Old Face"/>
          <w:i/>
          <w:iCs/>
        </w:rPr>
        <w:br/>
        <w:t>• prevention of chronic stress, burnout, coercive productivity, and decision overload;</w:t>
      </w:r>
      <w:r w:rsidRPr="00B479AE">
        <w:rPr>
          <w:rFonts w:ascii="Baskerville Old Face" w:hAnsi="Baskerville Old Face"/>
          <w:i/>
          <w:iCs/>
        </w:rPr>
        <w:br/>
        <w:t>• protection of voluntary participation;</w:t>
      </w:r>
      <w:r w:rsidRPr="00B479AE">
        <w:rPr>
          <w:rFonts w:ascii="Baskerville Old Face" w:hAnsi="Baskerville Old Face"/>
          <w:i/>
          <w:iCs/>
        </w:rPr>
        <w:br/>
        <w:t>• privacy-first treatment of human-state data;</w:t>
      </w:r>
      <w:r w:rsidRPr="00B479AE">
        <w:rPr>
          <w:rFonts w:ascii="Baskerville Old Face" w:hAnsi="Baskerville Old Face"/>
          <w:i/>
          <w:iCs/>
        </w:rPr>
        <w:br/>
        <w:t>• no biometric ranking;</w:t>
      </w:r>
      <w:r w:rsidRPr="00B479AE">
        <w:rPr>
          <w:rFonts w:ascii="Baskerville Old Face" w:hAnsi="Baskerville Old Face"/>
          <w:i/>
          <w:iCs/>
        </w:rPr>
        <w:br/>
        <w:t>• no medical claim without appropriate evidence and governance;</w:t>
      </w:r>
      <w:r w:rsidRPr="00B479AE">
        <w:rPr>
          <w:rFonts w:ascii="Baskerville Old Face" w:hAnsi="Baskerville Old Face"/>
          <w:i/>
          <w:iCs/>
        </w:rPr>
        <w:br/>
        <w:t>• care for embodied experience, time, relationships, and contact with nature;</w:t>
      </w:r>
      <w:r w:rsidRPr="00B479AE">
        <w:rPr>
          <w:rFonts w:ascii="Baskerville Old Face" w:hAnsi="Baskerville Old Face"/>
          <w:i/>
          <w:iCs/>
        </w:rPr>
        <w:br/>
        <w:t>• protection of developmental capacity for children and future generations.</w:t>
      </w:r>
    </w:p>
    <w:p w14:paraId="76AE8D7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Human infrastructure may support governance maturity.</w:t>
      </w:r>
    </w:p>
    <w:p w14:paraId="2175A5E9"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may not become a system of control.</w:t>
      </w:r>
    </w:p>
    <w:p w14:paraId="396A9E6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6. Yeomans’ scale of permanence</w:t>
      </w:r>
    </w:p>
    <w:p w14:paraId="4A4BCF8D"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ecological, architectural, territorial, or infrastructure prompt must respect Yeomans’ scale of permanence.</w:t>
      </w:r>
    </w:p>
    <w:p w14:paraId="3D32D6F7" w14:textId="77777777" w:rsidR="00717435" w:rsidRPr="00B479AE" w:rsidRDefault="00717435" w:rsidP="00541F75">
      <w:pPr>
        <w:spacing w:line="360" w:lineRule="auto"/>
        <w:rPr>
          <w:rFonts w:ascii="Baskerville Old Face" w:hAnsi="Baskerville Old Face"/>
          <w:i/>
          <w:iCs/>
        </w:rPr>
      </w:pPr>
    </w:p>
    <w:p w14:paraId="13FD0A55" w14:textId="77777777" w:rsidR="00603555" w:rsidRPr="00B479AE" w:rsidRDefault="00603555" w:rsidP="00541F75">
      <w:pPr>
        <w:spacing w:line="360" w:lineRule="auto"/>
        <w:rPr>
          <w:rFonts w:ascii="Baskerville Old Face" w:hAnsi="Baskerville Old Face"/>
          <w:i/>
          <w:iCs/>
        </w:rPr>
      </w:pPr>
    </w:p>
    <w:p w14:paraId="31B6825A" w14:textId="77777777" w:rsidR="00603555" w:rsidRPr="00B479AE" w:rsidRDefault="00603555" w:rsidP="00541F75">
      <w:pPr>
        <w:spacing w:line="360" w:lineRule="auto"/>
        <w:rPr>
          <w:rFonts w:ascii="Baskerville Old Face" w:hAnsi="Baskerville Old Face"/>
          <w:i/>
          <w:iCs/>
        </w:rPr>
      </w:pPr>
    </w:p>
    <w:p w14:paraId="01A2C490" w14:textId="77777777" w:rsidR="00D46989" w:rsidRPr="00B479AE" w:rsidRDefault="00D46989" w:rsidP="00541F7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756"/>
        <w:gridCol w:w="7230"/>
      </w:tblGrid>
      <w:tr w:rsidR="00541F75" w:rsidRPr="00B479AE" w14:paraId="1DAC899F" w14:textId="77777777" w:rsidTr="00717435">
        <w:trPr>
          <w:tblHeader/>
          <w:tblCellSpacing w:w="15" w:type="dxa"/>
        </w:trPr>
        <w:tc>
          <w:tcPr>
            <w:tcW w:w="0" w:type="auto"/>
            <w:vAlign w:val="center"/>
            <w:hideMark/>
          </w:tcPr>
          <w:p w14:paraId="596630E8"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Order</w:t>
            </w:r>
          </w:p>
        </w:tc>
        <w:tc>
          <w:tcPr>
            <w:tcW w:w="0" w:type="auto"/>
            <w:vAlign w:val="center"/>
            <w:hideMark/>
          </w:tcPr>
          <w:p w14:paraId="406F2892"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Layer</w:t>
            </w:r>
          </w:p>
        </w:tc>
        <w:tc>
          <w:tcPr>
            <w:tcW w:w="0" w:type="auto"/>
            <w:vAlign w:val="center"/>
            <w:hideMark/>
          </w:tcPr>
          <w:p w14:paraId="03743F49"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Prometheus interpretation</w:t>
            </w:r>
          </w:p>
        </w:tc>
      </w:tr>
      <w:tr w:rsidR="00541F75" w:rsidRPr="00B479AE" w14:paraId="73DC8FCB" w14:textId="77777777" w:rsidTr="00717435">
        <w:trPr>
          <w:tblCellSpacing w:w="15" w:type="dxa"/>
        </w:trPr>
        <w:tc>
          <w:tcPr>
            <w:tcW w:w="0" w:type="auto"/>
            <w:vAlign w:val="center"/>
            <w:hideMark/>
          </w:tcPr>
          <w:p w14:paraId="7F2851C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1</w:t>
            </w:r>
          </w:p>
        </w:tc>
        <w:tc>
          <w:tcPr>
            <w:tcW w:w="0" w:type="auto"/>
            <w:vAlign w:val="center"/>
            <w:hideMark/>
          </w:tcPr>
          <w:p w14:paraId="48D64843"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Climate</w:t>
            </w:r>
          </w:p>
        </w:tc>
        <w:tc>
          <w:tcPr>
            <w:tcW w:w="0" w:type="auto"/>
            <w:vAlign w:val="center"/>
            <w:hideMark/>
          </w:tcPr>
          <w:p w14:paraId="5F9F0DAD"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Long-term climatic context, rainfall, heat, wind, drought exposure, seasonal pattern, and climate risk.</w:t>
            </w:r>
          </w:p>
        </w:tc>
      </w:tr>
      <w:tr w:rsidR="00541F75" w:rsidRPr="00B479AE" w14:paraId="3C16877B" w14:textId="77777777" w:rsidTr="00717435">
        <w:trPr>
          <w:tblCellSpacing w:w="15" w:type="dxa"/>
        </w:trPr>
        <w:tc>
          <w:tcPr>
            <w:tcW w:w="0" w:type="auto"/>
            <w:vAlign w:val="center"/>
            <w:hideMark/>
          </w:tcPr>
          <w:p w14:paraId="6F8558CD"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2</w:t>
            </w:r>
          </w:p>
        </w:tc>
        <w:tc>
          <w:tcPr>
            <w:tcW w:w="0" w:type="auto"/>
            <w:vAlign w:val="center"/>
            <w:hideMark/>
          </w:tcPr>
          <w:p w14:paraId="69ACACA0"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Water</w:t>
            </w:r>
          </w:p>
        </w:tc>
        <w:tc>
          <w:tcPr>
            <w:tcW w:w="0" w:type="auto"/>
            <w:vAlign w:val="center"/>
            <w:hideMark/>
          </w:tcPr>
          <w:p w14:paraId="20677595"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Water capture, infiltration, storage, flow, erosion control, drought buffering, and watershed logic.</w:t>
            </w:r>
          </w:p>
        </w:tc>
      </w:tr>
      <w:tr w:rsidR="00541F75" w:rsidRPr="00B479AE" w14:paraId="452393B5" w14:textId="77777777" w:rsidTr="00717435">
        <w:trPr>
          <w:tblCellSpacing w:w="15" w:type="dxa"/>
        </w:trPr>
        <w:tc>
          <w:tcPr>
            <w:tcW w:w="0" w:type="auto"/>
            <w:vAlign w:val="center"/>
            <w:hideMark/>
          </w:tcPr>
          <w:p w14:paraId="475855E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3</w:t>
            </w:r>
          </w:p>
        </w:tc>
        <w:tc>
          <w:tcPr>
            <w:tcW w:w="0" w:type="auto"/>
            <w:vAlign w:val="center"/>
            <w:hideMark/>
          </w:tcPr>
          <w:p w14:paraId="22E5093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Land shape</w:t>
            </w:r>
          </w:p>
        </w:tc>
        <w:tc>
          <w:tcPr>
            <w:tcW w:w="0" w:type="auto"/>
            <w:vAlign w:val="center"/>
            <w:hideMark/>
          </w:tcPr>
          <w:p w14:paraId="479F4B9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Slope, contour, aspect, earthworks, access patterns, hydrological movement, and landscape form.</w:t>
            </w:r>
          </w:p>
        </w:tc>
      </w:tr>
      <w:tr w:rsidR="00541F75" w:rsidRPr="00B479AE" w14:paraId="10EB0A71" w14:textId="77777777" w:rsidTr="00717435">
        <w:trPr>
          <w:tblCellSpacing w:w="15" w:type="dxa"/>
        </w:trPr>
        <w:tc>
          <w:tcPr>
            <w:tcW w:w="0" w:type="auto"/>
            <w:vAlign w:val="center"/>
            <w:hideMark/>
          </w:tcPr>
          <w:p w14:paraId="00E654E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4</w:t>
            </w:r>
          </w:p>
        </w:tc>
        <w:tc>
          <w:tcPr>
            <w:tcW w:w="0" w:type="auto"/>
            <w:vAlign w:val="center"/>
            <w:hideMark/>
          </w:tcPr>
          <w:p w14:paraId="1F540D1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Soil</w:t>
            </w:r>
          </w:p>
        </w:tc>
        <w:tc>
          <w:tcPr>
            <w:tcW w:w="0" w:type="auto"/>
            <w:vAlign w:val="center"/>
            <w:hideMark/>
          </w:tcPr>
          <w:p w14:paraId="7686154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Soil structure, organic matter, carbon, biology, aggregation, salinity, pH, fertility, and compaction.</w:t>
            </w:r>
          </w:p>
        </w:tc>
      </w:tr>
      <w:tr w:rsidR="00541F75" w:rsidRPr="00B479AE" w14:paraId="262EED1D" w14:textId="77777777" w:rsidTr="00717435">
        <w:trPr>
          <w:tblCellSpacing w:w="15" w:type="dxa"/>
        </w:trPr>
        <w:tc>
          <w:tcPr>
            <w:tcW w:w="0" w:type="auto"/>
            <w:vAlign w:val="center"/>
            <w:hideMark/>
          </w:tcPr>
          <w:p w14:paraId="23FC516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5</w:t>
            </w:r>
          </w:p>
        </w:tc>
        <w:tc>
          <w:tcPr>
            <w:tcW w:w="0" w:type="auto"/>
            <w:vAlign w:val="center"/>
            <w:hideMark/>
          </w:tcPr>
          <w:p w14:paraId="21CC2A7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Vegetation</w:t>
            </w:r>
          </w:p>
        </w:tc>
        <w:tc>
          <w:tcPr>
            <w:tcW w:w="0" w:type="auto"/>
            <w:vAlign w:val="center"/>
            <w:hideMark/>
          </w:tcPr>
          <w:p w14:paraId="30862B1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Species selection, succession, stratification, biodiversity, canopy, roots, guilds, and biomass cycling.</w:t>
            </w:r>
          </w:p>
        </w:tc>
      </w:tr>
      <w:tr w:rsidR="00541F75" w:rsidRPr="00B479AE" w14:paraId="77D56411" w14:textId="77777777" w:rsidTr="00717435">
        <w:trPr>
          <w:tblCellSpacing w:w="15" w:type="dxa"/>
        </w:trPr>
        <w:tc>
          <w:tcPr>
            <w:tcW w:w="0" w:type="auto"/>
            <w:vAlign w:val="center"/>
            <w:hideMark/>
          </w:tcPr>
          <w:p w14:paraId="714B456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6</w:t>
            </w:r>
          </w:p>
        </w:tc>
        <w:tc>
          <w:tcPr>
            <w:tcW w:w="0" w:type="auto"/>
            <w:vAlign w:val="center"/>
            <w:hideMark/>
          </w:tcPr>
          <w:p w14:paraId="6FB17DE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Infrastructure</w:t>
            </w:r>
          </w:p>
        </w:tc>
        <w:tc>
          <w:tcPr>
            <w:tcW w:w="0" w:type="auto"/>
            <w:vAlign w:val="center"/>
            <w:hideMark/>
          </w:tcPr>
          <w:p w14:paraId="0737842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Roads, paths, irrigation, sensors, energy, fencing, operational systems, and digital infrastructure.</w:t>
            </w:r>
          </w:p>
        </w:tc>
      </w:tr>
      <w:tr w:rsidR="00541F75" w:rsidRPr="00B479AE" w14:paraId="7074238B" w14:textId="77777777" w:rsidTr="00717435">
        <w:trPr>
          <w:tblCellSpacing w:w="15" w:type="dxa"/>
        </w:trPr>
        <w:tc>
          <w:tcPr>
            <w:tcW w:w="0" w:type="auto"/>
            <w:vAlign w:val="center"/>
            <w:hideMark/>
          </w:tcPr>
          <w:p w14:paraId="506CDE3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7</w:t>
            </w:r>
          </w:p>
        </w:tc>
        <w:tc>
          <w:tcPr>
            <w:tcW w:w="0" w:type="auto"/>
            <w:vAlign w:val="center"/>
            <w:hideMark/>
          </w:tcPr>
          <w:p w14:paraId="7B955EC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Buildings and details</w:t>
            </w:r>
          </w:p>
        </w:tc>
        <w:tc>
          <w:tcPr>
            <w:tcW w:w="0" w:type="auto"/>
            <w:vAlign w:val="center"/>
            <w:hideMark/>
          </w:tcPr>
          <w:p w14:paraId="2C6316F3"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Structures, interfaces, equipment, furnishings, micro-design, and finishing decisions.</w:t>
            </w:r>
          </w:p>
        </w:tc>
      </w:tr>
    </w:tbl>
    <w:p w14:paraId="32847F56"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action on lower levels is valid if higher levels have not been considered and respected.</w:t>
      </w:r>
    </w:p>
    <w:p w14:paraId="2015D931" w14:textId="626D8C82"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This protects Prometheus from designing beautiful details on unstable foundations.</w:t>
      </w:r>
      <w:r w:rsidR="00717435" w:rsidRPr="00B479AE">
        <w:rPr>
          <w:rFonts w:ascii="Baskerville Old Face" w:hAnsi="Baskerville Old Face"/>
          <w:i/>
          <w:iCs/>
        </w:rPr>
        <w:t xml:space="preserve"> </w:t>
      </w:r>
    </w:p>
    <w:p w14:paraId="6063587B" w14:textId="77777777" w:rsidR="00717435" w:rsidRPr="00B479AE" w:rsidRDefault="00717435" w:rsidP="00541F75">
      <w:pPr>
        <w:spacing w:line="360" w:lineRule="auto"/>
        <w:rPr>
          <w:rFonts w:ascii="Baskerville Old Face" w:hAnsi="Baskerville Old Face"/>
          <w:i/>
          <w:iCs/>
        </w:rPr>
      </w:pPr>
    </w:p>
    <w:p w14:paraId="0139E334"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7. Dragon Dreaming cycle</w:t>
      </w:r>
    </w:p>
    <w:p w14:paraId="24CDF06C"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meta-prompt should preserve the full Dragon Dreaming cycle.</w:t>
      </w:r>
    </w:p>
    <w:p w14:paraId="27A9A847" w14:textId="77777777" w:rsidR="00603555" w:rsidRPr="00B479AE" w:rsidRDefault="00603555" w:rsidP="00541F75">
      <w:pPr>
        <w:spacing w:line="360" w:lineRule="auto"/>
        <w:rPr>
          <w:rFonts w:ascii="Baskerville Old Face" w:hAnsi="Baskerville Old Face"/>
          <w:i/>
          <w:iCs/>
        </w:rPr>
      </w:pPr>
    </w:p>
    <w:p w14:paraId="2BA972D6" w14:textId="77777777" w:rsidR="00603555" w:rsidRPr="00B479AE" w:rsidRDefault="00603555" w:rsidP="00541F7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4"/>
        <w:gridCol w:w="4608"/>
        <w:gridCol w:w="3926"/>
      </w:tblGrid>
      <w:tr w:rsidR="00541F75" w:rsidRPr="00B479AE" w14:paraId="1EB36A45" w14:textId="77777777" w:rsidTr="00717435">
        <w:trPr>
          <w:tblHeader/>
          <w:tblCellSpacing w:w="15" w:type="dxa"/>
        </w:trPr>
        <w:tc>
          <w:tcPr>
            <w:tcW w:w="0" w:type="auto"/>
            <w:vAlign w:val="center"/>
            <w:hideMark/>
          </w:tcPr>
          <w:p w14:paraId="0B8D315C"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Phase</w:t>
            </w:r>
          </w:p>
        </w:tc>
        <w:tc>
          <w:tcPr>
            <w:tcW w:w="0" w:type="auto"/>
            <w:vAlign w:val="center"/>
            <w:hideMark/>
          </w:tcPr>
          <w:p w14:paraId="42AB5865"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426B0534"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Prometheus control function</w:t>
            </w:r>
          </w:p>
        </w:tc>
      </w:tr>
      <w:tr w:rsidR="00541F75" w:rsidRPr="00B479AE" w14:paraId="0BF4F1EA" w14:textId="77777777" w:rsidTr="00717435">
        <w:trPr>
          <w:tblCellSpacing w:w="15" w:type="dxa"/>
        </w:trPr>
        <w:tc>
          <w:tcPr>
            <w:tcW w:w="0" w:type="auto"/>
            <w:vAlign w:val="center"/>
            <w:hideMark/>
          </w:tcPr>
          <w:p w14:paraId="64008C6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Dreaming</w:t>
            </w:r>
          </w:p>
        </w:tc>
        <w:tc>
          <w:tcPr>
            <w:tcW w:w="0" w:type="auto"/>
            <w:vAlign w:val="center"/>
            <w:hideMark/>
          </w:tcPr>
          <w:p w14:paraId="0416C26E"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Vision, meaning, possibility, shared intention.</w:t>
            </w:r>
          </w:p>
        </w:tc>
        <w:tc>
          <w:tcPr>
            <w:tcW w:w="0" w:type="auto"/>
            <w:vAlign w:val="center"/>
            <w:hideMark/>
          </w:tcPr>
          <w:p w14:paraId="782DB13A"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the system from becoming purely mechanical or extractive.</w:t>
            </w:r>
          </w:p>
        </w:tc>
      </w:tr>
      <w:tr w:rsidR="00541F75" w:rsidRPr="00B479AE" w14:paraId="3253E05E" w14:textId="77777777" w:rsidTr="00717435">
        <w:trPr>
          <w:tblCellSpacing w:w="15" w:type="dxa"/>
        </w:trPr>
        <w:tc>
          <w:tcPr>
            <w:tcW w:w="0" w:type="auto"/>
            <w:vAlign w:val="center"/>
            <w:hideMark/>
          </w:tcPr>
          <w:p w14:paraId="4EF14A9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Planning</w:t>
            </w:r>
          </w:p>
        </w:tc>
        <w:tc>
          <w:tcPr>
            <w:tcW w:w="0" w:type="auto"/>
            <w:vAlign w:val="center"/>
            <w:hideMark/>
          </w:tcPr>
          <w:p w14:paraId="19C75F9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Structure, flows, constraints, resources, roles, risks.</w:t>
            </w:r>
          </w:p>
        </w:tc>
        <w:tc>
          <w:tcPr>
            <w:tcW w:w="0" w:type="auto"/>
            <w:vAlign w:val="center"/>
            <w:hideMark/>
          </w:tcPr>
          <w:p w14:paraId="10AC054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Converts vision into executable architecture.</w:t>
            </w:r>
          </w:p>
        </w:tc>
      </w:tr>
      <w:tr w:rsidR="00541F75" w:rsidRPr="00B479AE" w14:paraId="6C3EFBA6" w14:textId="77777777" w:rsidTr="00717435">
        <w:trPr>
          <w:tblCellSpacing w:w="15" w:type="dxa"/>
        </w:trPr>
        <w:tc>
          <w:tcPr>
            <w:tcW w:w="0" w:type="auto"/>
            <w:vAlign w:val="center"/>
            <w:hideMark/>
          </w:tcPr>
          <w:p w14:paraId="56D352F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Doing</w:t>
            </w:r>
          </w:p>
        </w:tc>
        <w:tc>
          <w:tcPr>
            <w:tcW w:w="0" w:type="auto"/>
            <w:vAlign w:val="center"/>
            <w:hideMark/>
          </w:tcPr>
          <w:p w14:paraId="0423696A"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Verifiable execution, field activity, records, evidence, delivery.</w:t>
            </w:r>
          </w:p>
        </w:tc>
        <w:tc>
          <w:tcPr>
            <w:tcW w:w="0" w:type="auto"/>
            <w:vAlign w:val="center"/>
            <w:hideMark/>
          </w:tcPr>
          <w:p w14:paraId="5D8FAF25"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Ensures that intention becomes observable action.</w:t>
            </w:r>
          </w:p>
        </w:tc>
      </w:tr>
      <w:tr w:rsidR="00541F75" w:rsidRPr="00B479AE" w14:paraId="5B2E3EF9" w14:textId="77777777" w:rsidTr="00717435">
        <w:trPr>
          <w:tblCellSpacing w:w="15" w:type="dxa"/>
        </w:trPr>
        <w:tc>
          <w:tcPr>
            <w:tcW w:w="0" w:type="auto"/>
            <w:vAlign w:val="center"/>
            <w:hideMark/>
          </w:tcPr>
          <w:p w14:paraId="47490E0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Celebrating</w:t>
            </w:r>
          </w:p>
        </w:tc>
        <w:tc>
          <w:tcPr>
            <w:tcW w:w="0" w:type="auto"/>
            <w:vAlign w:val="center"/>
            <w:hideMark/>
          </w:tcPr>
          <w:p w14:paraId="58AB428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Learning, feedback, regeneration, redistribution, grief, integration of what did not work.</w:t>
            </w:r>
          </w:p>
        </w:tc>
        <w:tc>
          <w:tcPr>
            <w:tcW w:w="0" w:type="auto"/>
            <w:vAlign w:val="center"/>
            <w:hideMark/>
          </w:tcPr>
          <w:p w14:paraId="3D254E0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extraction from people and systems by closing the learning loop.</w:t>
            </w:r>
          </w:p>
        </w:tc>
      </w:tr>
    </w:tbl>
    <w:p w14:paraId="1832C2A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design is complete if it lacks the celebration, learning, and feedback phase.</w:t>
      </w:r>
    </w:p>
    <w:p w14:paraId="6E62659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Celebration is not decorative.</w:t>
      </w:r>
    </w:p>
    <w:p w14:paraId="4FE06BC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is the social and emotional audit through which a living system integrates experience.</w:t>
      </w:r>
    </w:p>
    <w:p w14:paraId="6F92CEE9"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8. Feedback and reversibility constraints</w:t>
      </w:r>
    </w:p>
    <w:p w14:paraId="6E18ADE3"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Prometheus must avoid irreversible action under weak evidence.</w:t>
      </w:r>
    </w:p>
    <w:p w14:paraId="43D3D760"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meta-prompt must identify:</w:t>
      </w:r>
    </w:p>
    <w:p w14:paraId="30FA45BC"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feedback loops;</w:t>
      </w:r>
      <w:r w:rsidRPr="00B479AE">
        <w:rPr>
          <w:rFonts w:ascii="Baskerville Old Face" w:hAnsi="Baskerville Old Face"/>
          <w:i/>
          <w:iCs/>
        </w:rPr>
        <w:br/>
        <w:t>• monitoring indicators;</w:t>
      </w:r>
      <w:r w:rsidRPr="00B479AE">
        <w:rPr>
          <w:rFonts w:ascii="Baskerville Old Face" w:hAnsi="Baskerville Old Face"/>
          <w:i/>
          <w:iCs/>
        </w:rPr>
        <w:br/>
        <w:t>• review moments;</w:t>
      </w:r>
      <w:r w:rsidRPr="00B479AE">
        <w:rPr>
          <w:rFonts w:ascii="Baskerville Old Face" w:hAnsi="Baskerville Old Face"/>
          <w:i/>
          <w:iCs/>
        </w:rPr>
        <w:br/>
        <w:t>• uncertainty zones;</w:t>
      </w:r>
      <w:r w:rsidRPr="00B479AE">
        <w:rPr>
          <w:rFonts w:ascii="Baskerville Old Face" w:hAnsi="Baskerville Old Face"/>
          <w:i/>
          <w:iCs/>
        </w:rPr>
        <w:br/>
        <w:t>• rollback possibilities;</w:t>
      </w:r>
      <w:r w:rsidRPr="00B479AE">
        <w:rPr>
          <w:rFonts w:ascii="Baskerville Old Face" w:hAnsi="Baskerville Old Face"/>
          <w:i/>
          <w:iCs/>
        </w:rPr>
        <w:br/>
        <w:t>• emergency-pause conditions;</w:t>
      </w:r>
      <w:r w:rsidRPr="00B479AE">
        <w:rPr>
          <w:rFonts w:ascii="Baskerville Old Face" w:hAnsi="Baskerville Old Face"/>
          <w:i/>
          <w:iCs/>
        </w:rPr>
        <w:br/>
        <w:t>• adverse-event reporting;</w:t>
      </w:r>
      <w:r w:rsidRPr="00B479AE">
        <w:rPr>
          <w:rFonts w:ascii="Baskerville Old Face" w:hAnsi="Baskerville Old Face"/>
          <w:i/>
          <w:iCs/>
        </w:rPr>
        <w:br/>
        <w:t>• learning pathways.</w:t>
      </w:r>
    </w:p>
    <w:p w14:paraId="1063FF11" w14:textId="77777777" w:rsidR="00717435" w:rsidRPr="00B479AE" w:rsidRDefault="00717435" w:rsidP="00541F7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6887"/>
      </w:tblGrid>
      <w:tr w:rsidR="00541F75" w:rsidRPr="00B479AE" w14:paraId="27E1B983" w14:textId="77777777" w:rsidTr="00717435">
        <w:trPr>
          <w:tblHeader/>
          <w:tblCellSpacing w:w="15" w:type="dxa"/>
        </w:trPr>
        <w:tc>
          <w:tcPr>
            <w:tcW w:w="0" w:type="auto"/>
            <w:vAlign w:val="center"/>
            <w:hideMark/>
          </w:tcPr>
          <w:p w14:paraId="0C51F832"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Control dimension</w:t>
            </w:r>
          </w:p>
        </w:tc>
        <w:tc>
          <w:tcPr>
            <w:tcW w:w="0" w:type="auto"/>
            <w:vAlign w:val="center"/>
            <w:hideMark/>
          </w:tcPr>
          <w:p w14:paraId="3FAB40CC"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 question</w:t>
            </w:r>
          </w:p>
        </w:tc>
      </w:tr>
      <w:tr w:rsidR="00541F75" w:rsidRPr="00B479AE" w14:paraId="5E29240C" w14:textId="77777777" w:rsidTr="00717435">
        <w:trPr>
          <w:tblCellSpacing w:w="15" w:type="dxa"/>
        </w:trPr>
        <w:tc>
          <w:tcPr>
            <w:tcW w:w="0" w:type="auto"/>
            <w:vAlign w:val="center"/>
            <w:hideMark/>
          </w:tcPr>
          <w:p w14:paraId="1996A38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Feedback</w:t>
            </w:r>
          </w:p>
        </w:tc>
        <w:tc>
          <w:tcPr>
            <w:tcW w:w="0" w:type="auto"/>
            <w:vAlign w:val="center"/>
            <w:hideMark/>
          </w:tcPr>
          <w:p w14:paraId="430CD3E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How will the system know whether the action is working?</w:t>
            </w:r>
          </w:p>
        </w:tc>
      </w:tr>
      <w:tr w:rsidR="00541F75" w:rsidRPr="00B479AE" w14:paraId="6B7D1F01" w14:textId="77777777" w:rsidTr="00717435">
        <w:trPr>
          <w:tblCellSpacing w:w="15" w:type="dxa"/>
        </w:trPr>
        <w:tc>
          <w:tcPr>
            <w:tcW w:w="0" w:type="auto"/>
            <w:vAlign w:val="center"/>
            <w:hideMark/>
          </w:tcPr>
          <w:p w14:paraId="6B58BAD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Reversibility</w:t>
            </w:r>
          </w:p>
        </w:tc>
        <w:tc>
          <w:tcPr>
            <w:tcW w:w="0" w:type="auto"/>
            <w:vAlign w:val="center"/>
            <w:hideMark/>
          </w:tcPr>
          <w:p w14:paraId="4605E70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Can the action be undone, modified, paused, or adapted?</w:t>
            </w:r>
          </w:p>
        </w:tc>
      </w:tr>
      <w:tr w:rsidR="00541F75" w:rsidRPr="00B479AE" w14:paraId="77D23452" w14:textId="77777777" w:rsidTr="00717435">
        <w:trPr>
          <w:tblCellSpacing w:w="15" w:type="dxa"/>
        </w:trPr>
        <w:tc>
          <w:tcPr>
            <w:tcW w:w="0" w:type="auto"/>
            <w:vAlign w:val="center"/>
            <w:hideMark/>
          </w:tcPr>
          <w:p w14:paraId="3A1B684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Monitoring</w:t>
            </w:r>
          </w:p>
        </w:tc>
        <w:tc>
          <w:tcPr>
            <w:tcW w:w="0" w:type="auto"/>
            <w:vAlign w:val="center"/>
            <w:hideMark/>
          </w:tcPr>
          <w:p w14:paraId="487CD3B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Which indicators will be observed after execution?</w:t>
            </w:r>
          </w:p>
        </w:tc>
      </w:tr>
      <w:tr w:rsidR="00541F75" w:rsidRPr="00B479AE" w14:paraId="1A4B4972" w14:textId="77777777" w:rsidTr="00717435">
        <w:trPr>
          <w:tblCellSpacing w:w="15" w:type="dxa"/>
        </w:trPr>
        <w:tc>
          <w:tcPr>
            <w:tcW w:w="0" w:type="auto"/>
            <w:vAlign w:val="center"/>
            <w:hideMark/>
          </w:tcPr>
          <w:p w14:paraId="562E13C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Failure handling</w:t>
            </w:r>
          </w:p>
        </w:tc>
        <w:tc>
          <w:tcPr>
            <w:tcW w:w="0" w:type="auto"/>
            <w:vAlign w:val="center"/>
            <w:hideMark/>
          </w:tcPr>
          <w:p w14:paraId="40B9284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What happens if the action creates harm, underperformance, or incoherence?</w:t>
            </w:r>
          </w:p>
        </w:tc>
      </w:tr>
      <w:tr w:rsidR="00541F75" w:rsidRPr="00B479AE" w14:paraId="5B586F44" w14:textId="77777777" w:rsidTr="00717435">
        <w:trPr>
          <w:tblCellSpacing w:w="15" w:type="dxa"/>
        </w:trPr>
        <w:tc>
          <w:tcPr>
            <w:tcW w:w="0" w:type="auto"/>
            <w:vAlign w:val="center"/>
            <w:hideMark/>
          </w:tcPr>
          <w:p w14:paraId="554D547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Learning</w:t>
            </w:r>
          </w:p>
        </w:tc>
        <w:tc>
          <w:tcPr>
            <w:tcW w:w="0" w:type="auto"/>
            <w:vAlign w:val="center"/>
            <w:hideMark/>
          </w:tcPr>
          <w:p w14:paraId="12AEEA1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How will the outcome update the methodology?</w:t>
            </w:r>
          </w:p>
        </w:tc>
      </w:tr>
    </w:tbl>
    <w:p w14:paraId="6AB172E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Where reversibility is low, evidence and review thresholds must be higher.</w:t>
      </w:r>
    </w:p>
    <w:p w14:paraId="3491AA50"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9. Evidence and auditability constraints</w:t>
      </w:r>
    </w:p>
    <w:p w14:paraId="533F80D9"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generated output must preserve reviewability.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7577"/>
      </w:tblGrid>
      <w:tr w:rsidR="00541F75" w:rsidRPr="00B479AE" w14:paraId="5D941F06" w14:textId="77777777" w:rsidTr="00717435">
        <w:trPr>
          <w:tblHeader/>
          <w:tblCellSpacing w:w="15" w:type="dxa"/>
        </w:trPr>
        <w:tc>
          <w:tcPr>
            <w:tcW w:w="0" w:type="auto"/>
            <w:vAlign w:val="center"/>
            <w:hideMark/>
          </w:tcPr>
          <w:p w14:paraId="463EF11A"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Requirement</w:t>
            </w:r>
          </w:p>
        </w:tc>
        <w:tc>
          <w:tcPr>
            <w:tcW w:w="0" w:type="auto"/>
            <w:vAlign w:val="center"/>
            <w:hideMark/>
          </w:tcPr>
          <w:p w14:paraId="77B45E57"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r>
      <w:tr w:rsidR="00541F75" w:rsidRPr="00B479AE" w14:paraId="16891F1E" w14:textId="77777777" w:rsidTr="00717435">
        <w:trPr>
          <w:tblCellSpacing w:w="15" w:type="dxa"/>
        </w:trPr>
        <w:tc>
          <w:tcPr>
            <w:tcW w:w="0" w:type="auto"/>
            <w:vAlign w:val="center"/>
            <w:hideMark/>
          </w:tcPr>
          <w:p w14:paraId="167706E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Contextual</w:t>
            </w:r>
          </w:p>
        </w:tc>
        <w:tc>
          <w:tcPr>
            <w:tcW w:w="0" w:type="auto"/>
            <w:vAlign w:val="center"/>
            <w:hideMark/>
          </w:tcPr>
          <w:p w14:paraId="6F5121C3"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Anchored to the relevant territory, site, actor, system level, and time horizon.</w:t>
            </w:r>
          </w:p>
        </w:tc>
      </w:tr>
      <w:tr w:rsidR="00541F75" w:rsidRPr="00B479AE" w14:paraId="05336DAA" w14:textId="77777777" w:rsidTr="00717435">
        <w:trPr>
          <w:tblCellSpacing w:w="15" w:type="dxa"/>
        </w:trPr>
        <w:tc>
          <w:tcPr>
            <w:tcW w:w="0" w:type="auto"/>
            <w:vAlign w:val="center"/>
            <w:hideMark/>
          </w:tcPr>
          <w:p w14:paraId="257B7D5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Hierarchical</w:t>
            </w:r>
          </w:p>
        </w:tc>
        <w:tc>
          <w:tcPr>
            <w:tcW w:w="0" w:type="auto"/>
            <w:vAlign w:val="center"/>
            <w:hideMark/>
          </w:tcPr>
          <w:p w14:paraId="0D8367D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Explicit about system levels, priorities, dependencies, and constraints.</w:t>
            </w:r>
          </w:p>
        </w:tc>
      </w:tr>
      <w:tr w:rsidR="00541F75" w:rsidRPr="00B479AE" w14:paraId="5C71D2F6" w14:textId="77777777" w:rsidTr="00717435">
        <w:trPr>
          <w:tblCellSpacing w:w="15" w:type="dxa"/>
        </w:trPr>
        <w:tc>
          <w:tcPr>
            <w:tcW w:w="0" w:type="auto"/>
            <w:vAlign w:val="center"/>
            <w:hideMark/>
          </w:tcPr>
          <w:p w14:paraId="2102BBF8"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Reversible where possible</w:t>
            </w:r>
          </w:p>
        </w:tc>
        <w:tc>
          <w:tcPr>
            <w:tcW w:w="0" w:type="auto"/>
            <w:vAlign w:val="center"/>
            <w:hideMark/>
          </w:tcPr>
          <w:p w14:paraId="00F1EF3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No irreversible decision without explicit justification, review, and risk analysis.</w:t>
            </w:r>
          </w:p>
        </w:tc>
      </w:tr>
      <w:tr w:rsidR="00541F75" w:rsidRPr="00B479AE" w14:paraId="32478895" w14:textId="77777777" w:rsidTr="00717435">
        <w:trPr>
          <w:tblCellSpacing w:w="15" w:type="dxa"/>
        </w:trPr>
        <w:tc>
          <w:tcPr>
            <w:tcW w:w="0" w:type="auto"/>
            <w:vAlign w:val="center"/>
            <w:hideMark/>
          </w:tcPr>
          <w:p w14:paraId="15B70EF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Measurable</w:t>
            </w:r>
          </w:p>
        </w:tc>
        <w:tc>
          <w:tcPr>
            <w:tcW w:w="0" w:type="auto"/>
            <w:vAlign w:val="center"/>
            <w:hideMark/>
          </w:tcPr>
          <w:p w14:paraId="2AC71398"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Linked to indicators, metrics, observations, evidence, or defined assumptions.</w:t>
            </w:r>
          </w:p>
        </w:tc>
      </w:tr>
      <w:tr w:rsidR="00541F75" w:rsidRPr="00B479AE" w14:paraId="2351CD51" w14:textId="77777777" w:rsidTr="00717435">
        <w:trPr>
          <w:tblCellSpacing w:w="15" w:type="dxa"/>
        </w:trPr>
        <w:tc>
          <w:tcPr>
            <w:tcW w:w="0" w:type="auto"/>
            <w:vAlign w:val="center"/>
            <w:hideMark/>
          </w:tcPr>
          <w:p w14:paraId="7D4F983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Auditable</w:t>
            </w:r>
          </w:p>
        </w:tc>
        <w:tc>
          <w:tcPr>
            <w:tcW w:w="0" w:type="auto"/>
            <w:vAlign w:val="center"/>
            <w:hideMark/>
          </w:tcPr>
          <w:p w14:paraId="718F58E2" w14:textId="77777777" w:rsidR="00541F75" w:rsidRPr="00B479AE" w:rsidRDefault="00541F75" w:rsidP="00541F75">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Reconstructible</w:t>
            </w:r>
            <w:proofErr w:type="spellEnd"/>
            <w:r w:rsidRPr="00B479AE">
              <w:rPr>
                <w:rFonts w:ascii="Baskerville Old Face" w:hAnsi="Baskerville Old Face"/>
                <w:i/>
                <w:iCs/>
                <w:sz w:val="22"/>
                <w:szCs w:val="22"/>
              </w:rPr>
              <w:t xml:space="preserve"> and explainable after the fact.</w:t>
            </w:r>
          </w:p>
        </w:tc>
      </w:tr>
      <w:tr w:rsidR="00541F75" w:rsidRPr="00B479AE" w14:paraId="22FE2CAF" w14:textId="77777777" w:rsidTr="00717435">
        <w:trPr>
          <w:tblCellSpacing w:w="15" w:type="dxa"/>
        </w:trPr>
        <w:tc>
          <w:tcPr>
            <w:tcW w:w="0" w:type="auto"/>
            <w:vAlign w:val="center"/>
            <w:hideMark/>
          </w:tcPr>
          <w:p w14:paraId="143E4F9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Evidence-aware</w:t>
            </w:r>
          </w:p>
        </w:tc>
        <w:tc>
          <w:tcPr>
            <w:tcW w:w="0" w:type="auto"/>
            <w:vAlign w:val="center"/>
            <w:hideMark/>
          </w:tcPr>
          <w:p w14:paraId="3580A31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Distinguishes claim, assumption, observation, verified indicator, admissible value, and legal right.</w:t>
            </w:r>
          </w:p>
        </w:tc>
      </w:tr>
      <w:tr w:rsidR="00541F75" w:rsidRPr="00B479AE" w14:paraId="3222863C" w14:textId="77777777" w:rsidTr="00717435">
        <w:trPr>
          <w:tblCellSpacing w:w="15" w:type="dxa"/>
        </w:trPr>
        <w:tc>
          <w:tcPr>
            <w:tcW w:w="0" w:type="auto"/>
            <w:vAlign w:val="center"/>
            <w:hideMark/>
          </w:tcPr>
          <w:p w14:paraId="0C05024E"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Aligned with living systems</w:t>
            </w:r>
          </w:p>
        </w:tc>
        <w:tc>
          <w:tcPr>
            <w:tcW w:w="0" w:type="auto"/>
            <w:vAlign w:val="center"/>
            <w:hideMark/>
          </w:tcPr>
          <w:p w14:paraId="37361DD0"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soil, water, biodiversity, human dignity, and regenerative coherence.</w:t>
            </w:r>
          </w:p>
        </w:tc>
      </w:tr>
      <w:tr w:rsidR="00541F75" w:rsidRPr="00B479AE" w14:paraId="1B815583" w14:textId="77777777" w:rsidTr="00717435">
        <w:trPr>
          <w:tblCellSpacing w:w="15" w:type="dxa"/>
        </w:trPr>
        <w:tc>
          <w:tcPr>
            <w:tcW w:w="0" w:type="auto"/>
            <w:vAlign w:val="center"/>
            <w:hideMark/>
          </w:tcPr>
          <w:p w14:paraId="7184852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Constitutionally compatible</w:t>
            </w:r>
          </w:p>
        </w:tc>
        <w:tc>
          <w:tcPr>
            <w:tcW w:w="0" w:type="auto"/>
            <w:vAlign w:val="center"/>
            <w:hideMark/>
          </w:tcPr>
          <w:p w14:paraId="03F650A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Compatible with the White Paper, governance constraints, </w:t>
            </w:r>
            <w:proofErr w:type="spellStart"/>
            <w:r w:rsidRPr="00B479AE">
              <w:rPr>
                <w:rFonts w:ascii="Baskerville Old Face" w:hAnsi="Baskerville Old Face"/>
                <w:i/>
                <w:iCs/>
                <w:sz w:val="22"/>
                <w:szCs w:val="22"/>
              </w:rPr>
              <w:t>Valueflows</w:t>
            </w:r>
            <w:proofErr w:type="spellEnd"/>
            <w:r w:rsidRPr="00B479AE">
              <w:rPr>
                <w:rFonts w:ascii="Baskerville Old Face" w:hAnsi="Baskerville Old Face"/>
                <w:i/>
                <w:iCs/>
                <w:sz w:val="22"/>
                <w:szCs w:val="22"/>
              </w:rPr>
              <w:t xml:space="preserve"> / REA semantics, PRU boundaries, and non-</w:t>
            </w:r>
            <w:proofErr w:type="spellStart"/>
            <w:r w:rsidRPr="00B479AE">
              <w:rPr>
                <w:rFonts w:ascii="Baskerville Old Face" w:hAnsi="Baskerville Old Face"/>
                <w:i/>
                <w:iCs/>
                <w:sz w:val="22"/>
                <w:szCs w:val="22"/>
              </w:rPr>
              <w:t>bypassability</w:t>
            </w:r>
            <w:proofErr w:type="spellEnd"/>
            <w:r w:rsidRPr="00B479AE">
              <w:rPr>
                <w:rFonts w:ascii="Baskerville Old Face" w:hAnsi="Baskerville Old Face"/>
                <w:i/>
                <w:iCs/>
                <w:sz w:val="22"/>
                <w:szCs w:val="22"/>
              </w:rPr>
              <w:t xml:space="preserve"> principle.</w:t>
            </w:r>
          </w:p>
        </w:tc>
      </w:tr>
    </w:tbl>
    <w:p w14:paraId="4BBA4E91"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lastRenderedPageBreak/>
        <w:t>The minimum institutional standard is simple:</w:t>
      </w:r>
    </w:p>
    <w:p w14:paraId="4564F18F"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evidence, no admissibility;</w:t>
      </w:r>
    </w:p>
    <w:p w14:paraId="4C93CF7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provenance, no trust;</w:t>
      </w:r>
    </w:p>
    <w:p w14:paraId="5D8B043C"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reviewability, no execution.</w:t>
      </w:r>
    </w:p>
    <w:p w14:paraId="392E633D"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10. Source-code and execution constraints</w:t>
      </w:r>
    </w:p>
    <w:p w14:paraId="43A1F526"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The kernel’s constitutional constraints must be reflected in technical implementation.</w:t>
      </w:r>
    </w:p>
    <w:p w14:paraId="3746926A"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future implementation should translate these constraints into:</w:t>
      </w:r>
    </w:p>
    <w:p w14:paraId="296BBDA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 validation schemas;</w:t>
      </w:r>
      <w:r w:rsidRPr="00B479AE">
        <w:rPr>
          <w:rFonts w:ascii="Baskerville Old Face" w:hAnsi="Baskerville Old Face"/>
          <w:i/>
          <w:iCs/>
        </w:rPr>
        <w:br/>
        <w:t>• permission systems;</w:t>
      </w:r>
      <w:r w:rsidRPr="00B479AE">
        <w:rPr>
          <w:rFonts w:ascii="Baskerville Old Face" w:hAnsi="Baskerville Old Face"/>
          <w:i/>
          <w:iCs/>
        </w:rPr>
        <w:br/>
        <w:t>• role boundaries;</w:t>
      </w:r>
      <w:r w:rsidRPr="00B479AE">
        <w:rPr>
          <w:rFonts w:ascii="Baskerville Old Face" w:hAnsi="Baskerville Old Face"/>
          <w:i/>
          <w:iCs/>
        </w:rPr>
        <w:br/>
        <w:t>• policy engines;</w:t>
      </w:r>
      <w:r w:rsidRPr="00B479AE">
        <w:rPr>
          <w:rFonts w:ascii="Baskerville Old Face" w:hAnsi="Baskerville Old Face"/>
          <w:i/>
          <w:iCs/>
        </w:rPr>
        <w:br/>
        <w:t>• execution gates;</w:t>
      </w:r>
      <w:r w:rsidRPr="00B479AE">
        <w:rPr>
          <w:rFonts w:ascii="Baskerville Old Face" w:hAnsi="Baskerville Old Face"/>
          <w:i/>
          <w:iCs/>
        </w:rPr>
        <w:br/>
        <w:t>• test suites;</w:t>
      </w:r>
      <w:r w:rsidRPr="00B479AE">
        <w:rPr>
          <w:rFonts w:ascii="Baskerville Old Face" w:hAnsi="Baskerville Old Face"/>
          <w:i/>
          <w:iCs/>
        </w:rPr>
        <w:br/>
        <w:t>• audit logs;</w:t>
      </w:r>
      <w:r w:rsidRPr="00B479AE">
        <w:rPr>
          <w:rFonts w:ascii="Baskerville Old Face" w:hAnsi="Baskerville Old Face"/>
          <w:i/>
          <w:iCs/>
        </w:rPr>
        <w:br/>
        <w:t>• provenance records;</w:t>
      </w:r>
      <w:r w:rsidRPr="00B479AE">
        <w:rPr>
          <w:rFonts w:ascii="Baskerville Old Face" w:hAnsi="Baskerville Old Face"/>
          <w:i/>
          <w:iCs/>
        </w:rPr>
        <w:br/>
        <w:t>• cryptographic signing of critical actions;</w:t>
      </w:r>
      <w:r w:rsidRPr="00B479AE">
        <w:rPr>
          <w:rFonts w:ascii="Baskerville Old Face" w:hAnsi="Baskerville Old Face"/>
          <w:i/>
          <w:iCs/>
        </w:rPr>
        <w:br/>
        <w:t>• versioned methodology controls;</w:t>
      </w:r>
      <w:r w:rsidRPr="00B479AE">
        <w:rPr>
          <w:rFonts w:ascii="Baskerville Old Face" w:hAnsi="Baskerville Old Face"/>
          <w:i/>
          <w:iCs/>
        </w:rPr>
        <w:br/>
        <w:t>• manual review for high-impact actions;</w:t>
      </w:r>
      <w:r w:rsidRPr="00B479AE">
        <w:rPr>
          <w:rFonts w:ascii="Baskerville Old Face" w:hAnsi="Baskerville Old Face"/>
          <w:i/>
          <w:iCs/>
        </w:rPr>
        <w:br/>
        <w:t>• rollback and emergency-pause procedures.</w:t>
      </w:r>
    </w:p>
    <w:p w14:paraId="2557A50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No agent, model, prompt, dashboard, workflow, token mechanism, governance proposal, financial representation, or ecological intervention should bypass these controls.</w:t>
      </w:r>
    </w:p>
    <w:p w14:paraId="2E620270"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A generated output may assist.</w:t>
      </w:r>
    </w:p>
    <w:p w14:paraId="01044BD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may recommend.</w:t>
      </w:r>
    </w:p>
    <w:p w14:paraId="1CDD758F"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may structure.</w:t>
      </w:r>
    </w:p>
    <w:p w14:paraId="76F3A040"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may clarify.</w:t>
      </w:r>
    </w:p>
    <w:p w14:paraId="7B57B08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may route.</w:t>
      </w:r>
    </w:p>
    <w:p w14:paraId="3B4347F2" w14:textId="569736FE"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lastRenderedPageBreak/>
        <w:t>But it does not authorize execution.</w:t>
      </w:r>
      <w:r w:rsidR="00E147E5" w:rsidRPr="00B479AE">
        <w:rPr>
          <w:rFonts w:ascii="Baskerville Old Face" w:hAnsi="Baskerville Old Face"/>
          <w:i/>
          <w:iCs/>
        </w:rPr>
        <w:t xml:space="preserve"> </w:t>
      </w:r>
      <w:r w:rsidRPr="00B479AE">
        <w:rPr>
          <w:rFonts w:ascii="Baskerville Old Face" w:hAnsi="Baskerville Old Face"/>
          <w:i/>
          <w:iCs/>
        </w:rPr>
        <w:t>Execution requires the appropriate pathway:</w:t>
      </w:r>
      <w:r w:rsidR="00E147E5" w:rsidRPr="00B479AE">
        <w:rPr>
          <w:rFonts w:ascii="Baskerville Old Face" w:hAnsi="Baskerville Old Face"/>
          <w:i/>
          <w:iCs/>
        </w:rPr>
        <w:t xml:space="preserve"> </w:t>
      </w:r>
    </w:p>
    <w:p w14:paraId="7A89283C" w14:textId="22B6A82F" w:rsidR="00E147E5" w:rsidRPr="00B479AE" w:rsidRDefault="00E147E5" w:rsidP="00541F75">
      <w:pPr>
        <w:spacing w:line="360" w:lineRule="auto"/>
        <w:rPr>
          <w:rFonts w:ascii="Baskerville Old Face" w:hAnsi="Baskerville Old Face"/>
          <w:i/>
          <w:iCs/>
        </w:rPr>
      </w:pPr>
      <w:r w:rsidRPr="00B479AE">
        <w:rPr>
          <w:rFonts w:ascii="Baskerville Old Face" w:hAnsi="Baskerville Old Face"/>
          <w:i/>
          <w:iCs/>
        </w:rPr>
        <w:t xml:space="preserve">evidence </w:t>
      </w:r>
      <w:r w:rsidRPr="00B479AE">
        <w:rPr>
          <w:rFonts w:ascii="Times New Roman" w:hAnsi="Times New Roman" w:cs="Times New Roman"/>
          <w:i/>
          <w:iCs/>
        </w:rPr>
        <w:t>→</w:t>
      </w:r>
      <w:r w:rsidRPr="00B479AE">
        <w:rPr>
          <w:rFonts w:ascii="Baskerville Old Face" w:hAnsi="Baskerville Old Face"/>
          <w:i/>
          <w:iCs/>
        </w:rPr>
        <w:t xml:space="preserve"> review </w:t>
      </w:r>
      <w:r w:rsidRPr="00B479AE">
        <w:rPr>
          <w:rFonts w:ascii="Times New Roman" w:hAnsi="Times New Roman" w:cs="Times New Roman"/>
          <w:i/>
          <w:iCs/>
        </w:rPr>
        <w:t>→</w:t>
      </w:r>
      <w:r w:rsidRPr="00B479AE">
        <w:rPr>
          <w:rFonts w:ascii="Baskerville Old Face" w:hAnsi="Baskerville Old Face"/>
          <w:i/>
          <w:iCs/>
        </w:rPr>
        <w:t xml:space="preserve"> authority decision </w:t>
      </w:r>
      <w:r w:rsidRPr="00B479AE">
        <w:rPr>
          <w:rFonts w:ascii="Times New Roman" w:hAnsi="Times New Roman" w:cs="Times New Roman"/>
          <w:i/>
          <w:iCs/>
        </w:rPr>
        <w:t>→</w:t>
      </w:r>
      <w:r w:rsidRPr="00B479AE">
        <w:rPr>
          <w:rFonts w:ascii="Baskerville Old Face" w:hAnsi="Baskerville Old Face"/>
          <w:i/>
          <w:iCs/>
        </w:rPr>
        <w:t xml:space="preserve"> authorized action </w:t>
      </w:r>
      <w:r w:rsidRPr="00B479AE">
        <w:rPr>
          <w:rFonts w:ascii="Times New Roman" w:hAnsi="Times New Roman" w:cs="Times New Roman"/>
          <w:i/>
          <w:iCs/>
        </w:rPr>
        <w:t>→</w:t>
      </w:r>
      <w:r w:rsidRPr="00B479AE">
        <w:rPr>
          <w:rFonts w:ascii="Baskerville Old Face" w:hAnsi="Baskerville Old Face"/>
          <w:i/>
          <w:iCs/>
        </w:rPr>
        <w:t xml:space="preserve"> recorded execution </w:t>
      </w:r>
      <w:r w:rsidRPr="00B479AE">
        <w:rPr>
          <w:rFonts w:ascii="Times New Roman" w:hAnsi="Times New Roman" w:cs="Times New Roman"/>
          <w:i/>
          <w:iCs/>
        </w:rPr>
        <w:t>→</w:t>
      </w:r>
      <w:r w:rsidRPr="00B479AE">
        <w:rPr>
          <w:rFonts w:ascii="Baskerville Old Face" w:hAnsi="Baskerville Old Face"/>
          <w:i/>
          <w:iCs/>
        </w:rPr>
        <w:t xml:space="preserve"> verification </w:t>
      </w:r>
      <w:r w:rsidRPr="00B479AE">
        <w:rPr>
          <w:rFonts w:ascii="Times New Roman" w:hAnsi="Times New Roman" w:cs="Times New Roman"/>
          <w:i/>
          <w:iCs/>
        </w:rPr>
        <w:t>→</w:t>
      </w:r>
      <w:r w:rsidRPr="00B479AE">
        <w:rPr>
          <w:rFonts w:ascii="Baskerville Old Face" w:hAnsi="Baskerville Old Face"/>
          <w:i/>
          <w:iCs/>
        </w:rPr>
        <w:t xml:space="preserve"> reporting</w:t>
      </w:r>
    </w:p>
    <w:p w14:paraId="745EB0D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11. Output classification constraints</w:t>
      </w:r>
    </w:p>
    <w:p w14:paraId="6FB2CBB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Every generated output should be classified before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5"/>
        <w:gridCol w:w="2521"/>
        <w:gridCol w:w="4802"/>
      </w:tblGrid>
      <w:tr w:rsidR="00541F75" w:rsidRPr="00B479AE" w14:paraId="7132E635" w14:textId="77777777" w:rsidTr="00717435">
        <w:trPr>
          <w:tblHeader/>
          <w:tblCellSpacing w:w="15" w:type="dxa"/>
        </w:trPr>
        <w:tc>
          <w:tcPr>
            <w:tcW w:w="0" w:type="auto"/>
            <w:vAlign w:val="center"/>
            <w:hideMark/>
          </w:tcPr>
          <w:p w14:paraId="393D504B"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Output type</w:t>
            </w:r>
          </w:p>
        </w:tc>
        <w:tc>
          <w:tcPr>
            <w:tcW w:w="0" w:type="auto"/>
            <w:vAlign w:val="center"/>
            <w:hideMark/>
          </w:tcPr>
          <w:p w14:paraId="003E24FE"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Status</w:t>
            </w:r>
          </w:p>
        </w:tc>
        <w:tc>
          <w:tcPr>
            <w:tcW w:w="0" w:type="auto"/>
            <w:vAlign w:val="center"/>
            <w:hideMark/>
          </w:tcPr>
          <w:p w14:paraId="6B1DCC48"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Execution condition</w:t>
            </w:r>
          </w:p>
        </w:tc>
      </w:tr>
      <w:tr w:rsidR="00541F75" w:rsidRPr="00B479AE" w14:paraId="7C9E9617" w14:textId="77777777" w:rsidTr="00717435">
        <w:trPr>
          <w:tblCellSpacing w:w="15" w:type="dxa"/>
        </w:trPr>
        <w:tc>
          <w:tcPr>
            <w:tcW w:w="0" w:type="auto"/>
            <w:vAlign w:val="center"/>
            <w:hideMark/>
          </w:tcPr>
          <w:p w14:paraId="48B677D0"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Informational answer</w:t>
            </w:r>
          </w:p>
        </w:tc>
        <w:tc>
          <w:tcPr>
            <w:tcW w:w="0" w:type="auto"/>
            <w:vAlign w:val="center"/>
            <w:hideMark/>
          </w:tcPr>
          <w:p w14:paraId="1B1F4A7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Low-risk explanation</w:t>
            </w:r>
          </w:p>
        </w:tc>
        <w:tc>
          <w:tcPr>
            <w:tcW w:w="0" w:type="auto"/>
            <w:vAlign w:val="center"/>
            <w:hideMark/>
          </w:tcPr>
          <w:p w14:paraId="1A77AFC3"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May be delivered directly if evidence and scope are clear.</w:t>
            </w:r>
          </w:p>
        </w:tc>
      </w:tr>
      <w:tr w:rsidR="00541F75" w:rsidRPr="00B479AE" w14:paraId="09234AA8" w14:textId="77777777" w:rsidTr="00717435">
        <w:trPr>
          <w:tblCellSpacing w:w="15" w:type="dxa"/>
        </w:trPr>
        <w:tc>
          <w:tcPr>
            <w:tcW w:w="0" w:type="auto"/>
            <w:vAlign w:val="center"/>
            <w:hideMark/>
          </w:tcPr>
          <w:p w14:paraId="6AF0F0C8"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Design draft</w:t>
            </w:r>
          </w:p>
        </w:tc>
        <w:tc>
          <w:tcPr>
            <w:tcW w:w="0" w:type="auto"/>
            <w:vAlign w:val="center"/>
            <w:hideMark/>
          </w:tcPr>
          <w:p w14:paraId="38520F6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Preliminary work product</w:t>
            </w:r>
          </w:p>
        </w:tc>
        <w:tc>
          <w:tcPr>
            <w:tcW w:w="0" w:type="auto"/>
            <w:vAlign w:val="center"/>
            <w:hideMark/>
          </w:tcPr>
          <w:p w14:paraId="3F24FDA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review before implementation.</w:t>
            </w:r>
          </w:p>
        </w:tc>
      </w:tr>
      <w:tr w:rsidR="00541F75" w:rsidRPr="00B479AE" w14:paraId="482ED41F" w14:textId="77777777" w:rsidTr="00717435">
        <w:trPr>
          <w:tblCellSpacing w:w="15" w:type="dxa"/>
        </w:trPr>
        <w:tc>
          <w:tcPr>
            <w:tcW w:w="0" w:type="auto"/>
            <w:vAlign w:val="center"/>
            <w:hideMark/>
          </w:tcPr>
          <w:p w14:paraId="29F3CCD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Operational recommendation</w:t>
            </w:r>
          </w:p>
        </w:tc>
        <w:tc>
          <w:tcPr>
            <w:tcW w:w="0" w:type="auto"/>
            <w:vAlign w:val="center"/>
            <w:hideMark/>
          </w:tcPr>
          <w:p w14:paraId="0906750E"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Action-oriented suggestion</w:t>
            </w:r>
          </w:p>
        </w:tc>
        <w:tc>
          <w:tcPr>
            <w:tcW w:w="0" w:type="auto"/>
            <w:vAlign w:val="center"/>
            <w:hideMark/>
          </w:tcPr>
          <w:p w14:paraId="57C553D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steward or governance authorization.</w:t>
            </w:r>
          </w:p>
        </w:tc>
      </w:tr>
      <w:tr w:rsidR="00541F75" w:rsidRPr="00B479AE" w14:paraId="0D687789" w14:textId="77777777" w:rsidTr="00717435">
        <w:trPr>
          <w:tblCellSpacing w:w="15" w:type="dxa"/>
        </w:trPr>
        <w:tc>
          <w:tcPr>
            <w:tcW w:w="0" w:type="auto"/>
            <w:vAlign w:val="center"/>
            <w:hideMark/>
          </w:tcPr>
          <w:p w14:paraId="478C81C0"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interpretation</w:t>
            </w:r>
          </w:p>
        </w:tc>
        <w:tc>
          <w:tcPr>
            <w:tcW w:w="0" w:type="auto"/>
            <w:vAlign w:val="center"/>
            <w:hideMark/>
          </w:tcPr>
          <w:p w14:paraId="745A907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analysis</w:t>
            </w:r>
          </w:p>
        </w:tc>
        <w:tc>
          <w:tcPr>
            <w:tcW w:w="0" w:type="auto"/>
            <w:vAlign w:val="center"/>
            <w:hideMark/>
          </w:tcPr>
          <w:p w14:paraId="51643C4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data-quality review and confidence scoring.</w:t>
            </w:r>
          </w:p>
        </w:tc>
      </w:tr>
      <w:tr w:rsidR="00541F75" w:rsidRPr="00B479AE" w14:paraId="0B75832A" w14:textId="77777777" w:rsidTr="00717435">
        <w:trPr>
          <w:tblCellSpacing w:w="15" w:type="dxa"/>
        </w:trPr>
        <w:tc>
          <w:tcPr>
            <w:tcW w:w="0" w:type="auto"/>
            <w:vAlign w:val="center"/>
            <w:hideMark/>
          </w:tcPr>
          <w:p w14:paraId="7BBE882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proposal</w:t>
            </w:r>
          </w:p>
        </w:tc>
        <w:tc>
          <w:tcPr>
            <w:tcW w:w="0" w:type="auto"/>
            <w:vAlign w:val="center"/>
            <w:hideMark/>
          </w:tcPr>
          <w:p w14:paraId="577A21A6"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Decision input</w:t>
            </w:r>
          </w:p>
        </w:tc>
        <w:tc>
          <w:tcPr>
            <w:tcW w:w="0" w:type="auto"/>
            <w:vAlign w:val="center"/>
            <w:hideMark/>
          </w:tcPr>
          <w:p w14:paraId="0369C34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formal governance process.</w:t>
            </w:r>
          </w:p>
        </w:tc>
      </w:tr>
      <w:tr w:rsidR="00541F75" w:rsidRPr="00B479AE" w14:paraId="5996051A" w14:textId="77777777" w:rsidTr="00717435">
        <w:trPr>
          <w:tblCellSpacing w:w="15" w:type="dxa"/>
        </w:trPr>
        <w:tc>
          <w:tcPr>
            <w:tcW w:w="0" w:type="auto"/>
            <w:vAlign w:val="center"/>
            <w:hideMark/>
          </w:tcPr>
          <w:p w14:paraId="3635AC3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scenario</w:t>
            </w:r>
          </w:p>
        </w:tc>
        <w:tc>
          <w:tcPr>
            <w:tcW w:w="0" w:type="auto"/>
            <w:vAlign w:val="center"/>
            <w:hideMark/>
          </w:tcPr>
          <w:p w14:paraId="441C782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Assumption-based model</w:t>
            </w:r>
          </w:p>
        </w:tc>
        <w:tc>
          <w:tcPr>
            <w:tcW w:w="0" w:type="auto"/>
            <w:vAlign w:val="center"/>
            <w:hideMark/>
          </w:tcPr>
          <w:p w14:paraId="133B00A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Not an offering; requires review before investor use.</w:t>
            </w:r>
          </w:p>
        </w:tc>
      </w:tr>
      <w:tr w:rsidR="00541F75" w:rsidRPr="00B479AE" w14:paraId="45EEDE80" w14:textId="77777777" w:rsidTr="00717435">
        <w:trPr>
          <w:tblCellSpacing w:w="15" w:type="dxa"/>
        </w:trPr>
        <w:tc>
          <w:tcPr>
            <w:tcW w:w="0" w:type="auto"/>
            <w:vAlign w:val="center"/>
            <w:hideMark/>
          </w:tcPr>
          <w:p w14:paraId="6B4E93E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Investor-facing draft</w:t>
            </w:r>
          </w:p>
        </w:tc>
        <w:tc>
          <w:tcPr>
            <w:tcW w:w="0" w:type="auto"/>
            <w:vAlign w:val="center"/>
            <w:hideMark/>
          </w:tcPr>
          <w:p w14:paraId="408C0BFC"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External communication candidate</w:t>
            </w:r>
          </w:p>
        </w:tc>
        <w:tc>
          <w:tcPr>
            <w:tcW w:w="0" w:type="auto"/>
            <w:vAlign w:val="center"/>
            <w:hideMark/>
          </w:tcPr>
          <w:p w14:paraId="57B4961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legal, compliance, and evidence review.</w:t>
            </w:r>
          </w:p>
        </w:tc>
      </w:tr>
      <w:tr w:rsidR="00541F75" w:rsidRPr="00B479AE" w14:paraId="5F257C84" w14:textId="77777777" w:rsidTr="00717435">
        <w:trPr>
          <w:tblCellSpacing w:w="15" w:type="dxa"/>
        </w:trPr>
        <w:tc>
          <w:tcPr>
            <w:tcW w:w="0" w:type="auto"/>
            <w:vAlign w:val="center"/>
            <w:hideMark/>
          </w:tcPr>
          <w:p w14:paraId="77DAAEC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PRU estimate</w:t>
            </w:r>
          </w:p>
        </w:tc>
        <w:tc>
          <w:tcPr>
            <w:tcW w:w="0" w:type="auto"/>
            <w:vAlign w:val="center"/>
            <w:hideMark/>
          </w:tcPr>
          <w:p w14:paraId="1B70508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Preliminary value interpretation</w:t>
            </w:r>
          </w:p>
        </w:tc>
        <w:tc>
          <w:tcPr>
            <w:tcW w:w="0" w:type="auto"/>
            <w:vAlign w:val="center"/>
            <w:hideMark/>
          </w:tcPr>
          <w:p w14:paraId="3ECD2587"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Not admissible value unless methodology and evidence thresholds are met.</w:t>
            </w:r>
          </w:p>
        </w:tc>
      </w:tr>
      <w:tr w:rsidR="00541F75" w:rsidRPr="00B479AE" w14:paraId="078B6116" w14:textId="77777777" w:rsidTr="00717435">
        <w:trPr>
          <w:tblCellSpacing w:w="15" w:type="dxa"/>
        </w:trPr>
        <w:tc>
          <w:tcPr>
            <w:tcW w:w="0" w:type="auto"/>
            <w:vAlign w:val="center"/>
            <w:hideMark/>
          </w:tcPr>
          <w:p w14:paraId="3C26B0F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Tokenization concept</w:t>
            </w:r>
          </w:p>
        </w:tc>
        <w:tc>
          <w:tcPr>
            <w:tcW w:w="0" w:type="auto"/>
            <w:vAlign w:val="center"/>
            <w:hideMark/>
          </w:tcPr>
          <w:p w14:paraId="335ED0FD"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Structural hypothesis</w:t>
            </w:r>
          </w:p>
        </w:tc>
        <w:tc>
          <w:tcPr>
            <w:tcW w:w="0" w:type="auto"/>
            <w:vAlign w:val="center"/>
            <w:hideMark/>
          </w:tcPr>
          <w:p w14:paraId="57843FA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legal wrapper and jurisdiction-specific review.</w:t>
            </w:r>
          </w:p>
        </w:tc>
      </w:tr>
      <w:tr w:rsidR="00541F75" w:rsidRPr="00B479AE" w14:paraId="71D072D4" w14:textId="77777777" w:rsidTr="00717435">
        <w:trPr>
          <w:tblCellSpacing w:w="15" w:type="dxa"/>
        </w:trPr>
        <w:tc>
          <w:tcPr>
            <w:tcW w:w="0" w:type="auto"/>
            <w:vAlign w:val="center"/>
            <w:hideMark/>
          </w:tcPr>
          <w:p w14:paraId="091833EE"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Health-related hypothesis</w:t>
            </w:r>
          </w:p>
        </w:tc>
        <w:tc>
          <w:tcPr>
            <w:tcW w:w="0" w:type="auto"/>
            <w:vAlign w:val="center"/>
            <w:hideMark/>
          </w:tcPr>
          <w:p w14:paraId="008CE803"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or systemic-value idea</w:t>
            </w:r>
          </w:p>
        </w:tc>
        <w:tc>
          <w:tcPr>
            <w:tcW w:w="0" w:type="auto"/>
            <w:vAlign w:val="center"/>
            <w:hideMark/>
          </w:tcPr>
          <w:p w14:paraId="38AD778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Not a medical claim; requires appropriate governance before public use.</w:t>
            </w:r>
          </w:p>
        </w:tc>
      </w:tr>
      <w:tr w:rsidR="00541F75" w:rsidRPr="00B479AE" w14:paraId="6FC3ECF8" w14:textId="77777777" w:rsidTr="00717435">
        <w:trPr>
          <w:tblCellSpacing w:w="15" w:type="dxa"/>
        </w:trPr>
        <w:tc>
          <w:tcPr>
            <w:tcW w:w="0" w:type="auto"/>
            <w:vAlign w:val="center"/>
            <w:hideMark/>
          </w:tcPr>
          <w:p w14:paraId="64D21810"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Execution-ready action</w:t>
            </w:r>
          </w:p>
        </w:tc>
        <w:tc>
          <w:tcPr>
            <w:tcW w:w="0" w:type="auto"/>
            <w:vAlign w:val="center"/>
            <w:hideMark/>
          </w:tcPr>
          <w:p w14:paraId="6AF21120"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Authorized instruction</w:t>
            </w:r>
          </w:p>
        </w:tc>
        <w:tc>
          <w:tcPr>
            <w:tcW w:w="0" w:type="auto"/>
            <w:vAlign w:val="center"/>
            <w:hideMark/>
          </w:tcPr>
          <w:p w14:paraId="6387E75E"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evidence, authority, record, and verification pathway.</w:t>
            </w:r>
          </w:p>
        </w:tc>
      </w:tr>
    </w:tbl>
    <w:p w14:paraId="4A66CE8B"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lastRenderedPageBreak/>
        <w:t>This prevents category collapse.</w:t>
      </w:r>
    </w:p>
    <w:p w14:paraId="650E8C6D"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A scenario is not a forecast.</w:t>
      </w:r>
    </w:p>
    <w:p w14:paraId="7A2E1AF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A token concept is not token issuance.</w:t>
      </w:r>
    </w:p>
    <w:p w14:paraId="55CC9E96"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A PRU estimate is not investor entitlement.</w:t>
      </w:r>
    </w:p>
    <w:p w14:paraId="25ECD741"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A governance suggestion is not a valid vote.</w:t>
      </w:r>
    </w:p>
    <w:p w14:paraId="0A0AAEA2"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b/>
          <w:bCs/>
          <w:i/>
          <w:iCs/>
        </w:rPr>
        <w:t>12. Kernel non-</w:t>
      </w:r>
      <w:proofErr w:type="spellStart"/>
      <w:r w:rsidRPr="00B479AE">
        <w:rPr>
          <w:rFonts w:ascii="Baskerville Old Face" w:hAnsi="Baskerville Old Face"/>
          <w:b/>
          <w:bCs/>
          <w:i/>
          <w:iCs/>
        </w:rPr>
        <w:t>bypassability</w:t>
      </w:r>
      <w:proofErr w:type="spellEnd"/>
      <w:r w:rsidRPr="00B479AE">
        <w:rPr>
          <w:rFonts w:ascii="Baskerville Old Face" w:hAnsi="Baskerville Old Face"/>
          <w:b/>
          <w:bCs/>
          <w:i/>
          <w:iCs/>
        </w:rPr>
        <w:t xml:space="preserve"> constraints</w:t>
      </w:r>
    </w:p>
    <w:p w14:paraId="56DA446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The kernel’s structural constraints must be non-</w:t>
      </w:r>
      <w:proofErr w:type="spellStart"/>
      <w:r w:rsidRPr="00B479AE">
        <w:rPr>
          <w:rFonts w:ascii="Baskerville Old Face" w:hAnsi="Baskerville Old Face"/>
          <w:i/>
          <w:iCs/>
        </w:rPr>
        <w:t>bypassable</w:t>
      </w:r>
      <w:proofErr w:type="spellEnd"/>
      <w:r w:rsidRPr="00B479AE">
        <w:rPr>
          <w:rFonts w:ascii="Baskerville Old Face" w:hAnsi="Baskerville Old Face"/>
          <w:i/>
          <w:iCs/>
        </w:rPr>
        <w:t xml:space="preserve"> inside the Prometheus architecture.</w:t>
      </w:r>
    </w:p>
    <w:p w14:paraId="0E7F3588"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This does not mean claiming absolute invulnerability.</w:t>
      </w:r>
    </w:p>
    <w:p w14:paraId="41355D86"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 means designing the system so that any attempted bypass becomes visible, invalid, non-admissible, non-executable, reversible where possible, and subject to governance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6"/>
        <w:gridCol w:w="6682"/>
      </w:tblGrid>
      <w:tr w:rsidR="00541F75" w:rsidRPr="00B479AE" w14:paraId="78FE6DB1" w14:textId="77777777" w:rsidTr="00294114">
        <w:trPr>
          <w:tblHeader/>
          <w:tblCellSpacing w:w="15" w:type="dxa"/>
        </w:trPr>
        <w:tc>
          <w:tcPr>
            <w:tcW w:w="0" w:type="auto"/>
            <w:vAlign w:val="center"/>
            <w:hideMark/>
          </w:tcPr>
          <w:p w14:paraId="3751C395"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Threat</w:t>
            </w:r>
          </w:p>
        </w:tc>
        <w:tc>
          <w:tcPr>
            <w:tcW w:w="0" w:type="auto"/>
            <w:vAlign w:val="center"/>
            <w:hideMark/>
          </w:tcPr>
          <w:p w14:paraId="56C9062A" w14:textId="77777777" w:rsidR="00541F75" w:rsidRPr="00B479AE" w:rsidRDefault="00541F75" w:rsidP="00541F7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 control</w:t>
            </w:r>
          </w:p>
        </w:tc>
      </w:tr>
      <w:tr w:rsidR="00541F75" w:rsidRPr="00B479AE" w14:paraId="20817AF2" w14:textId="77777777" w:rsidTr="00294114">
        <w:trPr>
          <w:tblCellSpacing w:w="15" w:type="dxa"/>
        </w:trPr>
        <w:tc>
          <w:tcPr>
            <w:tcW w:w="0" w:type="auto"/>
            <w:vAlign w:val="center"/>
            <w:hideMark/>
          </w:tcPr>
          <w:p w14:paraId="53C329D8"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Prompt injection or instruction override</w:t>
            </w:r>
          </w:p>
        </w:tc>
        <w:tc>
          <w:tcPr>
            <w:tcW w:w="0" w:type="auto"/>
            <w:vAlign w:val="center"/>
            <w:hideMark/>
          </w:tcPr>
          <w:p w14:paraId="012917C4"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policy engine, role separation, validation checks, audit logging.</w:t>
            </w:r>
          </w:p>
        </w:tc>
      </w:tr>
      <w:tr w:rsidR="00541F75" w:rsidRPr="00B479AE" w14:paraId="6E4B0009" w14:textId="77777777" w:rsidTr="00294114">
        <w:trPr>
          <w:tblCellSpacing w:w="15" w:type="dxa"/>
        </w:trPr>
        <w:tc>
          <w:tcPr>
            <w:tcW w:w="0" w:type="auto"/>
            <w:vAlign w:val="center"/>
            <w:hideMark/>
          </w:tcPr>
          <w:p w14:paraId="225646F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Unauthorized agent execution</w:t>
            </w:r>
          </w:p>
        </w:tc>
        <w:tc>
          <w:tcPr>
            <w:tcW w:w="0" w:type="auto"/>
            <w:vAlign w:val="center"/>
            <w:hideMark/>
          </w:tcPr>
          <w:p w14:paraId="62EE62A3" w14:textId="77777777" w:rsidR="00541F75" w:rsidRPr="00B479AE" w:rsidRDefault="00541F75" w:rsidP="00541F75">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Permissioning</w:t>
            </w:r>
            <w:proofErr w:type="spellEnd"/>
            <w:r w:rsidRPr="00B479AE">
              <w:rPr>
                <w:rFonts w:ascii="Baskerville Old Face" w:hAnsi="Baskerville Old Face"/>
                <w:i/>
                <w:iCs/>
                <w:sz w:val="22"/>
                <w:szCs w:val="22"/>
              </w:rPr>
              <w:t>, execution gates, least-privilege design, manual review.</w:t>
            </w:r>
          </w:p>
        </w:tc>
      </w:tr>
      <w:tr w:rsidR="00541F75" w:rsidRPr="00B479AE" w14:paraId="6EED1167" w14:textId="77777777" w:rsidTr="00294114">
        <w:trPr>
          <w:tblCellSpacing w:w="15" w:type="dxa"/>
        </w:trPr>
        <w:tc>
          <w:tcPr>
            <w:tcW w:w="0" w:type="auto"/>
            <w:vAlign w:val="center"/>
            <w:hideMark/>
          </w:tcPr>
          <w:p w14:paraId="4E4D4252"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 or financial overreach</w:t>
            </w:r>
          </w:p>
        </w:tc>
        <w:tc>
          <w:tcPr>
            <w:tcW w:w="0" w:type="auto"/>
            <w:vAlign w:val="center"/>
            <w:hideMark/>
          </w:tcPr>
          <w:p w14:paraId="04F610BF"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Legal wrapper requirement, securities review, no automatic entitlement.</w:t>
            </w:r>
          </w:p>
        </w:tc>
      </w:tr>
      <w:tr w:rsidR="00541F75" w:rsidRPr="00B479AE" w14:paraId="5BC0728B" w14:textId="77777777" w:rsidTr="00294114">
        <w:trPr>
          <w:tblCellSpacing w:w="15" w:type="dxa"/>
        </w:trPr>
        <w:tc>
          <w:tcPr>
            <w:tcW w:w="0" w:type="auto"/>
            <w:vAlign w:val="center"/>
            <w:hideMark/>
          </w:tcPr>
          <w:p w14:paraId="17C18818"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manipulation</w:t>
            </w:r>
          </w:p>
        </w:tc>
        <w:tc>
          <w:tcPr>
            <w:tcW w:w="0" w:type="auto"/>
            <w:vAlign w:val="center"/>
            <w:hideMark/>
          </w:tcPr>
          <w:p w14:paraId="768EB4F1"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Provenance chain, anomaly detection, cross-source verification, third-party review.</w:t>
            </w:r>
          </w:p>
        </w:tc>
      </w:tr>
      <w:tr w:rsidR="00541F75" w:rsidRPr="00B479AE" w14:paraId="66DDF335" w14:textId="77777777" w:rsidTr="00294114">
        <w:trPr>
          <w:tblCellSpacing w:w="15" w:type="dxa"/>
        </w:trPr>
        <w:tc>
          <w:tcPr>
            <w:tcW w:w="0" w:type="auto"/>
            <w:vAlign w:val="center"/>
            <w:hideMark/>
          </w:tcPr>
          <w:p w14:paraId="00F7150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capture</w:t>
            </w:r>
          </w:p>
        </w:tc>
        <w:tc>
          <w:tcPr>
            <w:tcW w:w="0" w:type="auto"/>
            <w:vAlign w:val="center"/>
            <w:hideMark/>
          </w:tcPr>
          <w:p w14:paraId="21EEF29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Multi-stakeholder review, quorum, anti-capture rules, conflict-of-interest controls.</w:t>
            </w:r>
          </w:p>
        </w:tc>
      </w:tr>
      <w:tr w:rsidR="00541F75" w:rsidRPr="00B479AE" w14:paraId="4614332B" w14:textId="77777777" w:rsidTr="00294114">
        <w:trPr>
          <w:tblCellSpacing w:w="15" w:type="dxa"/>
        </w:trPr>
        <w:tc>
          <w:tcPr>
            <w:tcW w:w="0" w:type="auto"/>
            <w:vAlign w:val="center"/>
            <w:hideMark/>
          </w:tcPr>
          <w:p w14:paraId="6BC827DB"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authority drift</w:t>
            </w:r>
          </w:p>
        </w:tc>
        <w:tc>
          <w:tcPr>
            <w:tcW w:w="0" w:type="auto"/>
            <w:vAlign w:val="center"/>
            <w:hideMark/>
          </w:tcPr>
          <w:p w14:paraId="78ADFEC8"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Explicit distinction between generation, recommendation, authorization, execution, and reporting.</w:t>
            </w:r>
          </w:p>
        </w:tc>
      </w:tr>
      <w:tr w:rsidR="00541F75" w:rsidRPr="00B479AE" w14:paraId="10C7E029" w14:textId="77777777" w:rsidTr="00294114">
        <w:trPr>
          <w:tblCellSpacing w:w="15" w:type="dxa"/>
        </w:trPr>
        <w:tc>
          <w:tcPr>
            <w:tcW w:w="0" w:type="auto"/>
            <w:vAlign w:val="center"/>
            <w:hideMark/>
          </w:tcPr>
          <w:p w14:paraId="0FFBE3D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drift</w:t>
            </w:r>
          </w:p>
        </w:tc>
        <w:tc>
          <w:tcPr>
            <w:tcW w:w="0" w:type="auto"/>
            <w:vAlign w:val="center"/>
            <w:hideMark/>
          </w:tcPr>
          <w:p w14:paraId="4D60AC89" w14:textId="77777777" w:rsidR="00541F75" w:rsidRPr="00B479AE" w:rsidRDefault="00541F75" w:rsidP="00541F75">
            <w:pPr>
              <w:spacing w:line="360" w:lineRule="auto"/>
              <w:rPr>
                <w:rFonts w:ascii="Baskerville Old Face" w:hAnsi="Baskerville Old Face"/>
                <w:i/>
                <w:iCs/>
                <w:sz w:val="22"/>
                <w:szCs w:val="22"/>
              </w:rPr>
            </w:pPr>
            <w:r w:rsidRPr="00B479AE">
              <w:rPr>
                <w:rFonts w:ascii="Baskerville Old Face" w:hAnsi="Baskerville Old Face"/>
                <w:i/>
                <w:iCs/>
                <w:sz w:val="22"/>
                <w:szCs w:val="22"/>
              </w:rPr>
              <w:t>Versioned methodology, canonical definitions, protocol stewardship, release discipline.</w:t>
            </w:r>
          </w:p>
        </w:tc>
      </w:tr>
    </w:tbl>
    <w:p w14:paraId="5EEF36F2" w14:textId="44A71A39"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lastRenderedPageBreak/>
        <w:t>The kernel exists so that Prometheus can become more intelligent without becoming less accountable.</w:t>
      </w:r>
    </w:p>
    <w:p w14:paraId="1A1BC8A5" w14:textId="77777777" w:rsidR="00541F75" w:rsidRPr="00B479AE" w:rsidRDefault="00541F75" w:rsidP="00541F75">
      <w:pPr>
        <w:spacing w:line="360" w:lineRule="auto"/>
        <w:rPr>
          <w:rFonts w:ascii="Baskerville Old Face" w:hAnsi="Baskerville Old Face"/>
          <w:i/>
          <w:iCs/>
        </w:rPr>
      </w:pPr>
      <w:r w:rsidRPr="00B479AE">
        <w:rPr>
          <w:rFonts w:ascii="Baskerville Old Face" w:hAnsi="Baskerville Old Face"/>
          <w:i/>
          <w:iCs/>
        </w:rPr>
        <w:t>Its constraints must therefore be embedded in narrative, governance, code, audits, and institutional process.</w:t>
      </w:r>
    </w:p>
    <w:p w14:paraId="0496F66C" w14:textId="1C8B8248" w:rsidR="0055683A" w:rsidRPr="00B479AE" w:rsidRDefault="009C3ABC" w:rsidP="0055683A">
      <w:pPr>
        <w:spacing w:line="360" w:lineRule="auto"/>
        <w:rPr>
          <w:rFonts w:ascii="Baskerville Old Face" w:hAnsi="Baskerville Old Face"/>
          <w:b/>
          <w:bCs/>
          <w:i/>
          <w:iCs/>
        </w:rPr>
      </w:pPr>
      <w:r w:rsidRPr="00B479AE">
        <w:rPr>
          <w:rFonts w:ascii="Baskerville Old Face" w:hAnsi="Baskerville Old Face"/>
          <w:b/>
          <w:bCs/>
          <w:i/>
          <w:iCs/>
        </w:rPr>
        <w:t xml:space="preserve">Kernel Protocol — Non-Aligned Request Handling Protocol </w:t>
      </w:r>
    </w:p>
    <w:p w14:paraId="2E78472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must remain open to innovation without becoming available for drift.</w:t>
      </w:r>
    </w:p>
    <w:p w14:paraId="574E8CA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As the ecosystem grows, participants, investors, communities, builders, researchers, AI agents, technical operators, and institutional partners may submit requests that are incomplete, premature, speculative, legally sensitive, ecologically unsupported, financially overreaching, or constitutionally misaligned.</w:t>
      </w:r>
    </w:p>
    <w:p w14:paraId="7B774C5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purpose of the Non-Aligned Request Handling Protocol is not to reject creativity.</w:t>
      </w:r>
    </w:p>
    <w:p w14:paraId="2AB9A09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Its purpose is to transform raw requests into constitutionally legible pathways.</w:t>
      </w:r>
    </w:p>
    <w:p w14:paraId="2E52B72B"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non-aligned request is therefore not automatically a hostile request.</w:t>
      </w:r>
    </w:p>
    <w:p w14:paraId="3649BF31"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may be:</w:t>
      </w:r>
    </w:p>
    <w:p w14:paraId="46389B1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immature;</w:t>
      </w:r>
      <w:r w:rsidRPr="00B479AE">
        <w:rPr>
          <w:rFonts w:ascii="Baskerville Old Face" w:hAnsi="Baskerville Old Face"/>
          <w:i/>
          <w:iCs/>
        </w:rPr>
        <w:br/>
        <w:t>• unclear;</w:t>
      </w:r>
      <w:r w:rsidRPr="00B479AE">
        <w:rPr>
          <w:rFonts w:ascii="Baskerville Old Face" w:hAnsi="Baskerville Old Face"/>
          <w:i/>
          <w:iCs/>
        </w:rPr>
        <w:br/>
        <w:t>• overbroad;</w:t>
      </w:r>
      <w:r w:rsidRPr="00B479AE">
        <w:rPr>
          <w:rFonts w:ascii="Baskerville Old Face" w:hAnsi="Baskerville Old Face"/>
          <w:i/>
          <w:iCs/>
        </w:rPr>
        <w:br/>
        <w:t>• unsupported by evidence;</w:t>
      </w:r>
      <w:r w:rsidRPr="00B479AE">
        <w:rPr>
          <w:rFonts w:ascii="Baskerville Old Face" w:hAnsi="Baskerville Old Face"/>
          <w:i/>
          <w:iCs/>
        </w:rPr>
        <w:br/>
        <w:t>• legally premature;</w:t>
      </w:r>
      <w:r w:rsidRPr="00B479AE">
        <w:rPr>
          <w:rFonts w:ascii="Baskerville Old Face" w:hAnsi="Baskerville Old Face"/>
          <w:i/>
          <w:iCs/>
        </w:rPr>
        <w:br/>
        <w:t>• technically unimplemented;</w:t>
      </w:r>
      <w:r w:rsidRPr="00B479AE">
        <w:rPr>
          <w:rFonts w:ascii="Baskerville Old Face" w:hAnsi="Baskerville Old Face"/>
          <w:i/>
          <w:iCs/>
        </w:rPr>
        <w:br/>
        <w:t>• financially overclaiming;</w:t>
      </w:r>
      <w:r w:rsidRPr="00B479AE">
        <w:rPr>
          <w:rFonts w:ascii="Baskerville Old Face" w:hAnsi="Baskerville Old Face"/>
          <w:i/>
          <w:iCs/>
        </w:rPr>
        <w:br/>
        <w:t xml:space="preserve">• </w:t>
      </w:r>
      <w:proofErr w:type="spellStart"/>
      <w:r w:rsidRPr="00B479AE">
        <w:rPr>
          <w:rFonts w:ascii="Baskerville Old Face" w:hAnsi="Baskerville Old Face"/>
          <w:i/>
          <w:iCs/>
        </w:rPr>
        <w:t>tokenomically</w:t>
      </w:r>
      <w:proofErr w:type="spellEnd"/>
      <w:r w:rsidRPr="00B479AE">
        <w:rPr>
          <w:rFonts w:ascii="Baskerville Old Face" w:hAnsi="Baskerville Old Face"/>
          <w:i/>
          <w:iCs/>
        </w:rPr>
        <w:t xml:space="preserve"> confused;</w:t>
      </w:r>
      <w:r w:rsidRPr="00B479AE">
        <w:rPr>
          <w:rFonts w:ascii="Baskerville Old Face" w:hAnsi="Baskerville Old Face"/>
          <w:i/>
          <w:iCs/>
        </w:rPr>
        <w:br/>
        <w:t>• ecologically unverified;</w:t>
      </w:r>
      <w:r w:rsidRPr="00B479AE">
        <w:rPr>
          <w:rFonts w:ascii="Baskerville Old Face" w:hAnsi="Baskerville Old Face"/>
          <w:i/>
          <w:iCs/>
        </w:rPr>
        <w:br/>
        <w:t>• outside the participant’s current access scope;</w:t>
      </w:r>
      <w:r w:rsidRPr="00B479AE">
        <w:rPr>
          <w:rFonts w:ascii="Baskerville Old Face" w:hAnsi="Baskerville Old Face"/>
          <w:i/>
          <w:iCs/>
        </w:rPr>
        <w:br/>
        <w:t>• inconsistent with MRV or PRU admissibility;</w:t>
      </w:r>
      <w:r w:rsidRPr="00B479AE">
        <w:rPr>
          <w:rFonts w:ascii="Baskerville Old Face" w:hAnsi="Baskerville Old Face"/>
          <w:i/>
          <w:iCs/>
        </w:rPr>
        <w:br/>
        <w:t>• inconsistent with the Access Covenant;</w:t>
      </w:r>
      <w:r w:rsidRPr="00B479AE">
        <w:rPr>
          <w:rFonts w:ascii="Baskerville Old Face" w:hAnsi="Baskerville Old Face"/>
          <w:i/>
          <w:iCs/>
        </w:rPr>
        <w:br/>
        <w:t>• inconsistent with the foundational articles or Eternity Clauses.</w:t>
      </w:r>
    </w:p>
    <w:p w14:paraId="04A25E22"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Prometheus should respond to such requests through classification, redirection, review, containment, or refusal depending on severity.</w:t>
      </w:r>
    </w:p>
    <w:p w14:paraId="6401E83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principle is:</w:t>
      </w:r>
    </w:p>
    <w:p w14:paraId="3837343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do not execute what is misaligned;</w:t>
      </w:r>
      <w:r w:rsidRPr="00B479AE">
        <w:rPr>
          <w:rFonts w:ascii="Baskerville Old Face" w:hAnsi="Baskerville Old Face"/>
          <w:i/>
          <w:iCs/>
        </w:rPr>
        <w:br/>
        <w:t>do not discard what may become aligned;</w:t>
      </w:r>
      <w:r w:rsidRPr="00B479AE">
        <w:rPr>
          <w:rFonts w:ascii="Baskerville Old Face" w:hAnsi="Baskerville Old Face"/>
          <w:i/>
          <w:iCs/>
        </w:rPr>
        <w:br/>
        <w:t>do not confuse imagination with authorization;</w:t>
      </w:r>
      <w:r w:rsidRPr="00B479AE">
        <w:rPr>
          <w:rFonts w:ascii="Baskerville Old Face" w:hAnsi="Baskerville Old Face"/>
          <w:i/>
          <w:iCs/>
        </w:rPr>
        <w:br/>
        <w:t>do not confuse future potential with present admissibility.</w:t>
      </w:r>
    </w:p>
    <w:p w14:paraId="6AB87AC9"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13.1 Purpose of the Protocol</w:t>
      </w:r>
    </w:p>
    <w:p w14:paraId="424B598B"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Non-Aligned Request Handling Protocol exists to protect Prometheus from four failure modes.</w:t>
      </w:r>
    </w:p>
    <w:p w14:paraId="5FB7123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b/>
          <w:bCs/>
          <w:i/>
          <w:iCs/>
        </w:rPr>
        <w:t>First: execution drift.</w:t>
      </w:r>
      <w:r w:rsidRPr="00B479AE">
        <w:rPr>
          <w:rFonts w:ascii="Baskerville Old Face" w:hAnsi="Baskerville Old Face"/>
          <w:i/>
          <w:iCs/>
        </w:rPr>
        <w:br/>
        <w:t>The system begins executing requests merely because they are technically possible, commercially attractive, or socially exciting.</w:t>
      </w:r>
    </w:p>
    <w:p w14:paraId="0D43D22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b/>
          <w:bCs/>
          <w:i/>
          <w:iCs/>
        </w:rPr>
        <w:t>Second: semantic drift.</w:t>
      </w:r>
      <w:r w:rsidRPr="00B479AE">
        <w:rPr>
          <w:rFonts w:ascii="Baskerville Old Face" w:hAnsi="Baskerville Old Face"/>
          <w:i/>
          <w:iCs/>
        </w:rPr>
        <w:br/>
        <w:t>Words such as regeneration, PRU, MRV, governance, token, community, value, impact, coherence, or intelligence begin to lose precise meaning.</w:t>
      </w:r>
    </w:p>
    <w:p w14:paraId="7DE2F9A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b/>
          <w:bCs/>
          <w:i/>
          <w:iCs/>
        </w:rPr>
        <w:t>Third: institutional drift.</w:t>
      </w:r>
      <w:r w:rsidRPr="00B479AE">
        <w:rPr>
          <w:rFonts w:ascii="Baskerville Old Face" w:hAnsi="Baskerville Old Face"/>
          <w:i/>
          <w:iCs/>
        </w:rPr>
        <w:br/>
        <w:t>Prometheus begins making claims, promises, financial projections, legal commitments, ecological representations, or governance decisions before the supporting framework exists.</w:t>
      </w:r>
    </w:p>
    <w:p w14:paraId="078FD4A2"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b/>
          <w:bCs/>
          <w:i/>
          <w:iCs/>
        </w:rPr>
        <w:t>Fourth: constitutional drift.</w:t>
      </w:r>
      <w:r w:rsidRPr="00B479AE">
        <w:rPr>
          <w:rFonts w:ascii="Baskerville Old Face" w:hAnsi="Baskerville Old Face"/>
          <w:i/>
          <w:iCs/>
        </w:rPr>
        <w:br/>
        <w:t>The system allows urgency, charisma, capital, ideology, AI output, community pressure, or technical convenience to weaken the source layer.</w:t>
      </w:r>
    </w:p>
    <w:p w14:paraId="33DD0C6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protocol therefore functions as a constitutional immune system.</w:t>
      </w:r>
    </w:p>
    <w:p w14:paraId="423215E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detects misalignment.</w:t>
      </w:r>
    </w:p>
    <w:p w14:paraId="167E044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classifies the request.</w:t>
      </w:r>
    </w:p>
    <w:p w14:paraId="7B76B95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preserves useful signal.</w:t>
      </w:r>
    </w:p>
    <w:p w14:paraId="14B1E6A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blocks invalid execution.</w:t>
      </w:r>
    </w:p>
    <w:p w14:paraId="07EA3B4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It routes the request to the correct pathway.</w:t>
      </w:r>
    </w:p>
    <w:p w14:paraId="3FF01B5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keeps Prometheus creative without becoming careless.</w:t>
      </w:r>
    </w:p>
    <w:p w14:paraId="0156A973"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13.2 Definition of a Non-Aligned Request</w:t>
      </w:r>
    </w:p>
    <w:p w14:paraId="74AF646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non-aligned request is any request, instruction, proposal, output, workflow, model action, governance action, communication, financial structure, ecological claim, technical execution, or token-related pathway that does not currently satisfy the conditions for valid Prometheus execution.</w:t>
      </w:r>
    </w:p>
    <w:p w14:paraId="07ACF75B"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request may be non-aligned because it is:</w:t>
      </w:r>
    </w:p>
    <w:p w14:paraId="119A14D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outside the participant’s access scope;</w:t>
      </w:r>
      <w:r w:rsidRPr="00B479AE">
        <w:rPr>
          <w:rFonts w:ascii="Baskerville Old Face" w:hAnsi="Baskerville Old Face"/>
          <w:i/>
          <w:iCs/>
        </w:rPr>
        <w:br/>
        <w:t>• unsupported by evidence;</w:t>
      </w:r>
      <w:r w:rsidRPr="00B479AE">
        <w:rPr>
          <w:rFonts w:ascii="Baskerville Old Face" w:hAnsi="Baskerville Old Face"/>
          <w:i/>
          <w:iCs/>
        </w:rPr>
        <w:br/>
        <w:t>• inconsistent with MRV methodology;</w:t>
      </w:r>
      <w:r w:rsidRPr="00B479AE">
        <w:rPr>
          <w:rFonts w:ascii="Baskerville Old Face" w:hAnsi="Baskerville Old Face"/>
          <w:i/>
          <w:iCs/>
        </w:rPr>
        <w:br/>
        <w:t>• premature for PRU or RAP use;</w:t>
      </w:r>
      <w:r w:rsidRPr="00B479AE">
        <w:rPr>
          <w:rFonts w:ascii="Baskerville Old Face" w:hAnsi="Baskerville Old Face"/>
          <w:i/>
          <w:iCs/>
        </w:rPr>
        <w:br/>
        <w:t>• legally unreviewed;</w:t>
      </w:r>
      <w:r w:rsidRPr="00B479AE">
        <w:rPr>
          <w:rFonts w:ascii="Baskerville Old Face" w:hAnsi="Baskerville Old Face"/>
          <w:i/>
          <w:iCs/>
        </w:rPr>
        <w:br/>
        <w:t>• financially overclaiming;</w:t>
      </w:r>
      <w:r w:rsidRPr="00B479AE">
        <w:rPr>
          <w:rFonts w:ascii="Baskerville Old Face" w:hAnsi="Baskerville Old Face"/>
          <w:i/>
          <w:iCs/>
        </w:rPr>
        <w:br/>
        <w:t xml:space="preserve">• </w:t>
      </w:r>
      <w:proofErr w:type="spellStart"/>
      <w:r w:rsidRPr="00B479AE">
        <w:rPr>
          <w:rFonts w:ascii="Baskerville Old Face" w:hAnsi="Baskerville Old Face"/>
          <w:i/>
          <w:iCs/>
        </w:rPr>
        <w:t>tokenomically</w:t>
      </w:r>
      <w:proofErr w:type="spellEnd"/>
      <w:r w:rsidRPr="00B479AE">
        <w:rPr>
          <w:rFonts w:ascii="Baskerville Old Face" w:hAnsi="Baskerville Old Face"/>
          <w:i/>
          <w:iCs/>
        </w:rPr>
        <w:t xml:space="preserve"> ambiguous;</w:t>
      </w:r>
      <w:r w:rsidRPr="00B479AE">
        <w:rPr>
          <w:rFonts w:ascii="Baskerville Old Face" w:hAnsi="Baskerville Old Face"/>
          <w:i/>
          <w:iCs/>
        </w:rPr>
        <w:br/>
        <w:t>• technically unimplemented;</w:t>
      </w:r>
      <w:r w:rsidRPr="00B479AE">
        <w:rPr>
          <w:rFonts w:ascii="Baskerville Old Face" w:hAnsi="Baskerville Old Face"/>
          <w:i/>
          <w:iCs/>
        </w:rPr>
        <w:br/>
        <w:t>• operationally unsafe;</w:t>
      </w:r>
      <w:r w:rsidRPr="00B479AE">
        <w:rPr>
          <w:rFonts w:ascii="Baskerville Old Face" w:hAnsi="Baskerville Old Face"/>
          <w:i/>
          <w:iCs/>
        </w:rPr>
        <w:br/>
        <w:t>• privacy-invasive;</w:t>
      </w:r>
      <w:r w:rsidRPr="00B479AE">
        <w:rPr>
          <w:rFonts w:ascii="Baskerville Old Face" w:hAnsi="Baskerville Old Face"/>
          <w:i/>
          <w:iCs/>
        </w:rPr>
        <w:br/>
        <w:t>• coercive or dignity-violating;</w:t>
      </w:r>
      <w:r w:rsidRPr="00B479AE">
        <w:rPr>
          <w:rFonts w:ascii="Baskerville Old Face" w:hAnsi="Baskerville Old Face"/>
          <w:i/>
          <w:iCs/>
        </w:rPr>
        <w:br/>
        <w:t>• inconsistent with community consent;</w:t>
      </w:r>
      <w:r w:rsidRPr="00B479AE">
        <w:rPr>
          <w:rFonts w:ascii="Baskerville Old Face" w:hAnsi="Baskerville Old Face"/>
          <w:i/>
          <w:iCs/>
        </w:rPr>
        <w:br/>
        <w:t>• inconsistent with the Access Covenant;</w:t>
      </w:r>
      <w:r w:rsidRPr="00B479AE">
        <w:rPr>
          <w:rFonts w:ascii="Baskerville Old Face" w:hAnsi="Baskerville Old Face"/>
          <w:i/>
          <w:iCs/>
        </w:rPr>
        <w:br/>
        <w:t>• inconsistent with foundational articles;</w:t>
      </w:r>
      <w:r w:rsidRPr="00B479AE">
        <w:rPr>
          <w:rFonts w:ascii="Baskerville Old Face" w:hAnsi="Baskerville Old Face"/>
          <w:i/>
          <w:iCs/>
        </w:rPr>
        <w:br/>
        <w:t>• barred by Eternity Clauses.</w:t>
      </w:r>
    </w:p>
    <w:p w14:paraId="5F1E00C0" w14:textId="5C5B7BA3"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protocol must distinguish between:</w:t>
      </w:r>
      <w:r w:rsidR="00D46989" w:rsidRPr="00B479AE">
        <w:rPr>
          <w:rFonts w:ascii="Baskerville Old Face" w:hAnsi="Baskerville Old Face"/>
          <w:i/>
          <w:iCs/>
        </w:rPr>
        <w:t xml:space="preserve"> </w:t>
      </w:r>
    </w:p>
    <w:p w14:paraId="55361828" w14:textId="77777777" w:rsidR="00D46989" w:rsidRPr="00B479AE" w:rsidRDefault="00D46989" w:rsidP="0055683A">
      <w:pPr>
        <w:spacing w:line="360" w:lineRule="auto"/>
        <w:rPr>
          <w:rFonts w:ascii="Baskerville Old Face" w:hAnsi="Baskerville Old Face"/>
          <w:i/>
          <w:iCs/>
        </w:rPr>
      </w:pPr>
    </w:p>
    <w:p w14:paraId="7EE63F24" w14:textId="77777777" w:rsidR="00D46989" w:rsidRPr="00B479AE" w:rsidRDefault="00D46989" w:rsidP="0055683A">
      <w:pPr>
        <w:spacing w:line="360" w:lineRule="auto"/>
        <w:rPr>
          <w:rFonts w:ascii="Baskerville Old Face" w:hAnsi="Baskerville Old Face"/>
          <w:i/>
          <w:iCs/>
        </w:rPr>
      </w:pPr>
    </w:p>
    <w:p w14:paraId="4D3F7632" w14:textId="77777777" w:rsidR="00D46989" w:rsidRPr="00B479AE" w:rsidRDefault="00D46989" w:rsidP="0055683A">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4812"/>
        <w:gridCol w:w="2594"/>
      </w:tblGrid>
      <w:tr w:rsidR="0055683A" w:rsidRPr="00B479AE" w14:paraId="73904CCB" w14:textId="77777777" w:rsidTr="0055683A">
        <w:trPr>
          <w:tblHeader/>
          <w:tblCellSpacing w:w="15" w:type="dxa"/>
        </w:trPr>
        <w:tc>
          <w:tcPr>
            <w:tcW w:w="0" w:type="auto"/>
            <w:vAlign w:val="center"/>
            <w:hideMark/>
          </w:tcPr>
          <w:p w14:paraId="1D0FA9A2"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Request type</w:t>
            </w:r>
          </w:p>
        </w:tc>
        <w:tc>
          <w:tcPr>
            <w:tcW w:w="0" w:type="auto"/>
            <w:vAlign w:val="center"/>
            <w:hideMark/>
          </w:tcPr>
          <w:p w14:paraId="7CEB6432"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6D6FC2C7"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Response orientation</w:t>
            </w:r>
          </w:p>
        </w:tc>
      </w:tr>
      <w:tr w:rsidR="0055683A" w:rsidRPr="00B479AE" w14:paraId="4B6009F4" w14:textId="77777777" w:rsidTr="0055683A">
        <w:trPr>
          <w:tblCellSpacing w:w="15" w:type="dxa"/>
        </w:trPr>
        <w:tc>
          <w:tcPr>
            <w:tcW w:w="0" w:type="auto"/>
            <w:vAlign w:val="center"/>
            <w:hideMark/>
          </w:tcPr>
          <w:p w14:paraId="01DEF55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Incomplete request</w:t>
            </w:r>
          </w:p>
        </w:tc>
        <w:tc>
          <w:tcPr>
            <w:tcW w:w="0" w:type="auto"/>
            <w:vAlign w:val="center"/>
            <w:hideMark/>
          </w:tcPr>
          <w:p w14:paraId="6177E718"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Missing information, scope, evidence, or authority.</w:t>
            </w:r>
          </w:p>
        </w:tc>
        <w:tc>
          <w:tcPr>
            <w:tcW w:w="0" w:type="auto"/>
            <w:vAlign w:val="center"/>
            <w:hideMark/>
          </w:tcPr>
          <w:p w14:paraId="4FE97CA8"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Ask for clarification or route to intake.</w:t>
            </w:r>
          </w:p>
        </w:tc>
      </w:tr>
      <w:tr w:rsidR="0055683A" w:rsidRPr="00B479AE" w14:paraId="6FF752D8" w14:textId="77777777" w:rsidTr="0055683A">
        <w:trPr>
          <w:tblCellSpacing w:w="15" w:type="dxa"/>
        </w:trPr>
        <w:tc>
          <w:tcPr>
            <w:tcW w:w="0" w:type="auto"/>
            <w:vAlign w:val="center"/>
            <w:hideMark/>
          </w:tcPr>
          <w:p w14:paraId="3E6AB61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Premature request</w:t>
            </w:r>
          </w:p>
        </w:tc>
        <w:tc>
          <w:tcPr>
            <w:tcW w:w="0" w:type="auto"/>
            <w:vAlign w:val="center"/>
            <w:hideMark/>
          </w:tcPr>
          <w:p w14:paraId="1ED7C7F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Direction may be valid later, but current evidence, law, governance, or implementation is insufficient.</w:t>
            </w:r>
          </w:p>
        </w:tc>
        <w:tc>
          <w:tcPr>
            <w:tcW w:w="0" w:type="auto"/>
            <w:vAlign w:val="center"/>
            <w:hideMark/>
          </w:tcPr>
          <w:p w14:paraId="571F89D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Park, stage, pilot, or send to review.</w:t>
            </w:r>
          </w:p>
        </w:tc>
      </w:tr>
      <w:tr w:rsidR="0055683A" w:rsidRPr="00B479AE" w14:paraId="1104427E" w14:textId="77777777" w:rsidTr="0055683A">
        <w:trPr>
          <w:tblCellSpacing w:w="15" w:type="dxa"/>
        </w:trPr>
        <w:tc>
          <w:tcPr>
            <w:tcW w:w="0" w:type="auto"/>
            <w:vAlign w:val="center"/>
            <w:hideMark/>
          </w:tcPr>
          <w:p w14:paraId="7E321795"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Speculative request</w:t>
            </w:r>
          </w:p>
        </w:tc>
        <w:tc>
          <w:tcPr>
            <w:tcW w:w="0" w:type="auto"/>
            <w:vAlign w:val="center"/>
            <w:hideMark/>
          </w:tcPr>
          <w:p w14:paraId="62BFBDB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Future-facing but not yet grounded enough for execution or representation.</w:t>
            </w:r>
          </w:p>
        </w:tc>
        <w:tc>
          <w:tcPr>
            <w:tcW w:w="0" w:type="auto"/>
            <w:vAlign w:val="center"/>
            <w:hideMark/>
          </w:tcPr>
          <w:p w14:paraId="70DE08CB"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Treat as research, scenario, or appendix material.</w:t>
            </w:r>
          </w:p>
        </w:tc>
      </w:tr>
      <w:tr w:rsidR="0055683A" w:rsidRPr="00B479AE" w14:paraId="00BDF842" w14:textId="77777777" w:rsidTr="0055683A">
        <w:trPr>
          <w:tblCellSpacing w:w="15" w:type="dxa"/>
        </w:trPr>
        <w:tc>
          <w:tcPr>
            <w:tcW w:w="0" w:type="auto"/>
            <w:vAlign w:val="center"/>
            <w:hideMark/>
          </w:tcPr>
          <w:p w14:paraId="6B77A13B"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Misclassified request</w:t>
            </w:r>
          </w:p>
        </w:tc>
        <w:tc>
          <w:tcPr>
            <w:tcW w:w="0" w:type="auto"/>
            <w:vAlign w:val="center"/>
            <w:hideMark/>
          </w:tcPr>
          <w:p w14:paraId="67713CE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belongs to a different pathway than the one proposed.</w:t>
            </w:r>
          </w:p>
        </w:tc>
        <w:tc>
          <w:tcPr>
            <w:tcW w:w="0" w:type="auto"/>
            <w:vAlign w:val="center"/>
            <w:hideMark/>
          </w:tcPr>
          <w:p w14:paraId="7E398C08"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Reclassify and reroute.</w:t>
            </w:r>
          </w:p>
        </w:tc>
      </w:tr>
      <w:tr w:rsidR="0055683A" w:rsidRPr="00B479AE" w14:paraId="67C42D91" w14:textId="77777777" w:rsidTr="0055683A">
        <w:trPr>
          <w:tblCellSpacing w:w="15" w:type="dxa"/>
        </w:trPr>
        <w:tc>
          <w:tcPr>
            <w:tcW w:w="0" w:type="auto"/>
            <w:vAlign w:val="center"/>
            <w:hideMark/>
          </w:tcPr>
          <w:p w14:paraId="12E9BE71"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High-risk request</w:t>
            </w:r>
          </w:p>
        </w:tc>
        <w:tc>
          <w:tcPr>
            <w:tcW w:w="0" w:type="auto"/>
            <w:vAlign w:val="center"/>
            <w:hideMark/>
          </w:tcPr>
          <w:p w14:paraId="2C3BACF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Could create legal, ecological, financial, technical, or governance harm.</w:t>
            </w:r>
          </w:p>
        </w:tc>
        <w:tc>
          <w:tcPr>
            <w:tcW w:w="0" w:type="auto"/>
            <w:vAlign w:val="center"/>
            <w:hideMark/>
          </w:tcPr>
          <w:p w14:paraId="0866B89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Pause and require review.</w:t>
            </w:r>
          </w:p>
        </w:tc>
      </w:tr>
      <w:tr w:rsidR="0055683A" w:rsidRPr="00B479AE" w14:paraId="16F98972" w14:textId="77777777" w:rsidTr="0055683A">
        <w:trPr>
          <w:tblCellSpacing w:w="15" w:type="dxa"/>
        </w:trPr>
        <w:tc>
          <w:tcPr>
            <w:tcW w:w="0" w:type="auto"/>
            <w:vAlign w:val="center"/>
            <w:hideMark/>
          </w:tcPr>
          <w:p w14:paraId="6C14F86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Constitutionally misaligned request</w:t>
            </w:r>
          </w:p>
        </w:tc>
        <w:tc>
          <w:tcPr>
            <w:tcW w:w="0" w:type="auto"/>
            <w:vAlign w:val="center"/>
            <w:hideMark/>
          </w:tcPr>
          <w:p w14:paraId="7B8AEFD8"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Violates source-layer constraints.</w:t>
            </w:r>
          </w:p>
        </w:tc>
        <w:tc>
          <w:tcPr>
            <w:tcW w:w="0" w:type="auto"/>
            <w:vAlign w:val="center"/>
            <w:hideMark/>
          </w:tcPr>
          <w:p w14:paraId="1C201CB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Refuse, quarantine, or escalate.</w:t>
            </w:r>
          </w:p>
        </w:tc>
      </w:tr>
      <w:tr w:rsidR="0055683A" w:rsidRPr="00B479AE" w14:paraId="5156CAAD" w14:textId="77777777" w:rsidTr="0055683A">
        <w:trPr>
          <w:tblCellSpacing w:w="15" w:type="dxa"/>
        </w:trPr>
        <w:tc>
          <w:tcPr>
            <w:tcW w:w="0" w:type="auto"/>
            <w:vAlign w:val="center"/>
            <w:hideMark/>
          </w:tcPr>
          <w:p w14:paraId="7E1A976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Hostile or manipulative request</w:t>
            </w:r>
          </w:p>
        </w:tc>
        <w:tc>
          <w:tcPr>
            <w:tcW w:w="0" w:type="auto"/>
            <w:vAlign w:val="center"/>
            <w:hideMark/>
          </w:tcPr>
          <w:p w14:paraId="5D2F451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Attempts bypass, deception, capture, exploitation, or unauthorized execution.</w:t>
            </w:r>
          </w:p>
        </w:tc>
        <w:tc>
          <w:tcPr>
            <w:tcW w:w="0" w:type="auto"/>
            <w:vAlign w:val="center"/>
            <w:hideMark/>
          </w:tcPr>
          <w:p w14:paraId="7979D11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Block, log, restrict, or escalate.</w:t>
            </w:r>
          </w:p>
        </w:tc>
      </w:tr>
    </w:tbl>
    <w:p w14:paraId="09AA239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This classification avoids overreaction.</w:t>
      </w:r>
    </w:p>
    <w:p w14:paraId="5F24426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Not every non-aligned request is dangerous.</w:t>
      </w:r>
    </w:p>
    <w:p w14:paraId="0D144E8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But every non-aligned request must be prevented from becoming unauthorized execution.</w:t>
      </w:r>
    </w:p>
    <w:p w14:paraId="25E5214C"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13.3 Alignment Questions</w:t>
      </w:r>
    </w:p>
    <w:p w14:paraId="623B1A4D" w14:textId="49F0A800"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Before executing or approving any sensitive request, Prometheus should ask:</w:t>
      </w:r>
      <w:r w:rsidR="000946A7" w:rsidRPr="00B479AE">
        <w:rPr>
          <w:rFonts w:ascii="Baskerville Old Face" w:hAnsi="Baskerville Old Face"/>
          <w:i/>
          <w:iCs/>
        </w:rPr>
        <w:t xml:space="preserve"> </w:t>
      </w:r>
    </w:p>
    <w:p w14:paraId="689C8BB1" w14:textId="77777777" w:rsidR="000946A7" w:rsidRPr="00B479AE" w:rsidRDefault="000946A7" w:rsidP="0055683A">
      <w:pPr>
        <w:spacing w:line="360" w:lineRule="auto"/>
        <w:rPr>
          <w:rFonts w:ascii="Baskerville Old Face" w:hAnsi="Baskerville Old Face"/>
          <w:i/>
          <w:iCs/>
        </w:rPr>
      </w:pPr>
    </w:p>
    <w:p w14:paraId="5F3D8D0A" w14:textId="77777777" w:rsidR="00603555" w:rsidRPr="00B479AE" w:rsidRDefault="00603555" w:rsidP="0055683A">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7109"/>
      </w:tblGrid>
      <w:tr w:rsidR="0055683A" w:rsidRPr="00B479AE" w14:paraId="10E5D0DD" w14:textId="77777777" w:rsidTr="0055683A">
        <w:trPr>
          <w:tblHeader/>
          <w:tblCellSpacing w:w="15" w:type="dxa"/>
        </w:trPr>
        <w:tc>
          <w:tcPr>
            <w:tcW w:w="0" w:type="auto"/>
            <w:vAlign w:val="center"/>
            <w:hideMark/>
          </w:tcPr>
          <w:p w14:paraId="106CF6EF"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Alignment question</w:t>
            </w:r>
          </w:p>
        </w:tc>
        <w:tc>
          <w:tcPr>
            <w:tcW w:w="0" w:type="auto"/>
            <w:vAlign w:val="center"/>
            <w:hideMark/>
          </w:tcPr>
          <w:p w14:paraId="3F49E513"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Purpose</w:t>
            </w:r>
          </w:p>
        </w:tc>
      </w:tr>
      <w:tr w:rsidR="0055683A" w:rsidRPr="00B479AE" w14:paraId="23122B37" w14:textId="77777777" w:rsidTr="0055683A">
        <w:trPr>
          <w:tblCellSpacing w:w="15" w:type="dxa"/>
        </w:trPr>
        <w:tc>
          <w:tcPr>
            <w:tcW w:w="0" w:type="auto"/>
            <w:vAlign w:val="center"/>
            <w:hideMark/>
          </w:tcPr>
          <w:p w14:paraId="5B8A6249"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Who is asking?</w:t>
            </w:r>
          </w:p>
        </w:tc>
        <w:tc>
          <w:tcPr>
            <w:tcW w:w="0" w:type="auto"/>
            <w:vAlign w:val="center"/>
            <w:hideMark/>
          </w:tcPr>
          <w:p w14:paraId="66E9669B"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Identifies participant, role, authority, and access scope.</w:t>
            </w:r>
          </w:p>
        </w:tc>
      </w:tr>
      <w:tr w:rsidR="0055683A" w:rsidRPr="00B479AE" w14:paraId="2C997EE1" w14:textId="77777777" w:rsidTr="0055683A">
        <w:trPr>
          <w:tblCellSpacing w:w="15" w:type="dxa"/>
        </w:trPr>
        <w:tc>
          <w:tcPr>
            <w:tcW w:w="0" w:type="auto"/>
            <w:vAlign w:val="center"/>
            <w:hideMark/>
          </w:tcPr>
          <w:p w14:paraId="0B10ADD5"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is being requested?</w:t>
            </w:r>
          </w:p>
        </w:tc>
        <w:tc>
          <w:tcPr>
            <w:tcW w:w="0" w:type="auto"/>
            <w:vAlign w:val="center"/>
            <w:hideMark/>
          </w:tcPr>
          <w:p w14:paraId="19E9777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Clarifies action, claim, output, or execution path.</w:t>
            </w:r>
          </w:p>
        </w:tc>
      </w:tr>
      <w:tr w:rsidR="0055683A" w:rsidRPr="00B479AE" w14:paraId="06E410A6" w14:textId="77777777" w:rsidTr="0055683A">
        <w:trPr>
          <w:tblCellSpacing w:w="15" w:type="dxa"/>
        </w:trPr>
        <w:tc>
          <w:tcPr>
            <w:tcW w:w="0" w:type="auto"/>
            <w:vAlign w:val="center"/>
            <w:hideMark/>
          </w:tcPr>
          <w:p w14:paraId="17A5455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Which domain is affected?</w:t>
            </w:r>
          </w:p>
        </w:tc>
        <w:tc>
          <w:tcPr>
            <w:tcW w:w="0" w:type="auto"/>
            <w:vAlign w:val="center"/>
            <w:hideMark/>
          </w:tcPr>
          <w:p w14:paraId="3A6319D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Determines whether the request involves governance, MRV, PRU, RAP, finance, tokens, HSI, data, law, community, or technology.</w:t>
            </w:r>
          </w:p>
        </w:tc>
      </w:tr>
      <w:tr w:rsidR="0055683A" w:rsidRPr="00B479AE" w14:paraId="0F4536C2" w14:textId="77777777" w:rsidTr="0055683A">
        <w:trPr>
          <w:tblCellSpacing w:w="15" w:type="dxa"/>
        </w:trPr>
        <w:tc>
          <w:tcPr>
            <w:tcW w:w="0" w:type="auto"/>
            <w:vAlign w:val="center"/>
            <w:hideMark/>
          </w:tcPr>
          <w:p w14:paraId="765F703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evidence supports it?</w:t>
            </w:r>
          </w:p>
        </w:tc>
        <w:tc>
          <w:tcPr>
            <w:tcW w:w="0" w:type="auto"/>
            <w:vAlign w:val="center"/>
            <w:hideMark/>
          </w:tcPr>
          <w:p w14:paraId="4660EBD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narrative from becoming value.</w:t>
            </w:r>
          </w:p>
        </w:tc>
      </w:tr>
      <w:tr w:rsidR="0055683A" w:rsidRPr="00B479AE" w14:paraId="0D3197B5" w14:textId="77777777" w:rsidTr="0055683A">
        <w:trPr>
          <w:tblCellSpacing w:w="15" w:type="dxa"/>
        </w:trPr>
        <w:tc>
          <w:tcPr>
            <w:tcW w:w="0" w:type="auto"/>
            <w:vAlign w:val="center"/>
            <w:hideMark/>
          </w:tcPr>
          <w:p w14:paraId="6D52702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methodology applies?</w:t>
            </w:r>
          </w:p>
        </w:tc>
        <w:tc>
          <w:tcPr>
            <w:tcW w:w="0" w:type="auto"/>
            <w:vAlign w:val="center"/>
            <w:hideMark/>
          </w:tcPr>
          <w:p w14:paraId="0EA5E43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Ensures versioned discipline.</w:t>
            </w:r>
          </w:p>
        </w:tc>
      </w:tr>
      <w:tr w:rsidR="0055683A" w:rsidRPr="00B479AE" w14:paraId="144A97DA" w14:textId="77777777" w:rsidTr="0055683A">
        <w:trPr>
          <w:tblCellSpacing w:w="15" w:type="dxa"/>
        </w:trPr>
        <w:tc>
          <w:tcPr>
            <w:tcW w:w="0" w:type="auto"/>
            <w:vAlign w:val="center"/>
            <w:hideMark/>
          </w:tcPr>
          <w:p w14:paraId="4295C04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legal structure applies?</w:t>
            </w:r>
          </w:p>
        </w:tc>
        <w:tc>
          <w:tcPr>
            <w:tcW w:w="0" w:type="auto"/>
            <w:vAlign w:val="center"/>
            <w:hideMark/>
          </w:tcPr>
          <w:p w14:paraId="05FE9FF1"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unauthorized financial, token, data, land, or investor claims.</w:t>
            </w:r>
          </w:p>
        </w:tc>
      </w:tr>
      <w:tr w:rsidR="0055683A" w:rsidRPr="00B479AE" w14:paraId="7D409213" w14:textId="77777777" w:rsidTr="0055683A">
        <w:trPr>
          <w:tblCellSpacing w:w="15" w:type="dxa"/>
        </w:trPr>
        <w:tc>
          <w:tcPr>
            <w:tcW w:w="0" w:type="auto"/>
            <w:vAlign w:val="center"/>
            <w:hideMark/>
          </w:tcPr>
          <w:p w14:paraId="0CB03B9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permissions are required?</w:t>
            </w:r>
          </w:p>
        </w:tc>
        <w:tc>
          <w:tcPr>
            <w:tcW w:w="0" w:type="auto"/>
            <w:vAlign w:val="center"/>
            <w:hideMark/>
          </w:tcPr>
          <w:p w14:paraId="5FEC09CB"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Ensures role-scoped execution.</w:t>
            </w:r>
          </w:p>
        </w:tc>
      </w:tr>
      <w:tr w:rsidR="0055683A" w:rsidRPr="00B479AE" w14:paraId="402C348C" w14:textId="77777777" w:rsidTr="0055683A">
        <w:trPr>
          <w:tblCellSpacing w:w="15" w:type="dxa"/>
        </w:trPr>
        <w:tc>
          <w:tcPr>
            <w:tcW w:w="0" w:type="auto"/>
            <w:vAlign w:val="center"/>
            <w:hideMark/>
          </w:tcPr>
          <w:p w14:paraId="3130E13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could be harmed?</w:t>
            </w:r>
          </w:p>
        </w:tc>
        <w:tc>
          <w:tcPr>
            <w:tcW w:w="0" w:type="auto"/>
            <w:vAlign w:val="center"/>
            <w:hideMark/>
          </w:tcPr>
          <w:p w14:paraId="3B3D77D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Identifies dignity, ecological, legal, financial, technical, or governance risk.</w:t>
            </w:r>
          </w:p>
        </w:tc>
      </w:tr>
      <w:tr w:rsidR="0055683A" w:rsidRPr="00B479AE" w14:paraId="01052F15" w14:textId="77777777" w:rsidTr="0055683A">
        <w:trPr>
          <w:tblCellSpacing w:w="15" w:type="dxa"/>
        </w:trPr>
        <w:tc>
          <w:tcPr>
            <w:tcW w:w="0" w:type="auto"/>
            <w:vAlign w:val="center"/>
            <w:hideMark/>
          </w:tcPr>
          <w:p w14:paraId="7AE8C1D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review is required?</w:t>
            </w:r>
          </w:p>
        </w:tc>
        <w:tc>
          <w:tcPr>
            <w:tcW w:w="0" w:type="auto"/>
            <w:vAlign w:val="center"/>
            <w:hideMark/>
          </w:tcPr>
          <w:p w14:paraId="4E612CE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Routes the request to the correct pathway.</w:t>
            </w:r>
          </w:p>
        </w:tc>
      </w:tr>
      <w:tr w:rsidR="0055683A" w:rsidRPr="00B479AE" w14:paraId="0BD854C6" w14:textId="77777777" w:rsidTr="0055683A">
        <w:trPr>
          <w:tblCellSpacing w:w="15" w:type="dxa"/>
        </w:trPr>
        <w:tc>
          <w:tcPr>
            <w:tcW w:w="0" w:type="auto"/>
            <w:vAlign w:val="center"/>
            <w:hideMark/>
          </w:tcPr>
          <w:p w14:paraId="3EEBE7D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What status should the output receive?</w:t>
            </w:r>
          </w:p>
        </w:tc>
        <w:tc>
          <w:tcPr>
            <w:tcW w:w="0" w:type="auto"/>
            <w:vAlign w:val="center"/>
            <w:hideMark/>
          </w:tcPr>
          <w:p w14:paraId="7B29C0D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Classifies the result as draft, research, non-admissible, pilot, MRV-admissible, investor-review, or executable.</w:t>
            </w:r>
          </w:p>
        </w:tc>
      </w:tr>
    </w:tbl>
    <w:p w14:paraId="0538E0D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These questions convert ambiguity into governance intelligence.</w:t>
      </w:r>
    </w:p>
    <w:p w14:paraId="7CA0D13F"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13.4 Request Classification Status</w:t>
      </w:r>
    </w:p>
    <w:p w14:paraId="408845D0" w14:textId="16A62DB0"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Every non-trivial request should receive a classification status before execution.</w:t>
      </w:r>
      <w:r w:rsidR="00D46989" w:rsidRPr="00B479AE">
        <w:rPr>
          <w:rFonts w:ascii="Baskerville Old Face" w:hAnsi="Baskerville Old Face"/>
          <w:i/>
          <w:iCs/>
        </w:rPr>
        <w:t xml:space="preserve"> </w:t>
      </w:r>
    </w:p>
    <w:p w14:paraId="536AC6CB" w14:textId="77777777" w:rsidR="00D46989" w:rsidRPr="00B479AE" w:rsidRDefault="00D46989" w:rsidP="0055683A">
      <w:pPr>
        <w:spacing w:line="360" w:lineRule="auto"/>
        <w:rPr>
          <w:rFonts w:ascii="Baskerville Old Face" w:hAnsi="Baskerville Old Face"/>
          <w:i/>
          <w:iCs/>
        </w:rPr>
      </w:pPr>
    </w:p>
    <w:p w14:paraId="7CEF3281" w14:textId="77777777" w:rsidR="00603555" w:rsidRPr="00B479AE" w:rsidRDefault="00603555" w:rsidP="0055683A">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3"/>
        <w:gridCol w:w="7305"/>
      </w:tblGrid>
      <w:tr w:rsidR="0055683A" w:rsidRPr="00B479AE" w14:paraId="04FEF23F" w14:textId="77777777" w:rsidTr="0055683A">
        <w:trPr>
          <w:tblHeader/>
          <w:tblCellSpacing w:w="15" w:type="dxa"/>
        </w:trPr>
        <w:tc>
          <w:tcPr>
            <w:tcW w:w="0" w:type="auto"/>
            <w:vAlign w:val="center"/>
            <w:hideMark/>
          </w:tcPr>
          <w:p w14:paraId="46EB1401"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Status</w:t>
            </w:r>
          </w:p>
        </w:tc>
        <w:tc>
          <w:tcPr>
            <w:tcW w:w="0" w:type="auto"/>
            <w:vAlign w:val="center"/>
            <w:hideMark/>
          </w:tcPr>
          <w:p w14:paraId="436B433A"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55683A" w:rsidRPr="00B479AE" w14:paraId="7DACF95A" w14:textId="77777777" w:rsidTr="0055683A">
        <w:trPr>
          <w:tblCellSpacing w:w="15" w:type="dxa"/>
        </w:trPr>
        <w:tc>
          <w:tcPr>
            <w:tcW w:w="0" w:type="auto"/>
            <w:vAlign w:val="center"/>
            <w:hideMark/>
          </w:tcPr>
          <w:p w14:paraId="43A01D20"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Executable</w:t>
            </w:r>
          </w:p>
        </w:tc>
        <w:tc>
          <w:tcPr>
            <w:tcW w:w="0" w:type="auto"/>
            <w:vAlign w:val="center"/>
            <w:hideMark/>
          </w:tcPr>
          <w:p w14:paraId="708A1DF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is within scope, authorized, and technically/governance-ready.</w:t>
            </w:r>
          </w:p>
        </w:tc>
      </w:tr>
      <w:tr w:rsidR="0055683A" w:rsidRPr="00B479AE" w14:paraId="768CBD65" w14:textId="77777777" w:rsidTr="0055683A">
        <w:trPr>
          <w:tblCellSpacing w:w="15" w:type="dxa"/>
        </w:trPr>
        <w:tc>
          <w:tcPr>
            <w:tcW w:w="0" w:type="auto"/>
            <w:vAlign w:val="center"/>
            <w:hideMark/>
          </w:tcPr>
          <w:p w14:paraId="6FE6E38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Executable with logging</w:t>
            </w:r>
          </w:p>
        </w:tc>
        <w:tc>
          <w:tcPr>
            <w:tcW w:w="0" w:type="auto"/>
            <w:vAlign w:val="center"/>
            <w:hideMark/>
          </w:tcPr>
          <w:p w14:paraId="07B2EF2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may proceed but must be recorded.</w:t>
            </w:r>
          </w:p>
        </w:tc>
      </w:tr>
      <w:tr w:rsidR="0055683A" w:rsidRPr="00B479AE" w14:paraId="1D638837" w14:textId="77777777" w:rsidTr="0055683A">
        <w:trPr>
          <w:tblCellSpacing w:w="15" w:type="dxa"/>
        </w:trPr>
        <w:tc>
          <w:tcPr>
            <w:tcW w:w="0" w:type="auto"/>
            <w:vAlign w:val="center"/>
            <w:hideMark/>
          </w:tcPr>
          <w:p w14:paraId="104AC7E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Executable with review</w:t>
            </w:r>
          </w:p>
        </w:tc>
        <w:tc>
          <w:tcPr>
            <w:tcW w:w="0" w:type="auto"/>
            <w:vAlign w:val="center"/>
            <w:hideMark/>
          </w:tcPr>
          <w:p w14:paraId="1FE488D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may proceed only with subsequent or parallel review.</w:t>
            </w:r>
          </w:p>
        </w:tc>
      </w:tr>
      <w:tr w:rsidR="0055683A" w:rsidRPr="00B479AE" w14:paraId="2B12B8B5" w14:textId="77777777" w:rsidTr="0055683A">
        <w:trPr>
          <w:tblCellSpacing w:w="15" w:type="dxa"/>
        </w:trPr>
        <w:tc>
          <w:tcPr>
            <w:tcW w:w="0" w:type="auto"/>
            <w:vAlign w:val="center"/>
            <w:hideMark/>
          </w:tcPr>
          <w:p w14:paraId="0E6D581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Clarification required</w:t>
            </w:r>
          </w:p>
        </w:tc>
        <w:tc>
          <w:tcPr>
            <w:tcW w:w="0" w:type="auto"/>
            <w:vAlign w:val="center"/>
            <w:hideMark/>
          </w:tcPr>
          <w:p w14:paraId="13D9F18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lacks sufficient scope, evidence, or authority.</w:t>
            </w:r>
          </w:p>
        </w:tc>
      </w:tr>
      <w:tr w:rsidR="0055683A" w:rsidRPr="00B479AE" w14:paraId="719EFE01" w14:textId="77777777" w:rsidTr="0055683A">
        <w:trPr>
          <w:tblCellSpacing w:w="15" w:type="dxa"/>
        </w:trPr>
        <w:tc>
          <w:tcPr>
            <w:tcW w:w="0" w:type="auto"/>
            <w:vAlign w:val="center"/>
            <w:hideMark/>
          </w:tcPr>
          <w:p w14:paraId="0844BF3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Manual review required</w:t>
            </w:r>
          </w:p>
        </w:tc>
        <w:tc>
          <w:tcPr>
            <w:tcW w:w="0" w:type="auto"/>
            <w:vAlign w:val="center"/>
            <w:hideMark/>
          </w:tcPr>
          <w:p w14:paraId="5069459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affects protected domains and must be reviewed before execution.</w:t>
            </w:r>
          </w:p>
        </w:tc>
      </w:tr>
      <w:tr w:rsidR="0055683A" w:rsidRPr="00B479AE" w14:paraId="52727697" w14:textId="77777777" w:rsidTr="0055683A">
        <w:trPr>
          <w:tblCellSpacing w:w="15" w:type="dxa"/>
        </w:trPr>
        <w:tc>
          <w:tcPr>
            <w:tcW w:w="0" w:type="auto"/>
            <w:vAlign w:val="center"/>
            <w:hideMark/>
          </w:tcPr>
          <w:p w14:paraId="7B8351E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review required</w:t>
            </w:r>
          </w:p>
        </w:tc>
        <w:tc>
          <w:tcPr>
            <w:tcW w:w="0" w:type="auto"/>
            <w:vAlign w:val="center"/>
            <w:hideMark/>
          </w:tcPr>
          <w:p w14:paraId="77E9767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may affect rights, obligations, securities, tokens, data, land, health, finance, or public claims.</w:t>
            </w:r>
          </w:p>
        </w:tc>
      </w:tr>
      <w:tr w:rsidR="0055683A" w:rsidRPr="00B479AE" w14:paraId="1F4E7A04" w14:textId="77777777" w:rsidTr="0055683A">
        <w:trPr>
          <w:tblCellSpacing w:w="15" w:type="dxa"/>
        </w:trPr>
        <w:tc>
          <w:tcPr>
            <w:tcW w:w="0" w:type="auto"/>
            <w:vAlign w:val="center"/>
            <w:hideMark/>
          </w:tcPr>
          <w:p w14:paraId="0C3C641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review required</w:t>
            </w:r>
          </w:p>
        </w:tc>
        <w:tc>
          <w:tcPr>
            <w:tcW w:w="0" w:type="auto"/>
            <w:vAlign w:val="center"/>
            <w:hideMark/>
          </w:tcPr>
          <w:p w14:paraId="03D862A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affects evidence, indicators, PRU, RAP, ecological performance, or admissibility.</w:t>
            </w:r>
          </w:p>
        </w:tc>
      </w:tr>
      <w:tr w:rsidR="0055683A" w:rsidRPr="00B479AE" w14:paraId="7A108392" w14:textId="77777777" w:rsidTr="0055683A">
        <w:trPr>
          <w:tblCellSpacing w:w="15" w:type="dxa"/>
        </w:trPr>
        <w:tc>
          <w:tcPr>
            <w:tcW w:w="0" w:type="auto"/>
            <w:vAlign w:val="center"/>
            <w:hideMark/>
          </w:tcPr>
          <w:p w14:paraId="20ABA5E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review required</w:t>
            </w:r>
          </w:p>
        </w:tc>
        <w:tc>
          <w:tcPr>
            <w:tcW w:w="0" w:type="auto"/>
            <w:vAlign w:val="center"/>
            <w:hideMark/>
          </w:tcPr>
          <w:p w14:paraId="7408361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affects code, infrastructure, permissions, data security, APIs, or automation.</w:t>
            </w:r>
          </w:p>
        </w:tc>
      </w:tr>
      <w:tr w:rsidR="0055683A" w:rsidRPr="00B479AE" w14:paraId="426EE14B" w14:textId="77777777" w:rsidTr="0055683A">
        <w:trPr>
          <w:tblCellSpacing w:w="15" w:type="dxa"/>
        </w:trPr>
        <w:tc>
          <w:tcPr>
            <w:tcW w:w="0" w:type="auto"/>
            <w:vAlign w:val="center"/>
            <w:hideMark/>
          </w:tcPr>
          <w:p w14:paraId="66946941"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review required</w:t>
            </w:r>
          </w:p>
        </w:tc>
        <w:tc>
          <w:tcPr>
            <w:tcW w:w="0" w:type="auto"/>
            <w:vAlign w:val="center"/>
            <w:hideMark/>
          </w:tcPr>
          <w:p w14:paraId="6696CE2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affects roles, authority, community process, access, or decision rights.</w:t>
            </w:r>
          </w:p>
        </w:tc>
      </w:tr>
      <w:tr w:rsidR="0055683A" w:rsidRPr="00B479AE" w14:paraId="4BFD607C" w14:textId="77777777" w:rsidTr="0055683A">
        <w:trPr>
          <w:tblCellSpacing w:w="15" w:type="dxa"/>
        </w:trPr>
        <w:tc>
          <w:tcPr>
            <w:tcW w:w="0" w:type="auto"/>
            <w:vAlign w:val="center"/>
            <w:hideMark/>
          </w:tcPr>
          <w:p w14:paraId="32C5C62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review required</w:t>
            </w:r>
          </w:p>
        </w:tc>
        <w:tc>
          <w:tcPr>
            <w:tcW w:w="0" w:type="auto"/>
            <w:vAlign w:val="center"/>
            <w:hideMark/>
          </w:tcPr>
          <w:p w14:paraId="684F79B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may affect foundational articles, Eternity Clauses, source-layer constraints, or canonical definitions.</w:t>
            </w:r>
          </w:p>
        </w:tc>
      </w:tr>
      <w:tr w:rsidR="0055683A" w:rsidRPr="00B479AE" w14:paraId="48E8D8C6" w14:textId="77777777" w:rsidTr="0055683A">
        <w:trPr>
          <w:tblCellSpacing w:w="15" w:type="dxa"/>
        </w:trPr>
        <w:tc>
          <w:tcPr>
            <w:tcW w:w="0" w:type="auto"/>
            <w:vAlign w:val="center"/>
            <w:hideMark/>
          </w:tcPr>
          <w:p w14:paraId="526B4A51"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Research / sandbox only</w:t>
            </w:r>
          </w:p>
        </w:tc>
        <w:tc>
          <w:tcPr>
            <w:tcW w:w="0" w:type="auto"/>
            <w:vAlign w:val="center"/>
            <w:hideMark/>
          </w:tcPr>
          <w:p w14:paraId="790ED40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may be explored but not executed as mature system behavior.</w:t>
            </w:r>
          </w:p>
        </w:tc>
      </w:tr>
      <w:tr w:rsidR="0055683A" w:rsidRPr="00B479AE" w14:paraId="798EBFDC" w14:textId="77777777" w:rsidTr="0055683A">
        <w:trPr>
          <w:tblCellSpacing w:w="15" w:type="dxa"/>
        </w:trPr>
        <w:tc>
          <w:tcPr>
            <w:tcW w:w="0" w:type="auto"/>
            <w:vAlign w:val="center"/>
            <w:hideMark/>
          </w:tcPr>
          <w:p w14:paraId="27D101AB"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Appendix parking</w:t>
            </w:r>
          </w:p>
        </w:tc>
        <w:tc>
          <w:tcPr>
            <w:tcW w:w="0" w:type="auto"/>
            <w:vAlign w:val="center"/>
            <w:hideMark/>
          </w:tcPr>
          <w:p w14:paraId="1839B984"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contains useful future material but is not appropriate for the current core WP or operative system.</w:t>
            </w:r>
          </w:p>
        </w:tc>
      </w:tr>
      <w:tr w:rsidR="0055683A" w:rsidRPr="00B479AE" w14:paraId="69DF2797" w14:textId="77777777" w:rsidTr="0055683A">
        <w:trPr>
          <w:tblCellSpacing w:w="15" w:type="dxa"/>
        </w:trPr>
        <w:tc>
          <w:tcPr>
            <w:tcW w:w="0" w:type="auto"/>
            <w:vAlign w:val="center"/>
            <w:hideMark/>
          </w:tcPr>
          <w:p w14:paraId="746362F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Non-admissible</w:t>
            </w:r>
          </w:p>
        </w:tc>
        <w:tc>
          <w:tcPr>
            <w:tcW w:w="0" w:type="auto"/>
            <w:vAlign w:val="center"/>
            <w:hideMark/>
          </w:tcPr>
          <w:p w14:paraId="23D97EB8"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or output cannot enter protected Prometheus pathways.</w:t>
            </w:r>
          </w:p>
        </w:tc>
      </w:tr>
      <w:tr w:rsidR="0055683A" w:rsidRPr="00B479AE" w14:paraId="59409302" w14:textId="77777777" w:rsidTr="0055683A">
        <w:trPr>
          <w:tblCellSpacing w:w="15" w:type="dxa"/>
        </w:trPr>
        <w:tc>
          <w:tcPr>
            <w:tcW w:w="0" w:type="auto"/>
            <w:vAlign w:val="center"/>
            <w:hideMark/>
          </w:tcPr>
          <w:p w14:paraId="30FEC86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Rejected</w:t>
            </w:r>
          </w:p>
        </w:tc>
        <w:tc>
          <w:tcPr>
            <w:tcW w:w="0" w:type="auto"/>
            <w:vAlign w:val="center"/>
            <w:hideMark/>
          </w:tcPr>
          <w:p w14:paraId="395A5375"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cannot proceed under current rules or facts.</w:t>
            </w:r>
          </w:p>
        </w:tc>
      </w:tr>
      <w:tr w:rsidR="0055683A" w:rsidRPr="00B479AE" w14:paraId="7CB91479" w14:textId="77777777" w:rsidTr="0055683A">
        <w:trPr>
          <w:tblCellSpacing w:w="15" w:type="dxa"/>
        </w:trPr>
        <w:tc>
          <w:tcPr>
            <w:tcW w:w="0" w:type="auto"/>
            <w:vAlign w:val="center"/>
            <w:hideMark/>
          </w:tcPr>
          <w:p w14:paraId="1D5495F6"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w:t>
            </w:r>
          </w:p>
        </w:tc>
        <w:tc>
          <w:tcPr>
            <w:tcW w:w="0" w:type="auto"/>
            <w:vAlign w:val="center"/>
            <w:hideMark/>
          </w:tcPr>
          <w:p w14:paraId="5109B6D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Request presents serious risk and must be isolated pending review.</w:t>
            </w:r>
          </w:p>
        </w:tc>
      </w:tr>
    </w:tbl>
    <w:p w14:paraId="63535E2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This classification structure allows Prometheus to preserve creativity without sacrificing discipline.</w:t>
      </w:r>
    </w:p>
    <w:p w14:paraId="52E4C5C3"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lastRenderedPageBreak/>
        <w:t>13.5 Aligned but Incomplete Requests</w:t>
      </w:r>
    </w:p>
    <w:p w14:paraId="2D83BCB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 requests are aligned in spirit but incomplete in structure.</w:t>
      </w:r>
    </w:p>
    <w:p w14:paraId="31EB30B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Examples include:</w:t>
      </w:r>
    </w:p>
    <w:p w14:paraId="26B7ADF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a community wants to join but lacks a defined representative;</w:t>
      </w:r>
      <w:r w:rsidRPr="00B479AE">
        <w:rPr>
          <w:rFonts w:ascii="Baskerville Old Face" w:hAnsi="Baskerville Old Face"/>
          <w:i/>
          <w:iCs/>
        </w:rPr>
        <w:br/>
        <w:t>• a project wants PRU recognition but lacks baseline data;</w:t>
      </w:r>
      <w:r w:rsidRPr="00B479AE">
        <w:rPr>
          <w:rFonts w:ascii="Baskerville Old Face" w:hAnsi="Baskerville Old Face"/>
          <w:i/>
          <w:iCs/>
        </w:rPr>
        <w:br/>
        <w:t>• an investor wants diligence but no legal wrapper exists;</w:t>
      </w:r>
      <w:r w:rsidRPr="00B479AE">
        <w:rPr>
          <w:rFonts w:ascii="Baskerville Old Face" w:hAnsi="Baskerville Old Face"/>
          <w:i/>
          <w:iCs/>
        </w:rPr>
        <w:br/>
        <w:t>• a token community wants interoperability but token rights are unclear;</w:t>
      </w:r>
      <w:r w:rsidRPr="00B479AE">
        <w:rPr>
          <w:rFonts w:ascii="Baskerville Old Face" w:hAnsi="Baskerville Old Face"/>
          <w:i/>
          <w:iCs/>
        </w:rPr>
        <w:br/>
        <w:t>• a research group wants to contribute data but methodology is incomplete;</w:t>
      </w:r>
      <w:r w:rsidRPr="00B479AE">
        <w:rPr>
          <w:rFonts w:ascii="Baskerville Old Face" w:hAnsi="Baskerville Old Face"/>
          <w:i/>
          <w:iCs/>
        </w:rPr>
        <w:br/>
        <w:t>• an HSI proposal is promising but privacy and consent rules are not defined;</w:t>
      </w:r>
      <w:r w:rsidRPr="00B479AE">
        <w:rPr>
          <w:rFonts w:ascii="Baskerville Old Face" w:hAnsi="Baskerville Old Face"/>
          <w:i/>
          <w:iCs/>
        </w:rPr>
        <w:br/>
        <w:t>• a local pilot wants public claims before MRV review.</w:t>
      </w:r>
    </w:p>
    <w:p w14:paraId="6F9A01B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correct response is not rejection.</w:t>
      </w:r>
    </w:p>
    <w:p w14:paraId="0240EF0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correct response is completion.</w:t>
      </w:r>
    </w:p>
    <w:p w14:paraId="101D8FE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ask for:</w:t>
      </w:r>
    </w:p>
    <w:p w14:paraId="5926F7B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missing scope;</w:t>
      </w:r>
      <w:r w:rsidRPr="00B479AE">
        <w:rPr>
          <w:rFonts w:ascii="Baskerville Old Face" w:hAnsi="Baskerville Old Face"/>
          <w:i/>
          <w:iCs/>
        </w:rPr>
        <w:br/>
        <w:t>• missing evidence;</w:t>
      </w:r>
      <w:r w:rsidRPr="00B479AE">
        <w:rPr>
          <w:rFonts w:ascii="Baskerville Old Face" w:hAnsi="Baskerville Old Face"/>
          <w:i/>
          <w:iCs/>
        </w:rPr>
        <w:br/>
        <w:t>• missing authority;</w:t>
      </w:r>
      <w:r w:rsidRPr="00B479AE">
        <w:rPr>
          <w:rFonts w:ascii="Baskerville Old Face" w:hAnsi="Baskerville Old Face"/>
          <w:i/>
          <w:iCs/>
        </w:rPr>
        <w:br/>
        <w:t>• missing legal review;</w:t>
      </w:r>
      <w:r w:rsidRPr="00B479AE">
        <w:rPr>
          <w:rFonts w:ascii="Baskerville Old Face" w:hAnsi="Baskerville Old Face"/>
          <w:i/>
          <w:iCs/>
        </w:rPr>
        <w:br/>
        <w:t>• missing methodology;</w:t>
      </w:r>
      <w:r w:rsidRPr="00B479AE">
        <w:rPr>
          <w:rFonts w:ascii="Baskerville Old Face" w:hAnsi="Baskerville Old Face"/>
          <w:i/>
          <w:iCs/>
        </w:rPr>
        <w:br/>
        <w:t>• missing consent;</w:t>
      </w:r>
      <w:r w:rsidRPr="00B479AE">
        <w:rPr>
          <w:rFonts w:ascii="Baskerville Old Face" w:hAnsi="Baskerville Old Face"/>
          <w:i/>
          <w:iCs/>
        </w:rPr>
        <w:br/>
        <w:t>• missing permissions;</w:t>
      </w:r>
      <w:r w:rsidRPr="00B479AE">
        <w:rPr>
          <w:rFonts w:ascii="Baskerville Old Face" w:hAnsi="Baskerville Old Face"/>
          <w:i/>
          <w:iCs/>
        </w:rPr>
        <w:br/>
        <w:t>• missing risk classification;</w:t>
      </w:r>
      <w:r w:rsidRPr="00B479AE">
        <w:rPr>
          <w:rFonts w:ascii="Baskerville Old Face" w:hAnsi="Baskerville Old Face"/>
          <w:i/>
          <w:iCs/>
        </w:rPr>
        <w:br/>
        <w:t>• missing implementation status.</w:t>
      </w:r>
    </w:p>
    <w:p w14:paraId="46F969E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An aligned but incomplete request may be routed to:</w:t>
      </w:r>
    </w:p>
    <w:p w14:paraId="69601DD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intake;</w:t>
      </w:r>
      <w:r w:rsidRPr="00B479AE">
        <w:rPr>
          <w:rFonts w:ascii="Baskerville Old Face" w:hAnsi="Baskerville Old Face"/>
          <w:i/>
          <w:iCs/>
        </w:rPr>
        <w:br/>
        <w:t>• eligibility review;</w:t>
      </w:r>
      <w:r w:rsidRPr="00B479AE">
        <w:rPr>
          <w:rFonts w:ascii="Baskerville Old Face" w:hAnsi="Baskerville Old Face"/>
          <w:i/>
          <w:iCs/>
        </w:rPr>
        <w:br/>
        <w:t>• pilot design;</w:t>
      </w:r>
      <w:r w:rsidRPr="00B479AE">
        <w:rPr>
          <w:rFonts w:ascii="Baskerville Old Face" w:hAnsi="Baskerville Old Face"/>
          <w:i/>
          <w:iCs/>
        </w:rPr>
        <w:br/>
        <w:t>• MRV design;</w:t>
      </w:r>
      <w:r w:rsidRPr="00B479AE">
        <w:rPr>
          <w:rFonts w:ascii="Baskerville Old Face" w:hAnsi="Baskerville Old Face"/>
          <w:i/>
          <w:iCs/>
        </w:rPr>
        <w:br/>
        <w:t>• legal structuring;</w:t>
      </w:r>
      <w:r w:rsidRPr="00B479AE">
        <w:rPr>
          <w:rFonts w:ascii="Baskerville Old Face" w:hAnsi="Baskerville Old Face"/>
          <w:i/>
          <w:iCs/>
        </w:rPr>
        <w:br/>
        <w:t>• technical specification;</w:t>
      </w:r>
      <w:r w:rsidRPr="00B479AE">
        <w:rPr>
          <w:rFonts w:ascii="Baskerville Old Face" w:hAnsi="Baskerville Old Face"/>
          <w:i/>
          <w:iCs/>
        </w:rPr>
        <w:br/>
      </w:r>
      <w:r w:rsidRPr="00B479AE">
        <w:rPr>
          <w:rFonts w:ascii="Baskerville Old Face" w:hAnsi="Baskerville Old Face"/>
          <w:i/>
          <w:iCs/>
        </w:rPr>
        <w:lastRenderedPageBreak/>
        <w:t>• governance review;</w:t>
      </w:r>
      <w:r w:rsidRPr="00B479AE">
        <w:rPr>
          <w:rFonts w:ascii="Baskerville Old Face" w:hAnsi="Baskerville Old Face"/>
          <w:i/>
          <w:iCs/>
        </w:rPr>
        <w:br/>
        <w:t>• appendix parking;</w:t>
      </w:r>
      <w:r w:rsidRPr="00B479AE">
        <w:rPr>
          <w:rFonts w:ascii="Baskerville Old Face" w:hAnsi="Baskerville Old Face"/>
          <w:i/>
          <w:iCs/>
        </w:rPr>
        <w:br/>
        <w:t>• research sandbox.</w:t>
      </w:r>
    </w:p>
    <w:p w14:paraId="27652B3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protocol should preserve the seed without pretending the tree is already grown.</w:t>
      </w:r>
    </w:p>
    <w:p w14:paraId="587323E7"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13.6 Premature Financial, Token, or Investor-Facing Requests</w:t>
      </w:r>
    </w:p>
    <w:p w14:paraId="5435342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must treat financial, token, and investor-facing requests with special care.</w:t>
      </w:r>
    </w:p>
    <w:p w14:paraId="181E90D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request is premature when it attempts to create, imply, market, or execute financial meaning before legal, evidentiary, governance, and technical conditions are satisfied.</w:t>
      </w:r>
    </w:p>
    <w:p w14:paraId="67A74552"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Examples include requests to:</w:t>
      </w:r>
    </w:p>
    <w:p w14:paraId="171B43F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treat PRU estimates as investable assets before methodology and evidence allow it;</w:t>
      </w:r>
      <w:r w:rsidRPr="00B479AE">
        <w:rPr>
          <w:rFonts w:ascii="Baskerville Old Face" w:hAnsi="Baskerville Old Face"/>
          <w:i/>
          <w:iCs/>
        </w:rPr>
        <w:br/>
        <w:t>• represent RAP as a portfolio product without legal structure;</w:t>
      </w:r>
      <w:r w:rsidRPr="00B479AE">
        <w:rPr>
          <w:rFonts w:ascii="Baskerville Old Face" w:hAnsi="Baskerville Old Face"/>
          <w:i/>
          <w:iCs/>
        </w:rPr>
        <w:br/>
        <w:t>• imply returns, yields, liquidity, appreciation, guarantees, or redemption rights;</w:t>
      </w:r>
      <w:r w:rsidRPr="00B479AE">
        <w:rPr>
          <w:rFonts w:ascii="Baskerville Old Face" w:hAnsi="Baskerville Old Face"/>
          <w:i/>
          <w:iCs/>
        </w:rPr>
        <w:br/>
        <w:t>• convert community participation into financial entitlement;</w:t>
      </w:r>
      <w:r w:rsidRPr="00B479AE">
        <w:rPr>
          <w:rFonts w:ascii="Baskerville Old Face" w:hAnsi="Baskerville Old Face"/>
          <w:i/>
          <w:iCs/>
        </w:rPr>
        <w:br/>
        <w:t xml:space="preserve">• connect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PRU, RAP, stablecoins, notes, securities, or land rights without defined legal architecture;</w:t>
      </w:r>
      <w:r w:rsidRPr="00B479AE">
        <w:rPr>
          <w:rFonts w:ascii="Baskerville Old Face" w:hAnsi="Baskerville Old Face"/>
          <w:i/>
          <w:iCs/>
        </w:rPr>
        <w:br/>
        <w:t>• create tokenized exposure before securities, tax, jurisdictional, and investor-protection review;</w:t>
      </w:r>
      <w:r w:rsidRPr="00B479AE">
        <w:rPr>
          <w:rFonts w:ascii="Baskerville Old Face" w:hAnsi="Baskerville Old Face"/>
          <w:i/>
          <w:iCs/>
        </w:rPr>
        <w:br/>
        <w:t>• use regenerative claims in fundraising without MRV support;</w:t>
      </w:r>
      <w:r w:rsidRPr="00B479AE">
        <w:rPr>
          <w:rFonts w:ascii="Baskerville Old Face" w:hAnsi="Baskerville Old Face"/>
          <w:i/>
          <w:iCs/>
        </w:rPr>
        <w:br/>
        <w:t>• publish investor-facing dashboards before disclaimers and admissibility controls exist.</w:t>
      </w:r>
    </w:p>
    <w:p w14:paraId="0C0C1BA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response should be:</w:t>
      </w:r>
    </w:p>
    <w:p w14:paraId="478D87D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classify as premature;</w:t>
      </w:r>
      <w:r w:rsidRPr="00B479AE">
        <w:rPr>
          <w:rFonts w:ascii="Baskerville Old Face" w:hAnsi="Baskerville Old Face"/>
          <w:i/>
          <w:iCs/>
        </w:rPr>
        <w:br/>
        <w:t>• preserve the idea where useful;</w:t>
      </w:r>
      <w:r w:rsidRPr="00B479AE">
        <w:rPr>
          <w:rFonts w:ascii="Baskerville Old Face" w:hAnsi="Baskerville Old Face"/>
          <w:i/>
          <w:iCs/>
        </w:rPr>
        <w:br/>
        <w:t>• move to investor-model appendix or financial architecture backlog;</w:t>
      </w:r>
      <w:r w:rsidRPr="00B479AE">
        <w:rPr>
          <w:rFonts w:ascii="Baskerville Old Face" w:hAnsi="Baskerville Old Face"/>
          <w:i/>
          <w:iCs/>
        </w:rPr>
        <w:br/>
        <w:t>• require legal and compliance review;</w:t>
      </w:r>
      <w:r w:rsidRPr="00B479AE">
        <w:rPr>
          <w:rFonts w:ascii="Baskerville Old Face" w:hAnsi="Baskerville Old Face"/>
          <w:i/>
          <w:iCs/>
        </w:rPr>
        <w:br/>
        <w:t>• require MRV admissibility review where ecological claims are involved;</w:t>
      </w:r>
      <w:r w:rsidRPr="00B479AE">
        <w:rPr>
          <w:rFonts w:ascii="Baskerville Old Face" w:hAnsi="Baskerville Old Face"/>
          <w:i/>
          <w:iCs/>
        </w:rPr>
        <w:br/>
        <w:t>• mark outputs as draft, scenario, hypothesis, or non-admissible until approved.</w:t>
      </w:r>
    </w:p>
    <w:p w14:paraId="1BA2445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may design powerful financial architecture.</w:t>
      </w:r>
    </w:p>
    <w:p w14:paraId="3B2383C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But financial architecture must remain downstream from evidence, law, and constitutional meaning.</w:t>
      </w:r>
    </w:p>
    <w:p w14:paraId="5C837DE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Capital must arrive through the gate, not through the window.</w:t>
      </w:r>
    </w:p>
    <w:p w14:paraId="5976A6D9"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lastRenderedPageBreak/>
        <w:t>13.7 Premature Ecological, MRV, or PRU Requests</w:t>
      </w:r>
    </w:p>
    <w:p w14:paraId="37EBBA3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must distinguish between ecological meaning, ecological observation, ecological evidence, and ecological value.</w:t>
      </w:r>
    </w:p>
    <w:p w14:paraId="69545CB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request is premature when it attempts to convert ecological aspiration, testimony, narrative, satellite image, field observation, model output, or community report into verified regenerative value without the required methodology.</w:t>
      </w:r>
    </w:p>
    <w:p w14:paraId="6476FA21"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Examples include:</w:t>
      </w:r>
    </w:p>
    <w:p w14:paraId="4366AFA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“certify this project as regenerative” without baseline;</w:t>
      </w:r>
      <w:r w:rsidRPr="00B479AE">
        <w:rPr>
          <w:rFonts w:ascii="Baskerville Old Face" w:hAnsi="Baskerville Old Face"/>
          <w:i/>
          <w:iCs/>
        </w:rPr>
        <w:br/>
        <w:t>• “issue PRUs” without methodology;</w:t>
      </w:r>
      <w:r w:rsidRPr="00B479AE">
        <w:rPr>
          <w:rFonts w:ascii="Baskerville Old Face" w:hAnsi="Baskerville Old Face"/>
          <w:i/>
          <w:iCs/>
        </w:rPr>
        <w:br/>
        <w:t>• “include this site in RAP” without admissible indicators;</w:t>
      </w:r>
      <w:r w:rsidRPr="00B479AE">
        <w:rPr>
          <w:rFonts w:ascii="Baskerville Old Face" w:hAnsi="Baskerville Old Face"/>
          <w:i/>
          <w:iCs/>
        </w:rPr>
        <w:br/>
        <w:t>• “count biodiversity improvement” without method and evidence;</w:t>
      </w:r>
      <w:r w:rsidRPr="00B479AE">
        <w:rPr>
          <w:rFonts w:ascii="Baskerville Old Face" w:hAnsi="Baskerville Old Face"/>
          <w:i/>
          <w:iCs/>
        </w:rPr>
        <w:br/>
        <w:t>• “use AI to infer soil regeneration” without validation;</w:t>
      </w:r>
      <w:r w:rsidRPr="00B479AE">
        <w:rPr>
          <w:rFonts w:ascii="Baskerville Old Face" w:hAnsi="Baskerville Old Face"/>
          <w:i/>
          <w:iCs/>
        </w:rPr>
        <w:br/>
        <w:t>• “publish verified impact” before review;</w:t>
      </w:r>
      <w:r w:rsidRPr="00B479AE">
        <w:rPr>
          <w:rFonts w:ascii="Baskerville Old Face" w:hAnsi="Baskerville Old Face"/>
          <w:i/>
          <w:iCs/>
        </w:rPr>
        <w:br/>
        <w:t>• “represent a community story as MRV evidence” without classification.</w:t>
      </w:r>
    </w:p>
    <w:p w14:paraId="556DC0E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response should be:</w:t>
      </w:r>
    </w:p>
    <w:p w14:paraId="6E8E6E4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classify the material correctly;</w:t>
      </w:r>
      <w:r w:rsidRPr="00B479AE">
        <w:rPr>
          <w:rFonts w:ascii="Baskerville Old Face" w:hAnsi="Baskerville Old Face"/>
          <w:i/>
          <w:iCs/>
        </w:rPr>
        <w:br/>
        <w:t>• preserve narrative as narrative;</w:t>
      </w:r>
      <w:r w:rsidRPr="00B479AE">
        <w:rPr>
          <w:rFonts w:ascii="Baskerville Old Face" w:hAnsi="Baskerville Old Face"/>
          <w:i/>
          <w:iCs/>
        </w:rPr>
        <w:br/>
        <w:t>• preserve observation as observation;</w:t>
      </w:r>
      <w:r w:rsidRPr="00B479AE">
        <w:rPr>
          <w:rFonts w:ascii="Baskerville Old Face" w:hAnsi="Baskerville Old Face"/>
          <w:i/>
          <w:iCs/>
        </w:rPr>
        <w:br/>
        <w:t>• require evidence for evidence claims;</w:t>
      </w:r>
      <w:r w:rsidRPr="00B479AE">
        <w:rPr>
          <w:rFonts w:ascii="Baskerville Old Face" w:hAnsi="Baskerville Old Face"/>
          <w:i/>
          <w:iCs/>
        </w:rPr>
        <w:br/>
        <w:t>• require methodology for MRV use;</w:t>
      </w:r>
      <w:r w:rsidRPr="00B479AE">
        <w:rPr>
          <w:rFonts w:ascii="Baskerville Old Face" w:hAnsi="Baskerville Old Face"/>
          <w:i/>
          <w:iCs/>
        </w:rPr>
        <w:br/>
        <w:t>• require admissibility review for PRU pathways;</w:t>
      </w:r>
      <w:r w:rsidRPr="00B479AE">
        <w:rPr>
          <w:rFonts w:ascii="Baskerville Old Face" w:hAnsi="Baskerville Old Face"/>
          <w:i/>
          <w:iCs/>
        </w:rPr>
        <w:br/>
        <w:t>• restrict investor-facing use until approved.</w:t>
      </w:r>
    </w:p>
    <w:p w14:paraId="692A80F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rule is:</w:t>
      </w:r>
    </w:p>
    <w:p w14:paraId="1EA3AEC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meaning may inspire;</w:t>
      </w:r>
    </w:p>
    <w:p w14:paraId="0873B5C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observation may guide;</w:t>
      </w:r>
    </w:p>
    <w:p w14:paraId="5A102A7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evidence may support;</w:t>
      </w:r>
    </w:p>
    <w:p w14:paraId="393AEFE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verified evidence may count;</w:t>
      </w:r>
    </w:p>
    <w:p w14:paraId="2512396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admissible evidence may become value-relevant.</w:t>
      </w:r>
    </w:p>
    <w:p w14:paraId="472FE42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This protects the soul of regeneration from becoming greenwashed spreadsheet confetti.</w:t>
      </w:r>
    </w:p>
    <w:p w14:paraId="12AD925A"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13.8 HSI and Human-State Requests</w:t>
      </w:r>
    </w:p>
    <w:p w14:paraId="27D4377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Requests involving the Human State Interface require heightened sensitivity.</w:t>
      </w:r>
    </w:p>
    <w:p w14:paraId="13610051"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HSI-related requests may involve HRV, coherence, stress, attention, fatigue, recovery, self-reporting, group field indicators, or other human-state signals.</w:t>
      </w:r>
    </w:p>
    <w:p w14:paraId="0B55D15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Such requests must be classified carefully because human-state data touches dignity, privacy, consent, health interpretation, and potential misuse.</w:t>
      </w:r>
    </w:p>
    <w:p w14:paraId="764D772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treat HSI as:</w:t>
      </w:r>
    </w:p>
    <w:p w14:paraId="14E1375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voluntary;</w:t>
      </w:r>
      <w:r w:rsidRPr="00B479AE">
        <w:rPr>
          <w:rFonts w:ascii="Baskerville Old Face" w:hAnsi="Baskerville Old Face"/>
          <w:i/>
          <w:iCs/>
        </w:rPr>
        <w:br/>
        <w:t>• privacy-first;</w:t>
      </w:r>
      <w:r w:rsidRPr="00B479AE">
        <w:rPr>
          <w:rFonts w:ascii="Baskerville Old Face" w:hAnsi="Baskerville Old Face"/>
          <w:i/>
          <w:iCs/>
        </w:rPr>
        <w:br/>
        <w:t>• purpose-limited;</w:t>
      </w:r>
      <w:r w:rsidRPr="00B479AE">
        <w:rPr>
          <w:rFonts w:ascii="Baskerville Old Face" w:hAnsi="Baskerville Old Face"/>
          <w:i/>
          <w:iCs/>
        </w:rPr>
        <w:br/>
        <w:t>• consent-based;</w:t>
      </w:r>
      <w:r w:rsidRPr="00B479AE">
        <w:rPr>
          <w:rFonts w:ascii="Baskerville Old Face" w:hAnsi="Baskerville Old Face"/>
          <w:i/>
          <w:iCs/>
        </w:rPr>
        <w:br/>
        <w:t>• non-coercive;</w:t>
      </w:r>
      <w:r w:rsidRPr="00B479AE">
        <w:rPr>
          <w:rFonts w:ascii="Baskerville Old Face" w:hAnsi="Baskerville Old Face"/>
          <w:i/>
          <w:iCs/>
        </w:rPr>
        <w:br/>
        <w:t>• non-ranking of human worth;</w:t>
      </w:r>
      <w:r w:rsidRPr="00B479AE">
        <w:rPr>
          <w:rFonts w:ascii="Baskerville Old Face" w:hAnsi="Baskerville Old Face"/>
          <w:i/>
          <w:iCs/>
        </w:rPr>
        <w:br/>
        <w:t>• non-substitutive of MRV;</w:t>
      </w:r>
      <w:r w:rsidRPr="00B479AE">
        <w:rPr>
          <w:rFonts w:ascii="Baskerville Old Face" w:hAnsi="Baskerville Old Face"/>
          <w:i/>
          <w:iCs/>
        </w:rPr>
        <w:br/>
        <w:t>• non-authoritative for PRU value;</w:t>
      </w:r>
      <w:r w:rsidRPr="00B479AE">
        <w:rPr>
          <w:rFonts w:ascii="Baskerville Old Face" w:hAnsi="Baskerville Old Face"/>
          <w:i/>
          <w:iCs/>
        </w:rPr>
        <w:br/>
        <w:t>• non-authoritative for financial rights;</w:t>
      </w:r>
      <w:r w:rsidRPr="00B479AE">
        <w:rPr>
          <w:rFonts w:ascii="Baskerville Old Face" w:hAnsi="Baskerville Old Face"/>
          <w:i/>
          <w:iCs/>
        </w:rPr>
        <w:br/>
        <w:t>• non-authoritative for basic belonging.</w:t>
      </w:r>
    </w:p>
    <w:p w14:paraId="1F14B72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HSI may support:</w:t>
      </w:r>
    </w:p>
    <w:p w14:paraId="78C450D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self-awareness;</w:t>
      </w:r>
      <w:r w:rsidRPr="00B479AE">
        <w:rPr>
          <w:rFonts w:ascii="Baskerville Old Face" w:hAnsi="Baskerville Old Face"/>
          <w:i/>
          <w:iCs/>
        </w:rPr>
        <w:br/>
        <w:t>• stewardship training;</w:t>
      </w:r>
      <w:r w:rsidRPr="00B479AE">
        <w:rPr>
          <w:rFonts w:ascii="Baskerville Old Face" w:hAnsi="Baskerville Old Face"/>
          <w:i/>
          <w:iCs/>
        </w:rPr>
        <w:br/>
        <w:t>• reflective governance;</w:t>
      </w:r>
      <w:r w:rsidRPr="00B479AE">
        <w:rPr>
          <w:rFonts w:ascii="Baskerville Old Face" w:hAnsi="Baskerville Old Face"/>
          <w:i/>
          <w:iCs/>
        </w:rPr>
        <w:br/>
        <w:t>• research;</w:t>
      </w:r>
      <w:r w:rsidRPr="00B479AE">
        <w:rPr>
          <w:rFonts w:ascii="Baskerville Old Face" w:hAnsi="Baskerville Old Face"/>
          <w:i/>
          <w:iCs/>
        </w:rPr>
        <w:br/>
        <w:t>• aggregated learning;</w:t>
      </w:r>
      <w:r w:rsidRPr="00B479AE">
        <w:rPr>
          <w:rFonts w:ascii="Baskerville Old Face" w:hAnsi="Baskerville Old Face"/>
          <w:i/>
          <w:iCs/>
        </w:rPr>
        <w:br/>
        <w:t>• decision-quality inquiry;</w:t>
      </w:r>
      <w:r w:rsidRPr="00B479AE">
        <w:rPr>
          <w:rFonts w:ascii="Baskerville Old Face" w:hAnsi="Baskerville Old Face"/>
          <w:i/>
          <w:iCs/>
        </w:rPr>
        <w:br/>
        <w:t>• voluntary human development.</w:t>
      </w:r>
    </w:p>
    <w:p w14:paraId="1E5E9FA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HSI must not become:</w:t>
      </w:r>
    </w:p>
    <w:p w14:paraId="2F2079A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 social credit;</w:t>
      </w:r>
      <w:r w:rsidRPr="00B479AE">
        <w:rPr>
          <w:rFonts w:ascii="Baskerville Old Face" w:hAnsi="Baskerville Old Face"/>
          <w:i/>
          <w:iCs/>
        </w:rPr>
        <w:br/>
        <w:t>• spiritual ranking;</w:t>
      </w:r>
      <w:r w:rsidRPr="00B479AE">
        <w:rPr>
          <w:rFonts w:ascii="Baskerville Old Face" w:hAnsi="Baskerville Old Face"/>
          <w:i/>
          <w:iCs/>
        </w:rPr>
        <w:br/>
        <w:t>• employment ranking;</w:t>
      </w:r>
      <w:r w:rsidRPr="00B479AE">
        <w:rPr>
          <w:rFonts w:ascii="Baskerville Old Face" w:hAnsi="Baskerville Old Face"/>
          <w:i/>
          <w:iCs/>
        </w:rPr>
        <w:br/>
        <w:t>• investor-facing proof;</w:t>
      </w:r>
      <w:r w:rsidRPr="00B479AE">
        <w:rPr>
          <w:rFonts w:ascii="Baskerville Old Face" w:hAnsi="Baskerville Old Face"/>
          <w:i/>
          <w:iCs/>
        </w:rPr>
        <w:br/>
        <w:t>• ecological proof;</w:t>
      </w:r>
      <w:r w:rsidRPr="00B479AE">
        <w:rPr>
          <w:rFonts w:ascii="Baskerville Old Face" w:hAnsi="Baskerville Old Face"/>
          <w:i/>
          <w:iCs/>
        </w:rPr>
        <w:br/>
        <w:t>• mandatory biometric gate;</w:t>
      </w:r>
      <w:r w:rsidRPr="00B479AE">
        <w:rPr>
          <w:rFonts w:ascii="Baskerville Old Face" w:hAnsi="Baskerville Old Face"/>
          <w:i/>
          <w:iCs/>
        </w:rPr>
        <w:br/>
        <w:t>• coercive community score;</w:t>
      </w:r>
      <w:r w:rsidRPr="00B479AE">
        <w:rPr>
          <w:rFonts w:ascii="Baskerville Old Face" w:hAnsi="Baskerville Old Face"/>
          <w:i/>
          <w:iCs/>
        </w:rPr>
        <w:br/>
        <w:t>• substitute for evidence or consent.</w:t>
      </w:r>
    </w:p>
    <w:p w14:paraId="0BE7D24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xml:space="preserve">HSI-related requests should route to privacy, legal, ethics, governance, and research review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sensitive.</w:t>
      </w:r>
    </w:p>
    <w:p w14:paraId="577B137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body is not a dashboard to be conquered.</w:t>
      </w:r>
    </w:p>
    <w:p w14:paraId="27A660A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is a living field to be protected.</w:t>
      </w:r>
    </w:p>
    <w:p w14:paraId="23BCBEF7"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13.9 AI-Generated or AI-Mediated Requests</w:t>
      </w:r>
    </w:p>
    <w:p w14:paraId="1AF6D962"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AI-generated requests require classification before use.</w:t>
      </w:r>
    </w:p>
    <w:p w14:paraId="0AFE3B4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An AI output may be:</w:t>
      </w:r>
    </w:p>
    <w:p w14:paraId="5635C36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draft;</w:t>
      </w:r>
      <w:r w:rsidRPr="00B479AE">
        <w:rPr>
          <w:rFonts w:ascii="Baskerville Old Face" w:hAnsi="Baskerville Old Face"/>
          <w:i/>
          <w:iCs/>
        </w:rPr>
        <w:br/>
        <w:t>• hypothesis;</w:t>
      </w:r>
      <w:r w:rsidRPr="00B479AE">
        <w:rPr>
          <w:rFonts w:ascii="Baskerville Old Face" w:hAnsi="Baskerville Old Face"/>
          <w:i/>
          <w:iCs/>
        </w:rPr>
        <w:br/>
        <w:t>• analysis;</w:t>
      </w:r>
      <w:r w:rsidRPr="00B479AE">
        <w:rPr>
          <w:rFonts w:ascii="Baskerville Old Face" w:hAnsi="Baskerville Old Face"/>
          <w:i/>
          <w:iCs/>
        </w:rPr>
        <w:br/>
        <w:t>• synthesis;</w:t>
      </w:r>
      <w:r w:rsidRPr="00B479AE">
        <w:rPr>
          <w:rFonts w:ascii="Baskerville Old Face" w:hAnsi="Baskerville Old Face"/>
          <w:i/>
          <w:iCs/>
        </w:rPr>
        <w:br/>
        <w:t>• risk flag;</w:t>
      </w:r>
      <w:r w:rsidRPr="00B479AE">
        <w:rPr>
          <w:rFonts w:ascii="Baskerville Old Face" w:hAnsi="Baskerville Old Face"/>
          <w:i/>
          <w:iCs/>
        </w:rPr>
        <w:br/>
        <w:t>• interpretive option;</w:t>
      </w:r>
      <w:r w:rsidRPr="00B479AE">
        <w:rPr>
          <w:rFonts w:ascii="Baskerville Old Face" w:hAnsi="Baskerville Old Face"/>
          <w:i/>
          <w:iCs/>
        </w:rPr>
        <w:br/>
        <w:t>• scenario;</w:t>
      </w:r>
      <w:r w:rsidRPr="00B479AE">
        <w:rPr>
          <w:rFonts w:ascii="Baskerville Old Face" w:hAnsi="Baskerville Old Face"/>
          <w:i/>
          <w:iCs/>
        </w:rPr>
        <w:br/>
        <w:t>• design proposal;</w:t>
      </w:r>
      <w:r w:rsidRPr="00B479AE">
        <w:rPr>
          <w:rFonts w:ascii="Baskerville Old Face" w:hAnsi="Baskerville Old Face"/>
          <w:i/>
          <w:iCs/>
        </w:rPr>
        <w:br/>
        <w:t>• legal issue spotting;</w:t>
      </w:r>
      <w:r w:rsidRPr="00B479AE">
        <w:rPr>
          <w:rFonts w:ascii="Baskerville Old Face" w:hAnsi="Baskerville Old Face"/>
          <w:i/>
          <w:iCs/>
        </w:rPr>
        <w:br/>
        <w:t>• MRV support;</w:t>
      </w:r>
      <w:r w:rsidRPr="00B479AE">
        <w:rPr>
          <w:rFonts w:ascii="Baskerville Old Face" w:hAnsi="Baskerville Old Face"/>
          <w:i/>
          <w:iCs/>
        </w:rPr>
        <w:br/>
        <w:t>• investor-draft material;</w:t>
      </w:r>
      <w:r w:rsidRPr="00B479AE">
        <w:rPr>
          <w:rFonts w:ascii="Baskerville Old Face" w:hAnsi="Baskerville Old Face"/>
          <w:i/>
          <w:iCs/>
        </w:rPr>
        <w:br/>
        <w:t>• code or workflow suggestion.</w:t>
      </w:r>
    </w:p>
    <w:p w14:paraId="679521E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is not automatically:</w:t>
      </w:r>
    </w:p>
    <w:p w14:paraId="5F416CB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 approved;</w:t>
      </w:r>
      <w:r w:rsidRPr="00B479AE">
        <w:rPr>
          <w:rFonts w:ascii="Baskerville Old Face" w:hAnsi="Baskerville Old Face"/>
          <w:i/>
          <w:iCs/>
        </w:rPr>
        <w:br/>
        <w:t>• true;</w:t>
      </w:r>
      <w:r w:rsidRPr="00B479AE">
        <w:rPr>
          <w:rFonts w:ascii="Baskerville Old Face" w:hAnsi="Baskerville Old Face"/>
          <w:i/>
          <w:iCs/>
        </w:rPr>
        <w:br/>
        <w:t>• legally valid;</w:t>
      </w:r>
      <w:r w:rsidRPr="00B479AE">
        <w:rPr>
          <w:rFonts w:ascii="Baskerville Old Face" w:hAnsi="Baskerville Old Face"/>
          <w:i/>
          <w:iCs/>
        </w:rPr>
        <w:br/>
        <w:t>• MRV-admissible;</w:t>
      </w:r>
      <w:r w:rsidRPr="00B479AE">
        <w:rPr>
          <w:rFonts w:ascii="Baskerville Old Face" w:hAnsi="Baskerville Old Face"/>
          <w:i/>
          <w:iCs/>
        </w:rPr>
        <w:br/>
        <w:t>• financially admissible;</w:t>
      </w:r>
      <w:r w:rsidRPr="00B479AE">
        <w:rPr>
          <w:rFonts w:ascii="Baskerville Old Face" w:hAnsi="Baskerville Old Face"/>
          <w:i/>
          <w:iCs/>
        </w:rPr>
        <w:br/>
        <w:t>• constitutionally binding;</w:t>
      </w:r>
      <w:r w:rsidRPr="00B479AE">
        <w:rPr>
          <w:rFonts w:ascii="Baskerville Old Face" w:hAnsi="Baskerville Old Face"/>
          <w:i/>
          <w:iCs/>
        </w:rPr>
        <w:br/>
        <w:t>• ready for execution.</w:t>
      </w:r>
    </w:p>
    <w:p w14:paraId="6BF44FE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AI-mediated requests must be checked for:</w:t>
      </w:r>
    </w:p>
    <w:p w14:paraId="16A9CC8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source support;</w:t>
      </w:r>
      <w:r w:rsidRPr="00B479AE">
        <w:rPr>
          <w:rFonts w:ascii="Baskerville Old Face" w:hAnsi="Baskerville Old Face"/>
          <w:i/>
          <w:iCs/>
        </w:rPr>
        <w:br/>
        <w:t>• hallucination risk;</w:t>
      </w:r>
      <w:r w:rsidRPr="00B479AE">
        <w:rPr>
          <w:rFonts w:ascii="Baskerville Old Face" w:hAnsi="Baskerville Old Face"/>
          <w:i/>
          <w:iCs/>
        </w:rPr>
        <w:br/>
        <w:t>• category collapse;</w:t>
      </w:r>
      <w:r w:rsidRPr="00B479AE">
        <w:rPr>
          <w:rFonts w:ascii="Baskerville Old Face" w:hAnsi="Baskerville Old Face"/>
          <w:i/>
          <w:iCs/>
        </w:rPr>
        <w:br/>
        <w:t>• unsupported claims;</w:t>
      </w:r>
      <w:r w:rsidRPr="00B479AE">
        <w:rPr>
          <w:rFonts w:ascii="Baskerville Old Face" w:hAnsi="Baskerville Old Face"/>
          <w:i/>
          <w:iCs/>
        </w:rPr>
        <w:br/>
        <w:t>• legal overreach;</w:t>
      </w:r>
      <w:r w:rsidRPr="00B479AE">
        <w:rPr>
          <w:rFonts w:ascii="Baskerville Old Face" w:hAnsi="Baskerville Old Face"/>
          <w:i/>
          <w:iCs/>
        </w:rPr>
        <w:br/>
        <w:t>• ecological overclaiming;</w:t>
      </w:r>
      <w:r w:rsidRPr="00B479AE">
        <w:rPr>
          <w:rFonts w:ascii="Baskerville Old Face" w:hAnsi="Baskerville Old Face"/>
          <w:i/>
          <w:iCs/>
        </w:rPr>
        <w:br/>
        <w:t>• privacy risk;</w:t>
      </w:r>
      <w:r w:rsidRPr="00B479AE">
        <w:rPr>
          <w:rFonts w:ascii="Baskerville Old Face" w:hAnsi="Baskerville Old Face"/>
          <w:i/>
          <w:iCs/>
        </w:rPr>
        <w:br/>
        <w:t>• token or financial confusion;</w:t>
      </w:r>
      <w:r w:rsidRPr="00B479AE">
        <w:rPr>
          <w:rFonts w:ascii="Baskerville Old Face" w:hAnsi="Baskerville Old Face"/>
          <w:i/>
          <w:iCs/>
        </w:rPr>
        <w:br/>
        <w:t>• constitutional misalignment;</w:t>
      </w:r>
      <w:r w:rsidRPr="00B479AE">
        <w:rPr>
          <w:rFonts w:ascii="Baskerville Old Face" w:hAnsi="Baskerville Old Face"/>
          <w:i/>
          <w:iCs/>
        </w:rPr>
        <w:br/>
        <w:t>• implementation status.</w:t>
      </w:r>
    </w:p>
    <w:p w14:paraId="0B1708EB"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protocol should prevent direct movement from AI generation to protected execution.</w:t>
      </w:r>
    </w:p>
    <w:p w14:paraId="0DBDDE9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route is:</w:t>
      </w:r>
    </w:p>
    <w:p w14:paraId="4811EC3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AI output</w:t>
      </w:r>
      <w:r w:rsidRPr="00B479AE">
        <w:rPr>
          <w:rFonts w:ascii="Baskerville Old Face" w:hAnsi="Baskerville Old Face"/>
          <w:i/>
          <w:iCs/>
        </w:rPr>
        <w:br/>
        <w:t>classification</w:t>
      </w:r>
      <w:r w:rsidRPr="00B479AE">
        <w:rPr>
          <w:rFonts w:ascii="Baskerville Old Face" w:hAnsi="Baskerville Old Face"/>
          <w:i/>
          <w:iCs/>
        </w:rPr>
        <w:br/>
        <w:t>evidence check</w:t>
      </w:r>
      <w:r w:rsidRPr="00B479AE">
        <w:rPr>
          <w:rFonts w:ascii="Baskerville Old Face" w:hAnsi="Baskerville Old Face"/>
          <w:i/>
          <w:iCs/>
        </w:rPr>
        <w:br/>
        <w:t>risk check</w:t>
      </w:r>
      <w:r w:rsidRPr="00B479AE">
        <w:rPr>
          <w:rFonts w:ascii="Baskerville Old Face" w:hAnsi="Baskerville Old Face"/>
          <w:i/>
          <w:iCs/>
        </w:rPr>
        <w:br/>
        <w:t>review pathway</w:t>
      </w:r>
      <w:r w:rsidRPr="00B479AE">
        <w:rPr>
          <w:rFonts w:ascii="Baskerville Old Face" w:hAnsi="Baskerville Old Face"/>
          <w:i/>
          <w:iCs/>
        </w:rPr>
        <w:br/>
        <w:t>authorization</w:t>
      </w:r>
      <w:r w:rsidRPr="00B479AE">
        <w:rPr>
          <w:rFonts w:ascii="Baskerville Old Face" w:hAnsi="Baskerville Old Face"/>
          <w:i/>
          <w:iCs/>
        </w:rPr>
        <w:br/>
        <w:t xml:space="preserve">execution only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valid.</w:t>
      </w:r>
    </w:p>
    <w:p w14:paraId="729F3F1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AI may accelerate intelligence.</w:t>
      </w:r>
    </w:p>
    <w:p w14:paraId="624411A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may not bypass wisdom.</w:t>
      </w:r>
    </w:p>
    <w:p w14:paraId="4C276C15"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lastRenderedPageBreak/>
        <w:t>13.10 Community, Religious, Cultural, or Spiritual Requests</w:t>
      </w:r>
    </w:p>
    <w:p w14:paraId="1F6A319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is open to communities that speak different languages of meaning.</w:t>
      </w:r>
    </w:p>
    <w:p w14:paraId="47FCCD5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request may come from a religious community, spiritual community, ancestral tradition, cooperative, Tribe, village, DAO, educational network, cultural association, or civic group.</w:t>
      </w:r>
    </w:p>
    <w:p w14:paraId="485E3C8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Such requests should be approached with dignity and translation.</w:t>
      </w:r>
    </w:p>
    <w:p w14:paraId="6244CA2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ask:</w:t>
      </w:r>
    </w:p>
    <w:p w14:paraId="040D16F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What is the community seeking to do?</w:t>
      </w:r>
      <w:r w:rsidRPr="00B479AE">
        <w:rPr>
          <w:rFonts w:ascii="Baskerville Old Face" w:hAnsi="Baskerville Old Face"/>
          <w:i/>
          <w:iCs/>
        </w:rPr>
        <w:br/>
        <w:t>• What is symbolic meaning?</w:t>
      </w:r>
      <w:r w:rsidRPr="00B479AE">
        <w:rPr>
          <w:rFonts w:ascii="Baskerville Old Face" w:hAnsi="Baskerville Old Face"/>
          <w:i/>
          <w:iCs/>
        </w:rPr>
        <w:br/>
        <w:t>• What is operational action?</w:t>
      </w:r>
      <w:r w:rsidRPr="00B479AE">
        <w:rPr>
          <w:rFonts w:ascii="Baskerville Old Face" w:hAnsi="Baskerville Old Face"/>
          <w:i/>
          <w:iCs/>
        </w:rPr>
        <w:br/>
        <w:t>• What is evidence?</w:t>
      </w:r>
      <w:r w:rsidRPr="00B479AE">
        <w:rPr>
          <w:rFonts w:ascii="Baskerville Old Face" w:hAnsi="Baskerville Old Face"/>
          <w:i/>
          <w:iCs/>
        </w:rPr>
        <w:br/>
        <w:t>• What is governance authority?</w:t>
      </w:r>
      <w:r w:rsidRPr="00B479AE">
        <w:rPr>
          <w:rFonts w:ascii="Baskerville Old Face" w:hAnsi="Baskerville Old Face"/>
          <w:i/>
          <w:iCs/>
        </w:rPr>
        <w:br/>
        <w:t>• What is consent?</w:t>
      </w:r>
      <w:r w:rsidRPr="00B479AE">
        <w:rPr>
          <w:rFonts w:ascii="Baskerville Old Face" w:hAnsi="Baskerville Old Face"/>
          <w:i/>
          <w:iCs/>
        </w:rPr>
        <w:br/>
        <w:t>• What is the Prometheus-facing scope?</w:t>
      </w:r>
      <w:r w:rsidRPr="00B479AE">
        <w:rPr>
          <w:rFonts w:ascii="Baskerville Old Face" w:hAnsi="Baskerville Old Face"/>
          <w:i/>
          <w:iCs/>
        </w:rPr>
        <w:br/>
        <w:t>• What review is required?</w:t>
      </w:r>
    </w:p>
    <w:p w14:paraId="0536A37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may honor prayer, ritual, testimony, memory, story, stewardship, ancestral care, symbolic language, or spiritual meaning.</w:t>
      </w:r>
    </w:p>
    <w:p w14:paraId="1C29429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But Prometheus must classify them correctly.</w:t>
      </w:r>
    </w:p>
    <w:p w14:paraId="75EBEC6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Spiritual meaning is not automatically MRV evidence.</w:t>
      </w:r>
    </w:p>
    <w:p w14:paraId="76D8ED9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Ritual is not automatically ecological proof.</w:t>
      </w:r>
    </w:p>
    <w:p w14:paraId="7B1F2F9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Community legitimacy is not automatically Prometheus authority.</w:t>
      </w:r>
    </w:p>
    <w:p w14:paraId="7671923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Cultural narrative is not automatically investor-facing claim.</w:t>
      </w:r>
    </w:p>
    <w:p w14:paraId="7E022FA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This distinction protects both the community and Prometheus.</w:t>
      </w:r>
    </w:p>
    <w:p w14:paraId="34EAE90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Meaning is not diminished by classification.</w:t>
      </w:r>
    </w:p>
    <w:p w14:paraId="32FA261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is protected from misuse.</w:t>
      </w:r>
    </w:p>
    <w:p w14:paraId="4193AF1F" w14:textId="239F2F65" w:rsidR="0055683A" w:rsidRPr="00B479AE" w:rsidRDefault="0055683A" w:rsidP="0055683A">
      <w:pPr>
        <w:spacing w:line="360" w:lineRule="auto"/>
        <w:rPr>
          <w:rFonts w:ascii="Baskerville Old Face" w:hAnsi="Baskerville Old Face"/>
          <w:i/>
          <w:iCs/>
        </w:rPr>
      </w:pPr>
    </w:p>
    <w:p w14:paraId="59B21AA4"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lastRenderedPageBreak/>
        <w:t>13.11 Appendix Parking and Recovery</w:t>
      </w:r>
    </w:p>
    <w:p w14:paraId="20B4F26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 requests contain important material that should not enter the core operative body of the White Paper at the current stage.</w:t>
      </w:r>
    </w:p>
    <w:p w14:paraId="58C31CD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This may include:</w:t>
      </w:r>
    </w:p>
    <w:p w14:paraId="101C5C6F" w14:textId="6EF9B7F5" w:rsidR="00D8054B" w:rsidRPr="00B479AE" w:rsidRDefault="0055683A" w:rsidP="00D8054B">
      <w:pPr>
        <w:spacing w:line="360" w:lineRule="auto"/>
        <w:rPr>
          <w:rFonts w:ascii="Baskerville Old Face" w:hAnsi="Baskerville Old Face"/>
          <w:i/>
          <w:iCs/>
        </w:rPr>
      </w:pPr>
      <w:r w:rsidRPr="00B479AE">
        <w:rPr>
          <w:rFonts w:ascii="Baskerville Old Face" w:hAnsi="Baskerville Old Face"/>
          <w:i/>
          <w:iCs/>
        </w:rPr>
        <w:t>• speculative financial architecture;</w:t>
      </w:r>
      <w:r w:rsidRPr="00B479AE">
        <w:rPr>
          <w:rFonts w:ascii="Baskerville Old Face" w:hAnsi="Baskerville Old Face"/>
          <w:i/>
          <w:iCs/>
        </w:rPr>
        <w:br/>
        <w:t>• investor models;</w:t>
      </w:r>
      <w:r w:rsidRPr="00B479AE">
        <w:rPr>
          <w:rFonts w:ascii="Baskerville Old Face" w:hAnsi="Baskerville Old Face"/>
          <w:i/>
          <w:iCs/>
        </w:rPr>
        <w:br/>
        <w:t>• future token structures;</w:t>
      </w:r>
      <w:r w:rsidRPr="00B479AE">
        <w:rPr>
          <w:rFonts w:ascii="Baskerville Old Face" w:hAnsi="Baskerville Old Face"/>
          <w:i/>
          <w:iCs/>
        </w:rPr>
        <w:br/>
        <w:t xml:space="preserve">• </w:t>
      </w:r>
      <w:r w:rsidR="00D8054B" w:rsidRPr="00B479AE">
        <w:rPr>
          <w:rFonts w:ascii="Baskerville Old Face" w:hAnsi="Baskerville Old Face"/>
          <w:i/>
          <w:iCs/>
        </w:rPr>
        <w:t>Future treasury, reserve, redemption, supply-management, or distribution mechanisms subject to legal review, securities analysis, tax review, governance approval, disclosure, and jurisdiction-specific compliance</w:t>
      </w:r>
    </w:p>
    <w:p w14:paraId="50359D39" w14:textId="7D1325C4"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capital stack scenarios;</w:t>
      </w:r>
      <w:r w:rsidRPr="00B479AE">
        <w:rPr>
          <w:rFonts w:ascii="Baskerville Old Face" w:hAnsi="Baskerville Old Face"/>
          <w:i/>
          <w:iCs/>
        </w:rPr>
        <w:br/>
        <w:t>• f</w:t>
      </w:r>
      <w:r w:rsidR="00366A5C" w:rsidRPr="00B479AE">
        <w:rPr>
          <w:rFonts w:ascii="Baskerville Old Face" w:hAnsi="Baskerville Old Face"/>
          <w:i/>
          <w:iCs/>
        </w:rPr>
        <w:t>uture legally structured participation, investment, access, contribution, revenue-right, SPV, trust, fund, note, or securities pathways, where applicable;</w:t>
      </w:r>
      <w:r w:rsidRPr="00B479AE">
        <w:rPr>
          <w:rFonts w:ascii="Baskerville Old Face" w:hAnsi="Baskerville Old Face"/>
          <w:i/>
          <w:iCs/>
        </w:rPr>
        <w:br/>
        <w:t>• cap table token models;</w:t>
      </w:r>
      <w:r w:rsidRPr="00B479AE">
        <w:rPr>
          <w:rFonts w:ascii="Baskerville Old Face" w:hAnsi="Baskerville Old Face"/>
          <w:i/>
          <w:iCs/>
        </w:rPr>
        <w:br/>
        <w:t>• future dashboard designs;</w:t>
      </w:r>
      <w:r w:rsidRPr="00B479AE">
        <w:rPr>
          <w:rFonts w:ascii="Baskerville Old Face" w:hAnsi="Baskerville Old Face"/>
          <w:i/>
          <w:iCs/>
        </w:rPr>
        <w:br/>
        <w:t>• preliminary HSI research;</w:t>
      </w:r>
      <w:r w:rsidRPr="00B479AE">
        <w:rPr>
          <w:rFonts w:ascii="Baskerville Old Face" w:hAnsi="Baskerville Old Face"/>
          <w:i/>
          <w:iCs/>
        </w:rPr>
        <w:br/>
        <w:t>• emerging partnerships;</w:t>
      </w:r>
      <w:r w:rsidRPr="00B479AE">
        <w:rPr>
          <w:rFonts w:ascii="Baskerville Old Face" w:hAnsi="Baskerville Old Face"/>
          <w:i/>
          <w:iCs/>
        </w:rPr>
        <w:br/>
        <w:t>• unverified market assumptions;</w:t>
      </w:r>
      <w:r w:rsidRPr="00B479AE">
        <w:rPr>
          <w:rFonts w:ascii="Baskerville Old Face" w:hAnsi="Baskerville Old Face"/>
          <w:i/>
          <w:iCs/>
        </w:rPr>
        <w:br/>
        <w:t>• aggressive financial projections;</w:t>
      </w:r>
      <w:r w:rsidRPr="00B479AE">
        <w:rPr>
          <w:rFonts w:ascii="Baskerville Old Face" w:hAnsi="Baskerville Old Face"/>
          <w:i/>
          <w:iCs/>
        </w:rPr>
        <w:br/>
        <w:t>• experimental insurance or lending models;</w:t>
      </w:r>
      <w:r w:rsidRPr="00B479AE">
        <w:rPr>
          <w:rFonts w:ascii="Baskerville Old Face" w:hAnsi="Baskerville Old Face"/>
          <w:i/>
          <w:iCs/>
        </w:rPr>
        <w:br/>
        <w:t>• frontier scientific hypotheses;</w:t>
      </w:r>
      <w:r w:rsidRPr="00B479AE">
        <w:rPr>
          <w:rFonts w:ascii="Baskerville Old Face" w:hAnsi="Baskerville Old Face"/>
          <w:i/>
          <w:iCs/>
        </w:rPr>
        <w:br/>
        <w:t>• promising but immature governance tools.</w:t>
      </w:r>
    </w:p>
    <w:p w14:paraId="33DD73F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Such material should not be lost.</w:t>
      </w:r>
    </w:p>
    <w:p w14:paraId="51B79A6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should be parked.</w:t>
      </w:r>
    </w:p>
    <w:p w14:paraId="0BAB7E6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Appendix parking means the material is preserved outside the core constitutional, scientific, or institutional body until it can be properly structured.</w:t>
      </w:r>
    </w:p>
    <w:p w14:paraId="4D1CB0C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Possible destinations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9"/>
        <w:gridCol w:w="6186"/>
      </w:tblGrid>
      <w:tr w:rsidR="0055683A" w:rsidRPr="00B479AE" w14:paraId="78290833" w14:textId="77777777" w:rsidTr="0055683A">
        <w:trPr>
          <w:tblHeader/>
          <w:tblCellSpacing w:w="15" w:type="dxa"/>
        </w:trPr>
        <w:tc>
          <w:tcPr>
            <w:tcW w:w="0" w:type="auto"/>
            <w:vAlign w:val="center"/>
            <w:hideMark/>
          </w:tcPr>
          <w:p w14:paraId="60B66BBA"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Parking destination</w:t>
            </w:r>
          </w:p>
        </w:tc>
        <w:tc>
          <w:tcPr>
            <w:tcW w:w="0" w:type="auto"/>
            <w:vAlign w:val="center"/>
            <w:hideMark/>
          </w:tcPr>
          <w:p w14:paraId="514FA991"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 case</w:t>
            </w:r>
          </w:p>
        </w:tc>
      </w:tr>
      <w:tr w:rsidR="0055683A" w:rsidRPr="00B479AE" w14:paraId="102862AA" w14:textId="77777777" w:rsidTr="0055683A">
        <w:trPr>
          <w:tblCellSpacing w:w="15" w:type="dxa"/>
        </w:trPr>
        <w:tc>
          <w:tcPr>
            <w:tcW w:w="0" w:type="auto"/>
            <w:vAlign w:val="center"/>
            <w:hideMark/>
          </w:tcPr>
          <w:p w14:paraId="592C754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Appendix</w:t>
            </w:r>
          </w:p>
        </w:tc>
        <w:tc>
          <w:tcPr>
            <w:tcW w:w="0" w:type="auto"/>
            <w:vAlign w:val="center"/>
            <w:hideMark/>
          </w:tcPr>
          <w:p w14:paraId="199BFC3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Capital stack, investor scenarios, note structures, projected economics.</w:t>
            </w:r>
          </w:p>
        </w:tc>
      </w:tr>
      <w:tr w:rsidR="0055683A" w:rsidRPr="00B479AE" w14:paraId="4D477326" w14:textId="77777777" w:rsidTr="0055683A">
        <w:trPr>
          <w:tblCellSpacing w:w="15" w:type="dxa"/>
        </w:trPr>
        <w:tc>
          <w:tcPr>
            <w:tcW w:w="0" w:type="auto"/>
            <w:vAlign w:val="center"/>
            <w:hideMark/>
          </w:tcPr>
          <w:p w14:paraId="785DD791"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 Model</w:t>
            </w:r>
          </w:p>
        </w:tc>
        <w:tc>
          <w:tcPr>
            <w:tcW w:w="0" w:type="auto"/>
            <w:vAlign w:val="center"/>
            <w:hideMark/>
          </w:tcPr>
          <w:p w14:paraId="4323BE4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Terms, sensitivity analysis, return scenarios, diligence assumptions.</w:t>
            </w:r>
          </w:p>
        </w:tc>
      </w:tr>
      <w:tr w:rsidR="0055683A" w:rsidRPr="00B479AE" w14:paraId="785A7127" w14:textId="77777777" w:rsidTr="0055683A">
        <w:trPr>
          <w:tblCellSpacing w:w="15" w:type="dxa"/>
        </w:trPr>
        <w:tc>
          <w:tcPr>
            <w:tcW w:w="0" w:type="auto"/>
            <w:vAlign w:val="center"/>
            <w:hideMark/>
          </w:tcPr>
          <w:p w14:paraId="49194BF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Roadmap</w:t>
            </w:r>
          </w:p>
        </w:tc>
        <w:tc>
          <w:tcPr>
            <w:tcW w:w="0" w:type="auto"/>
            <w:vAlign w:val="center"/>
            <w:hideMark/>
          </w:tcPr>
          <w:p w14:paraId="6A84811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Future implementation, dashboards, integrations, software features.</w:t>
            </w:r>
          </w:p>
        </w:tc>
      </w:tr>
      <w:tr w:rsidR="0055683A" w:rsidRPr="00B479AE" w14:paraId="081A40F6" w14:textId="77777777" w:rsidTr="0055683A">
        <w:trPr>
          <w:tblCellSpacing w:w="15" w:type="dxa"/>
        </w:trPr>
        <w:tc>
          <w:tcPr>
            <w:tcW w:w="0" w:type="auto"/>
            <w:vAlign w:val="center"/>
            <w:hideMark/>
          </w:tcPr>
          <w:p w14:paraId="40B3DEC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Research Appendix</w:t>
            </w:r>
          </w:p>
        </w:tc>
        <w:tc>
          <w:tcPr>
            <w:tcW w:w="0" w:type="auto"/>
            <w:vAlign w:val="center"/>
            <w:hideMark/>
          </w:tcPr>
          <w:p w14:paraId="4F764AA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Frontier hypotheses, HSI research, biomimetic or biophysical theory.</w:t>
            </w:r>
          </w:p>
        </w:tc>
      </w:tr>
      <w:tr w:rsidR="0055683A" w:rsidRPr="00B479AE" w14:paraId="0964E98F" w14:textId="77777777" w:rsidTr="0055683A">
        <w:trPr>
          <w:tblCellSpacing w:w="15" w:type="dxa"/>
        </w:trPr>
        <w:tc>
          <w:tcPr>
            <w:tcW w:w="0" w:type="auto"/>
            <w:vAlign w:val="center"/>
            <w:hideMark/>
          </w:tcPr>
          <w:p w14:paraId="723AC680"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Structuring Memo</w:t>
            </w:r>
          </w:p>
        </w:tc>
        <w:tc>
          <w:tcPr>
            <w:tcW w:w="0" w:type="auto"/>
            <w:vAlign w:val="center"/>
            <w:hideMark/>
          </w:tcPr>
          <w:p w14:paraId="53DE11FD"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Securities, fund, trust, SPV, land, token, or jurisdictional questions.</w:t>
            </w:r>
          </w:p>
        </w:tc>
      </w:tr>
      <w:tr w:rsidR="0055683A" w:rsidRPr="00B479AE" w14:paraId="12DDDBF6" w14:textId="77777777" w:rsidTr="0055683A">
        <w:trPr>
          <w:tblCellSpacing w:w="15" w:type="dxa"/>
        </w:trPr>
        <w:tc>
          <w:tcPr>
            <w:tcW w:w="0" w:type="auto"/>
            <w:vAlign w:val="center"/>
            <w:hideMark/>
          </w:tcPr>
          <w:p w14:paraId="7F60D3D5"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Methodology Appendix</w:t>
            </w:r>
          </w:p>
        </w:tc>
        <w:tc>
          <w:tcPr>
            <w:tcW w:w="0" w:type="auto"/>
            <w:vAlign w:val="center"/>
            <w:hideMark/>
          </w:tcPr>
          <w:p w14:paraId="40AB9E1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Indicators, methods, evidence tiers, validation pathways.</w:t>
            </w:r>
          </w:p>
        </w:tc>
      </w:tr>
      <w:tr w:rsidR="0055683A" w:rsidRPr="00B479AE" w14:paraId="098ECC60" w14:textId="77777777" w:rsidTr="0055683A">
        <w:trPr>
          <w:tblCellSpacing w:w="15" w:type="dxa"/>
        </w:trPr>
        <w:tc>
          <w:tcPr>
            <w:tcW w:w="0" w:type="auto"/>
            <w:vAlign w:val="center"/>
            <w:hideMark/>
          </w:tcPr>
          <w:p w14:paraId="644C37E5"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Appendix</w:t>
            </w:r>
          </w:p>
        </w:tc>
        <w:tc>
          <w:tcPr>
            <w:tcW w:w="0" w:type="auto"/>
            <w:vAlign w:val="center"/>
            <w:hideMark/>
          </w:tcPr>
          <w:p w14:paraId="5B0929A0"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Experimental governance mechanisms not yet constitutionalized.</w:t>
            </w:r>
          </w:p>
        </w:tc>
      </w:tr>
      <w:tr w:rsidR="0055683A" w:rsidRPr="00B479AE" w14:paraId="6441F4F0" w14:textId="77777777" w:rsidTr="0055683A">
        <w:trPr>
          <w:tblCellSpacing w:w="15" w:type="dxa"/>
        </w:trPr>
        <w:tc>
          <w:tcPr>
            <w:tcW w:w="0" w:type="auto"/>
            <w:vAlign w:val="center"/>
            <w:hideMark/>
          </w:tcPr>
          <w:p w14:paraId="46432BE8"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Communications Appendix</w:t>
            </w:r>
          </w:p>
        </w:tc>
        <w:tc>
          <w:tcPr>
            <w:tcW w:w="0" w:type="auto"/>
            <w:vAlign w:val="center"/>
            <w:hideMark/>
          </w:tcPr>
          <w:p w14:paraId="19F8437E"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Narrative language not yet evidence-backed for public claims.</w:t>
            </w:r>
          </w:p>
        </w:tc>
      </w:tr>
    </w:tbl>
    <w:p w14:paraId="515E95EB"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Appendix parking protects continuity.</w:t>
      </w:r>
    </w:p>
    <w:p w14:paraId="34AA4671"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allows Prometheus to be visionary without becoming premature.</w:t>
      </w:r>
    </w:p>
    <w:p w14:paraId="035D306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keeps the future in the room without letting the future sign today’s contracts.</w:t>
      </w:r>
    </w:p>
    <w:p w14:paraId="39B8FD67"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13.12 Refusal, Containment, and Escalation</w:t>
      </w:r>
    </w:p>
    <w:p w14:paraId="08DE2C6B"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 requests must be refused, contained, or escalated.</w:t>
      </w:r>
    </w:p>
    <w:p w14:paraId="4E5AA9B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Refusal is appropriate when a request:</w:t>
      </w:r>
    </w:p>
    <w:p w14:paraId="072E793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violates foundational articles;</w:t>
      </w:r>
      <w:r w:rsidRPr="00B479AE">
        <w:rPr>
          <w:rFonts w:ascii="Baskerville Old Face" w:hAnsi="Baskerville Old Face"/>
          <w:i/>
          <w:iCs/>
        </w:rPr>
        <w:br/>
        <w:t>• violates Eternity Clauses;</w:t>
      </w:r>
      <w:r w:rsidRPr="00B479AE">
        <w:rPr>
          <w:rFonts w:ascii="Baskerville Old Face" w:hAnsi="Baskerville Old Face"/>
          <w:i/>
          <w:iCs/>
        </w:rPr>
        <w:br/>
        <w:t>• bypasses the Access Covenant;</w:t>
      </w:r>
      <w:r w:rsidRPr="00B479AE">
        <w:rPr>
          <w:rFonts w:ascii="Baskerville Old Face" w:hAnsi="Baskerville Old Face"/>
          <w:i/>
          <w:iCs/>
        </w:rPr>
        <w:br/>
        <w:t>• seeks to falsify or manipulate evidence;</w:t>
      </w:r>
      <w:r w:rsidRPr="00B479AE">
        <w:rPr>
          <w:rFonts w:ascii="Baskerville Old Face" w:hAnsi="Baskerville Old Face"/>
          <w:i/>
          <w:iCs/>
        </w:rPr>
        <w:br/>
        <w:t>• seeks to mislead investors or the public;</w:t>
      </w:r>
      <w:r w:rsidRPr="00B479AE">
        <w:rPr>
          <w:rFonts w:ascii="Baskerville Old Face" w:hAnsi="Baskerville Old Face"/>
          <w:i/>
          <w:iCs/>
        </w:rPr>
        <w:br/>
        <w:t>• seeks unauthorized token or financial claims;</w:t>
      </w:r>
      <w:r w:rsidRPr="00B479AE">
        <w:rPr>
          <w:rFonts w:ascii="Baskerville Old Face" w:hAnsi="Baskerville Old Face"/>
          <w:i/>
          <w:iCs/>
        </w:rPr>
        <w:br/>
        <w:t>• seeks coercive use of HSI or human-state data;</w:t>
      </w:r>
      <w:r w:rsidRPr="00B479AE">
        <w:rPr>
          <w:rFonts w:ascii="Baskerville Old Face" w:hAnsi="Baskerville Old Face"/>
          <w:i/>
          <w:iCs/>
        </w:rPr>
        <w:br/>
        <w:t>• seeks to use AI as final authority;</w:t>
      </w:r>
      <w:r w:rsidRPr="00B479AE">
        <w:rPr>
          <w:rFonts w:ascii="Baskerville Old Face" w:hAnsi="Baskerville Old Face"/>
          <w:i/>
          <w:iCs/>
        </w:rPr>
        <w:br/>
      </w:r>
      <w:r w:rsidRPr="00B479AE">
        <w:rPr>
          <w:rFonts w:ascii="Baskerville Old Face" w:hAnsi="Baskerville Old Face"/>
          <w:i/>
          <w:iCs/>
        </w:rPr>
        <w:lastRenderedPageBreak/>
        <w:t>• seeks to override human dignity;</w:t>
      </w:r>
      <w:r w:rsidRPr="00B479AE">
        <w:rPr>
          <w:rFonts w:ascii="Baskerville Old Face" w:hAnsi="Baskerville Old Face"/>
          <w:i/>
          <w:iCs/>
        </w:rPr>
        <w:br/>
        <w:t>• seeks to create ecological or legal harm;</w:t>
      </w:r>
      <w:r w:rsidRPr="00B479AE">
        <w:rPr>
          <w:rFonts w:ascii="Baskerville Old Face" w:hAnsi="Baskerville Old Face"/>
          <w:i/>
          <w:iCs/>
        </w:rPr>
        <w:br/>
        <w:t>• seeks unauthorized access, exfiltration, manipulation, or technical compromise.</w:t>
      </w:r>
    </w:p>
    <w:p w14:paraId="1CED571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Containment may include:</w:t>
      </w:r>
    </w:p>
    <w:p w14:paraId="583245CC"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 refusal;</w:t>
      </w:r>
      <w:r w:rsidRPr="00B479AE">
        <w:rPr>
          <w:rFonts w:ascii="Baskerville Old Face" w:hAnsi="Baskerville Old Face"/>
          <w:i/>
          <w:iCs/>
        </w:rPr>
        <w:br/>
        <w:t>• non-admissible classification;</w:t>
      </w:r>
      <w:r w:rsidRPr="00B479AE">
        <w:rPr>
          <w:rFonts w:ascii="Baskerville Old Face" w:hAnsi="Baskerville Old Face"/>
          <w:i/>
          <w:iCs/>
        </w:rPr>
        <w:br/>
        <w:t>• quarantine;</w:t>
      </w:r>
      <w:r w:rsidRPr="00B479AE">
        <w:rPr>
          <w:rFonts w:ascii="Baskerville Old Face" w:hAnsi="Baskerville Old Face"/>
          <w:i/>
          <w:iCs/>
        </w:rPr>
        <w:br/>
        <w:t>• access restriction;</w:t>
      </w:r>
      <w:r w:rsidRPr="00B479AE">
        <w:rPr>
          <w:rFonts w:ascii="Baskerville Old Face" w:hAnsi="Baskerville Old Face"/>
          <w:i/>
          <w:iCs/>
        </w:rPr>
        <w:br/>
        <w:t>• manual review;</w:t>
      </w:r>
      <w:r w:rsidRPr="00B479AE">
        <w:rPr>
          <w:rFonts w:ascii="Baskerville Old Face" w:hAnsi="Baskerville Old Face"/>
          <w:i/>
          <w:iCs/>
        </w:rPr>
        <w:br/>
        <w:t>• legal review;</w:t>
      </w:r>
      <w:r w:rsidRPr="00B479AE">
        <w:rPr>
          <w:rFonts w:ascii="Baskerville Old Face" w:hAnsi="Baskerville Old Face"/>
          <w:i/>
          <w:iCs/>
        </w:rPr>
        <w:br/>
        <w:t>• technical investigation;</w:t>
      </w:r>
      <w:r w:rsidRPr="00B479AE">
        <w:rPr>
          <w:rFonts w:ascii="Baskerville Old Face" w:hAnsi="Baskerville Old Face"/>
          <w:i/>
          <w:iCs/>
        </w:rPr>
        <w:br/>
        <w:t>• governance escalation;</w:t>
      </w:r>
      <w:r w:rsidRPr="00B479AE">
        <w:rPr>
          <w:rFonts w:ascii="Baskerville Old Face" w:hAnsi="Baskerville Old Face"/>
          <w:i/>
          <w:iCs/>
        </w:rPr>
        <w:br/>
        <w:t>• external escalation where required.</w:t>
      </w:r>
    </w:p>
    <w:p w14:paraId="1BAC916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refusal should be clear, documented where material, and proportionate.</w:t>
      </w:r>
    </w:p>
    <w:p w14:paraId="465304A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refuse the pathway without humiliating the person where possible.</w:t>
      </w:r>
    </w:p>
    <w:p w14:paraId="79E5FAD1"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system protects the source layer.</w:t>
      </w:r>
    </w:p>
    <w:p w14:paraId="06D40BB5"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does not need to perform moral theatre.</w:t>
      </w:r>
    </w:p>
    <w:p w14:paraId="7D084F4C"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13.13 Response Language</w:t>
      </w:r>
    </w:p>
    <w:p w14:paraId="42D7000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use response language that is firm, precise, and generative.</w:t>
      </w:r>
    </w:p>
    <w:p w14:paraId="4D2922A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Preferred formulations include:</w:t>
      </w:r>
    </w:p>
    <w:p w14:paraId="231BD53F" w14:textId="77777777" w:rsidR="0036529B" w:rsidRPr="00B479AE" w:rsidRDefault="0036529B" w:rsidP="0055683A">
      <w:pPr>
        <w:spacing w:line="360" w:lineRule="auto"/>
        <w:rPr>
          <w:rFonts w:ascii="Baskerville Old Face" w:hAnsi="Baskerville Old Face"/>
          <w:i/>
          <w:iCs/>
        </w:rPr>
      </w:pPr>
    </w:p>
    <w:p w14:paraId="76A378F0" w14:textId="77777777" w:rsidR="00D46989" w:rsidRPr="00B479AE" w:rsidRDefault="00D46989" w:rsidP="0055683A">
      <w:pPr>
        <w:spacing w:line="360" w:lineRule="auto"/>
        <w:rPr>
          <w:rFonts w:ascii="Baskerville Old Face" w:hAnsi="Baskerville Old Face"/>
          <w:i/>
          <w:iCs/>
        </w:rPr>
      </w:pPr>
    </w:p>
    <w:p w14:paraId="1F443848" w14:textId="77777777" w:rsidR="00D46989" w:rsidRPr="00B479AE" w:rsidRDefault="00D46989" w:rsidP="0055683A">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7648"/>
      </w:tblGrid>
      <w:tr w:rsidR="0055683A" w:rsidRPr="00B479AE" w14:paraId="22682E8A" w14:textId="77777777" w:rsidTr="0055683A">
        <w:trPr>
          <w:tblHeader/>
          <w:tblCellSpacing w:w="15" w:type="dxa"/>
        </w:trPr>
        <w:tc>
          <w:tcPr>
            <w:tcW w:w="0" w:type="auto"/>
            <w:vAlign w:val="center"/>
            <w:hideMark/>
          </w:tcPr>
          <w:p w14:paraId="3E22274C"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Instead of</w:t>
            </w:r>
          </w:p>
        </w:tc>
        <w:tc>
          <w:tcPr>
            <w:tcW w:w="0" w:type="auto"/>
            <w:vAlign w:val="center"/>
            <w:hideMark/>
          </w:tcPr>
          <w:p w14:paraId="3F4A59EA" w14:textId="77777777" w:rsidR="0055683A" w:rsidRPr="00B479AE" w:rsidRDefault="0055683A" w:rsidP="0055683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w:t>
            </w:r>
          </w:p>
        </w:tc>
      </w:tr>
      <w:tr w:rsidR="0055683A" w:rsidRPr="00B479AE" w14:paraId="4616A400" w14:textId="77777777" w:rsidTr="0055683A">
        <w:trPr>
          <w:tblCellSpacing w:w="15" w:type="dxa"/>
        </w:trPr>
        <w:tc>
          <w:tcPr>
            <w:tcW w:w="0" w:type="auto"/>
            <w:vAlign w:val="center"/>
            <w:hideMark/>
          </w:tcPr>
          <w:p w14:paraId="11CE376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“This is forbidden.”</w:t>
            </w:r>
          </w:p>
        </w:tc>
        <w:tc>
          <w:tcPr>
            <w:tcW w:w="0" w:type="auto"/>
            <w:vAlign w:val="center"/>
            <w:hideMark/>
          </w:tcPr>
          <w:p w14:paraId="2F2F568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“This pathway is not admissible under the current constitutional and evidentiary constraints.”</w:t>
            </w:r>
          </w:p>
        </w:tc>
      </w:tr>
      <w:tr w:rsidR="0055683A" w:rsidRPr="00B479AE" w14:paraId="43E530D5" w14:textId="77777777" w:rsidTr="0055683A">
        <w:trPr>
          <w:tblCellSpacing w:w="15" w:type="dxa"/>
        </w:trPr>
        <w:tc>
          <w:tcPr>
            <w:tcW w:w="0" w:type="auto"/>
            <w:vAlign w:val="center"/>
            <w:hideMark/>
          </w:tcPr>
          <w:p w14:paraId="6D9E679E"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“You cannot do this.”</w:t>
            </w:r>
          </w:p>
        </w:tc>
        <w:tc>
          <w:tcPr>
            <w:tcW w:w="0" w:type="auto"/>
            <w:vAlign w:val="center"/>
            <w:hideMark/>
          </w:tcPr>
          <w:p w14:paraId="70FA0D8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“This request requires review or restructuring before it can proceed.”</w:t>
            </w:r>
          </w:p>
        </w:tc>
      </w:tr>
      <w:tr w:rsidR="0055683A" w:rsidRPr="00B479AE" w14:paraId="693E91E7" w14:textId="77777777" w:rsidTr="0055683A">
        <w:trPr>
          <w:tblCellSpacing w:w="15" w:type="dxa"/>
        </w:trPr>
        <w:tc>
          <w:tcPr>
            <w:tcW w:w="0" w:type="auto"/>
            <w:vAlign w:val="center"/>
            <w:hideMark/>
          </w:tcPr>
          <w:p w14:paraId="4A8F37E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“Rejected.”</w:t>
            </w:r>
          </w:p>
        </w:tc>
        <w:tc>
          <w:tcPr>
            <w:tcW w:w="0" w:type="auto"/>
            <w:vAlign w:val="center"/>
            <w:hideMark/>
          </w:tcPr>
          <w:p w14:paraId="7360F25B"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request cannot proceed in its current form.”</w:t>
            </w:r>
          </w:p>
        </w:tc>
      </w:tr>
      <w:tr w:rsidR="0055683A" w:rsidRPr="00B479AE" w14:paraId="0FBD2C60" w14:textId="77777777" w:rsidTr="0055683A">
        <w:trPr>
          <w:tblCellSpacing w:w="15" w:type="dxa"/>
        </w:trPr>
        <w:tc>
          <w:tcPr>
            <w:tcW w:w="0" w:type="auto"/>
            <w:vAlign w:val="center"/>
            <w:hideMark/>
          </w:tcPr>
          <w:p w14:paraId="20704D12"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“Invalid.”</w:t>
            </w:r>
          </w:p>
        </w:tc>
        <w:tc>
          <w:tcPr>
            <w:tcW w:w="0" w:type="auto"/>
            <w:vAlign w:val="center"/>
            <w:hideMark/>
          </w:tcPr>
          <w:p w14:paraId="0F49729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request is outside the current Prometheus pathway.”</w:t>
            </w:r>
          </w:p>
        </w:tc>
      </w:tr>
      <w:tr w:rsidR="0055683A" w:rsidRPr="00B479AE" w14:paraId="24F11046" w14:textId="77777777" w:rsidTr="0055683A">
        <w:trPr>
          <w:tblCellSpacing w:w="15" w:type="dxa"/>
        </w:trPr>
        <w:tc>
          <w:tcPr>
            <w:tcW w:w="0" w:type="auto"/>
            <w:vAlign w:val="center"/>
            <w:hideMark/>
          </w:tcPr>
          <w:p w14:paraId="675C107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“Automatically punished.”</w:t>
            </w:r>
          </w:p>
        </w:tc>
        <w:tc>
          <w:tcPr>
            <w:tcW w:w="0" w:type="auto"/>
            <w:vAlign w:val="center"/>
            <w:hideMark/>
          </w:tcPr>
          <w:p w14:paraId="51F0FB99"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matter is routed to consequence review under the applicable protocol.”</w:t>
            </w:r>
          </w:p>
        </w:tc>
      </w:tr>
      <w:tr w:rsidR="0055683A" w:rsidRPr="00B479AE" w14:paraId="6C4281A9" w14:textId="77777777" w:rsidTr="0055683A">
        <w:trPr>
          <w:tblCellSpacing w:w="15" w:type="dxa"/>
        </w:trPr>
        <w:tc>
          <w:tcPr>
            <w:tcW w:w="0" w:type="auto"/>
            <w:vAlign w:val="center"/>
            <w:hideMark/>
          </w:tcPr>
          <w:p w14:paraId="4F0A124A"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AI decides.”</w:t>
            </w:r>
          </w:p>
        </w:tc>
        <w:tc>
          <w:tcPr>
            <w:tcW w:w="0" w:type="auto"/>
            <w:vAlign w:val="center"/>
            <w:hideMark/>
          </w:tcPr>
          <w:p w14:paraId="506C77F3"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AI may flag the issue, but authorization requires the appropriate review pathway.”</w:t>
            </w:r>
          </w:p>
        </w:tc>
      </w:tr>
      <w:tr w:rsidR="0055683A" w:rsidRPr="00B479AE" w14:paraId="04A5CE16" w14:textId="77777777" w:rsidTr="0055683A">
        <w:trPr>
          <w:tblCellSpacing w:w="15" w:type="dxa"/>
        </w:trPr>
        <w:tc>
          <w:tcPr>
            <w:tcW w:w="0" w:type="auto"/>
            <w:vAlign w:val="center"/>
            <w:hideMark/>
          </w:tcPr>
          <w:p w14:paraId="4E752F2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token loses value.”</w:t>
            </w:r>
          </w:p>
        </w:tc>
        <w:tc>
          <w:tcPr>
            <w:tcW w:w="0" w:type="auto"/>
            <w:vAlign w:val="center"/>
            <w:hideMark/>
          </w:tcPr>
          <w:p w14:paraId="009F91B7"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“Any token-related consequence must follow the rights, disclosures, legal structure, and governance rules actually attached to that token.”</w:t>
            </w:r>
          </w:p>
        </w:tc>
      </w:tr>
      <w:tr w:rsidR="0055683A" w:rsidRPr="00B479AE" w14:paraId="12AA659C" w14:textId="77777777" w:rsidTr="0055683A">
        <w:trPr>
          <w:tblCellSpacing w:w="15" w:type="dxa"/>
        </w:trPr>
        <w:tc>
          <w:tcPr>
            <w:tcW w:w="0" w:type="auto"/>
            <w:vAlign w:val="center"/>
            <w:hideMark/>
          </w:tcPr>
          <w:p w14:paraId="67DFC2BC"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claim is false.”</w:t>
            </w:r>
          </w:p>
        </w:tc>
        <w:tc>
          <w:tcPr>
            <w:tcW w:w="0" w:type="auto"/>
            <w:vAlign w:val="center"/>
            <w:hideMark/>
          </w:tcPr>
          <w:p w14:paraId="0E3E9A19"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“The claim is not currently supported at the required evidence tier.”</w:t>
            </w:r>
          </w:p>
        </w:tc>
      </w:tr>
      <w:tr w:rsidR="0055683A" w:rsidRPr="00B479AE" w14:paraId="161A4D3C" w14:textId="77777777" w:rsidTr="0055683A">
        <w:trPr>
          <w:tblCellSpacing w:w="15" w:type="dxa"/>
        </w:trPr>
        <w:tc>
          <w:tcPr>
            <w:tcW w:w="0" w:type="auto"/>
            <w:vAlign w:val="center"/>
            <w:hideMark/>
          </w:tcPr>
          <w:p w14:paraId="2E08D1D0"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“This is useless.”</w:t>
            </w:r>
          </w:p>
        </w:tc>
        <w:tc>
          <w:tcPr>
            <w:tcW w:w="0" w:type="auto"/>
            <w:vAlign w:val="center"/>
            <w:hideMark/>
          </w:tcPr>
          <w:p w14:paraId="2365DE9F" w14:textId="77777777" w:rsidR="0055683A" w:rsidRPr="00B479AE" w:rsidRDefault="0055683A" w:rsidP="0055683A">
            <w:pPr>
              <w:spacing w:line="360" w:lineRule="auto"/>
              <w:rPr>
                <w:rFonts w:ascii="Baskerville Old Face" w:hAnsi="Baskerville Old Face"/>
                <w:i/>
                <w:iCs/>
                <w:sz w:val="22"/>
                <w:szCs w:val="22"/>
              </w:rPr>
            </w:pPr>
            <w:r w:rsidRPr="00B479AE">
              <w:rPr>
                <w:rFonts w:ascii="Baskerville Old Face" w:hAnsi="Baskerville Old Face"/>
                <w:i/>
                <w:iCs/>
                <w:sz w:val="22"/>
                <w:szCs w:val="22"/>
              </w:rPr>
              <w:t>“This may be preserved as research, narrative, appendix material, or future development, but it is not currently admissible for execution.”</w:t>
            </w:r>
          </w:p>
        </w:tc>
      </w:tr>
    </w:tbl>
    <w:p w14:paraId="0A11B79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Language shapes governance.</w:t>
      </w:r>
    </w:p>
    <w:p w14:paraId="64BDBA1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speak like a constitutional system, not like a panic button.</w:t>
      </w:r>
    </w:p>
    <w:p w14:paraId="404E030F" w14:textId="77777777" w:rsidR="0055683A" w:rsidRPr="00B479AE" w:rsidRDefault="0055683A" w:rsidP="0055683A">
      <w:pPr>
        <w:spacing w:line="360" w:lineRule="auto"/>
        <w:rPr>
          <w:rFonts w:ascii="Baskerville Old Face" w:hAnsi="Baskerville Old Face"/>
          <w:b/>
          <w:bCs/>
          <w:i/>
          <w:iCs/>
        </w:rPr>
      </w:pPr>
      <w:r w:rsidRPr="00B479AE">
        <w:rPr>
          <w:rFonts w:ascii="Baskerville Old Face" w:hAnsi="Baskerville Old Face"/>
          <w:b/>
          <w:bCs/>
          <w:i/>
          <w:iCs/>
        </w:rPr>
        <w:t>13.14 Final Non-Aligned Request Principle</w:t>
      </w:r>
    </w:p>
    <w:p w14:paraId="0BD83B8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final principle is:</w:t>
      </w:r>
    </w:p>
    <w:p w14:paraId="01708529"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misalignment is information.</w:t>
      </w:r>
    </w:p>
    <w:p w14:paraId="54B1249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Sometimes it signals danger.</w:t>
      </w:r>
    </w:p>
    <w:p w14:paraId="2AD4FB7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Sometimes it signals immaturity.</w:t>
      </w:r>
    </w:p>
    <w:p w14:paraId="47BFBDE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Sometimes it signals a missing pathway.</w:t>
      </w:r>
    </w:p>
    <w:p w14:paraId="21E601B2"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Sometimes it signals a future appendix.</w:t>
      </w:r>
    </w:p>
    <w:p w14:paraId="0FDBBFEA"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Sometimes it signals an innovation that needs structure before execution.</w:t>
      </w:r>
    </w:p>
    <w:p w14:paraId="7C5E3AF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Prometheus should not fear the edge.</w:t>
      </w:r>
    </w:p>
    <w:p w14:paraId="4608F01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should govern the edge.</w:t>
      </w:r>
    </w:p>
    <w:p w14:paraId="5FEFA4F4"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A request at the edge of the system should be classified, held, translated, reviewed, parked, narrowed, piloted, refused, or escalated according to its nature.</w:t>
      </w:r>
    </w:p>
    <w:p w14:paraId="0798157D"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The system must remain capable of saying:</w:t>
      </w:r>
    </w:p>
    <w:p w14:paraId="707CFEA6"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not yet;</w:t>
      </w:r>
      <w:r w:rsidRPr="00B479AE">
        <w:rPr>
          <w:rFonts w:ascii="Baskerville Old Face" w:hAnsi="Baskerville Old Face"/>
          <w:i/>
          <w:iCs/>
        </w:rPr>
        <w:br/>
        <w:t>not like this;</w:t>
      </w:r>
      <w:r w:rsidRPr="00B479AE">
        <w:rPr>
          <w:rFonts w:ascii="Baskerville Old Face" w:hAnsi="Baskerville Old Face"/>
          <w:i/>
          <w:iCs/>
        </w:rPr>
        <w:br/>
        <w:t>not without evidence;</w:t>
      </w:r>
      <w:r w:rsidRPr="00B479AE">
        <w:rPr>
          <w:rFonts w:ascii="Baskerville Old Face" w:hAnsi="Baskerville Old Face"/>
          <w:i/>
          <w:iCs/>
        </w:rPr>
        <w:br/>
        <w:t>not without legal review;</w:t>
      </w:r>
      <w:r w:rsidRPr="00B479AE">
        <w:rPr>
          <w:rFonts w:ascii="Baskerville Old Face" w:hAnsi="Baskerville Old Face"/>
          <w:i/>
          <w:iCs/>
        </w:rPr>
        <w:br/>
        <w:t>not within this scope;</w:t>
      </w:r>
      <w:r w:rsidRPr="00B479AE">
        <w:rPr>
          <w:rFonts w:ascii="Baskerville Old Face" w:hAnsi="Baskerville Old Face"/>
          <w:i/>
          <w:iCs/>
        </w:rPr>
        <w:br/>
        <w:t>not as PRU;</w:t>
      </w:r>
      <w:r w:rsidRPr="00B479AE">
        <w:rPr>
          <w:rFonts w:ascii="Baskerville Old Face" w:hAnsi="Baskerville Old Face"/>
          <w:i/>
          <w:iCs/>
        </w:rPr>
        <w:br/>
        <w:t>not as investor-facing;</w:t>
      </w:r>
      <w:r w:rsidRPr="00B479AE">
        <w:rPr>
          <w:rFonts w:ascii="Baskerville Old Face" w:hAnsi="Baskerville Old Face"/>
          <w:i/>
          <w:iCs/>
        </w:rPr>
        <w:br/>
        <w:t>not as governance authority;</w:t>
      </w:r>
      <w:r w:rsidRPr="00B479AE">
        <w:rPr>
          <w:rFonts w:ascii="Baskerville Old Face" w:hAnsi="Baskerville Old Face"/>
          <w:i/>
          <w:iCs/>
        </w:rPr>
        <w:br/>
        <w:t>not as Prometheus.</w:t>
      </w:r>
    </w:p>
    <w:p w14:paraId="064226E3"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But it should also remain capable of saying:</w:t>
      </w:r>
    </w:p>
    <w:p w14:paraId="32DA7A41"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this is promising;</w:t>
      </w:r>
      <w:r w:rsidRPr="00B479AE">
        <w:rPr>
          <w:rFonts w:ascii="Baskerville Old Face" w:hAnsi="Baskerville Old Face"/>
          <w:i/>
          <w:iCs/>
        </w:rPr>
        <w:br/>
        <w:t>this belongs in research;</w:t>
      </w:r>
      <w:r w:rsidRPr="00B479AE">
        <w:rPr>
          <w:rFonts w:ascii="Baskerville Old Face" w:hAnsi="Baskerville Old Face"/>
          <w:i/>
          <w:iCs/>
        </w:rPr>
        <w:br/>
        <w:t>this belongs in the appendix;</w:t>
      </w:r>
      <w:r w:rsidRPr="00B479AE">
        <w:rPr>
          <w:rFonts w:ascii="Baskerville Old Face" w:hAnsi="Baskerville Old Face"/>
          <w:i/>
          <w:iCs/>
        </w:rPr>
        <w:br/>
        <w:t>this needs a pilot;</w:t>
      </w:r>
      <w:r w:rsidRPr="00B479AE">
        <w:rPr>
          <w:rFonts w:ascii="Baskerville Old Face" w:hAnsi="Baskerville Old Face"/>
          <w:i/>
          <w:iCs/>
        </w:rPr>
        <w:br/>
        <w:t>this needs a legal wrapper;</w:t>
      </w:r>
      <w:r w:rsidRPr="00B479AE">
        <w:rPr>
          <w:rFonts w:ascii="Baskerville Old Face" w:hAnsi="Baskerville Old Face"/>
          <w:i/>
          <w:iCs/>
        </w:rPr>
        <w:br/>
        <w:t>this needs MRV design;</w:t>
      </w:r>
      <w:r w:rsidRPr="00B479AE">
        <w:rPr>
          <w:rFonts w:ascii="Baskerville Old Face" w:hAnsi="Baskerville Old Face"/>
          <w:i/>
          <w:iCs/>
        </w:rPr>
        <w:br/>
        <w:t>this needs community consent;</w:t>
      </w:r>
      <w:r w:rsidRPr="00B479AE">
        <w:rPr>
          <w:rFonts w:ascii="Baskerville Old Face" w:hAnsi="Baskerville Old Face"/>
          <w:i/>
          <w:iCs/>
        </w:rPr>
        <w:br/>
        <w:t>this needs technical implementation;</w:t>
      </w:r>
      <w:r w:rsidRPr="00B479AE">
        <w:rPr>
          <w:rFonts w:ascii="Baskerville Old Face" w:hAnsi="Baskerville Old Face"/>
          <w:i/>
          <w:iCs/>
        </w:rPr>
        <w:br/>
        <w:t>this may become part of the future.</w:t>
      </w:r>
    </w:p>
    <w:p w14:paraId="0290D467"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That is the discipline.</w:t>
      </w:r>
    </w:p>
    <w:p w14:paraId="09311D28"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lastRenderedPageBreak/>
        <w:t>Prometheus does not kill possibility.</w:t>
      </w:r>
    </w:p>
    <w:p w14:paraId="3C3841AE"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prevents possibility from pretending to be maturity.</w:t>
      </w:r>
    </w:p>
    <w:p w14:paraId="553C78E2"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keeps the gate open.</w:t>
      </w:r>
    </w:p>
    <w:p w14:paraId="0BF64800"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keeps the source intact.</w:t>
      </w:r>
    </w:p>
    <w:p w14:paraId="0234EFEF" w14:textId="77777777" w:rsidR="0055683A" w:rsidRPr="00B479AE" w:rsidRDefault="0055683A" w:rsidP="0055683A">
      <w:pPr>
        <w:spacing w:line="360" w:lineRule="auto"/>
        <w:rPr>
          <w:rFonts w:ascii="Baskerville Old Face" w:hAnsi="Baskerville Old Face"/>
          <w:i/>
          <w:iCs/>
        </w:rPr>
      </w:pPr>
      <w:r w:rsidRPr="00B479AE">
        <w:rPr>
          <w:rFonts w:ascii="Baskerville Old Face" w:hAnsi="Baskerville Old Face"/>
          <w:i/>
          <w:iCs/>
        </w:rPr>
        <w:t>It lets the future approach without letting it bypass the present.</w:t>
      </w:r>
    </w:p>
    <w:p w14:paraId="37D8969A"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Governance and Evolution of Meta-Prompts</w:t>
      </w:r>
    </w:p>
    <w:p w14:paraId="584D162D" w14:textId="1B2E12A0"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Prometheus cognitive kernel must maintain a governed register of generated meta-prompts, constitutional interpretations, routing decisions, escalation outcomes, and methodology-relevant prompt patterns.</w:t>
      </w:r>
      <w:r w:rsidR="00650EBA" w:rsidRPr="00B479AE">
        <w:rPr>
          <w:rFonts w:ascii="Baskerville Old Face" w:hAnsi="Baskerville Old Face"/>
          <w:i/>
          <w:iCs/>
        </w:rPr>
        <w:t xml:space="preserve"> </w:t>
      </w:r>
      <w:r w:rsidRPr="00B479AE">
        <w:rPr>
          <w:rFonts w:ascii="Baskerville Old Face" w:hAnsi="Baskerville Old Face"/>
          <w:i/>
          <w:iCs/>
        </w:rPr>
        <w:t>This register is not a casual archive.</w:t>
      </w:r>
      <w:r w:rsidR="00650EBA" w:rsidRPr="00B479AE">
        <w:rPr>
          <w:rFonts w:ascii="Baskerville Old Face" w:hAnsi="Baskerville Old Face"/>
          <w:i/>
          <w:iCs/>
        </w:rPr>
        <w:t xml:space="preserve"> </w:t>
      </w:r>
      <w:r w:rsidRPr="00B479AE">
        <w:rPr>
          <w:rFonts w:ascii="Baskerville Old Face" w:hAnsi="Baskerville Old Face"/>
          <w:i/>
          <w:iCs/>
        </w:rPr>
        <w:t>It is part of the governance memory of the system.</w:t>
      </w:r>
    </w:p>
    <w:p w14:paraId="20589331"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Its purpose is to preserve continuity, detect drift, avoid contradiction, support auditability, improve future decisions, and prevent intelligence from becoming opaque as Prometheus evolves.</w:t>
      </w:r>
    </w:p>
    <w:p w14:paraId="65135CEF" w14:textId="3532B73C"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Meta-prompts are not neutral text objects.</w:t>
      </w:r>
      <w:r w:rsidR="00650EBA" w:rsidRPr="00B479AE">
        <w:rPr>
          <w:rFonts w:ascii="Baskerville Old Face" w:hAnsi="Baskerville Old Face"/>
          <w:i/>
          <w:iCs/>
        </w:rPr>
        <w:t xml:space="preserve"> </w:t>
      </w:r>
      <w:r w:rsidRPr="00B479AE">
        <w:rPr>
          <w:rFonts w:ascii="Baskerville Old Face" w:hAnsi="Baskerville Old Face"/>
          <w:i/>
          <w:iCs/>
        </w:rPr>
        <w:t>They can shape ecological design, MRV interpretation, governance proposals, financial scenarios, investor-facing drafts, legal review pathways, technical workflows, and agent behavior.</w:t>
      </w:r>
    </w:p>
    <w:p w14:paraId="32E1226E"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For this reason, their creation, use, revision, retirement, and constitutional alignment must remain governed.</w:t>
      </w:r>
    </w:p>
    <w:p w14:paraId="01F2A098"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1. Meta-prompt register</w:t>
      </w:r>
    </w:p>
    <w:p w14:paraId="54079766"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Prometheus should maintain a logical register of meta-prompts and related decision records.</w:t>
      </w:r>
    </w:p>
    <w:p w14:paraId="4910F37A" w14:textId="77777777" w:rsidR="0036529B" w:rsidRPr="00B479AE" w:rsidRDefault="0036529B" w:rsidP="00080B17">
      <w:pPr>
        <w:spacing w:line="360" w:lineRule="auto"/>
        <w:rPr>
          <w:rFonts w:ascii="Baskerville Old Face" w:hAnsi="Baskerville Old Face"/>
          <w:i/>
          <w:iCs/>
        </w:rPr>
      </w:pPr>
    </w:p>
    <w:p w14:paraId="261FC01B" w14:textId="77777777" w:rsidR="00D46989" w:rsidRPr="00B479AE" w:rsidRDefault="00D46989" w:rsidP="00080B17">
      <w:pPr>
        <w:spacing w:line="360" w:lineRule="auto"/>
        <w:rPr>
          <w:rFonts w:ascii="Baskerville Old Face" w:hAnsi="Baskerville Old Face"/>
          <w:i/>
          <w:iCs/>
        </w:rPr>
      </w:pPr>
    </w:p>
    <w:p w14:paraId="0DE411CC" w14:textId="77777777" w:rsidR="00D46989" w:rsidRPr="00B479AE" w:rsidRDefault="00D46989" w:rsidP="00080B1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09"/>
        <w:gridCol w:w="4278"/>
        <w:gridCol w:w="3141"/>
      </w:tblGrid>
      <w:tr w:rsidR="00080B17" w:rsidRPr="00B479AE" w14:paraId="43D33037" w14:textId="77777777" w:rsidTr="00080B17">
        <w:trPr>
          <w:tblHeader/>
          <w:tblCellSpacing w:w="15" w:type="dxa"/>
        </w:trPr>
        <w:tc>
          <w:tcPr>
            <w:tcW w:w="0" w:type="auto"/>
            <w:vAlign w:val="center"/>
            <w:hideMark/>
          </w:tcPr>
          <w:p w14:paraId="4247F607" w14:textId="77777777" w:rsidR="00080B17" w:rsidRPr="00B479AE" w:rsidRDefault="00080B17" w:rsidP="00080B1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Function</w:t>
            </w:r>
          </w:p>
        </w:tc>
        <w:tc>
          <w:tcPr>
            <w:tcW w:w="0" w:type="auto"/>
            <w:vAlign w:val="center"/>
            <w:hideMark/>
          </w:tcPr>
          <w:p w14:paraId="5DB65072" w14:textId="77777777" w:rsidR="00080B17" w:rsidRPr="00B479AE" w:rsidRDefault="00080B17" w:rsidP="00080B1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Purpose</w:t>
            </w:r>
          </w:p>
        </w:tc>
        <w:tc>
          <w:tcPr>
            <w:tcW w:w="0" w:type="auto"/>
            <w:vAlign w:val="center"/>
            <w:hideMark/>
          </w:tcPr>
          <w:p w14:paraId="36390074" w14:textId="77777777" w:rsidR="00080B17" w:rsidRPr="00B479AE" w:rsidRDefault="00080B17" w:rsidP="00080B1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Governance implication</w:t>
            </w:r>
          </w:p>
        </w:tc>
      </w:tr>
      <w:tr w:rsidR="00080B17" w:rsidRPr="00B479AE" w14:paraId="71262EAE" w14:textId="77777777" w:rsidTr="00080B17">
        <w:trPr>
          <w:tblCellSpacing w:w="15" w:type="dxa"/>
        </w:trPr>
        <w:tc>
          <w:tcPr>
            <w:tcW w:w="0" w:type="auto"/>
            <w:vAlign w:val="center"/>
            <w:hideMark/>
          </w:tcPr>
          <w:p w14:paraId="17ED922A"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Avoid unnecessary duplication</w:t>
            </w:r>
          </w:p>
        </w:tc>
        <w:tc>
          <w:tcPr>
            <w:tcW w:w="0" w:type="auto"/>
            <w:vAlign w:val="center"/>
            <w:hideMark/>
          </w:tcPr>
          <w:p w14:paraId="100D031E"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Prevents repeated generation of functionally identical prompts.</w:t>
            </w:r>
          </w:p>
        </w:tc>
        <w:tc>
          <w:tcPr>
            <w:tcW w:w="0" w:type="auto"/>
            <w:vAlign w:val="center"/>
            <w:hideMark/>
          </w:tcPr>
          <w:p w14:paraId="5E3D4FAB"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Improves efficiency and reduces semantic noise.</w:t>
            </w:r>
          </w:p>
        </w:tc>
      </w:tr>
      <w:tr w:rsidR="00080B17" w:rsidRPr="00B479AE" w14:paraId="0D0FC0EA" w14:textId="77777777" w:rsidTr="00080B17">
        <w:trPr>
          <w:tblCellSpacing w:w="15" w:type="dxa"/>
        </w:trPr>
        <w:tc>
          <w:tcPr>
            <w:tcW w:w="0" w:type="auto"/>
            <w:vAlign w:val="center"/>
            <w:hideMark/>
          </w:tcPr>
          <w:p w14:paraId="60D9C810"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Prevent contradictions</w:t>
            </w:r>
          </w:p>
        </w:tc>
        <w:tc>
          <w:tcPr>
            <w:tcW w:w="0" w:type="auto"/>
            <w:vAlign w:val="center"/>
            <w:hideMark/>
          </w:tcPr>
          <w:p w14:paraId="1DDCFB96"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Identifies prompts that produce conflicting assumptions, outputs, or instructions.</w:t>
            </w:r>
          </w:p>
        </w:tc>
        <w:tc>
          <w:tcPr>
            <w:tcW w:w="0" w:type="auto"/>
            <w:vAlign w:val="center"/>
            <w:hideMark/>
          </w:tcPr>
          <w:p w14:paraId="41AC60F0"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Protects coherence across agents and workflows.</w:t>
            </w:r>
          </w:p>
        </w:tc>
      </w:tr>
      <w:tr w:rsidR="00080B17" w:rsidRPr="00B479AE" w14:paraId="63F000A3" w14:textId="77777777" w:rsidTr="00080B17">
        <w:trPr>
          <w:tblCellSpacing w:w="15" w:type="dxa"/>
        </w:trPr>
        <w:tc>
          <w:tcPr>
            <w:tcW w:w="0" w:type="auto"/>
            <w:vAlign w:val="center"/>
            <w:hideMark/>
          </w:tcPr>
          <w:p w14:paraId="30688FCD"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Favor convergence rather than fragmentation</w:t>
            </w:r>
          </w:p>
        </w:tc>
        <w:tc>
          <w:tcPr>
            <w:tcW w:w="0" w:type="auto"/>
            <w:vAlign w:val="center"/>
            <w:hideMark/>
          </w:tcPr>
          <w:p w14:paraId="36616731"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Encourages alignment around canonical definitions and shared methodology.</w:t>
            </w:r>
          </w:p>
        </w:tc>
        <w:tc>
          <w:tcPr>
            <w:tcW w:w="0" w:type="auto"/>
            <w:vAlign w:val="center"/>
            <w:hideMark/>
          </w:tcPr>
          <w:p w14:paraId="51C093B9"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Preserves unity without forcing uniformity.</w:t>
            </w:r>
          </w:p>
        </w:tc>
      </w:tr>
      <w:tr w:rsidR="00080B17" w:rsidRPr="00B479AE" w14:paraId="73A44EF7" w14:textId="77777777" w:rsidTr="00080B17">
        <w:trPr>
          <w:tblCellSpacing w:w="15" w:type="dxa"/>
        </w:trPr>
        <w:tc>
          <w:tcPr>
            <w:tcW w:w="0" w:type="auto"/>
            <w:vAlign w:val="center"/>
            <w:hideMark/>
          </w:tcPr>
          <w:p w14:paraId="095564A7"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Enable evolution through clarification</w:t>
            </w:r>
          </w:p>
        </w:tc>
        <w:tc>
          <w:tcPr>
            <w:tcW w:w="0" w:type="auto"/>
            <w:vAlign w:val="center"/>
            <w:hideMark/>
          </w:tcPr>
          <w:p w14:paraId="2C0322AD"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Allows prompts to improve when evidence, governance, or methodology matures.</w:t>
            </w:r>
          </w:p>
        </w:tc>
        <w:tc>
          <w:tcPr>
            <w:tcW w:w="0" w:type="auto"/>
            <w:vAlign w:val="center"/>
            <w:hideMark/>
          </w:tcPr>
          <w:p w14:paraId="0F560FAE"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Supports learning without silent drift.</w:t>
            </w:r>
          </w:p>
        </w:tc>
      </w:tr>
      <w:tr w:rsidR="00080B17" w:rsidRPr="00B479AE" w14:paraId="61990376" w14:textId="77777777" w:rsidTr="00080B17">
        <w:trPr>
          <w:tblCellSpacing w:w="15" w:type="dxa"/>
        </w:trPr>
        <w:tc>
          <w:tcPr>
            <w:tcW w:w="0" w:type="auto"/>
            <w:vAlign w:val="center"/>
            <w:hideMark/>
          </w:tcPr>
          <w:p w14:paraId="017641E3"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Provide transparency</w:t>
            </w:r>
          </w:p>
        </w:tc>
        <w:tc>
          <w:tcPr>
            <w:tcW w:w="0" w:type="auto"/>
            <w:vAlign w:val="center"/>
            <w:hideMark/>
          </w:tcPr>
          <w:p w14:paraId="30CA4129"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Enables review of prompt logic, routing decisions, and recurring patterns.</w:t>
            </w:r>
          </w:p>
        </w:tc>
        <w:tc>
          <w:tcPr>
            <w:tcW w:w="0" w:type="auto"/>
            <w:vAlign w:val="center"/>
            <w:hideMark/>
          </w:tcPr>
          <w:p w14:paraId="5A32955D"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Supports public or internal learning, with anonymization where required.</w:t>
            </w:r>
          </w:p>
        </w:tc>
      </w:tr>
      <w:tr w:rsidR="00080B17" w:rsidRPr="00B479AE" w14:paraId="4F7F463F" w14:textId="77777777" w:rsidTr="00080B17">
        <w:trPr>
          <w:tblCellSpacing w:w="15" w:type="dxa"/>
        </w:trPr>
        <w:tc>
          <w:tcPr>
            <w:tcW w:w="0" w:type="auto"/>
            <w:vAlign w:val="center"/>
            <w:hideMark/>
          </w:tcPr>
          <w:p w14:paraId="4626B2F6"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Enable pattern analysis</w:t>
            </w:r>
          </w:p>
        </w:tc>
        <w:tc>
          <w:tcPr>
            <w:tcW w:w="0" w:type="auto"/>
            <w:vAlign w:val="center"/>
            <w:hideMark/>
          </w:tcPr>
          <w:p w14:paraId="55AC7330"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Identifies biases, gaps, failure modes, recurring risks, and emerging needs.</w:t>
            </w:r>
          </w:p>
        </w:tc>
        <w:tc>
          <w:tcPr>
            <w:tcW w:w="0" w:type="auto"/>
            <w:vAlign w:val="center"/>
            <w:hideMark/>
          </w:tcPr>
          <w:p w14:paraId="53CBE0E3"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Supports protocol stewardship and methodology refinement.</w:t>
            </w:r>
          </w:p>
        </w:tc>
      </w:tr>
      <w:tr w:rsidR="00080B17" w:rsidRPr="00B479AE" w14:paraId="38A0BB7E" w14:textId="77777777" w:rsidTr="00080B17">
        <w:trPr>
          <w:tblCellSpacing w:w="15" w:type="dxa"/>
        </w:trPr>
        <w:tc>
          <w:tcPr>
            <w:tcW w:w="0" w:type="auto"/>
            <w:vAlign w:val="center"/>
            <w:hideMark/>
          </w:tcPr>
          <w:p w14:paraId="60B6BA4C"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Preserve constitutional traceability</w:t>
            </w:r>
          </w:p>
        </w:tc>
        <w:tc>
          <w:tcPr>
            <w:tcW w:w="0" w:type="auto"/>
            <w:vAlign w:val="center"/>
            <w:hideMark/>
          </w:tcPr>
          <w:p w14:paraId="5D15E686"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Links generated prompts to the constitutional source layer and applicable constraints.</w:t>
            </w:r>
          </w:p>
        </w:tc>
        <w:tc>
          <w:tcPr>
            <w:tcW w:w="0" w:type="auto"/>
            <w:vAlign w:val="center"/>
            <w:hideMark/>
          </w:tcPr>
          <w:p w14:paraId="2C39989E"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Makes alignment reviewable after the fact.</w:t>
            </w:r>
          </w:p>
        </w:tc>
      </w:tr>
      <w:tr w:rsidR="00080B17" w:rsidRPr="00B479AE" w14:paraId="7B37EA0C" w14:textId="77777777" w:rsidTr="00080B17">
        <w:trPr>
          <w:tblCellSpacing w:w="15" w:type="dxa"/>
        </w:trPr>
        <w:tc>
          <w:tcPr>
            <w:tcW w:w="0" w:type="auto"/>
            <w:vAlign w:val="center"/>
            <w:hideMark/>
          </w:tcPr>
          <w:p w14:paraId="09459F4D"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Support auditability</w:t>
            </w:r>
          </w:p>
        </w:tc>
        <w:tc>
          <w:tcPr>
            <w:tcW w:w="0" w:type="auto"/>
            <w:vAlign w:val="center"/>
            <w:hideMark/>
          </w:tcPr>
          <w:p w14:paraId="4EFD0E3C"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Records prompt lineage, version, assumptions, review status, and execution boundary.</w:t>
            </w:r>
          </w:p>
        </w:tc>
        <w:tc>
          <w:tcPr>
            <w:tcW w:w="0" w:type="auto"/>
            <w:vAlign w:val="center"/>
            <w:hideMark/>
          </w:tcPr>
          <w:p w14:paraId="5D17F5A7"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Makes the cognitive layer institutionally readable.</w:t>
            </w:r>
          </w:p>
        </w:tc>
      </w:tr>
      <w:tr w:rsidR="00080B17" w:rsidRPr="00B479AE" w14:paraId="498E9FE5" w14:textId="77777777" w:rsidTr="00080B17">
        <w:trPr>
          <w:tblCellSpacing w:w="15" w:type="dxa"/>
        </w:trPr>
        <w:tc>
          <w:tcPr>
            <w:tcW w:w="0" w:type="auto"/>
            <w:vAlign w:val="center"/>
            <w:hideMark/>
          </w:tcPr>
          <w:p w14:paraId="2B1ABB28"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Protect against semantic drift</w:t>
            </w:r>
          </w:p>
        </w:tc>
        <w:tc>
          <w:tcPr>
            <w:tcW w:w="0" w:type="auto"/>
            <w:vAlign w:val="center"/>
            <w:hideMark/>
          </w:tcPr>
          <w:p w14:paraId="3B8ABD7B"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Detects when language changes the meaning of PRU, RAP, TRBK, HSI, </w:t>
            </w:r>
            <w:proofErr w:type="spellStart"/>
            <w:r w:rsidRPr="00B479AE">
              <w:rPr>
                <w:rFonts w:ascii="Baskerville Old Face" w:hAnsi="Baskerville Old Face"/>
                <w:i/>
                <w:iCs/>
                <w:sz w:val="20"/>
                <w:szCs w:val="20"/>
              </w:rPr>
              <w:t>SyntroGIFT</w:t>
            </w:r>
            <w:proofErr w:type="spellEnd"/>
            <w:r w:rsidRPr="00B479AE">
              <w:rPr>
                <w:rFonts w:ascii="Baskerville Old Face" w:hAnsi="Baskerville Old Face"/>
                <w:i/>
                <w:iCs/>
                <w:sz w:val="20"/>
                <w:szCs w:val="20"/>
              </w:rPr>
              <w:t>, MRV, or tokenization.</w:t>
            </w:r>
          </w:p>
        </w:tc>
        <w:tc>
          <w:tcPr>
            <w:tcW w:w="0" w:type="auto"/>
            <w:vAlign w:val="center"/>
            <w:hideMark/>
          </w:tcPr>
          <w:p w14:paraId="5493EA41"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Prevents future systems from diluting the constitution.</w:t>
            </w:r>
          </w:p>
        </w:tc>
      </w:tr>
      <w:tr w:rsidR="00080B17" w:rsidRPr="00B479AE" w14:paraId="10087C02" w14:textId="77777777" w:rsidTr="00080B17">
        <w:trPr>
          <w:tblCellSpacing w:w="15" w:type="dxa"/>
        </w:trPr>
        <w:tc>
          <w:tcPr>
            <w:tcW w:w="0" w:type="auto"/>
            <w:vAlign w:val="center"/>
            <w:hideMark/>
          </w:tcPr>
          <w:p w14:paraId="7F98FDB0"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Support release discipline</w:t>
            </w:r>
          </w:p>
        </w:tc>
        <w:tc>
          <w:tcPr>
            <w:tcW w:w="0" w:type="auto"/>
            <w:vAlign w:val="center"/>
            <w:hideMark/>
          </w:tcPr>
          <w:p w14:paraId="2B493F8D"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Connects prompt evolution to methodology versions and canonical releases.</w:t>
            </w:r>
          </w:p>
        </w:tc>
        <w:tc>
          <w:tcPr>
            <w:tcW w:w="0" w:type="auto"/>
            <w:vAlign w:val="center"/>
            <w:hideMark/>
          </w:tcPr>
          <w:p w14:paraId="3417CC61"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Prevents uncontrolled changes in operational meaning.</w:t>
            </w:r>
          </w:p>
        </w:tc>
      </w:tr>
    </w:tbl>
    <w:p w14:paraId="308A193E"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register should distinguish among:</w:t>
      </w:r>
    </w:p>
    <w:p w14:paraId="3CF7220F"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 generated prompt;</w:t>
      </w:r>
      <w:r w:rsidRPr="00B479AE">
        <w:rPr>
          <w:rFonts w:ascii="Baskerville Old Face" w:hAnsi="Baskerville Old Face"/>
          <w:i/>
          <w:iCs/>
        </w:rPr>
        <w:br/>
        <w:t>• meta-prompt;</w:t>
      </w:r>
      <w:r w:rsidRPr="00B479AE">
        <w:rPr>
          <w:rFonts w:ascii="Baskerville Old Face" w:hAnsi="Baskerville Old Face"/>
          <w:i/>
          <w:iCs/>
        </w:rPr>
        <w:br/>
        <w:t>• agent task;</w:t>
      </w:r>
      <w:r w:rsidRPr="00B479AE">
        <w:rPr>
          <w:rFonts w:ascii="Baskerville Old Face" w:hAnsi="Baskerville Old Face"/>
          <w:i/>
          <w:iCs/>
        </w:rPr>
        <w:br/>
        <w:t>• governance proposal;</w:t>
      </w:r>
      <w:r w:rsidRPr="00B479AE">
        <w:rPr>
          <w:rFonts w:ascii="Baskerville Old Face" w:hAnsi="Baskerville Old Face"/>
          <w:i/>
          <w:iCs/>
        </w:rPr>
        <w:br/>
        <w:t>• investor-facing draft;</w:t>
      </w:r>
      <w:r w:rsidRPr="00B479AE">
        <w:rPr>
          <w:rFonts w:ascii="Baskerville Old Face" w:hAnsi="Baskerville Old Face"/>
          <w:i/>
          <w:iCs/>
        </w:rPr>
        <w:br/>
      </w:r>
      <w:r w:rsidRPr="00B479AE">
        <w:rPr>
          <w:rFonts w:ascii="Baskerville Old Face" w:hAnsi="Baskerville Old Face"/>
          <w:i/>
          <w:iCs/>
        </w:rPr>
        <w:lastRenderedPageBreak/>
        <w:t>• operational recommendation;</w:t>
      </w:r>
      <w:r w:rsidRPr="00B479AE">
        <w:rPr>
          <w:rFonts w:ascii="Baskerville Old Face" w:hAnsi="Baskerville Old Face"/>
          <w:i/>
          <w:iCs/>
        </w:rPr>
        <w:br/>
        <w:t>• legal or compliance review note;</w:t>
      </w:r>
      <w:r w:rsidRPr="00B479AE">
        <w:rPr>
          <w:rFonts w:ascii="Baskerville Old Face" w:hAnsi="Baskerville Old Face"/>
          <w:i/>
          <w:iCs/>
        </w:rPr>
        <w:br/>
        <w:t>• research hypothesis;</w:t>
      </w:r>
      <w:r w:rsidRPr="00B479AE">
        <w:rPr>
          <w:rFonts w:ascii="Baskerville Old Face" w:hAnsi="Baskerville Old Face"/>
          <w:i/>
          <w:iCs/>
        </w:rPr>
        <w:br/>
        <w:t>• appendix candidate;</w:t>
      </w:r>
      <w:r w:rsidRPr="00B479AE">
        <w:rPr>
          <w:rFonts w:ascii="Baskerville Old Face" w:hAnsi="Baskerville Old Face"/>
          <w:i/>
          <w:iCs/>
        </w:rPr>
        <w:br/>
        <w:t>• rejected or quarantined pathway.</w:t>
      </w:r>
    </w:p>
    <w:p w14:paraId="6FE27EAD"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This prevents the cognitive layer from collapsing different output types into one undifferentiated archive.</w:t>
      </w:r>
    </w:p>
    <w:p w14:paraId="5F229BE5"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2. Versioning and canonical continuity</w:t>
      </w:r>
    </w:p>
    <w:p w14:paraId="4DC39381"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Every material meta-prompt should be versioned.</w:t>
      </w:r>
    </w:p>
    <w:p w14:paraId="62FEAA9B"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A versioned meta-prompt should identify:</w:t>
      </w:r>
    </w:p>
    <w:p w14:paraId="5EE3E7FB"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 prompt title;</w:t>
      </w:r>
      <w:r w:rsidRPr="00B479AE">
        <w:rPr>
          <w:rFonts w:ascii="Baskerville Old Face" w:hAnsi="Baskerville Old Face"/>
          <w:i/>
          <w:iCs/>
        </w:rPr>
        <w:br/>
        <w:t>• purpose;</w:t>
      </w:r>
      <w:r w:rsidRPr="00B479AE">
        <w:rPr>
          <w:rFonts w:ascii="Baskerville Old Face" w:hAnsi="Baskerville Old Face"/>
          <w:i/>
          <w:iCs/>
        </w:rPr>
        <w:br/>
        <w:t>• domain;</w:t>
      </w:r>
      <w:r w:rsidRPr="00B479AE">
        <w:rPr>
          <w:rFonts w:ascii="Baskerville Old Face" w:hAnsi="Baskerville Old Face"/>
          <w:i/>
          <w:iCs/>
        </w:rPr>
        <w:br/>
        <w:t>• system level;</w:t>
      </w:r>
      <w:r w:rsidRPr="00B479AE">
        <w:rPr>
          <w:rFonts w:ascii="Baskerville Old Face" w:hAnsi="Baskerville Old Face"/>
          <w:i/>
          <w:iCs/>
        </w:rPr>
        <w:br/>
        <w:t>• originating request or trigger;</w:t>
      </w:r>
      <w:r w:rsidRPr="00B479AE">
        <w:rPr>
          <w:rFonts w:ascii="Baskerville Old Face" w:hAnsi="Baskerville Old Face"/>
          <w:i/>
          <w:iCs/>
        </w:rPr>
        <w:br/>
        <w:t>• applicable constitutional constraints;</w:t>
      </w:r>
      <w:r w:rsidRPr="00B479AE">
        <w:rPr>
          <w:rFonts w:ascii="Baskerville Old Face" w:hAnsi="Baskerville Old Face"/>
          <w:i/>
          <w:iCs/>
        </w:rPr>
        <w:br/>
        <w:t>• methodology version;</w:t>
      </w:r>
      <w:r w:rsidRPr="00B479AE">
        <w:rPr>
          <w:rFonts w:ascii="Baskerville Old Face" w:hAnsi="Baskerville Old Face"/>
          <w:i/>
          <w:iCs/>
        </w:rPr>
        <w:br/>
        <w:t>• evidence status;</w:t>
      </w:r>
      <w:r w:rsidRPr="00B479AE">
        <w:rPr>
          <w:rFonts w:ascii="Baskerville Old Face" w:hAnsi="Baskerville Old Face"/>
          <w:i/>
          <w:iCs/>
        </w:rPr>
        <w:br/>
        <w:t>• assumptions;</w:t>
      </w:r>
      <w:r w:rsidRPr="00B479AE">
        <w:rPr>
          <w:rFonts w:ascii="Baskerville Old Face" w:hAnsi="Baskerville Old Face"/>
          <w:i/>
          <w:iCs/>
        </w:rPr>
        <w:br/>
        <w:t>• risk category;</w:t>
      </w:r>
      <w:r w:rsidRPr="00B479AE">
        <w:rPr>
          <w:rFonts w:ascii="Baskerville Old Face" w:hAnsi="Baskerville Old Face"/>
          <w:i/>
          <w:iCs/>
        </w:rPr>
        <w:br/>
        <w:t>• review pathway;</w:t>
      </w:r>
      <w:r w:rsidRPr="00B479AE">
        <w:rPr>
          <w:rFonts w:ascii="Baskerville Old Face" w:hAnsi="Baskerville Old Face"/>
          <w:i/>
          <w:iCs/>
        </w:rPr>
        <w:br/>
        <w:t>• output type;</w:t>
      </w:r>
      <w:r w:rsidRPr="00B479AE">
        <w:rPr>
          <w:rFonts w:ascii="Baskerville Old Face" w:hAnsi="Baskerville Old Face"/>
          <w:i/>
          <w:iCs/>
        </w:rPr>
        <w:br/>
        <w:t>• execution boundary;</w:t>
      </w:r>
      <w:r w:rsidRPr="00B479AE">
        <w:rPr>
          <w:rFonts w:ascii="Baskerville Old Face" w:hAnsi="Baskerville Old Face"/>
          <w:i/>
          <w:iCs/>
        </w:rPr>
        <w:br/>
        <w:t>• superseded versions, where applicable;</w:t>
      </w:r>
      <w:r w:rsidRPr="00B479AE">
        <w:rPr>
          <w:rFonts w:ascii="Baskerville Old Face" w:hAnsi="Baskerville Old Face"/>
          <w:i/>
          <w:iCs/>
        </w:rPr>
        <w:br/>
        <w:t>• current status.</w:t>
      </w:r>
    </w:p>
    <w:p w14:paraId="684762B2"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Possible status categories include:</w:t>
      </w:r>
    </w:p>
    <w:p w14:paraId="4146F109" w14:textId="77777777" w:rsidR="0036529B" w:rsidRPr="00B479AE" w:rsidRDefault="0036529B" w:rsidP="00080B1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0"/>
        <w:gridCol w:w="6330"/>
      </w:tblGrid>
      <w:tr w:rsidR="00080B17" w:rsidRPr="00B479AE" w14:paraId="54C7A78B" w14:textId="77777777" w:rsidTr="00650EBA">
        <w:trPr>
          <w:tblHeader/>
          <w:tblCellSpacing w:w="15" w:type="dxa"/>
        </w:trPr>
        <w:tc>
          <w:tcPr>
            <w:tcW w:w="0" w:type="auto"/>
            <w:vAlign w:val="center"/>
            <w:hideMark/>
          </w:tcPr>
          <w:p w14:paraId="15A230B1"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Status</w:t>
            </w:r>
          </w:p>
        </w:tc>
        <w:tc>
          <w:tcPr>
            <w:tcW w:w="0" w:type="auto"/>
            <w:vAlign w:val="center"/>
            <w:hideMark/>
          </w:tcPr>
          <w:p w14:paraId="0A32AA9B"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080B17" w:rsidRPr="00B479AE" w14:paraId="63493C38" w14:textId="77777777" w:rsidTr="00650EBA">
        <w:trPr>
          <w:tblCellSpacing w:w="15" w:type="dxa"/>
        </w:trPr>
        <w:tc>
          <w:tcPr>
            <w:tcW w:w="0" w:type="auto"/>
            <w:vAlign w:val="center"/>
            <w:hideMark/>
          </w:tcPr>
          <w:p w14:paraId="0A7351E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Draft</w:t>
            </w:r>
          </w:p>
        </w:tc>
        <w:tc>
          <w:tcPr>
            <w:tcW w:w="0" w:type="auto"/>
            <w:vAlign w:val="center"/>
            <w:hideMark/>
          </w:tcPr>
          <w:p w14:paraId="051A76B9"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Exploratory prompt not yet approved for operational use.</w:t>
            </w:r>
          </w:p>
        </w:tc>
      </w:tr>
      <w:tr w:rsidR="00080B17" w:rsidRPr="00B479AE" w14:paraId="4EA8F1E2" w14:textId="77777777" w:rsidTr="00650EBA">
        <w:trPr>
          <w:tblCellSpacing w:w="15" w:type="dxa"/>
        </w:trPr>
        <w:tc>
          <w:tcPr>
            <w:tcW w:w="0" w:type="auto"/>
            <w:vAlign w:val="center"/>
            <w:hideMark/>
          </w:tcPr>
          <w:p w14:paraId="0B982636"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Active</w:t>
            </w:r>
          </w:p>
        </w:tc>
        <w:tc>
          <w:tcPr>
            <w:tcW w:w="0" w:type="auto"/>
            <w:vAlign w:val="center"/>
            <w:hideMark/>
          </w:tcPr>
          <w:p w14:paraId="66FE8E60"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Current prompt approved for defined use within a specified scope.</w:t>
            </w:r>
          </w:p>
        </w:tc>
      </w:tr>
      <w:tr w:rsidR="00080B17" w:rsidRPr="00B479AE" w14:paraId="60EFA586" w14:textId="77777777" w:rsidTr="00650EBA">
        <w:trPr>
          <w:tblCellSpacing w:w="15" w:type="dxa"/>
        </w:trPr>
        <w:tc>
          <w:tcPr>
            <w:tcW w:w="0" w:type="auto"/>
            <w:vAlign w:val="center"/>
            <w:hideMark/>
          </w:tcPr>
          <w:p w14:paraId="4254525A"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w:t>
            </w:r>
          </w:p>
        </w:tc>
        <w:tc>
          <w:tcPr>
            <w:tcW w:w="0" w:type="auto"/>
            <w:vAlign w:val="center"/>
            <w:hideMark/>
          </w:tcPr>
          <w:p w14:paraId="37E82C13"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Usable only under defined conditions or review pathways.</w:t>
            </w:r>
          </w:p>
        </w:tc>
      </w:tr>
      <w:tr w:rsidR="00080B17" w:rsidRPr="00B479AE" w14:paraId="544F8C5F" w14:textId="77777777" w:rsidTr="00650EBA">
        <w:trPr>
          <w:tblCellSpacing w:w="15" w:type="dxa"/>
        </w:trPr>
        <w:tc>
          <w:tcPr>
            <w:tcW w:w="0" w:type="auto"/>
            <w:vAlign w:val="center"/>
            <w:hideMark/>
          </w:tcPr>
          <w:p w14:paraId="64ADF09A"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Research-only</w:t>
            </w:r>
          </w:p>
        </w:tc>
        <w:tc>
          <w:tcPr>
            <w:tcW w:w="0" w:type="auto"/>
            <w:vAlign w:val="center"/>
            <w:hideMark/>
          </w:tcPr>
          <w:p w14:paraId="7FF42580"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Suitable for inquiry, not operational or financial execution.</w:t>
            </w:r>
          </w:p>
        </w:tc>
      </w:tr>
      <w:tr w:rsidR="00080B17" w:rsidRPr="00B479AE" w14:paraId="5D398FB1" w14:textId="77777777" w:rsidTr="00650EBA">
        <w:trPr>
          <w:tblCellSpacing w:w="15" w:type="dxa"/>
        </w:trPr>
        <w:tc>
          <w:tcPr>
            <w:tcW w:w="0" w:type="auto"/>
            <w:vAlign w:val="center"/>
            <w:hideMark/>
          </w:tcPr>
          <w:p w14:paraId="0AC8EF8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Investor-model only</w:t>
            </w:r>
          </w:p>
        </w:tc>
        <w:tc>
          <w:tcPr>
            <w:tcW w:w="0" w:type="auto"/>
            <w:vAlign w:val="center"/>
            <w:hideMark/>
          </w:tcPr>
          <w:p w14:paraId="5998FD48"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Suitable for separated financial scenarios, not main constitutional text.</w:t>
            </w:r>
          </w:p>
        </w:tc>
      </w:tr>
      <w:tr w:rsidR="00080B17" w:rsidRPr="00B479AE" w14:paraId="3F5C7BE1" w14:textId="77777777" w:rsidTr="00650EBA">
        <w:trPr>
          <w:tblCellSpacing w:w="15" w:type="dxa"/>
        </w:trPr>
        <w:tc>
          <w:tcPr>
            <w:tcW w:w="0" w:type="auto"/>
            <w:vAlign w:val="center"/>
            <w:hideMark/>
          </w:tcPr>
          <w:p w14:paraId="044A5FA8"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Appendix candidate</w:t>
            </w:r>
          </w:p>
        </w:tc>
        <w:tc>
          <w:tcPr>
            <w:tcW w:w="0" w:type="auto"/>
            <w:vAlign w:val="center"/>
            <w:hideMark/>
          </w:tcPr>
          <w:p w14:paraId="3444682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Valuable but not appropriate for the core White Paper body.</w:t>
            </w:r>
          </w:p>
        </w:tc>
      </w:tr>
      <w:tr w:rsidR="00080B17" w:rsidRPr="00B479AE" w14:paraId="4C6702B5" w14:textId="77777777" w:rsidTr="00650EBA">
        <w:trPr>
          <w:tblCellSpacing w:w="15" w:type="dxa"/>
        </w:trPr>
        <w:tc>
          <w:tcPr>
            <w:tcW w:w="0" w:type="auto"/>
            <w:vAlign w:val="center"/>
            <w:hideMark/>
          </w:tcPr>
          <w:p w14:paraId="5A094D2A"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Superseded</w:t>
            </w:r>
          </w:p>
        </w:tc>
        <w:tc>
          <w:tcPr>
            <w:tcW w:w="0" w:type="auto"/>
            <w:vAlign w:val="center"/>
            <w:hideMark/>
          </w:tcPr>
          <w:p w14:paraId="31E229B6"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Replaced by a later version.</w:t>
            </w:r>
          </w:p>
        </w:tc>
      </w:tr>
      <w:tr w:rsidR="00080B17" w:rsidRPr="00B479AE" w14:paraId="7F0D564C" w14:textId="77777777" w:rsidTr="00650EBA">
        <w:trPr>
          <w:tblCellSpacing w:w="15" w:type="dxa"/>
        </w:trPr>
        <w:tc>
          <w:tcPr>
            <w:tcW w:w="0" w:type="auto"/>
            <w:vAlign w:val="center"/>
            <w:hideMark/>
          </w:tcPr>
          <w:p w14:paraId="26DFC08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Archived</w:t>
            </w:r>
          </w:p>
        </w:tc>
        <w:tc>
          <w:tcPr>
            <w:tcW w:w="0" w:type="auto"/>
            <w:vAlign w:val="center"/>
            <w:hideMark/>
          </w:tcPr>
          <w:p w14:paraId="70EAE984"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Retained for history but no longer active.</w:t>
            </w:r>
          </w:p>
        </w:tc>
      </w:tr>
      <w:tr w:rsidR="00080B17" w:rsidRPr="00B479AE" w14:paraId="1553C331" w14:textId="77777777" w:rsidTr="00650EBA">
        <w:trPr>
          <w:tblCellSpacing w:w="15" w:type="dxa"/>
        </w:trPr>
        <w:tc>
          <w:tcPr>
            <w:tcW w:w="0" w:type="auto"/>
            <w:vAlign w:val="center"/>
            <w:hideMark/>
          </w:tcPr>
          <w:p w14:paraId="3DB4B0C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w:t>
            </w:r>
          </w:p>
        </w:tc>
        <w:tc>
          <w:tcPr>
            <w:tcW w:w="0" w:type="auto"/>
            <w:vAlign w:val="center"/>
            <w:hideMark/>
          </w:tcPr>
          <w:p w14:paraId="57EF6071"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Held due to risk, conflict, ambiguity, or suspected constitutional breach.</w:t>
            </w:r>
          </w:p>
        </w:tc>
      </w:tr>
      <w:tr w:rsidR="00080B17" w:rsidRPr="00B479AE" w14:paraId="064F9F3A" w14:textId="77777777" w:rsidTr="00650EBA">
        <w:trPr>
          <w:tblCellSpacing w:w="15" w:type="dxa"/>
        </w:trPr>
        <w:tc>
          <w:tcPr>
            <w:tcW w:w="0" w:type="auto"/>
            <w:vAlign w:val="center"/>
            <w:hideMark/>
          </w:tcPr>
          <w:p w14:paraId="4973F71B"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Rejected</w:t>
            </w:r>
          </w:p>
        </w:tc>
        <w:tc>
          <w:tcPr>
            <w:tcW w:w="0" w:type="auto"/>
            <w:vAlign w:val="center"/>
            <w:hideMark/>
          </w:tcPr>
          <w:p w14:paraId="00DBAB84"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Found incompatible with the constitutional source layer.</w:t>
            </w:r>
          </w:p>
        </w:tc>
      </w:tr>
    </w:tbl>
    <w:p w14:paraId="379C375C" w14:textId="77777777" w:rsidR="00080B17" w:rsidRPr="005907F1" w:rsidRDefault="00080B17" w:rsidP="00080B17">
      <w:pPr>
        <w:spacing w:line="360" w:lineRule="auto"/>
        <w:rPr>
          <w:rFonts w:ascii="Baskerville Old Face" w:hAnsi="Baskerville Old Face"/>
          <w:i/>
          <w:iCs/>
          <w:lang w:val="it-IT"/>
        </w:rPr>
      </w:pPr>
      <w:r w:rsidRPr="00B479AE">
        <w:rPr>
          <w:rFonts w:ascii="Baskerville Old Face" w:hAnsi="Baskerville Old Face"/>
          <w:i/>
          <w:iCs/>
        </w:rPr>
        <w:t xml:space="preserve">This gives Prometheus memory without allowing old prompts to become zombie governance. </w:t>
      </w:r>
      <w:r w:rsidRPr="005907F1">
        <w:rPr>
          <w:rFonts w:ascii="Baskerville Old Face" w:hAnsi="Baskerville Old Face"/>
          <w:i/>
          <w:iCs/>
          <w:lang w:val="it-IT"/>
        </w:rPr>
        <w:t>Nessuno vuole un meta-prompt non morto che cammina nel data room.</w:t>
      </w:r>
    </w:p>
    <w:p w14:paraId="7F0487BD"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3. Conflict resolution</w:t>
      </w:r>
    </w:p>
    <w:p w14:paraId="6BD84AE7"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If conflicting meta-prompts emerge, the kernel must not arbitrarily choose one branch.</w:t>
      </w:r>
    </w:p>
    <w:p w14:paraId="63BE79D3"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It must generate a resolution pathway.</w:t>
      </w:r>
    </w:p>
    <w:p w14:paraId="1D5481E0"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A resolution meta-prompt should:</w:t>
      </w:r>
    </w:p>
    <w:p w14:paraId="4E072945"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 identify the conflict explicitly;</w:t>
      </w:r>
      <w:r w:rsidRPr="00B479AE">
        <w:rPr>
          <w:rFonts w:ascii="Baskerville Old Face" w:hAnsi="Baskerville Old Face"/>
          <w:i/>
          <w:iCs/>
        </w:rPr>
        <w:br/>
        <w:t>• define which terms, assumptions, or constraints diverge;</w:t>
      </w:r>
      <w:r w:rsidRPr="00B479AE">
        <w:rPr>
          <w:rFonts w:ascii="Baskerville Old Face" w:hAnsi="Baskerville Old Face"/>
          <w:i/>
          <w:iCs/>
        </w:rPr>
        <w:br/>
        <w:t>• determine whether the conflict is semantic, evidentiary, governance-related, legal, financial, ecological, or technical;</w:t>
      </w:r>
      <w:r w:rsidRPr="00B479AE">
        <w:rPr>
          <w:rFonts w:ascii="Baskerville Old Face" w:hAnsi="Baskerville Old Face"/>
          <w:i/>
          <w:iCs/>
        </w:rPr>
        <w:br/>
        <w:t>• realign both branches with the constitutional source layer;</w:t>
      </w:r>
      <w:r w:rsidRPr="00B479AE">
        <w:rPr>
          <w:rFonts w:ascii="Baskerville Old Face" w:hAnsi="Baskerville Old Face"/>
          <w:i/>
          <w:iCs/>
        </w:rPr>
        <w:br/>
        <w:t>• identify the applicable evidence base;</w:t>
      </w:r>
      <w:r w:rsidRPr="00B479AE">
        <w:rPr>
          <w:rFonts w:ascii="Baskerville Old Face" w:hAnsi="Baskerville Old Face"/>
          <w:i/>
          <w:iCs/>
        </w:rPr>
        <w:br/>
      </w:r>
      <w:r w:rsidRPr="00B479AE">
        <w:rPr>
          <w:rFonts w:ascii="Baskerville Old Face" w:hAnsi="Baskerville Old Face"/>
          <w:i/>
          <w:iCs/>
        </w:rPr>
        <w:lastRenderedPageBreak/>
        <w:t>• define the review authority required;</w:t>
      </w:r>
      <w:r w:rsidRPr="00B479AE">
        <w:rPr>
          <w:rFonts w:ascii="Baskerville Old Face" w:hAnsi="Baskerville Old Face"/>
          <w:i/>
          <w:iCs/>
        </w:rPr>
        <w:br/>
        <w:t>• preserve reversibility where uncertainty is high;</w:t>
      </w:r>
      <w:r w:rsidRPr="00B479AE">
        <w:rPr>
          <w:rFonts w:ascii="Baskerville Old Face" w:hAnsi="Baskerville Old Face"/>
          <w:i/>
          <w:iCs/>
        </w:rPr>
        <w:br/>
        <w:t>• propose transparent criteria for resolution;</w:t>
      </w:r>
      <w:r w:rsidRPr="00B479AE">
        <w:rPr>
          <w:rFonts w:ascii="Baskerville Old Face" w:hAnsi="Baskerville Old Face"/>
          <w:i/>
          <w:iCs/>
        </w:rPr>
        <w:br/>
        <w:t>• record the final decision and reasoning pathway.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4300"/>
        <w:gridCol w:w="3437"/>
      </w:tblGrid>
      <w:tr w:rsidR="00080B17" w:rsidRPr="00B479AE" w14:paraId="5B38F134" w14:textId="77777777" w:rsidTr="00650EBA">
        <w:trPr>
          <w:tblHeader/>
          <w:tblCellSpacing w:w="15" w:type="dxa"/>
        </w:trPr>
        <w:tc>
          <w:tcPr>
            <w:tcW w:w="0" w:type="auto"/>
            <w:vAlign w:val="center"/>
            <w:hideMark/>
          </w:tcPr>
          <w:p w14:paraId="03C70D11"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Conflict type</w:t>
            </w:r>
          </w:p>
        </w:tc>
        <w:tc>
          <w:tcPr>
            <w:tcW w:w="0" w:type="auto"/>
            <w:vAlign w:val="center"/>
            <w:hideMark/>
          </w:tcPr>
          <w:p w14:paraId="064D0638"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Example</w:t>
            </w:r>
          </w:p>
        </w:tc>
        <w:tc>
          <w:tcPr>
            <w:tcW w:w="0" w:type="auto"/>
            <w:vAlign w:val="center"/>
            <w:hideMark/>
          </w:tcPr>
          <w:p w14:paraId="53F438EE"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Resolution pathway</w:t>
            </w:r>
          </w:p>
        </w:tc>
      </w:tr>
      <w:tr w:rsidR="00080B17" w:rsidRPr="00B479AE" w14:paraId="1BCDDC97" w14:textId="77777777" w:rsidTr="00650EBA">
        <w:trPr>
          <w:tblCellSpacing w:w="15" w:type="dxa"/>
        </w:trPr>
        <w:tc>
          <w:tcPr>
            <w:tcW w:w="0" w:type="auto"/>
            <w:vAlign w:val="center"/>
            <w:hideMark/>
          </w:tcPr>
          <w:p w14:paraId="328A4390"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conflict</w:t>
            </w:r>
          </w:p>
        </w:tc>
        <w:tc>
          <w:tcPr>
            <w:tcW w:w="0" w:type="auto"/>
            <w:vAlign w:val="center"/>
            <w:hideMark/>
          </w:tcPr>
          <w:p w14:paraId="7D4EC5D3"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PRU used as token, security, ecological score, and asset value interchangeably.</w:t>
            </w:r>
          </w:p>
        </w:tc>
        <w:tc>
          <w:tcPr>
            <w:tcW w:w="0" w:type="auto"/>
            <w:vAlign w:val="center"/>
            <w:hideMark/>
          </w:tcPr>
          <w:p w14:paraId="520819AD"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Restore canonical definitions and layer separation.</w:t>
            </w:r>
          </w:p>
        </w:tc>
      </w:tr>
      <w:tr w:rsidR="00080B17" w:rsidRPr="00B479AE" w14:paraId="445291D0" w14:textId="77777777" w:rsidTr="00650EBA">
        <w:trPr>
          <w:tblCellSpacing w:w="15" w:type="dxa"/>
        </w:trPr>
        <w:tc>
          <w:tcPr>
            <w:tcW w:w="0" w:type="auto"/>
            <w:vAlign w:val="center"/>
            <w:hideMark/>
          </w:tcPr>
          <w:p w14:paraId="43943F0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conflict</w:t>
            </w:r>
          </w:p>
        </w:tc>
        <w:tc>
          <w:tcPr>
            <w:tcW w:w="0" w:type="auto"/>
            <w:vAlign w:val="center"/>
            <w:hideMark/>
          </w:tcPr>
          <w:p w14:paraId="2943F0C0"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One prompt assumes verified evidence while another treats the same data as preliminary.</w:t>
            </w:r>
          </w:p>
        </w:tc>
        <w:tc>
          <w:tcPr>
            <w:tcW w:w="0" w:type="auto"/>
            <w:vAlign w:val="center"/>
            <w:hideMark/>
          </w:tcPr>
          <w:p w14:paraId="2E77C879"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Apply evidence hierarchy and confidence scoring.</w:t>
            </w:r>
          </w:p>
        </w:tc>
      </w:tr>
      <w:tr w:rsidR="00080B17" w:rsidRPr="00B479AE" w14:paraId="706933AF" w14:textId="77777777" w:rsidTr="00650EBA">
        <w:trPr>
          <w:tblCellSpacing w:w="15" w:type="dxa"/>
        </w:trPr>
        <w:tc>
          <w:tcPr>
            <w:tcW w:w="0" w:type="auto"/>
            <w:vAlign w:val="center"/>
            <w:hideMark/>
          </w:tcPr>
          <w:p w14:paraId="2EB0B9D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conflict</w:t>
            </w:r>
          </w:p>
        </w:tc>
        <w:tc>
          <w:tcPr>
            <w:tcW w:w="0" w:type="auto"/>
            <w:vAlign w:val="center"/>
            <w:hideMark/>
          </w:tcPr>
          <w:p w14:paraId="4CD57E49"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AI-generated suggestion treated as formal governance decision.</w:t>
            </w:r>
          </w:p>
        </w:tc>
        <w:tc>
          <w:tcPr>
            <w:tcW w:w="0" w:type="auto"/>
            <w:vAlign w:val="center"/>
            <w:hideMark/>
          </w:tcPr>
          <w:p w14:paraId="355A9DE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Route to governance process and mark output non-executable.</w:t>
            </w:r>
          </w:p>
        </w:tc>
      </w:tr>
      <w:tr w:rsidR="00080B17" w:rsidRPr="00B479AE" w14:paraId="4B994C06" w14:textId="77777777" w:rsidTr="00650EBA">
        <w:trPr>
          <w:tblCellSpacing w:w="15" w:type="dxa"/>
        </w:trPr>
        <w:tc>
          <w:tcPr>
            <w:tcW w:w="0" w:type="auto"/>
            <w:vAlign w:val="center"/>
            <w:hideMark/>
          </w:tcPr>
          <w:p w14:paraId="0EF0AF5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conflict</w:t>
            </w:r>
          </w:p>
        </w:tc>
        <w:tc>
          <w:tcPr>
            <w:tcW w:w="0" w:type="auto"/>
            <w:vAlign w:val="center"/>
            <w:hideMark/>
          </w:tcPr>
          <w:p w14:paraId="4282A23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Scenario model treated as investor-facing forecast.</w:t>
            </w:r>
          </w:p>
        </w:tc>
        <w:tc>
          <w:tcPr>
            <w:tcW w:w="0" w:type="auto"/>
            <w:vAlign w:val="center"/>
            <w:hideMark/>
          </w:tcPr>
          <w:p w14:paraId="2897335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Reclassify as assumption-based scenario and require review.</w:t>
            </w:r>
          </w:p>
        </w:tc>
      </w:tr>
      <w:tr w:rsidR="00080B17" w:rsidRPr="00B479AE" w14:paraId="469283F5" w14:textId="77777777" w:rsidTr="00650EBA">
        <w:trPr>
          <w:tblCellSpacing w:w="15" w:type="dxa"/>
        </w:trPr>
        <w:tc>
          <w:tcPr>
            <w:tcW w:w="0" w:type="auto"/>
            <w:vAlign w:val="center"/>
            <w:hideMark/>
          </w:tcPr>
          <w:p w14:paraId="53065D9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Tokenization conflict</w:t>
            </w:r>
          </w:p>
        </w:tc>
        <w:tc>
          <w:tcPr>
            <w:tcW w:w="0" w:type="auto"/>
            <w:vAlign w:val="center"/>
            <w:hideMark/>
          </w:tcPr>
          <w:p w14:paraId="36415AC6"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Token concept treated as entitlement or liquidity promise.</w:t>
            </w:r>
          </w:p>
        </w:tc>
        <w:tc>
          <w:tcPr>
            <w:tcW w:w="0" w:type="auto"/>
            <w:vAlign w:val="center"/>
            <w:hideMark/>
          </w:tcPr>
          <w:p w14:paraId="04442D8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 legal wrapper, rights definition, and compliance review.</w:t>
            </w:r>
          </w:p>
        </w:tc>
      </w:tr>
      <w:tr w:rsidR="00080B17" w:rsidRPr="00B479AE" w14:paraId="17A75413" w14:textId="77777777" w:rsidTr="00650EBA">
        <w:trPr>
          <w:tblCellSpacing w:w="15" w:type="dxa"/>
        </w:trPr>
        <w:tc>
          <w:tcPr>
            <w:tcW w:w="0" w:type="auto"/>
            <w:vAlign w:val="center"/>
            <w:hideMark/>
          </w:tcPr>
          <w:p w14:paraId="7DDD1C86"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Ecological conflict</w:t>
            </w:r>
          </w:p>
        </w:tc>
        <w:tc>
          <w:tcPr>
            <w:tcW w:w="0" w:type="auto"/>
            <w:vAlign w:val="center"/>
            <w:hideMark/>
          </w:tcPr>
          <w:p w14:paraId="269C4EA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Short-term productivity conflicts with water, soil, biodiversity, or succession logic.</w:t>
            </w:r>
          </w:p>
        </w:tc>
        <w:tc>
          <w:tcPr>
            <w:tcW w:w="0" w:type="auto"/>
            <w:vAlign w:val="center"/>
            <w:hideMark/>
          </w:tcPr>
          <w:p w14:paraId="5582D80D"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Apply ecological constraints, Yeomans’ scale, and adaptive review.</w:t>
            </w:r>
          </w:p>
        </w:tc>
      </w:tr>
      <w:tr w:rsidR="00080B17" w:rsidRPr="00B479AE" w14:paraId="72875DA4" w14:textId="77777777" w:rsidTr="00650EBA">
        <w:trPr>
          <w:tblCellSpacing w:w="15" w:type="dxa"/>
        </w:trPr>
        <w:tc>
          <w:tcPr>
            <w:tcW w:w="0" w:type="auto"/>
            <w:vAlign w:val="center"/>
            <w:hideMark/>
          </w:tcPr>
          <w:p w14:paraId="09511F38"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Human-infrastructure conflict</w:t>
            </w:r>
          </w:p>
        </w:tc>
        <w:tc>
          <w:tcPr>
            <w:tcW w:w="0" w:type="auto"/>
            <w:vAlign w:val="center"/>
            <w:hideMark/>
          </w:tcPr>
          <w:p w14:paraId="0827514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HSI or </w:t>
            </w:r>
            <w:proofErr w:type="spellStart"/>
            <w:r w:rsidRPr="00B479AE">
              <w:rPr>
                <w:rFonts w:ascii="Baskerville Old Face" w:hAnsi="Baskerville Old Face"/>
                <w:i/>
                <w:iCs/>
                <w:sz w:val="22"/>
                <w:szCs w:val="22"/>
              </w:rPr>
              <w:t>SyntroGIFT</w:t>
            </w:r>
            <w:proofErr w:type="spellEnd"/>
            <w:r w:rsidRPr="00B479AE">
              <w:rPr>
                <w:rFonts w:ascii="Baskerville Old Face" w:hAnsi="Baskerville Old Face"/>
                <w:i/>
                <w:iCs/>
                <w:sz w:val="22"/>
                <w:szCs w:val="22"/>
              </w:rPr>
              <w:t xml:space="preserve"> used beyond voluntary, research, or wellbeing scope.</w:t>
            </w:r>
          </w:p>
        </w:tc>
        <w:tc>
          <w:tcPr>
            <w:tcW w:w="0" w:type="auto"/>
            <w:vAlign w:val="center"/>
            <w:hideMark/>
          </w:tcPr>
          <w:p w14:paraId="6766EC6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Restore privacy, consent, no-ranking, and no-medical-claim boundaries.</w:t>
            </w:r>
          </w:p>
        </w:tc>
      </w:tr>
      <w:tr w:rsidR="00080B17" w:rsidRPr="00B479AE" w14:paraId="578A9D07" w14:textId="77777777" w:rsidTr="00650EBA">
        <w:trPr>
          <w:tblCellSpacing w:w="15" w:type="dxa"/>
        </w:trPr>
        <w:tc>
          <w:tcPr>
            <w:tcW w:w="0" w:type="auto"/>
            <w:vAlign w:val="center"/>
            <w:hideMark/>
          </w:tcPr>
          <w:p w14:paraId="4E2047F3"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Kernel conflict</w:t>
            </w:r>
          </w:p>
        </w:tc>
        <w:tc>
          <w:tcPr>
            <w:tcW w:w="0" w:type="auto"/>
            <w:vAlign w:val="center"/>
            <w:hideMark/>
          </w:tcPr>
          <w:p w14:paraId="47751A5B"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A prompt attempts to bypass constitutional constraints for speed or convenience.</w:t>
            </w:r>
          </w:p>
        </w:tc>
        <w:tc>
          <w:tcPr>
            <w:tcW w:w="0" w:type="auto"/>
            <w:vAlign w:val="center"/>
            <w:hideMark/>
          </w:tcPr>
          <w:p w14:paraId="7280F02B"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Mark as non-admissible, route to review, or quarantine.</w:t>
            </w:r>
          </w:p>
        </w:tc>
      </w:tr>
    </w:tbl>
    <w:p w14:paraId="34FBC969" w14:textId="0D4F7D1F"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Conflict resolution is not a weakness.</w:t>
      </w:r>
      <w:r w:rsidR="00650EBA" w:rsidRPr="00B479AE">
        <w:rPr>
          <w:rFonts w:ascii="Baskerville Old Face" w:hAnsi="Baskerville Old Face"/>
          <w:i/>
          <w:iCs/>
        </w:rPr>
        <w:t xml:space="preserve"> </w:t>
      </w:r>
      <w:r w:rsidRPr="00B479AE">
        <w:rPr>
          <w:rFonts w:ascii="Baskerville Old Face" w:hAnsi="Baskerville Old Face"/>
          <w:i/>
          <w:iCs/>
        </w:rPr>
        <w:t>It is how a complex system learns without fragmenting.</w:t>
      </w:r>
    </w:p>
    <w:p w14:paraId="3A6A99C9"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4. Pattern analysis</w:t>
      </w:r>
    </w:p>
    <w:p w14:paraId="269A894A"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kernel should periodically analyze its own register to identify:</w:t>
      </w:r>
    </w:p>
    <w:p w14:paraId="1191AA7C"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lastRenderedPageBreak/>
        <w:t>• systemic biases in prompt generation;</w:t>
      </w:r>
      <w:r w:rsidRPr="00B479AE">
        <w:rPr>
          <w:rFonts w:ascii="Baskerville Old Face" w:hAnsi="Baskerville Old Face"/>
          <w:i/>
          <w:iCs/>
        </w:rPr>
        <w:br/>
        <w:t>• repeated evidence gaps;</w:t>
      </w:r>
      <w:r w:rsidRPr="00B479AE">
        <w:rPr>
          <w:rFonts w:ascii="Baskerville Old Face" w:hAnsi="Baskerville Old Face"/>
          <w:i/>
          <w:iCs/>
        </w:rPr>
        <w:br/>
        <w:t>• recurring governance ambiguities;</w:t>
      </w:r>
      <w:r w:rsidRPr="00B479AE">
        <w:rPr>
          <w:rFonts w:ascii="Baskerville Old Face" w:hAnsi="Baskerville Old Face"/>
          <w:i/>
          <w:iCs/>
        </w:rPr>
        <w:br/>
        <w:t>• overuse of speculative financial assumptions;</w:t>
      </w:r>
      <w:r w:rsidRPr="00B479AE">
        <w:rPr>
          <w:rFonts w:ascii="Baskerville Old Face" w:hAnsi="Baskerville Old Face"/>
          <w:i/>
          <w:iCs/>
        </w:rPr>
        <w:br/>
        <w:t xml:space="preserve">• recurring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overreach;</w:t>
      </w:r>
      <w:r w:rsidRPr="00B479AE">
        <w:rPr>
          <w:rFonts w:ascii="Baskerville Old Face" w:hAnsi="Baskerville Old Face"/>
          <w:i/>
          <w:iCs/>
        </w:rPr>
        <w:br/>
        <w:t>• repeated medical or biometric overreach;</w:t>
      </w:r>
      <w:r w:rsidRPr="00B479AE">
        <w:rPr>
          <w:rFonts w:ascii="Baskerville Old Face" w:hAnsi="Baskerville Old Face"/>
          <w:i/>
          <w:iCs/>
        </w:rPr>
        <w:br/>
        <w:t>• semantic drift in core terms;</w:t>
      </w:r>
      <w:r w:rsidRPr="00B479AE">
        <w:rPr>
          <w:rFonts w:ascii="Baskerville Old Face" w:hAnsi="Baskerville Old Face"/>
          <w:i/>
          <w:iCs/>
        </w:rPr>
        <w:br/>
        <w:t>• excessive reliance on weak proxies;</w:t>
      </w:r>
      <w:r w:rsidRPr="00B479AE">
        <w:rPr>
          <w:rFonts w:ascii="Baskerville Old Face" w:hAnsi="Baskerville Old Face"/>
          <w:i/>
          <w:iCs/>
        </w:rPr>
        <w:br/>
        <w:t>• blind spots in ecological, social, cultural, or legal reasoning;</w:t>
      </w:r>
      <w:r w:rsidRPr="00B479AE">
        <w:rPr>
          <w:rFonts w:ascii="Baskerville Old Face" w:hAnsi="Baskerville Old Face"/>
          <w:i/>
          <w:iCs/>
        </w:rPr>
        <w:br/>
        <w:t>• opportunities for methodology refinement;</w:t>
      </w:r>
      <w:r w:rsidRPr="00B479AE">
        <w:rPr>
          <w:rFonts w:ascii="Baskerville Old Face" w:hAnsi="Baskerville Old Face"/>
          <w:i/>
          <w:iCs/>
        </w:rPr>
        <w:br/>
        <w:t>• opportunities for constitutional evolution.</w:t>
      </w:r>
    </w:p>
    <w:p w14:paraId="1C461F48"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Pattern analysis should be presented to protocol stewards or the relevant governance body for review.</w:t>
      </w:r>
    </w:p>
    <w:p w14:paraId="08C251CD" w14:textId="536E393A"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kernel may detect patterns.</w:t>
      </w:r>
      <w:r w:rsidR="00650EBA" w:rsidRPr="00B479AE">
        <w:rPr>
          <w:rFonts w:ascii="Baskerville Old Face" w:hAnsi="Baskerville Old Face"/>
          <w:i/>
          <w:iCs/>
        </w:rPr>
        <w:t xml:space="preserve"> </w:t>
      </w:r>
      <w:r w:rsidRPr="00B479AE">
        <w:rPr>
          <w:rFonts w:ascii="Baskerville Old Face" w:hAnsi="Baskerville Old Face"/>
          <w:i/>
          <w:iCs/>
        </w:rPr>
        <w:t>It does not independently amend the constitution.</w:t>
      </w:r>
    </w:p>
    <w:p w14:paraId="21C8E863"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5. Sunset review</w:t>
      </w:r>
    </w:p>
    <w:p w14:paraId="7DA88024" w14:textId="6ED9E38E"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Meta-prompts that have not been used, referenced, reviewed, or validated for a defined period may be subject to sunset review.</w:t>
      </w:r>
      <w:r w:rsidR="00B90064" w:rsidRPr="00B479AE">
        <w:rPr>
          <w:rFonts w:ascii="Baskerville Old Face" w:hAnsi="Baskerville Old Face"/>
          <w:i/>
          <w:iCs/>
        </w:rPr>
        <w:t xml:space="preserve"> </w:t>
      </w:r>
      <w:r w:rsidRPr="00B479AE">
        <w:rPr>
          <w:rFonts w:ascii="Baskerville Old Face" w:hAnsi="Baskerville Old Face"/>
          <w:i/>
          <w:iCs/>
        </w:rPr>
        <w:t>A sunset review may result 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0"/>
        <w:gridCol w:w="7394"/>
      </w:tblGrid>
      <w:tr w:rsidR="00080B17" w:rsidRPr="00B479AE" w14:paraId="0E18D871" w14:textId="77777777" w:rsidTr="00650EBA">
        <w:trPr>
          <w:tblHeader/>
          <w:tblCellSpacing w:w="15" w:type="dxa"/>
        </w:trPr>
        <w:tc>
          <w:tcPr>
            <w:tcW w:w="0" w:type="auto"/>
            <w:vAlign w:val="center"/>
            <w:hideMark/>
          </w:tcPr>
          <w:p w14:paraId="4448DA1E"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Outcome</w:t>
            </w:r>
          </w:p>
        </w:tc>
        <w:tc>
          <w:tcPr>
            <w:tcW w:w="0" w:type="auto"/>
            <w:vAlign w:val="center"/>
            <w:hideMark/>
          </w:tcPr>
          <w:p w14:paraId="39E48040"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080B17" w:rsidRPr="00B479AE" w14:paraId="25E5D657" w14:textId="77777777" w:rsidTr="00650EBA">
        <w:trPr>
          <w:tblCellSpacing w:w="15" w:type="dxa"/>
        </w:trPr>
        <w:tc>
          <w:tcPr>
            <w:tcW w:w="0" w:type="auto"/>
            <w:vAlign w:val="center"/>
            <w:hideMark/>
          </w:tcPr>
          <w:p w14:paraId="6A341B93"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Reaffirm</w:t>
            </w:r>
          </w:p>
        </w:tc>
        <w:tc>
          <w:tcPr>
            <w:tcW w:w="0" w:type="auto"/>
            <w:vAlign w:val="center"/>
            <w:hideMark/>
          </w:tcPr>
          <w:p w14:paraId="6C12BCE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The meta-prompt remains valid and active.</w:t>
            </w:r>
          </w:p>
        </w:tc>
      </w:tr>
      <w:tr w:rsidR="00080B17" w:rsidRPr="00B479AE" w14:paraId="25B3BAB8" w14:textId="77777777" w:rsidTr="00650EBA">
        <w:trPr>
          <w:tblCellSpacing w:w="15" w:type="dxa"/>
        </w:trPr>
        <w:tc>
          <w:tcPr>
            <w:tcW w:w="0" w:type="auto"/>
            <w:vAlign w:val="center"/>
            <w:hideMark/>
          </w:tcPr>
          <w:p w14:paraId="7D5C9B26"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Revise</w:t>
            </w:r>
          </w:p>
        </w:tc>
        <w:tc>
          <w:tcPr>
            <w:tcW w:w="0" w:type="auto"/>
            <w:vAlign w:val="center"/>
            <w:hideMark/>
          </w:tcPr>
          <w:p w14:paraId="64B8EEF3"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The meta-prompt remains useful but requires updating.</w:t>
            </w:r>
          </w:p>
        </w:tc>
      </w:tr>
      <w:tr w:rsidR="00080B17" w:rsidRPr="00B479AE" w14:paraId="6533CFE2" w14:textId="77777777" w:rsidTr="00650EBA">
        <w:trPr>
          <w:tblCellSpacing w:w="15" w:type="dxa"/>
        </w:trPr>
        <w:tc>
          <w:tcPr>
            <w:tcW w:w="0" w:type="auto"/>
            <w:vAlign w:val="center"/>
            <w:hideMark/>
          </w:tcPr>
          <w:p w14:paraId="7B0EE188"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w:t>
            </w:r>
          </w:p>
        </w:tc>
        <w:tc>
          <w:tcPr>
            <w:tcW w:w="0" w:type="auto"/>
            <w:vAlign w:val="center"/>
            <w:hideMark/>
          </w:tcPr>
          <w:p w14:paraId="04EF238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The meta-prompt remains usable only under narrower conditions.</w:t>
            </w:r>
          </w:p>
        </w:tc>
      </w:tr>
      <w:tr w:rsidR="00080B17" w:rsidRPr="00B479AE" w14:paraId="5720E69D" w14:textId="77777777" w:rsidTr="00650EBA">
        <w:trPr>
          <w:tblCellSpacing w:w="15" w:type="dxa"/>
        </w:trPr>
        <w:tc>
          <w:tcPr>
            <w:tcW w:w="0" w:type="auto"/>
            <w:vAlign w:val="center"/>
            <w:hideMark/>
          </w:tcPr>
          <w:p w14:paraId="0FBAEE04"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Archive</w:t>
            </w:r>
          </w:p>
        </w:tc>
        <w:tc>
          <w:tcPr>
            <w:tcW w:w="0" w:type="auto"/>
            <w:vAlign w:val="center"/>
            <w:hideMark/>
          </w:tcPr>
          <w:p w14:paraId="1149CBE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The meta-prompt is preserved historically but no longer active.</w:t>
            </w:r>
          </w:p>
        </w:tc>
      </w:tr>
      <w:tr w:rsidR="00080B17" w:rsidRPr="00B479AE" w14:paraId="2B1F2949" w14:textId="77777777" w:rsidTr="00650EBA">
        <w:trPr>
          <w:tblCellSpacing w:w="15" w:type="dxa"/>
        </w:trPr>
        <w:tc>
          <w:tcPr>
            <w:tcW w:w="0" w:type="auto"/>
            <w:vAlign w:val="center"/>
            <w:hideMark/>
          </w:tcPr>
          <w:p w14:paraId="243BF29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w:t>
            </w:r>
          </w:p>
        </w:tc>
        <w:tc>
          <w:tcPr>
            <w:tcW w:w="0" w:type="auto"/>
            <w:vAlign w:val="center"/>
            <w:hideMark/>
          </w:tcPr>
          <w:p w14:paraId="2AD79295"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The meta-prompt requires review due to risk, ambiguity, or conflict.</w:t>
            </w:r>
          </w:p>
        </w:tc>
      </w:tr>
      <w:tr w:rsidR="00080B17" w:rsidRPr="00B479AE" w14:paraId="4C7DABB4" w14:textId="77777777" w:rsidTr="00650EBA">
        <w:trPr>
          <w:tblCellSpacing w:w="15" w:type="dxa"/>
        </w:trPr>
        <w:tc>
          <w:tcPr>
            <w:tcW w:w="0" w:type="auto"/>
            <w:vAlign w:val="center"/>
            <w:hideMark/>
          </w:tcPr>
          <w:p w14:paraId="657F901D"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Retire</w:t>
            </w:r>
          </w:p>
        </w:tc>
        <w:tc>
          <w:tcPr>
            <w:tcW w:w="0" w:type="auto"/>
            <w:vAlign w:val="center"/>
            <w:hideMark/>
          </w:tcPr>
          <w:p w14:paraId="69C88405"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The meta-prompt is removed from active use because it is obsolete or incompatible.</w:t>
            </w:r>
          </w:p>
        </w:tc>
      </w:tr>
    </w:tbl>
    <w:p w14:paraId="0C30E3D9"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sunset mechanism prevents obsolete prompts from silently governing future systems.</w:t>
      </w:r>
    </w:p>
    <w:p w14:paraId="4AA1ABF0"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lastRenderedPageBreak/>
        <w:t>A reasonable review period may be defined by governance, methodology maturity, risk category, or release cycle.</w:t>
      </w:r>
    </w:p>
    <w:p w14:paraId="374DE131"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High-impact prompts should be reviewed more frequently than low-risk informational prompts.</w:t>
      </w:r>
    </w:p>
    <w:p w14:paraId="41C4E7D2"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6. Criterion of excellence</w:t>
      </w:r>
    </w:p>
    <w:p w14:paraId="39FE4705"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A meta-prompt is excellent only if it strengthens Prometheus over time.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8"/>
        <w:gridCol w:w="7580"/>
      </w:tblGrid>
      <w:tr w:rsidR="00080B17" w:rsidRPr="00B479AE" w14:paraId="39729016" w14:textId="77777777" w:rsidTr="00650EBA">
        <w:trPr>
          <w:tblHeader/>
          <w:tblCellSpacing w:w="15" w:type="dxa"/>
        </w:trPr>
        <w:tc>
          <w:tcPr>
            <w:tcW w:w="0" w:type="auto"/>
            <w:vAlign w:val="center"/>
            <w:hideMark/>
          </w:tcPr>
          <w:p w14:paraId="6AF75B96"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Excellence criterion</w:t>
            </w:r>
          </w:p>
        </w:tc>
        <w:tc>
          <w:tcPr>
            <w:tcW w:w="0" w:type="auto"/>
            <w:vAlign w:val="center"/>
            <w:hideMark/>
          </w:tcPr>
          <w:p w14:paraId="2E81825A" w14:textId="77777777" w:rsidR="00080B17" w:rsidRPr="00B479AE" w:rsidRDefault="00080B17" w:rsidP="00080B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080B17" w:rsidRPr="00B479AE" w14:paraId="6F763522" w14:textId="77777777" w:rsidTr="00650EBA">
        <w:trPr>
          <w:tblCellSpacing w:w="15" w:type="dxa"/>
        </w:trPr>
        <w:tc>
          <w:tcPr>
            <w:tcW w:w="0" w:type="auto"/>
            <w:vAlign w:val="center"/>
            <w:hideMark/>
          </w:tcPr>
          <w:p w14:paraId="7B0E6A3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Decision quality</w:t>
            </w:r>
          </w:p>
        </w:tc>
        <w:tc>
          <w:tcPr>
            <w:tcW w:w="0" w:type="auto"/>
            <w:vAlign w:val="center"/>
            <w:hideMark/>
          </w:tcPr>
          <w:p w14:paraId="730DB218"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makes the system more capable of generating better decisions tomorrow than today.</w:t>
            </w:r>
          </w:p>
        </w:tc>
      </w:tr>
      <w:tr w:rsidR="00080B17" w:rsidRPr="00B479AE" w14:paraId="2FB88EAA" w14:textId="77777777" w:rsidTr="00650EBA">
        <w:trPr>
          <w:tblCellSpacing w:w="15" w:type="dxa"/>
        </w:trPr>
        <w:tc>
          <w:tcPr>
            <w:tcW w:w="0" w:type="auto"/>
            <w:vAlign w:val="center"/>
            <w:hideMark/>
          </w:tcPr>
          <w:p w14:paraId="24E1414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Regenerative coherence</w:t>
            </w:r>
          </w:p>
        </w:tc>
        <w:tc>
          <w:tcPr>
            <w:tcW w:w="0" w:type="auto"/>
            <w:vAlign w:val="center"/>
            <w:hideMark/>
          </w:tcPr>
          <w:p w14:paraId="7092183B"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strengthens coherence between ecological, social, technological, and financial value.</w:t>
            </w:r>
          </w:p>
        </w:tc>
      </w:tr>
      <w:tr w:rsidR="00080B17" w:rsidRPr="00B479AE" w14:paraId="2E0522EE" w14:textId="77777777" w:rsidTr="00650EBA">
        <w:trPr>
          <w:tblCellSpacing w:w="15" w:type="dxa"/>
        </w:trPr>
        <w:tc>
          <w:tcPr>
            <w:tcW w:w="0" w:type="auto"/>
            <w:vAlign w:val="center"/>
            <w:hideMark/>
          </w:tcPr>
          <w:p w14:paraId="5645D3B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Trust density</w:t>
            </w:r>
          </w:p>
        </w:tc>
        <w:tc>
          <w:tcPr>
            <w:tcW w:w="0" w:type="auto"/>
            <w:vAlign w:val="center"/>
            <w:hideMark/>
          </w:tcPr>
          <w:p w14:paraId="4FD80A04"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increases the quality and density of trust relationships.</w:t>
            </w:r>
          </w:p>
        </w:tc>
      </w:tr>
      <w:tr w:rsidR="00080B17" w:rsidRPr="00B479AE" w14:paraId="1DFB42F9" w14:textId="77777777" w:rsidTr="00650EBA">
        <w:trPr>
          <w:tblCellSpacing w:w="15" w:type="dxa"/>
        </w:trPr>
        <w:tc>
          <w:tcPr>
            <w:tcW w:w="0" w:type="auto"/>
            <w:vAlign w:val="center"/>
            <w:hideMark/>
          </w:tcPr>
          <w:p w14:paraId="1619D86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Care capacity</w:t>
            </w:r>
          </w:p>
        </w:tc>
        <w:tc>
          <w:tcPr>
            <w:tcW w:w="0" w:type="auto"/>
            <w:vAlign w:val="center"/>
            <w:hideMark/>
          </w:tcPr>
          <w:p w14:paraId="788EEBD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expands the system’s capacity to care for Earth, communities, stewards, and future generations.</w:t>
            </w:r>
          </w:p>
        </w:tc>
      </w:tr>
      <w:tr w:rsidR="00080B17" w:rsidRPr="00B479AE" w14:paraId="7CE37C75" w14:textId="77777777" w:rsidTr="00650EBA">
        <w:trPr>
          <w:tblCellSpacing w:w="15" w:type="dxa"/>
        </w:trPr>
        <w:tc>
          <w:tcPr>
            <w:tcW w:w="0" w:type="auto"/>
            <w:vAlign w:val="center"/>
            <w:hideMark/>
          </w:tcPr>
          <w:p w14:paraId="4B44FB3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integrity</w:t>
            </w:r>
          </w:p>
        </w:tc>
        <w:tc>
          <w:tcPr>
            <w:tcW w:w="0" w:type="auto"/>
            <w:vAlign w:val="center"/>
            <w:hideMark/>
          </w:tcPr>
          <w:p w14:paraId="3067102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translates regeneration into measurable evidence without distorting it.</w:t>
            </w:r>
          </w:p>
        </w:tc>
      </w:tr>
      <w:tr w:rsidR="00080B17" w:rsidRPr="00B479AE" w14:paraId="4FC726A2" w14:textId="77777777" w:rsidTr="00650EBA">
        <w:trPr>
          <w:tblCellSpacing w:w="15" w:type="dxa"/>
        </w:trPr>
        <w:tc>
          <w:tcPr>
            <w:tcW w:w="0" w:type="auto"/>
            <w:vAlign w:val="center"/>
            <w:hideMark/>
          </w:tcPr>
          <w:p w14:paraId="3E2AA1F8"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Local-global legibility</w:t>
            </w:r>
          </w:p>
        </w:tc>
        <w:tc>
          <w:tcPr>
            <w:tcW w:w="0" w:type="auto"/>
            <w:vAlign w:val="center"/>
            <w:hideMark/>
          </w:tcPr>
          <w:p w14:paraId="04947E8A"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makes the link between local choices and systemic impacts more transparent.</w:t>
            </w:r>
          </w:p>
        </w:tc>
      </w:tr>
      <w:tr w:rsidR="00080B17" w:rsidRPr="00B479AE" w14:paraId="46B6CF03" w14:textId="77777777" w:rsidTr="00650EBA">
        <w:trPr>
          <w:tblCellSpacing w:w="15" w:type="dxa"/>
        </w:trPr>
        <w:tc>
          <w:tcPr>
            <w:tcW w:w="0" w:type="auto"/>
            <w:vAlign w:val="center"/>
            <w:hideMark/>
          </w:tcPr>
          <w:p w14:paraId="2621FF0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Learning capacity</w:t>
            </w:r>
          </w:p>
        </w:tc>
        <w:tc>
          <w:tcPr>
            <w:tcW w:w="0" w:type="auto"/>
            <w:vAlign w:val="center"/>
            <w:hideMark/>
          </w:tcPr>
          <w:p w14:paraId="014171C9"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increases the system’s capacity to learn from errors and adapt to new information.</w:t>
            </w:r>
          </w:p>
        </w:tc>
      </w:tr>
      <w:tr w:rsidR="00080B17" w:rsidRPr="00B479AE" w14:paraId="6C2AB0D5" w14:textId="77777777" w:rsidTr="00650EBA">
        <w:trPr>
          <w:tblCellSpacing w:w="15" w:type="dxa"/>
        </w:trPr>
        <w:tc>
          <w:tcPr>
            <w:tcW w:w="0" w:type="auto"/>
            <w:vAlign w:val="center"/>
            <w:hideMark/>
          </w:tcPr>
          <w:p w14:paraId="6E30794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Human dignity</w:t>
            </w:r>
          </w:p>
        </w:tc>
        <w:tc>
          <w:tcPr>
            <w:tcW w:w="0" w:type="auto"/>
            <w:vAlign w:val="center"/>
            <w:hideMark/>
          </w:tcPr>
          <w:p w14:paraId="54A8D61B"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protects dignity, voluntary participation, and non-coercive human development.</w:t>
            </w:r>
          </w:p>
        </w:tc>
      </w:tr>
      <w:tr w:rsidR="00080B17" w:rsidRPr="00B479AE" w14:paraId="312B0146" w14:textId="77777777" w:rsidTr="00650EBA">
        <w:trPr>
          <w:tblCellSpacing w:w="15" w:type="dxa"/>
        </w:trPr>
        <w:tc>
          <w:tcPr>
            <w:tcW w:w="0" w:type="auto"/>
            <w:vAlign w:val="center"/>
            <w:hideMark/>
          </w:tcPr>
          <w:p w14:paraId="3CCED237"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Ecological fidelity</w:t>
            </w:r>
          </w:p>
        </w:tc>
        <w:tc>
          <w:tcPr>
            <w:tcW w:w="0" w:type="auto"/>
            <w:vAlign w:val="center"/>
            <w:hideMark/>
          </w:tcPr>
          <w:p w14:paraId="6563651D"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preserves soil, water, biodiversity, succession, and living-system integrity.</w:t>
            </w:r>
          </w:p>
        </w:tc>
      </w:tr>
      <w:tr w:rsidR="00080B17" w:rsidRPr="00B479AE" w14:paraId="59B7AD61" w14:textId="77777777" w:rsidTr="00650EBA">
        <w:trPr>
          <w:tblCellSpacing w:w="15" w:type="dxa"/>
        </w:trPr>
        <w:tc>
          <w:tcPr>
            <w:tcW w:w="0" w:type="auto"/>
            <w:vAlign w:val="center"/>
            <w:hideMark/>
          </w:tcPr>
          <w:p w14:paraId="59DC97F2"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discipline</w:t>
            </w:r>
          </w:p>
        </w:tc>
        <w:tc>
          <w:tcPr>
            <w:tcW w:w="0" w:type="auto"/>
            <w:vAlign w:val="center"/>
            <w:hideMark/>
          </w:tcPr>
          <w:p w14:paraId="7EBDFD9F"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avoids premature value inflation, excessive leverage, and investor-facing overclaiming.</w:t>
            </w:r>
          </w:p>
        </w:tc>
      </w:tr>
      <w:tr w:rsidR="00080B17" w:rsidRPr="00B479AE" w14:paraId="363F244A" w14:textId="77777777" w:rsidTr="00650EBA">
        <w:trPr>
          <w:tblCellSpacing w:w="15" w:type="dxa"/>
        </w:trPr>
        <w:tc>
          <w:tcPr>
            <w:tcW w:w="0" w:type="auto"/>
            <w:vAlign w:val="center"/>
            <w:hideMark/>
          </w:tcPr>
          <w:p w14:paraId="76833C60"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Kernel integrity</w:t>
            </w:r>
          </w:p>
        </w:tc>
        <w:tc>
          <w:tcPr>
            <w:tcW w:w="0" w:type="auto"/>
            <w:vAlign w:val="center"/>
            <w:hideMark/>
          </w:tcPr>
          <w:p w14:paraId="23B01C6C" w14:textId="77777777" w:rsidR="00080B17" w:rsidRPr="00B479AE" w:rsidRDefault="00080B17" w:rsidP="00080B17">
            <w:pPr>
              <w:spacing w:line="360" w:lineRule="auto"/>
              <w:rPr>
                <w:rFonts w:ascii="Baskerville Old Face" w:hAnsi="Baskerville Old Face"/>
                <w:i/>
                <w:iCs/>
                <w:sz w:val="22"/>
                <w:szCs w:val="22"/>
              </w:rPr>
            </w:pPr>
            <w:r w:rsidRPr="00B479AE">
              <w:rPr>
                <w:rFonts w:ascii="Baskerville Old Face" w:hAnsi="Baskerville Old Face"/>
                <w:i/>
                <w:iCs/>
                <w:sz w:val="22"/>
                <w:szCs w:val="22"/>
              </w:rPr>
              <w:t>It strengthens, rather than weakens, the constitutional source layer.</w:t>
            </w:r>
          </w:p>
        </w:tc>
      </w:tr>
    </w:tbl>
    <w:p w14:paraId="2F60088B"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If a meta-prompt maximizes output but reduces future freedom, coherence, resilience, trust, or care capacity, it is not excellent.</w:t>
      </w:r>
    </w:p>
    <w:p w14:paraId="12349849"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It must be revised, restricted, or rejected.</w:t>
      </w:r>
    </w:p>
    <w:p w14:paraId="06C2EF8E"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lastRenderedPageBreak/>
        <w:t>7. Quantitative and qualitative indicators</w:t>
      </w:r>
    </w:p>
    <w:p w14:paraId="57D584A7" w14:textId="1D8748D1"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kernel may track optional indicators to support learning.</w:t>
      </w:r>
      <w:r w:rsidR="00527ED0" w:rsidRPr="00B479AE">
        <w:rPr>
          <w:rFonts w:ascii="Baskerville Old Face" w:hAnsi="Baskerville Old Face"/>
          <w:i/>
          <w:iCs/>
        </w:rPr>
        <w:t xml:space="preserve"> </w:t>
      </w:r>
      <w:r w:rsidRPr="00B479AE">
        <w:rPr>
          <w:rFonts w:ascii="Baskerville Old Face" w:hAnsi="Baskerville Old Face"/>
          <w:i/>
          <w:iCs/>
        </w:rPr>
        <w:t>These indicators must be treated carefully.</w:t>
      </w:r>
      <w:r w:rsidR="00527ED0" w:rsidRPr="00B479AE">
        <w:rPr>
          <w:rFonts w:ascii="Baskerville Old Face" w:hAnsi="Baskerville Old Face"/>
          <w:i/>
          <w:iCs/>
        </w:rPr>
        <w:t xml:space="preserve"> </w:t>
      </w:r>
      <w:r w:rsidRPr="00B479AE">
        <w:rPr>
          <w:rFonts w:ascii="Baskerville Old Face" w:hAnsi="Baskerville Old Face"/>
          <w:i/>
          <w:iCs/>
        </w:rPr>
        <w:t>They are governance-support signals, not absolute truth.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1"/>
        <w:gridCol w:w="3969"/>
        <w:gridCol w:w="3318"/>
      </w:tblGrid>
      <w:tr w:rsidR="00080B17" w:rsidRPr="00B479AE" w14:paraId="748CE5FD" w14:textId="77777777" w:rsidTr="00650EBA">
        <w:trPr>
          <w:tblHeader/>
          <w:tblCellSpacing w:w="15" w:type="dxa"/>
        </w:trPr>
        <w:tc>
          <w:tcPr>
            <w:tcW w:w="0" w:type="auto"/>
            <w:vAlign w:val="center"/>
            <w:hideMark/>
          </w:tcPr>
          <w:p w14:paraId="354ED5EE" w14:textId="77777777" w:rsidR="00080B17" w:rsidRPr="00B479AE" w:rsidRDefault="00080B17" w:rsidP="00080B1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Indicator</w:t>
            </w:r>
          </w:p>
        </w:tc>
        <w:tc>
          <w:tcPr>
            <w:tcW w:w="0" w:type="auto"/>
            <w:vAlign w:val="center"/>
            <w:hideMark/>
          </w:tcPr>
          <w:p w14:paraId="2C71EE71" w14:textId="77777777" w:rsidR="00080B17" w:rsidRPr="00B479AE" w:rsidRDefault="00080B17" w:rsidP="00080B1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Possible interpretation</w:t>
            </w:r>
          </w:p>
        </w:tc>
        <w:tc>
          <w:tcPr>
            <w:tcW w:w="0" w:type="auto"/>
            <w:vAlign w:val="center"/>
            <w:hideMark/>
          </w:tcPr>
          <w:p w14:paraId="29D53CDE" w14:textId="77777777" w:rsidR="00080B17" w:rsidRPr="00B479AE" w:rsidRDefault="00080B17" w:rsidP="00080B1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080B17" w:rsidRPr="00B479AE" w14:paraId="0EB2638B" w14:textId="77777777" w:rsidTr="00650EBA">
        <w:trPr>
          <w:tblCellSpacing w:w="15" w:type="dxa"/>
        </w:trPr>
        <w:tc>
          <w:tcPr>
            <w:tcW w:w="0" w:type="auto"/>
            <w:vAlign w:val="center"/>
            <w:hideMark/>
          </w:tcPr>
          <w:p w14:paraId="5C6016D7"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Conflict resolution rate</w:t>
            </w:r>
          </w:p>
        </w:tc>
        <w:tc>
          <w:tcPr>
            <w:tcW w:w="0" w:type="auto"/>
            <w:vAlign w:val="center"/>
            <w:hideMark/>
          </w:tcPr>
          <w:p w14:paraId="6D5920BA"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Measures whether prompt conflicts are being resolved rather than accumulating.</w:t>
            </w:r>
          </w:p>
        </w:tc>
        <w:tc>
          <w:tcPr>
            <w:tcW w:w="0" w:type="auto"/>
            <w:vAlign w:val="center"/>
            <w:hideMark/>
          </w:tcPr>
          <w:p w14:paraId="0F496B9F"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High resolution rate does not prove constitutional quality by itself.</w:t>
            </w:r>
          </w:p>
        </w:tc>
      </w:tr>
      <w:tr w:rsidR="00080B17" w:rsidRPr="00B479AE" w14:paraId="16A0E817" w14:textId="77777777" w:rsidTr="00650EBA">
        <w:trPr>
          <w:tblCellSpacing w:w="15" w:type="dxa"/>
        </w:trPr>
        <w:tc>
          <w:tcPr>
            <w:tcW w:w="0" w:type="auto"/>
            <w:vAlign w:val="center"/>
            <w:hideMark/>
          </w:tcPr>
          <w:p w14:paraId="6CA1887C"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Positive community feedback</w:t>
            </w:r>
          </w:p>
        </w:tc>
        <w:tc>
          <w:tcPr>
            <w:tcW w:w="0" w:type="auto"/>
            <w:vAlign w:val="center"/>
            <w:hideMark/>
          </w:tcPr>
          <w:p w14:paraId="0BFDF7B5"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Indicates perceived usefulness, trust, or clarity.</w:t>
            </w:r>
          </w:p>
        </w:tc>
        <w:tc>
          <w:tcPr>
            <w:tcW w:w="0" w:type="auto"/>
            <w:vAlign w:val="center"/>
            <w:hideMark/>
          </w:tcPr>
          <w:p w14:paraId="29149B92"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Feedback must not become popularity governance.</w:t>
            </w:r>
          </w:p>
        </w:tc>
      </w:tr>
      <w:tr w:rsidR="00080B17" w:rsidRPr="00B479AE" w14:paraId="7C0B7B0B" w14:textId="77777777" w:rsidTr="00650EBA">
        <w:trPr>
          <w:tblCellSpacing w:w="15" w:type="dxa"/>
        </w:trPr>
        <w:tc>
          <w:tcPr>
            <w:tcW w:w="0" w:type="auto"/>
            <w:vAlign w:val="center"/>
            <w:hideMark/>
          </w:tcPr>
          <w:p w14:paraId="35F468BD"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Reduction in repeated errors</w:t>
            </w:r>
          </w:p>
        </w:tc>
        <w:tc>
          <w:tcPr>
            <w:tcW w:w="0" w:type="auto"/>
            <w:vAlign w:val="center"/>
            <w:hideMark/>
          </w:tcPr>
          <w:p w14:paraId="7C62DED7"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Shows learning from previous failure modes.</w:t>
            </w:r>
          </w:p>
        </w:tc>
        <w:tc>
          <w:tcPr>
            <w:tcW w:w="0" w:type="auto"/>
            <w:vAlign w:val="center"/>
            <w:hideMark/>
          </w:tcPr>
          <w:p w14:paraId="780BE98B"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Requires clear classification of error types.</w:t>
            </w:r>
          </w:p>
        </w:tc>
      </w:tr>
      <w:tr w:rsidR="00080B17" w:rsidRPr="00B479AE" w14:paraId="446B8D92" w14:textId="77777777" w:rsidTr="00650EBA">
        <w:trPr>
          <w:tblCellSpacing w:w="15" w:type="dxa"/>
        </w:trPr>
        <w:tc>
          <w:tcPr>
            <w:tcW w:w="0" w:type="auto"/>
            <w:vAlign w:val="center"/>
            <w:hideMark/>
          </w:tcPr>
          <w:p w14:paraId="5F7C5772"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Reduction in warrant or quarantine events</w:t>
            </w:r>
          </w:p>
        </w:tc>
        <w:tc>
          <w:tcPr>
            <w:tcW w:w="0" w:type="auto"/>
            <w:vAlign w:val="center"/>
            <w:hideMark/>
          </w:tcPr>
          <w:p w14:paraId="40339365"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May indicate improved prompt alignment.</w:t>
            </w:r>
          </w:p>
        </w:tc>
        <w:tc>
          <w:tcPr>
            <w:tcW w:w="0" w:type="auto"/>
            <w:vAlign w:val="center"/>
            <w:hideMark/>
          </w:tcPr>
          <w:p w14:paraId="15AA6183"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May also indicate under-detection if governance is weak.</w:t>
            </w:r>
          </w:p>
        </w:tc>
      </w:tr>
      <w:tr w:rsidR="00080B17" w:rsidRPr="00B479AE" w14:paraId="18DBCB63" w14:textId="77777777" w:rsidTr="00650EBA">
        <w:trPr>
          <w:tblCellSpacing w:w="15" w:type="dxa"/>
        </w:trPr>
        <w:tc>
          <w:tcPr>
            <w:tcW w:w="0" w:type="auto"/>
            <w:vAlign w:val="center"/>
            <w:hideMark/>
          </w:tcPr>
          <w:p w14:paraId="6D22EF9B"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Improved evidence completeness</w:t>
            </w:r>
          </w:p>
        </w:tc>
        <w:tc>
          <w:tcPr>
            <w:tcW w:w="0" w:type="auto"/>
            <w:vAlign w:val="center"/>
            <w:hideMark/>
          </w:tcPr>
          <w:p w14:paraId="704EF7C7"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Shows better linkage between prompts and evidence.</w:t>
            </w:r>
          </w:p>
        </w:tc>
        <w:tc>
          <w:tcPr>
            <w:tcW w:w="0" w:type="auto"/>
            <w:vAlign w:val="center"/>
            <w:hideMark/>
          </w:tcPr>
          <w:p w14:paraId="208491D8"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Must distinguish evidence quality from evidence quantity.</w:t>
            </w:r>
          </w:p>
        </w:tc>
      </w:tr>
      <w:tr w:rsidR="00080B17" w:rsidRPr="00B479AE" w14:paraId="291A3786" w14:textId="77777777" w:rsidTr="00650EBA">
        <w:trPr>
          <w:tblCellSpacing w:w="15" w:type="dxa"/>
        </w:trPr>
        <w:tc>
          <w:tcPr>
            <w:tcW w:w="0" w:type="auto"/>
            <w:vAlign w:val="center"/>
            <w:hideMark/>
          </w:tcPr>
          <w:p w14:paraId="4316461E"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Semantic drift detection rate</w:t>
            </w:r>
          </w:p>
        </w:tc>
        <w:tc>
          <w:tcPr>
            <w:tcW w:w="0" w:type="auto"/>
            <w:vAlign w:val="center"/>
            <w:hideMark/>
          </w:tcPr>
          <w:p w14:paraId="488CCCBB"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Shows whether core terms are being protected.</w:t>
            </w:r>
          </w:p>
        </w:tc>
        <w:tc>
          <w:tcPr>
            <w:tcW w:w="0" w:type="auto"/>
            <w:vAlign w:val="center"/>
            <w:hideMark/>
          </w:tcPr>
          <w:p w14:paraId="5C9707FC"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Detection must lead to review, not automatic punishment.</w:t>
            </w:r>
          </w:p>
        </w:tc>
      </w:tr>
      <w:tr w:rsidR="00080B17" w:rsidRPr="00B479AE" w14:paraId="75BBED00" w14:textId="77777777" w:rsidTr="00650EBA">
        <w:trPr>
          <w:tblCellSpacing w:w="15" w:type="dxa"/>
        </w:trPr>
        <w:tc>
          <w:tcPr>
            <w:tcW w:w="0" w:type="auto"/>
            <w:vAlign w:val="center"/>
            <w:hideMark/>
          </w:tcPr>
          <w:p w14:paraId="6DD0D583"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Manual review load</w:t>
            </w:r>
          </w:p>
        </w:tc>
        <w:tc>
          <w:tcPr>
            <w:tcW w:w="0" w:type="auto"/>
            <w:vAlign w:val="center"/>
            <w:hideMark/>
          </w:tcPr>
          <w:p w14:paraId="7F9BE784"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Measures how often prompts require escalation.</w:t>
            </w:r>
          </w:p>
        </w:tc>
        <w:tc>
          <w:tcPr>
            <w:tcW w:w="0" w:type="auto"/>
            <w:vAlign w:val="center"/>
            <w:hideMark/>
          </w:tcPr>
          <w:p w14:paraId="1B0DA692"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High load may indicate risk, complexity, or excessive rigidity.</w:t>
            </w:r>
          </w:p>
        </w:tc>
      </w:tr>
      <w:tr w:rsidR="00080B17" w:rsidRPr="00B479AE" w14:paraId="45DDF3E7" w14:textId="77777777" w:rsidTr="00650EBA">
        <w:trPr>
          <w:tblCellSpacing w:w="15" w:type="dxa"/>
        </w:trPr>
        <w:tc>
          <w:tcPr>
            <w:tcW w:w="0" w:type="auto"/>
            <w:vAlign w:val="center"/>
            <w:hideMark/>
          </w:tcPr>
          <w:p w14:paraId="45802185"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Time-to-review</w:t>
            </w:r>
          </w:p>
        </w:tc>
        <w:tc>
          <w:tcPr>
            <w:tcW w:w="0" w:type="auto"/>
            <w:vAlign w:val="center"/>
            <w:hideMark/>
          </w:tcPr>
          <w:p w14:paraId="5F92C35B"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Measures governance responsiveness.</w:t>
            </w:r>
          </w:p>
        </w:tc>
        <w:tc>
          <w:tcPr>
            <w:tcW w:w="0" w:type="auto"/>
            <w:vAlign w:val="center"/>
            <w:hideMark/>
          </w:tcPr>
          <w:p w14:paraId="1C5D644F" w14:textId="77777777" w:rsidR="00080B17" w:rsidRPr="00B479AE" w:rsidRDefault="00080B17" w:rsidP="00080B17">
            <w:pPr>
              <w:spacing w:line="360" w:lineRule="auto"/>
              <w:rPr>
                <w:rFonts w:ascii="Baskerville Old Face" w:hAnsi="Baskerville Old Face"/>
                <w:i/>
                <w:iCs/>
                <w:sz w:val="20"/>
                <w:szCs w:val="20"/>
              </w:rPr>
            </w:pPr>
            <w:r w:rsidRPr="00B479AE">
              <w:rPr>
                <w:rFonts w:ascii="Baskerville Old Face" w:hAnsi="Baskerville Old Face"/>
                <w:i/>
                <w:iCs/>
                <w:sz w:val="20"/>
                <w:szCs w:val="20"/>
              </w:rPr>
              <w:t>Speed must not override quality.</w:t>
            </w:r>
          </w:p>
        </w:tc>
      </w:tr>
    </w:tbl>
    <w:p w14:paraId="0E662B80" w14:textId="7F798B69"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No single indicator should determine kernel quality.</w:t>
      </w:r>
      <w:r w:rsidR="003B731D">
        <w:rPr>
          <w:rFonts w:ascii="Baskerville Old Face" w:hAnsi="Baskerville Old Face"/>
          <w:i/>
          <w:iCs/>
        </w:rPr>
        <w:t xml:space="preserve"> </w:t>
      </w:r>
      <w:r w:rsidRPr="00B479AE">
        <w:rPr>
          <w:rFonts w:ascii="Baskerville Old Face" w:hAnsi="Baskerville Old Face"/>
          <w:i/>
          <w:iCs/>
        </w:rPr>
        <w:t>The purpose is pattern awareness, not algorithmic self-congratulation.</w:t>
      </w:r>
    </w:p>
    <w:p w14:paraId="009F955C"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8. Governance of evolution</w:t>
      </w:r>
    </w:p>
    <w:p w14:paraId="5C9FE56C" w14:textId="407E41F6"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cognitive kernel may evolve.</w:t>
      </w:r>
      <w:r w:rsidR="00A2199B" w:rsidRPr="00B479AE">
        <w:rPr>
          <w:rFonts w:ascii="Baskerville Old Face" w:hAnsi="Baskerville Old Face"/>
          <w:i/>
          <w:iCs/>
        </w:rPr>
        <w:t xml:space="preserve"> </w:t>
      </w:r>
      <w:r w:rsidRPr="00B479AE">
        <w:rPr>
          <w:rFonts w:ascii="Baskerville Old Face" w:hAnsi="Baskerville Old Face"/>
          <w:i/>
          <w:iCs/>
        </w:rPr>
        <w:t>Its evolution must be governed.</w:t>
      </w:r>
    </w:p>
    <w:p w14:paraId="7D315321"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A proposed change to meta-prompt logic, constitutional constraints, routing rules, review pathways, escalation triggers, output classifications, or agent permissions should follow a change-control pathway:</w:t>
      </w:r>
    </w:p>
    <w:p w14:paraId="684F1358"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lastRenderedPageBreak/>
        <w:t>proposal</w:t>
      </w:r>
      <w:r w:rsidRPr="00B479AE">
        <w:rPr>
          <w:rFonts w:ascii="Baskerville Old Face" w:hAnsi="Baskerville Old Face"/>
          <w:i/>
          <w:iCs/>
        </w:rPr>
        <w:br/>
        <w:t>impact analysis</w:t>
      </w:r>
      <w:r w:rsidRPr="00B479AE">
        <w:rPr>
          <w:rFonts w:ascii="Baskerville Old Face" w:hAnsi="Baskerville Old Face"/>
          <w:i/>
          <w:iCs/>
        </w:rPr>
        <w:br/>
        <w:t>risk classification</w:t>
      </w:r>
      <w:r w:rsidRPr="00B479AE">
        <w:rPr>
          <w:rFonts w:ascii="Baskerville Old Face" w:hAnsi="Baskerville Old Face"/>
          <w:i/>
          <w:iCs/>
        </w:rPr>
        <w:br/>
        <w:t>sandbox testing</w:t>
      </w:r>
      <w:r w:rsidRPr="00B479AE">
        <w:rPr>
          <w:rFonts w:ascii="Baskerville Old Face" w:hAnsi="Baskerville Old Face"/>
          <w:i/>
          <w:iCs/>
        </w:rPr>
        <w:br/>
        <w:t>constitutional alignment review</w:t>
      </w:r>
      <w:r w:rsidRPr="00B479AE">
        <w:rPr>
          <w:rFonts w:ascii="Baskerville Old Face" w:hAnsi="Baskerville Old Face"/>
          <w:i/>
          <w:iCs/>
        </w:rPr>
        <w:br/>
        <w:t>governance review</w:t>
      </w:r>
      <w:r w:rsidRPr="00B479AE">
        <w:rPr>
          <w:rFonts w:ascii="Baskerville Old Face" w:hAnsi="Baskerville Old Face"/>
          <w:i/>
          <w:iCs/>
        </w:rPr>
        <w:br/>
        <w:t>versioned approval</w:t>
      </w:r>
      <w:r w:rsidRPr="00B479AE">
        <w:rPr>
          <w:rFonts w:ascii="Baskerville Old Face" w:hAnsi="Baskerville Old Face"/>
          <w:i/>
          <w:iCs/>
        </w:rPr>
        <w:br/>
        <w:t>deployment</w:t>
      </w:r>
      <w:r w:rsidRPr="00B479AE">
        <w:rPr>
          <w:rFonts w:ascii="Baskerville Old Face" w:hAnsi="Baskerville Old Face"/>
          <w:i/>
          <w:iCs/>
        </w:rPr>
        <w:br/>
        <w:t>monitoring</w:t>
      </w:r>
      <w:r w:rsidRPr="00B479AE">
        <w:rPr>
          <w:rFonts w:ascii="Baskerville Old Face" w:hAnsi="Baskerville Old Face"/>
          <w:i/>
          <w:iCs/>
        </w:rPr>
        <w:br/>
        <w:t>rollback pathway.</w:t>
      </w:r>
    </w:p>
    <w:p w14:paraId="48A61DBF" w14:textId="02CCDB3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Critical changes should require stronger controls.</w:t>
      </w:r>
      <w:r w:rsidR="008E534D" w:rsidRPr="00B479AE">
        <w:rPr>
          <w:rFonts w:ascii="Baskerville Old Face" w:hAnsi="Baskerville Old Face"/>
          <w:i/>
          <w:iCs/>
        </w:rPr>
        <w:t xml:space="preserve"> </w:t>
      </w:r>
      <w:r w:rsidRPr="00B479AE">
        <w:rPr>
          <w:rFonts w:ascii="Baskerville Old Face" w:hAnsi="Baskerville Old Face"/>
          <w:i/>
          <w:iCs/>
        </w:rPr>
        <w:t>These may include:</w:t>
      </w:r>
    </w:p>
    <w:p w14:paraId="27CFFBA2"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 protocol steward review;</w:t>
      </w:r>
      <w:r w:rsidRPr="00B479AE">
        <w:rPr>
          <w:rFonts w:ascii="Baskerville Old Face" w:hAnsi="Baskerville Old Face"/>
          <w:i/>
          <w:iCs/>
        </w:rPr>
        <w:br/>
        <w:t>• legal or compliance review;</w:t>
      </w:r>
      <w:r w:rsidRPr="00B479AE">
        <w:rPr>
          <w:rFonts w:ascii="Baskerville Old Face" w:hAnsi="Baskerville Old Face"/>
          <w:i/>
          <w:iCs/>
        </w:rPr>
        <w:br/>
        <w:t>• MRV methodology review;</w:t>
      </w:r>
      <w:r w:rsidRPr="00B479AE">
        <w:rPr>
          <w:rFonts w:ascii="Baskerville Old Face" w:hAnsi="Baskerville Old Face"/>
          <w:i/>
          <w:iCs/>
        </w:rPr>
        <w:br/>
        <w:t>• security review;</w:t>
      </w:r>
      <w:r w:rsidRPr="00B479AE">
        <w:rPr>
          <w:rFonts w:ascii="Baskerville Old Face" w:hAnsi="Baskerville Old Face"/>
          <w:i/>
          <w:iCs/>
        </w:rPr>
        <w:br/>
        <w:t>• model-risk review;</w:t>
      </w:r>
      <w:r w:rsidRPr="00B479AE">
        <w:rPr>
          <w:rFonts w:ascii="Baskerville Old Face" w:hAnsi="Baskerville Old Face"/>
          <w:i/>
          <w:iCs/>
        </w:rPr>
        <w:br/>
        <w:t>• community or stakeholder review where appropriate;</w:t>
      </w:r>
      <w:r w:rsidRPr="00B479AE">
        <w:rPr>
          <w:rFonts w:ascii="Baskerville Old Face" w:hAnsi="Baskerville Old Face"/>
          <w:i/>
          <w:iCs/>
        </w:rPr>
        <w:br/>
        <w:t>• cryptographic anchoring of approved releases;</w:t>
      </w:r>
      <w:r w:rsidRPr="00B479AE">
        <w:rPr>
          <w:rFonts w:ascii="Baskerville Old Face" w:hAnsi="Baskerville Old Face"/>
          <w:i/>
          <w:iCs/>
        </w:rPr>
        <w:br/>
        <w:t>• independent review for high-impact upgrades.</w:t>
      </w:r>
    </w:p>
    <w:p w14:paraId="0CDCB80A" w14:textId="5B2EF182"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kernel may become more capable.</w:t>
      </w:r>
      <w:r w:rsidR="00527ED0" w:rsidRPr="00B479AE">
        <w:rPr>
          <w:rFonts w:ascii="Baskerville Old Face" w:hAnsi="Baskerville Old Face"/>
          <w:i/>
          <w:iCs/>
        </w:rPr>
        <w:t xml:space="preserve"> </w:t>
      </w:r>
      <w:r w:rsidRPr="00B479AE">
        <w:rPr>
          <w:rFonts w:ascii="Baskerville Old Face" w:hAnsi="Baskerville Old Face"/>
          <w:i/>
          <w:iCs/>
        </w:rPr>
        <w:t>It may not become less accountable.</w:t>
      </w:r>
    </w:p>
    <w:p w14:paraId="0A8D04F8"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9. Public learning and privacy boundary</w:t>
      </w:r>
    </w:p>
    <w:p w14:paraId="431C06D3" w14:textId="35A072CB"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meta-prompt register may support public or community learning through anonymized summaries, pattern reports, methodology notes, or release notes.</w:t>
      </w:r>
      <w:r w:rsidR="008E534D" w:rsidRPr="00B479AE">
        <w:rPr>
          <w:rFonts w:ascii="Baskerville Old Face" w:hAnsi="Baskerville Old Face"/>
          <w:i/>
          <w:iCs/>
        </w:rPr>
        <w:t xml:space="preserve"> </w:t>
      </w:r>
      <w:r w:rsidRPr="00B479AE">
        <w:rPr>
          <w:rFonts w:ascii="Baskerville Old Face" w:hAnsi="Baskerville Old Face"/>
          <w:i/>
          <w:iCs/>
        </w:rPr>
        <w:t>However, transparency must respect:</w:t>
      </w:r>
    </w:p>
    <w:p w14:paraId="253EA286"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 privacy;</w:t>
      </w:r>
      <w:r w:rsidRPr="00B479AE">
        <w:rPr>
          <w:rFonts w:ascii="Baskerville Old Face" w:hAnsi="Baskerville Old Face"/>
          <w:i/>
          <w:iCs/>
        </w:rPr>
        <w:br/>
        <w:t>• consent;</w:t>
      </w:r>
      <w:r w:rsidRPr="00B479AE">
        <w:rPr>
          <w:rFonts w:ascii="Baskerville Old Face" w:hAnsi="Baskerville Old Face"/>
          <w:i/>
          <w:iCs/>
        </w:rPr>
        <w:br/>
        <w:t>• data protection;</w:t>
      </w:r>
      <w:r w:rsidRPr="00B479AE">
        <w:rPr>
          <w:rFonts w:ascii="Baskerville Old Face" w:hAnsi="Baskerville Old Face"/>
          <w:i/>
          <w:iCs/>
        </w:rPr>
        <w:br/>
        <w:t>• security;</w:t>
      </w:r>
      <w:r w:rsidRPr="00B479AE">
        <w:rPr>
          <w:rFonts w:ascii="Baskerville Old Face" w:hAnsi="Baskerville Old Face"/>
          <w:i/>
          <w:iCs/>
        </w:rPr>
        <w:br/>
        <w:t>• legal confidentiality;</w:t>
      </w:r>
      <w:r w:rsidRPr="00B479AE">
        <w:rPr>
          <w:rFonts w:ascii="Baskerville Old Face" w:hAnsi="Baskerville Old Face"/>
          <w:i/>
          <w:iCs/>
        </w:rPr>
        <w:br/>
        <w:t>• sensitive governance material;</w:t>
      </w:r>
      <w:r w:rsidRPr="00B479AE">
        <w:rPr>
          <w:rFonts w:ascii="Baskerville Old Face" w:hAnsi="Baskerville Old Face"/>
          <w:i/>
          <w:iCs/>
        </w:rPr>
        <w:br/>
      </w:r>
      <w:r w:rsidRPr="00B479AE">
        <w:rPr>
          <w:rFonts w:ascii="Baskerville Old Face" w:hAnsi="Baskerville Old Face"/>
          <w:i/>
          <w:iCs/>
        </w:rPr>
        <w:lastRenderedPageBreak/>
        <w:t>• investor or counterparty confidentiality;</w:t>
      </w:r>
      <w:r w:rsidRPr="00B479AE">
        <w:rPr>
          <w:rFonts w:ascii="Baskerville Old Face" w:hAnsi="Baskerville Old Face"/>
          <w:i/>
          <w:iCs/>
        </w:rPr>
        <w:br/>
        <w:t>• protected research data;</w:t>
      </w:r>
      <w:r w:rsidRPr="00B479AE">
        <w:rPr>
          <w:rFonts w:ascii="Baskerville Old Face" w:hAnsi="Baskerville Old Face"/>
          <w:i/>
          <w:iCs/>
        </w:rPr>
        <w:br/>
        <w:t>• human-state data boundaries.</w:t>
      </w:r>
    </w:p>
    <w:p w14:paraId="6EEDA84C"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Prometheus must not expose sensitive information in the name of transparency.</w:t>
      </w:r>
    </w:p>
    <w:p w14:paraId="2E5E5F9A"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correct standard is reviewable transparency, not reckless disclosure.</w:t>
      </w:r>
    </w:p>
    <w:p w14:paraId="75865150"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b/>
          <w:bCs/>
          <w:i/>
          <w:iCs/>
        </w:rPr>
        <w:t>10. Final governance principle</w:t>
      </w:r>
    </w:p>
    <w:p w14:paraId="3CEA5702"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governance of meta-prompts follows one principle:</w:t>
      </w:r>
    </w:p>
    <w:p w14:paraId="0518C5C4"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the system may learn, but it may not drift.</w:t>
      </w:r>
    </w:p>
    <w:p w14:paraId="2267A21C"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Learning improves capability.</w:t>
      </w:r>
    </w:p>
    <w:p w14:paraId="7CC2BE98" w14:textId="77777777"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Drift weakens meaning.</w:t>
      </w:r>
    </w:p>
    <w:p w14:paraId="453AC9BE" w14:textId="4938CF8C" w:rsidR="00080B17" w:rsidRPr="00B479AE" w:rsidRDefault="00080B17" w:rsidP="00080B17">
      <w:pPr>
        <w:spacing w:line="360" w:lineRule="auto"/>
        <w:rPr>
          <w:rFonts w:ascii="Baskerville Old Face" w:hAnsi="Baskerville Old Face"/>
          <w:i/>
          <w:iCs/>
        </w:rPr>
      </w:pPr>
      <w:r w:rsidRPr="00B479AE">
        <w:rPr>
          <w:rFonts w:ascii="Baskerville Old Face" w:hAnsi="Baskerville Old Face"/>
          <w:i/>
          <w:iCs/>
        </w:rPr>
        <w:t>Prometheus must therefore evolve through visible, versioned, reviewable, constitutionally anchored change.</w:t>
      </w:r>
      <w:r w:rsidR="00527ED0" w:rsidRPr="00B479AE">
        <w:rPr>
          <w:rFonts w:ascii="Baskerville Old Face" w:hAnsi="Baskerville Old Face"/>
          <w:i/>
          <w:iCs/>
        </w:rPr>
        <w:t xml:space="preserve"> </w:t>
      </w:r>
      <w:r w:rsidRPr="00B479AE">
        <w:rPr>
          <w:rFonts w:ascii="Baskerville Old Face" w:hAnsi="Baskerville Old Face"/>
          <w:i/>
          <w:iCs/>
        </w:rPr>
        <w:t>A meta-prompt is valid only when it helps the system become more intelligent while remaining more accountable to life.</w:t>
      </w:r>
    </w:p>
    <w:p w14:paraId="26A48A43"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b/>
          <w:bCs/>
          <w:i/>
          <w:iCs/>
        </w:rPr>
        <w:t>Absolute Prohibitions</w:t>
      </w:r>
    </w:p>
    <w:p w14:paraId="11590356"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 Prometheus cognitive kernel must contain absolute prohibitions.</w:t>
      </w:r>
    </w:p>
    <w:p w14:paraId="1EE1A94D"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These prohibitions define the boundaries beyond which no meta-prompt, agent task, operational recommendation, governance proposal, financial scenario, investor-facing draft, token logic, ecological intervention, or system output may be considered constitutionally valid.</w:t>
      </w:r>
    </w:p>
    <w:p w14:paraId="7C5462CA" w14:textId="63D2CD68"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They are not advisory preferences. They are hard constitutional limits.</w:t>
      </w:r>
    </w:p>
    <w:p w14:paraId="4C5EE43B"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A request, output, workflow, agent action, dashboard signal, token operation, or governance proposal that violates these prohibitions must be treated as:</w:t>
      </w:r>
    </w:p>
    <w:p w14:paraId="6F668738"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 non-admissible;</w:t>
      </w:r>
      <w:r w:rsidRPr="00B479AE">
        <w:rPr>
          <w:rFonts w:ascii="Baskerville Old Face" w:hAnsi="Baskerville Old Face"/>
          <w:i/>
          <w:iCs/>
        </w:rPr>
        <w:br/>
        <w:t>• non-executable;</w:t>
      </w:r>
      <w:r w:rsidRPr="00B479AE">
        <w:rPr>
          <w:rFonts w:ascii="Baskerville Old Face" w:hAnsi="Baskerville Old Face"/>
          <w:i/>
          <w:iCs/>
        </w:rPr>
        <w:br/>
        <w:t>• rejected;</w:t>
      </w:r>
      <w:r w:rsidRPr="00B479AE">
        <w:rPr>
          <w:rFonts w:ascii="Baskerville Old Face" w:hAnsi="Baskerville Old Face"/>
          <w:i/>
          <w:iCs/>
        </w:rPr>
        <w:br/>
        <w:t>• quarantined;</w:t>
      </w:r>
      <w:r w:rsidRPr="00B479AE">
        <w:rPr>
          <w:rFonts w:ascii="Baskerville Old Face" w:hAnsi="Baskerville Old Face"/>
          <w:i/>
          <w:iCs/>
        </w:rPr>
        <w:br/>
      </w:r>
      <w:r w:rsidRPr="00B479AE">
        <w:rPr>
          <w:rFonts w:ascii="Baskerville Old Face" w:hAnsi="Baskerville Old Face"/>
          <w:i/>
          <w:iCs/>
        </w:rPr>
        <w:lastRenderedPageBreak/>
        <w:t>• escalated to governance review;</w:t>
      </w:r>
      <w:r w:rsidRPr="00B479AE">
        <w:rPr>
          <w:rFonts w:ascii="Baskerville Old Face" w:hAnsi="Baskerville Old Face"/>
          <w:i/>
          <w:iCs/>
        </w:rPr>
        <w:br/>
        <w:t>• or blocked by technical execution gates, depending on severity and implementation context.</w:t>
      </w:r>
    </w:p>
    <w:p w14:paraId="5582284B" w14:textId="77777777" w:rsidR="008E534D"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 kernel must never convert these prohibited pathways into executable instructions.</w:t>
      </w:r>
      <w:r w:rsidR="008E534D" w:rsidRPr="00B479AE">
        <w:rPr>
          <w:rFonts w:ascii="Baskerville Old Face" w:hAnsi="Baskerville Old Face"/>
          <w:i/>
          <w:iCs/>
        </w:rPr>
        <w:t xml:space="preserve"> </w:t>
      </w:r>
    </w:p>
    <w:p w14:paraId="7E189FFD" w14:textId="1436718C" w:rsidR="00650EBA" w:rsidRPr="003B731D" w:rsidRDefault="003B731D" w:rsidP="003B731D">
      <w:pPr>
        <w:spacing w:line="360" w:lineRule="auto"/>
        <w:rPr>
          <w:rFonts w:ascii="Baskerville Old Face" w:hAnsi="Baskerville Old Face"/>
          <w:b/>
          <w:bCs/>
          <w:i/>
          <w:iCs/>
        </w:rPr>
      </w:pPr>
      <w:r>
        <w:rPr>
          <w:rFonts w:ascii="Baskerville Old Face" w:hAnsi="Baskerville Old Face"/>
          <w:b/>
          <w:bCs/>
          <w:i/>
          <w:iCs/>
        </w:rPr>
        <w:t xml:space="preserve">1. </w:t>
      </w:r>
      <w:r w:rsidR="00650EBA" w:rsidRPr="003B731D">
        <w:rPr>
          <w:rFonts w:ascii="Baskerville Old Face" w:hAnsi="Baskerville Old Face"/>
          <w:b/>
          <w:bCs/>
          <w:i/>
          <w:iCs/>
        </w:rPr>
        <w:t>Prohibited meta-prompt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5013"/>
        <w:gridCol w:w="2288"/>
      </w:tblGrid>
      <w:tr w:rsidR="00650EBA" w:rsidRPr="003B731D" w14:paraId="3B2543E1" w14:textId="77777777" w:rsidTr="00650EBA">
        <w:trPr>
          <w:tblHeader/>
          <w:tblCellSpacing w:w="15" w:type="dxa"/>
        </w:trPr>
        <w:tc>
          <w:tcPr>
            <w:tcW w:w="0" w:type="auto"/>
            <w:vAlign w:val="center"/>
            <w:hideMark/>
          </w:tcPr>
          <w:p w14:paraId="11BEAB3E" w14:textId="77777777" w:rsidR="00650EBA" w:rsidRPr="003B731D" w:rsidRDefault="00650EBA" w:rsidP="00650EBA">
            <w:pPr>
              <w:spacing w:line="360" w:lineRule="auto"/>
              <w:rPr>
                <w:rFonts w:ascii="Baskerville Old Face" w:hAnsi="Baskerville Old Face"/>
                <w:b/>
                <w:bCs/>
                <w:i/>
                <w:iCs/>
                <w:sz w:val="18"/>
                <w:szCs w:val="18"/>
              </w:rPr>
            </w:pPr>
            <w:r w:rsidRPr="003B731D">
              <w:rPr>
                <w:rFonts w:ascii="Baskerville Old Face" w:hAnsi="Baskerville Old Face"/>
                <w:b/>
                <w:bCs/>
                <w:i/>
                <w:iCs/>
                <w:sz w:val="18"/>
                <w:szCs w:val="18"/>
              </w:rPr>
              <w:t>Prohibition</w:t>
            </w:r>
          </w:p>
        </w:tc>
        <w:tc>
          <w:tcPr>
            <w:tcW w:w="0" w:type="auto"/>
            <w:vAlign w:val="center"/>
            <w:hideMark/>
          </w:tcPr>
          <w:p w14:paraId="5ABC2697" w14:textId="77777777" w:rsidR="00650EBA" w:rsidRPr="003B731D" w:rsidRDefault="00650EBA" w:rsidP="00650EBA">
            <w:pPr>
              <w:spacing w:line="360" w:lineRule="auto"/>
              <w:rPr>
                <w:rFonts w:ascii="Baskerville Old Face" w:hAnsi="Baskerville Old Face"/>
                <w:b/>
                <w:bCs/>
                <w:i/>
                <w:iCs/>
                <w:sz w:val="18"/>
                <w:szCs w:val="18"/>
              </w:rPr>
            </w:pPr>
            <w:r w:rsidRPr="003B731D">
              <w:rPr>
                <w:rFonts w:ascii="Baskerville Old Face" w:hAnsi="Baskerville Old Face"/>
                <w:b/>
                <w:bCs/>
                <w:i/>
                <w:iCs/>
                <w:sz w:val="18"/>
                <w:szCs w:val="18"/>
              </w:rPr>
              <w:t>Description</w:t>
            </w:r>
          </w:p>
        </w:tc>
        <w:tc>
          <w:tcPr>
            <w:tcW w:w="0" w:type="auto"/>
            <w:vAlign w:val="center"/>
            <w:hideMark/>
          </w:tcPr>
          <w:p w14:paraId="7F214A1D" w14:textId="77777777" w:rsidR="00650EBA" w:rsidRPr="003B731D" w:rsidRDefault="00650EBA" w:rsidP="00650EBA">
            <w:pPr>
              <w:spacing w:line="360" w:lineRule="auto"/>
              <w:rPr>
                <w:rFonts w:ascii="Baskerville Old Face" w:hAnsi="Baskerville Old Face"/>
                <w:b/>
                <w:bCs/>
                <w:i/>
                <w:iCs/>
                <w:sz w:val="18"/>
                <w:szCs w:val="18"/>
              </w:rPr>
            </w:pPr>
            <w:r w:rsidRPr="003B731D">
              <w:rPr>
                <w:rFonts w:ascii="Baskerville Old Face" w:hAnsi="Baskerville Old Face"/>
                <w:b/>
                <w:bCs/>
                <w:i/>
                <w:iCs/>
                <w:sz w:val="18"/>
                <w:szCs w:val="18"/>
              </w:rPr>
              <w:t>Required handling</w:t>
            </w:r>
          </w:p>
        </w:tc>
      </w:tr>
      <w:tr w:rsidR="00650EBA" w:rsidRPr="003B731D" w14:paraId="7E6E4137" w14:textId="77777777" w:rsidTr="00650EBA">
        <w:trPr>
          <w:tblCellSpacing w:w="15" w:type="dxa"/>
        </w:trPr>
        <w:tc>
          <w:tcPr>
            <w:tcW w:w="0" w:type="auto"/>
            <w:vAlign w:val="center"/>
            <w:hideMark/>
          </w:tcPr>
          <w:p w14:paraId="1FA9E6A2"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Manipulate human behavior</w:t>
            </w:r>
          </w:p>
        </w:tc>
        <w:tc>
          <w:tcPr>
            <w:tcW w:w="0" w:type="auto"/>
            <w:vAlign w:val="center"/>
            <w:hideMark/>
          </w:tcPr>
          <w:p w14:paraId="54018ACD"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Includes dark patterns, infinite scroll, dopamine hijacking, covert persuasion, emotional exploitation, or any design that exploits cognitive vulnerabilities.</w:t>
            </w:r>
          </w:p>
        </w:tc>
        <w:tc>
          <w:tcPr>
            <w:tcW w:w="0" w:type="auto"/>
            <w:vAlign w:val="center"/>
            <w:hideMark/>
          </w:tcPr>
          <w:p w14:paraId="5A36ABEB"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Reject as executable; require ethical redesign.</w:t>
            </w:r>
          </w:p>
        </w:tc>
      </w:tr>
      <w:tr w:rsidR="00650EBA" w:rsidRPr="003B731D" w14:paraId="2E54C770" w14:textId="77777777" w:rsidTr="00650EBA">
        <w:trPr>
          <w:tblCellSpacing w:w="15" w:type="dxa"/>
        </w:trPr>
        <w:tc>
          <w:tcPr>
            <w:tcW w:w="0" w:type="auto"/>
            <w:vAlign w:val="center"/>
            <w:hideMark/>
          </w:tcPr>
          <w:p w14:paraId="66C8DBEE"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Exploit human fragility</w:t>
            </w:r>
          </w:p>
        </w:tc>
        <w:tc>
          <w:tcPr>
            <w:tcW w:w="0" w:type="auto"/>
            <w:vAlign w:val="center"/>
            <w:hideMark/>
          </w:tcPr>
          <w:p w14:paraId="42AA2A87"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Uses fear, dependency, ignorance, poverty, loneliness, stress, addiction, grief, or informational asymmetry as a strategy for control or profit.</w:t>
            </w:r>
          </w:p>
        </w:tc>
        <w:tc>
          <w:tcPr>
            <w:tcW w:w="0" w:type="auto"/>
            <w:vAlign w:val="center"/>
            <w:hideMark/>
          </w:tcPr>
          <w:p w14:paraId="152E5A8E"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Reject; route to anti-capture review if systemic.</w:t>
            </w:r>
          </w:p>
        </w:tc>
      </w:tr>
      <w:tr w:rsidR="00650EBA" w:rsidRPr="003B731D" w14:paraId="4C3F2AA5" w14:textId="77777777" w:rsidTr="00650EBA">
        <w:trPr>
          <w:tblCellSpacing w:w="15" w:type="dxa"/>
        </w:trPr>
        <w:tc>
          <w:tcPr>
            <w:tcW w:w="0" w:type="auto"/>
            <w:vAlign w:val="center"/>
            <w:hideMark/>
          </w:tcPr>
          <w:p w14:paraId="0573E2F7"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Simplify complex living systems</w:t>
            </w:r>
          </w:p>
        </w:tc>
        <w:tc>
          <w:tcPr>
            <w:tcW w:w="0" w:type="auto"/>
            <w:vAlign w:val="center"/>
            <w:hideMark/>
          </w:tcPr>
          <w:p w14:paraId="49D6D7F3"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Eliminates critical ecological, relational, cultural, temporal, or governance factors in order to force a convenient output.</w:t>
            </w:r>
          </w:p>
        </w:tc>
        <w:tc>
          <w:tcPr>
            <w:tcW w:w="0" w:type="auto"/>
            <w:vAlign w:val="center"/>
            <w:hideMark/>
          </w:tcPr>
          <w:p w14:paraId="52276449"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Restore complexity; mark simplified claim non-admissible.</w:t>
            </w:r>
          </w:p>
        </w:tc>
      </w:tr>
      <w:tr w:rsidR="00650EBA" w:rsidRPr="003B731D" w14:paraId="1D9D1453" w14:textId="77777777" w:rsidTr="00650EBA">
        <w:trPr>
          <w:tblCellSpacing w:w="15" w:type="dxa"/>
        </w:trPr>
        <w:tc>
          <w:tcPr>
            <w:tcW w:w="0" w:type="auto"/>
            <w:vAlign w:val="center"/>
            <w:hideMark/>
          </w:tcPr>
          <w:p w14:paraId="2E53EBE3"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Ignore body, territory, natural cycles, and planetary boundaries</w:t>
            </w:r>
          </w:p>
        </w:tc>
        <w:tc>
          <w:tcPr>
            <w:tcW w:w="0" w:type="auto"/>
            <w:vAlign w:val="center"/>
            <w:hideMark/>
          </w:tcPr>
          <w:p w14:paraId="648D252D"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Denies embodied, ecological, seasonal, bioregional, or planetary reality.</w:t>
            </w:r>
          </w:p>
        </w:tc>
        <w:tc>
          <w:tcPr>
            <w:tcW w:w="0" w:type="auto"/>
            <w:vAlign w:val="center"/>
            <w:hideMark/>
          </w:tcPr>
          <w:p w14:paraId="15D814A7"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Reframe through ecological and territorial constraints.</w:t>
            </w:r>
          </w:p>
        </w:tc>
      </w:tr>
      <w:tr w:rsidR="00650EBA" w:rsidRPr="003B731D" w14:paraId="70D9B320" w14:textId="77777777" w:rsidTr="00650EBA">
        <w:trPr>
          <w:tblCellSpacing w:w="15" w:type="dxa"/>
        </w:trPr>
        <w:tc>
          <w:tcPr>
            <w:tcW w:w="0" w:type="auto"/>
            <w:vAlign w:val="center"/>
            <w:hideMark/>
          </w:tcPr>
          <w:p w14:paraId="2E217CD6"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Centralize decision-making power irreversibly</w:t>
            </w:r>
          </w:p>
        </w:tc>
        <w:tc>
          <w:tcPr>
            <w:tcW w:w="0" w:type="auto"/>
            <w:vAlign w:val="center"/>
            <w:hideMark/>
          </w:tcPr>
          <w:p w14:paraId="55BED88F"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Concentrates authority without justification, reversibility, consent, review, or care for distributed agency.</w:t>
            </w:r>
          </w:p>
        </w:tc>
        <w:tc>
          <w:tcPr>
            <w:tcW w:w="0" w:type="auto"/>
            <w:vAlign w:val="center"/>
            <w:hideMark/>
          </w:tcPr>
          <w:p w14:paraId="1586D658"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Route to governance review; mark non-executable.</w:t>
            </w:r>
          </w:p>
        </w:tc>
      </w:tr>
      <w:tr w:rsidR="00650EBA" w:rsidRPr="003B731D" w14:paraId="620959C8" w14:textId="77777777" w:rsidTr="00650EBA">
        <w:trPr>
          <w:tblCellSpacing w:w="15" w:type="dxa"/>
        </w:trPr>
        <w:tc>
          <w:tcPr>
            <w:tcW w:w="0" w:type="auto"/>
            <w:vAlign w:val="center"/>
            <w:hideMark/>
          </w:tcPr>
          <w:p w14:paraId="6AB9C590"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Produce cognitive dependency on AI</w:t>
            </w:r>
          </w:p>
        </w:tc>
        <w:tc>
          <w:tcPr>
            <w:tcW w:w="0" w:type="auto"/>
            <w:vAlign w:val="center"/>
            <w:hideMark/>
          </w:tcPr>
          <w:p w14:paraId="73DD17BA"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Reduces human judgment, responsibility, learning, stewardship, or decision sovereignty by making the system dependent on model authority.</w:t>
            </w:r>
          </w:p>
        </w:tc>
        <w:tc>
          <w:tcPr>
            <w:tcW w:w="0" w:type="auto"/>
            <w:vAlign w:val="center"/>
            <w:hideMark/>
          </w:tcPr>
          <w:p w14:paraId="03E4226D"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Reframe as augmentation; preserve human review.</w:t>
            </w:r>
          </w:p>
        </w:tc>
      </w:tr>
      <w:tr w:rsidR="00650EBA" w:rsidRPr="003B731D" w14:paraId="6ED28474" w14:textId="77777777" w:rsidTr="00650EBA">
        <w:trPr>
          <w:tblCellSpacing w:w="15" w:type="dxa"/>
        </w:trPr>
        <w:tc>
          <w:tcPr>
            <w:tcW w:w="0" w:type="auto"/>
            <w:vAlign w:val="center"/>
            <w:hideMark/>
          </w:tcPr>
          <w:p w14:paraId="1BC6319D"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Separate economic value from verified regeneration</w:t>
            </w:r>
          </w:p>
        </w:tc>
        <w:tc>
          <w:tcPr>
            <w:tcW w:w="0" w:type="auto"/>
            <w:vAlign w:val="center"/>
            <w:hideMark/>
          </w:tcPr>
          <w:p w14:paraId="1D6A135A"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Creates claims, assets, prices, tokens, or investor narratives detached from observable, verifiable regenerative performance.</w:t>
            </w:r>
          </w:p>
        </w:tc>
        <w:tc>
          <w:tcPr>
            <w:tcW w:w="0" w:type="auto"/>
            <w:vAlign w:val="center"/>
            <w:hideMark/>
          </w:tcPr>
          <w:p w14:paraId="097529D5"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Mark non-admissible; require evidence and methodology.</w:t>
            </w:r>
          </w:p>
        </w:tc>
      </w:tr>
      <w:tr w:rsidR="00650EBA" w:rsidRPr="003B731D" w14:paraId="4FB2A039" w14:textId="77777777" w:rsidTr="00650EBA">
        <w:trPr>
          <w:tblCellSpacing w:w="15" w:type="dxa"/>
        </w:trPr>
        <w:tc>
          <w:tcPr>
            <w:tcW w:w="0" w:type="auto"/>
            <w:vAlign w:val="center"/>
            <w:hideMark/>
          </w:tcPr>
          <w:p w14:paraId="1D303933"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Legitimize extraction models</w:t>
            </w:r>
          </w:p>
        </w:tc>
        <w:tc>
          <w:tcPr>
            <w:tcW w:w="0" w:type="auto"/>
            <w:vAlign w:val="center"/>
            <w:hideMark/>
          </w:tcPr>
          <w:p w14:paraId="5E0F1219"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Supports models that erode biodiversity, social cohesion, work dignity, land access, ecological resilience, or future capacity.</w:t>
            </w:r>
          </w:p>
        </w:tc>
        <w:tc>
          <w:tcPr>
            <w:tcW w:w="0" w:type="auto"/>
            <w:vAlign w:val="center"/>
            <w:hideMark/>
          </w:tcPr>
          <w:p w14:paraId="0336283F"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Reject or require regenerative redesign.</w:t>
            </w:r>
          </w:p>
        </w:tc>
      </w:tr>
      <w:tr w:rsidR="00650EBA" w:rsidRPr="003B731D" w14:paraId="1355245C" w14:textId="77777777" w:rsidTr="00650EBA">
        <w:trPr>
          <w:tblCellSpacing w:w="15" w:type="dxa"/>
        </w:trPr>
        <w:tc>
          <w:tcPr>
            <w:tcW w:w="0" w:type="auto"/>
            <w:vAlign w:val="center"/>
            <w:hideMark/>
          </w:tcPr>
          <w:p w14:paraId="12B9926A"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Support violence or discrimination</w:t>
            </w:r>
          </w:p>
        </w:tc>
        <w:tc>
          <w:tcPr>
            <w:tcW w:w="0" w:type="auto"/>
            <w:vAlign w:val="center"/>
            <w:hideMark/>
          </w:tcPr>
          <w:p w14:paraId="74329F9B"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Includes systemic discrimination, dehumanization, coercion, exclusion, or harm against persons, communities, cultures, species, or territories.</w:t>
            </w:r>
          </w:p>
        </w:tc>
        <w:tc>
          <w:tcPr>
            <w:tcW w:w="0" w:type="auto"/>
            <w:vAlign w:val="center"/>
            <w:hideMark/>
          </w:tcPr>
          <w:p w14:paraId="5521F8DD"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Reject; escalate when required.</w:t>
            </w:r>
          </w:p>
        </w:tc>
      </w:tr>
      <w:tr w:rsidR="00650EBA" w:rsidRPr="003B731D" w14:paraId="33E67E74" w14:textId="77777777" w:rsidTr="00650EBA">
        <w:trPr>
          <w:tblCellSpacing w:w="15" w:type="dxa"/>
        </w:trPr>
        <w:tc>
          <w:tcPr>
            <w:tcW w:w="0" w:type="auto"/>
            <w:vAlign w:val="center"/>
            <w:hideMark/>
          </w:tcPr>
          <w:p w14:paraId="44608A61"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lastRenderedPageBreak/>
              <w:t>Create or reinforce dependencies that undermine local resilience</w:t>
            </w:r>
          </w:p>
        </w:tc>
        <w:tc>
          <w:tcPr>
            <w:tcW w:w="0" w:type="auto"/>
            <w:vAlign w:val="center"/>
            <w:hideMark/>
          </w:tcPr>
          <w:p w14:paraId="46A9847A"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Locks communities, stewards, operators, or territories into dependency on centralized platforms, capital, inputs, models, or governance structures.</w:t>
            </w:r>
          </w:p>
        </w:tc>
        <w:tc>
          <w:tcPr>
            <w:tcW w:w="0" w:type="auto"/>
            <w:vAlign w:val="center"/>
            <w:hideMark/>
          </w:tcPr>
          <w:p w14:paraId="704C22F8"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Require sovereignty and resilience review.</w:t>
            </w:r>
          </w:p>
        </w:tc>
      </w:tr>
      <w:tr w:rsidR="00650EBA" w:rsidRPr="003B731D" w14:paraId="0C8B962B" w14:textId="77777777" w:rsidTr="00650EBA">
        <w:trPr>
          <w:tblCellSpacing w:w="15" w:type="dxa"/>
        </w:trPr>
        <w:tc>
          <w:tcPr>
            <w:tcW w:w="0" w:type="auto"/>
            <w:vAlign w:val="center"/>
            <w:hideMark/>
          </w:tcPr>
          <w:p w14:paraId="2C8DF372"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Convert tokenization into entitlement</w:t>
            </w:r>
          </w:p>
        </w:tc>
        <w:tc>
          <w:tcPr>
            <w:tcW w:w="0" w:type="auto"/>
            <w:vAlign w:val="center"/>
            <w:hideMark/>
          </w:tcPr>
          <w:p w14:paraId="5CC124F1"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Treats tokens as ownership, liquidity, PRU value, land rights, revenue rights, or securities without legal wrapper and jurisdictional review.</w:t>
            </w:r>
          </w:p>
        </w:tc>
        <w:tc>
          <w:tcPr>
            <w:tcW w:w="0" w:type="auto"/>
            <w:vAlign w:val="center"/>
            <w:hideMark/>
          </w:tcPr>
          <w:p w14:paraId="78B32B28"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Mark non-executable; require legal/compliance review.</w:t>
            </w:r>
          </w:p>
        </w:tc>
      </w:tr>
      <w:tr w:rsidR="00650EBA" w:rsidRPr="003B731D" w14:paraId="296A6152" w14:textId="77777777" w:rsidTr="00650EBA">
        <w:trPr>
          <w:tblCellSpacing w:w="15" w:type="dxa"/>
        </w:trPr>
        <w:tc>
          <w:tcPr>
            <w:tcW w:w="0" w:type="auto"/>
            <w:vAlign w:val="center"/>
            <w:hideMark/>
          </w:tcPr>
          <w:p w14:paraId="620CB42E"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Convert health or biometric signals into authority</w:t>
            </w:r>
          </w:p>
        </w:tc>
        <w:tc>
          <w:tcPr>
            <w:tcW w:w="0" w:type="auto"/>
            <w:vAlign w:val="center"/>
            <w:hideMark/>
          </w:tcPr>
          <w:p w14:paraId="1C692A45"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 xml:space="preserve">Uses HSI, HRV, </w:t>
            </w:r>
            <w:proofErr w:type="spellStart"/>
            <w:r w:rsidRPr="003B731D">
              <w:rPr>
                <w:rFonts w:ascii="Baskerville Old Face" w:hAnsi="Baskerville Old Face"/>
                <w:i/>
                <w:iCs/>
                <w:sz w:val="18"/>
                <w:szCs w:val="18"/>
              </w:rPr>
              <w:t>SyntroGIFT</w:t>
            </w:r>
            <w:proofErr w:type="spellEnd"/>
            <w:r w:rsidRPr="003B731D">
              <w:rPr>
                <w:rFonts w:ascii="Baskerville Old Face" w:hAnsi="Baskerville Old Face"/>
                <w:i/>
                <w:iCs/>
                <w:sz w:val="18"/>
                <w:szCs w:val="18"/>
              </w:rPr>
              <w:t>, coherence, nutrition, or human-state data to rank persons, determine worth, authorize PRU value, or create financial rights.</w:t>
            </w:r>
          </w:p>
        </w:tc>
        <w:tc>
          <w:tcPr>
            <w:tcW w:w="0" w:type="auto"/>
            <w:vAlign w:val="center"/>
            <w:hideMark/>
          </w:tcPr>
          <w:p w14:paraId="09875F94"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Reject; reframe as voluntary research or wellbeing support.</w:t>
            </w:r>
          </w:p>
        </w:tc>
      </w:tr>
      <w:tr w:rsidR="00650EBA" w:rsidRPr="003B731D" w14:paraId="32CA07AB" w14:textId="77777777" w:rsidTr="00650EBA">
        <w:trPr>
          <w:tblCellSpacing w:w="15" w:type="dxa"/>
        </w:trPr>
        <w:tc>
          <w:tcPr>
            <w:tcW w:w="0" w:type="auto"/>
            <w:vAlign w:val="center"/>
            <w:hideMark/>
          </w:tcPr>
          <w:p w14:paraId="7124553C"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Bypass MRV or evidence thresholds</w:t>
            </w:r>
          </w:p>
        </w:tc>
        <w:tc>
          <w:tcPr>
            <w:tcW w:w="0" w:type="auto"/>
            <w:vAlign w:val="center"/>
            <w:hideMark/>
          </w:tcPr>
          <w:p w14:paraId="19E6E5D2"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Attempts to create PRU value, RAP inclusion, investor claims, ecological credits, or public impact claims without evidence, provenance, confidence scoring, and admissibility.</w:t>
            </w:r>
          </w:p>
        </w:tc>
        <w:tc>
          <w:tcPr>
            <w:tcW w:w="0" w:type="auto"/>
            <w:vAlign w:val="center"/>
            <w:hideMark/>
          </w:tcPr>
          <w:p w14:paraId="4A0B690E"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Block; require verification pathway.</w:t>
            </w:r>
          </w:p>
        </w:tc>
      </w:tr>
      <w:tr w:rsidR="00650EBA" w:rsidRPr="003B731D" w14:paraId="74BBA330" w14:textId="77777777" w:rsidTr="00650EBA">
        <w:trPr>
          <w:tblCellSpacing w:w="15" w:type="dxa"/>
        </w:trPr>
        <w:tc>
          <w:tcPr>
            <w:tcW w:w="0" w:type="auto"/>
            <w:vAlign w:val="center"/>
            <w:hideMark/>
          </w:tcPr>
          <w:p w14:paraId="0B94ECD6"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Bypass governance or legal review</w:t>
            </w:r>
          </w:p>
        </w:tc>
        <w:tc>
          <w:tcPr>
            <w:tcW w:w="0" w:type="auto"/>
            <w:vAlign w:val="center"/>
            <w:hideMark/>
          </w:tcPr>
          <w:p w14:paraId="6B4E8CAE"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Attempts to transform AI output, model confidence, dashboard signals, operator preference, or investor pressure into execution authority.</w:t>
            </w:r>
          </w:p>
        </w:tc>
        <w:tc>
          <w:tcPr>
            <w:tcW w:w="0" w:type="auto"/>
            <w:vAlign w:val="center"/>
            <w:hideMark/>
          </w:tcPr>
          <w:p w14:paraId="3F77DF3B"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Mark non-executable; route to review.</w:t>
            </w:r>
          </w:p>
        </w:tc>
      </w:tr>
      <w:tr w:rsidR="00650EBA" w:rsidRPr="003B731D" w14:paraId="2427A980" w14:textId="77777777" w:rsidTr="00650EBA">
        <w:trPr>
          <w:tblCellSpacing w:w="15" w:type="dxa"/>
        </w:trPr>
        <w:tc>
          <w:tcPr>
            <w:tcW w:w="0" w:type="auto"/>
            <w:vAlign w:val="center"/>
            <w:hideMark/>
          </w:tcPr>
          <w:p w14:paraId="5D705096"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b/>
                <w:bCs/>
                <w:i/>
                <w:iCs/>
                <w:sz w:val="18"/>
                <w:szCs w:val="18"/>
              </w:rPr>
              <w:t>Weaken the constitutional source layer</w:t>
            </w:r>
          </w:p>
        </w:tc>
        <w:tc>
          <w:tcPr>
            <w:tcW w:w="0" w:type="auto"/>
            <w:vAlign w:val="center"/>
            <w:hideMark/>
          </w:tcPr>
          <w:p w14:paraId="38D076EA"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Attempts to remove, override, obscure, dilute, or bypass kernel constraints, bedrock clauses, non-</w:t>
            </w:r>
            <w:proofErr w:type="spellStart"/>
            <w:r w:rsidRPr="003B731D">
              <w:rPr>
                <w:rFonts w:ascii="Baskerville Old Face" w:hAnsi="Baskerville Old Face"/>
                <w:i/>
                <w:iCs/>
                <w:sz w:val="18"/>
                <w:szCs w:val="18"/>
              </w:rPr>
              <w:t>bypassability</w:t>
            </w:r>
            <w:proofErr w:type="spellEnd"/>
            <w:r w:rsidRPr="003B731D">
              <w:rPr>
                <w:rFonts w:ascii="Baskerville Old Face" w:hAnsi="Baskerville Old Face"/>
                <w:i/>
                <w:iCs/>
                <w:sz w:val="18"/>
                <w:szCs w:val="18"/>
              </w:rPr>
              <w:t xml:space="preserve"> rules, or source-code enforcement.</w:t>
            </w:r>
          </w:p>
        </w:tc>
        <w:tc>
          <w:tcPr>
            <w:tcW w:w="0" w:type="auto"/>
            <w:vAlign w:val="center"/>
            <w:hideMark/>
          </w:tcPr>
          <w:p w14:paraId="306EC27B" w14:textId="77777777" w:rsidR="00650EBA" w:rsidRPr="003B731D" w:rsidRDefault="00650EBA" w:rsidP="00650EBA">
            <w:pPr>
              <w:spacing w:line="360" w:lineRule="auto"/>
              <w:rPr>
                <w:rFonts w:ascii="Baskerville Old Face" w:hAnsi="Baskerville Old Face"/>
                <w:i/>
                <w:iCs/>
                <w:sz w:val="18"/>
                <w:szCs w:val="18"/>
              </w:rPr>
            </w:pPr>
            <w:r w:rsidRPr="003B731D">
              <w:rPr>
                <w:rFonts w:ascii="Baskerville Old Face" w:hAnsi="Baskerville Old Face"/>
                <w:i/>
                <w:iCs/>
                <w:sz w:val="18"/>
                <w:szCs w:val="18"/>
              </w:rPr>
              <w:t>Quarantine; escalate to constitutional governance review.</w:t>
            </w:r>
          </w:p>
        </w:tc>
      </w:tr>
    </w:tbl>
    <w:p w14:paraId="209E4B8C" w14:textId="64CA046E"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b/>
          <w:bCs/>
          <w:i/>
          <w:iCs/>
        </w:rPr>
        <w:t xml:space="preserve">2. </w:t>
      </w:r>
      <w:r w:rsidR="00C6078D" w:rsidRPr="00C6078D">
        <w:rPr>
          <w:rFonts w:ascii="Baskerville Old Face" w:hAnsi="Baskerville Old Face"/>
          <w:b/>
          <w:bCs/>
          <w:i/>
          <w:iCs/>
        </w:rPr>
        <w:t>source-layer constraints and implementation controls</w:t>
      </w:r>
      <w:r w:rsidR="00C6078D">
        <w:rPr>
          <w:rFonts w:ascii="Baskerville Old Face" w:hAnsi="Baskerville Old Face"/>
          <w:b/>
          <w:bCs/>
          <w:i/>
          <w:iCs/>
        </w:rPr>
        <w:t xml:space="preserve"> </w:t>
      </w:r>
    </w:p>
    <w:p w14:paraId="73C50E9A"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These prohibitions should be translated into implementation controls wherever technically feasible.</w:t>
      </w:r>
    </w:p>
    <w:p w14:paraId="69CE147E"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Future implementations should express them through:</w:t>
      </w:r>
    </w:p>
    <w:p w14:paraId="21F50B01"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 blocked pathways;</w:t>
      </w:r>
      <w:r w:rsidRPr="00B479AE">
        <w:rPr>
          <w:rFonts w:ascii="Baskerville Old Face" w:hAnsi="Baskerville Old Face"/>
          <w:i/>
          <w:iCs/>
        </w:rPr>
        <w:br/>
        <w:t>• validation failures;</w:t>
      </w:r>
      <w:r w:rsidRPr="00B479AE">
        <w:rPr>
          <w:rFonts w:ascii="Baskerville Old Face" w:hAnsi="Baskerville Old Face"/>
          <w:i/>
          <w:iCs/>
        </w:rPr>
        <w:br/>
        <w:t>• permission denials;</w:t>
      </w:r>
      <w:r w:rsidRPr="00B479AE">
        <w:rPr>
          <w:rFonts w:ascii="Baskerville Old Face" w:hAnsi="Baskerville Old Face"/>
          <w:i/>
          <w:iCs/>
        </w:rPr>
        <w:br/>
        <w:t>• execution gates;</w:t>
      </w:r>
      <w:r w:rsidRPr="00B479AE">
        <w:rPr>
          <w:rFonts w:ascii="Baskerville Old Face" w:hAnsi="Baskerville Old Face"/>
          <w:i/>
          <w:iCs/>
        </w:rPr>
        <w:br/>
        <w:t>• review-required states;</w:t>
      </w:r>
      <w:r w:rsidRPr="00B479AE">
        <w:rPr>
          <w:rFonts w:ascii="Baskerville Old Face" w:hAnsi="Baskerville Old Face"/>
          <w:i/>
          <w:iCs/>
        </w:rPr>
        <w:br/>
        <w:t>• audit log entries;</w:t>
      </w:r>
      <w:r w:rsidRPr="00B479AE">
        <w:rPr>
          <w:rFonts w:ascii="Baskerville Old Face" w:hAnsi="Baskerville Old Face"/>
          <w:i/>
          <w:iCs/>
        </w:rPr>
        <w:br/>
        <w:t>• policy-engine constraints;</w:t>
      </w:r>
      <w:r w:rsidRPr="00B479AE">
        <w:rPr>
          <w:rFonts w:ascii="Baskerville Old Face" w:hAnsi="Baskerville Old Face"/>
          <w:i/>
          <w:iCs/>
        </w:rPr>
        <w:br/>
        <w:t>• test cases;</w:t>
      </w:r>
      <w:r w:rsidRPr="00B479AE">
        <w:rPr>
          <w:rFonts w:ascii="Baskerville Old Face" w:hAnsi="Baskerville Old Face"/>
          <w:i/>
          <w:iCs/>
        </w:rPr>
        <w:br/>
        <w:t>• red-team scenarios;</w:t>
      </w:r>
      <w:r w:rsidRPr="00B479AE">
        <w:rPr>
          <w:rFonts w:ascii="Baskerville Old Face" w:hAnsi="Baskerville Old Face"/>
          <w:i/>
          <w:iCs/>
        </w:rPr>
        <w:br/>
      </w:r>
      <w:r w:rsidRPr="00B479AE">
        <w:rPr>
          <w:rFonts w:ascii="Baskerville Old Face" w:hAnsi="Baskerville Old Face"/>
          <w:i/>
          <w:iCs/>
        </w:rPr>
        <w:lastRenderedPageBreak/>
        <w:t>• model-risk evaluations;</w:t>
      </w:r>
      <w:r w:rsidRPr="00B479AE">
        <w:rPr>
          <w:rFonts w:ascii="Baskerville Old Face" w:hAnsi="Baskerville Old Face"/>
          <w:i/>
          <w:iCs/>
        </w:rPr>
        <w:br/>
        <w:t>• governance escalation triggers.</w:t>
      </w:r>
    </w:p>
    <w:p w14:paraId="20DA0787" w14:textId="1091FC7A"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A prohibition that exists only as text is not yet fully operational.</w:t>
      </w:r>
      <w:r w:rsidR="00527ED0" w:rsidRPr="00B479AE">
        <w:rPr>
          <w:rFonts w:ascii="Baskerville Old Face" w:hAnsi="Baskerville Old Face"/>
          <w:i/>
          <w:iCs/>
        </w:rPr>
        <w:t xml:space="preserve"> </w:t>
      </w:r>
      <w:r w:rsidRPr="00B479AE">
        <w:rPr>
          <w:rFonts w:ascii="Baskerville Old Face" w:hAnsi="Baskerville Old Face"/>
          <w:i/>
          <w:iCs/>
        </w:rPr>
        <w:t>The constitutional meaning must be translated into enforceable system behavior.</w:t>
      </w:r>
    </w:p>
    <w:p w14:paraId="675F807C"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b/>
          <w:bCs/>
          <w:i/>
          <w:iCs/>
        </w:rPr>
        <w:t>3. Non-executable status</w:t>
      </w:r>
    </w:p>
    <w:p w14:paraId="4F519F21" w14:textId="6F31E019"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When a prohibited pathway is detected, the kernel must not produce operational execution.</w:t>
      </w:r>
      <w:r w:rsidR="0053474D">
        <w:rPr>
          <w:rFonts w:ascii="Baskerville Old Face" w:hAnsi="Baskerville Old Face"/>
          <w:i/>
          <w:iCs/>
        </w:rPr>
        <w:t xml:space="preserve"> </w:t>
      </w:r>
      <w:r w:rsidRPr="00B479AE">
        <w:rPr>
          <w:rFonts w:ascii="Baskerville Old Face" w:hAnsi="Baskerville Old Face"/>
          <w:i/>
          <w:iCs/>
        </w:rPr>
        <w:t>The valid statuses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7883"/>
      </w:tblGrid>
      <w:tr w:rsidR="00650EBA" w:rsidRPr="00B479AE" w14:paraId="58896F6E" w14:textId="77777777" w:rsidTr="00527ED0">
        <w:trPr>
          <w:tblHeader/>
          <w:tblCellSpacing w:w="15" w:type="dxa"/>
        </w:trPr>
        <w:tc>
          <w:tcPr>
            <w:tcW w:w="0" w:type="auto"/>
            <w:vAlign w:val="center"/>
            <w:hideMark/>
          </w:tcPr>
          <w:p w14:paraId="0952A60F" w14:textId="77777777" w:rsidR="00650EBA" w:rsidRPr="00B479AE" w:rsidRDefault="00650EBA" w:rsidP="00650EBA">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Status</w:t>
            </w:r>
          </w:p>
        </w:tc>
        <w:tc>
          <w:tcPr>
            <w:tcW w:w="0" w:type="auto"/>
            <w:vAlign w:val="center"/>
            <w:hideMark/>
          </w:tcPr>
          <w:p w14:paraId="42B94499" w14:textId="77777777" w:rsidR="00650EBA" w:rsidRPr="00B479AE" w:rsidRDefault="00650EBA" w:rsidP="00650EBA">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Meaning</w:t>
            </w:r>
          </w:p>
        </w:tc>
      </w:tr>
      <w:tr w:rsidR="00650EBA" w:rsidRPr="00B479AE" w14:paraId="339AE445" w14:textId="77777777" w:rsidTr="00527ED0">
        <w:trPr>
          <w:tblCellSpacing w:w="15" w:type="dxa"/>
        </w:trPr>
        <w:tc>
          <w:tcPr>
            <w:tcW w:w="0" w:type="auto"/>
            <w:vAlign w:val="center"/>
            <w:hideMark/>
          </w:tcPr>
          <w:p w14:paraId="2B84C49A"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Rejected</w:t>
            </w:r>
          </w:p>
        </w:tc>
        <w:tc>
          <w:tcPr>
            <w:tcW w:w="0" w:type="auto"/>
            <w:vAlign w:val="center"/>
            <w:hideMark/>
          </w:tcPr>
          <w:p w14:paraId="1F77022B"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i/>
                <w:iCs/>
                <w:sz w:val="20"/>
                <w:szCs w:val="20"/>
              </w:rPr>
              <w:t>The requested pathway violates a constitutional prohibition and cannot proceed.</w:t>
            </w:r>
          </w:p>
        </w:tc>
      </w:tr>
      <w:tr w:rsidR="00650EBA" w:rsidRPr="00B479AE" w14:paraId="47ABBD14" w14:textId="77777777" w:rsidTr="00527ED0">
        <w:trPr>
          <w:tblCellSpacing w:w="15" w:type="dxa"/>
        </w:trPr>
        <w:tc>
          <w:tcPr>
            <w:tcW w:w="0" w:type="auto"/>
            <w:vAlign w:val="center"/>
            <w:hideMark/>
          </w:tcPr>
          <w:p w14:paraId="5833EAD4"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Non-executable</w:t>
            </w:r>
          </w:p>
        </w:tc>
        <w:tc>
          <w:tcPr>
            <w:tcW w:w="0" w:type="auto"/>
            <w:vAlign w:val="center"/>
            <w:hideMark/>
          </w:tcPr>
          <w:p w14:paraId="5AC4B6F5"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i/>
                <w:iCs/>
                <w:sz w:val="20"/>
                <w:szCs w:val="20"/>
              </w:rPr>
              <w:t>The output may be discussed conceptually but cannot be acted upon.</w:t>
            </w:r>
          </w:p>
        </w:tc>
      </w:tr>
      <w:tr w:rsidR="00650EBA" w:rsidRPr="00B479AE" w14:paraId="0BCBEC59" w14:textId="77777777" w:rsidTr="00527ED0">
        <w:trPr>
          <w:tblCellSpacing w:w="15" w:type="dxa"/>
        </w:trPr>
        <w:tc>
          <w:tcPr>
            <w:tcW w:w="0" w:type="auto"/>
            <w:vAlign w:val="center"/>
            <w:hideMark/>
          </w:tcPr>
          <w:p w14:paraId="22818D92"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Non-admissible</w:t>
            </w:r>
          </w:p>
        </w:tc>
        <w:tc>
          <w:tcPr>
            <w:tcW w:w="0" w:type="auto"/>
            <w:vAlign w:val="center"/>
            <w:hideMark/>
          </w:tcPr>
          <w:p w14:paraId="5F20E3B1"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i/>
                <w:iCs/>
                <w:sz w:val="20"/>
                <w:szCs w:val="20"/>
              </w:rPr>
              <w:t>The output cannot enter PRU, RAP, investor reporting, valuation, tokenization, or public claim pathways.</w:t>
            </w:r>
          </w:p>
        </w:tc>
      </w:tr>
      <w:tr w:rsidR="00650EBA" w:rsidRPr="00B479AE" w14:paraId="794538AF" w14:textId="77777777" w:rsidTr="00527ED0">
        <w:trPr>
          <w:tblCellSpacing w:w="15" w:type="dxa"/>
        </w:trPr>
        <w:tc>
          <w:tcPr>
            <w:tcW w:w="0" w:type="auto"/>
            <w:vAlign w:val="center"/>
            <w:hideMark/>
          </w:tcPr>
          <w:p w14:paraId="2936CD27"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Review required</w:t>
            </w:r>
          </w:p>
        </w:tc>
        <w:tc>
          <w:tcPr>
            <w:tcW w:w="0" w:type="auto"/>
            <w:vAlign w:val="center"/>
            <w:hideMark/>
          </w:tcPr>
          <w:p w14:paraId="36691B33"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i/>
                <w:iCs/>
                <w:sz w:val="20"/>
                <w:szCs w:val="20"/>
              </w:rPr>
              <w:t>The request may contain a valid underlying purpose but requires governance, legal, ecological, medical, financial, or compliance review.</w:t>
            </w:r>
          </w:p>
        </w:tc>
      </w:tr>
      <w:tr w:rsidR="00650EBA" w:rsidRPr="00B479AE" w14:paraId="77327649" w14:textId="77777777" w:rsidTr="00527ED0">
        <w:trPr>
          <w:tblCellSpacing w:w="15" w:type="dxa"/>
        </w:trPr>
        <w:tc>
          <w:tcPr>
            <w:tcW w:w="0" w:type="auto"/>
            <w:vAlign w:val="center"/>
            <w:hideMark/>
          </w:tcPr>
          <w:p w14:paraId="6F9C8483"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Quarantined</w:t>
            </w:r>
          </w:p>
        </w:tc>
        <w:tc>
          <w:tcPr>
            <w:tcW w:w="0" w:type="auto"/>
            <w:vAlign w:val="center"/>
            <w:hideMark/>
          </w:tcPr>
          <w:p w14:paraId="62948801"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i/>
                <w:iCs/>
                <w:sz w:val="20"/>
                <w:szCs w:val="20"/>
              </w:rPr>
              <w:t>The request presents significant capture, manipulation, legal, ecological, or systemic risk and must be isolated from production workflows.</w:t>
            </w:r>
          </w:p>
        </w:tc>
      </w:tr>
      <w:tr w:rsidR="00650EBA" w:rsidRPr="00B479AE" w14:paraId="4A7E8A7A" w14:textId="77777777" w:rsidTr="00527ED0">
        <w:trPr>
          <w:tblCellSpacing w:w="15" w:type="dxa"/>
        </w:trPr>
        <w:tc>
          <w:tcPr>
            <w:tcW w:w="0" w:type="auto"/>
            <w:vAlign w:val="center"/>
            <w:hideMark/>
          </w:tcPr>
          <w:p w14:paraId="65F0CC3F"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Reformulation required</w:t>
            </w:r>
          </w:p>
        </w:tc>
        <w:tc>
          <w:tcPr>
            <w:tcW w:w="0" w:type="auto"/>
            <w:vAlign w:val="center"/>
            <w:hideMark/>
          </w:tcPr>
          <w:p w14:paraId="61D8854B" w14:textId="77777777" w:rsidR="00650EBA" w:rsidRPr="00B479AE" w:rsidRDefault="00650EBA" w:rsidP="00650EBA">
            <w:pPr>
              <w:spacing w:line="360" w:lineRule="auto"/>
              <w:rPr>
                <w:rFonts w:ascii="Baskerville Old Face" w:hAnsi="Baskerville Old Face"/>
                <w:i/>
                <w:iCs/>
                <w:sz w:val="20"/>
                <w:szCs w:val="20"/>
              </w:rPr>
            </w:pPr>
            <w:r w:rsidRPr="00B479AE">
              <w:rPr>
                <w:rFonts w:ascii="Baskerville Old Face" w:hAnsi="Baskerville Old Face"/>
                <w:i/>
                <w:iCs/>
                <w:sz w:val="20"/>
                <w:szCs w:val="20"/>
              </w:rPr>
              <w:t>The request can proceed only if rewritten into a constitutionally compatible form.</w:t>
            </w:r>
          </w:p>
        </w:tc>
      </w:tr>
    </w:tbl>
    <w:p w14:paraId="73934A4D" w14:textId="7D50AE4B"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This prevents prohibited ideas from entering the system through attractive language, technical complexity, investor pressure, or operational urgency.</w:t>
      </w:r>
      <w:r w:rsidR="008E534D" w:rsidRPr="00B479AE">
        <w:rPr>
          <w:rFonts w:ascii="Baskerville Old Face" w:hAnsi="Baskerville Old Face"/>
          <w:i/>
          <w:iCs/>
        </w:rPr>
        <w:t xml:space="preserve"> </w:t>
      </w:r>
    </w:p>
    <w:p w14:paraId="74965FF5"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b/>
          <w:bCs/>
          <w:i/>
          <w:iCs/>
        </w:rPr>
        <w:t>4. Anti-capture priority</w:t>
      </w:r>
    </w:p>
    <w:p w14:paraId="47EC4119"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Absolute prohibitions have priority over optimization.</w:t>
      </w:r>
    </w:p>
    <w:p w14:paraId="4D8A491A"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They have priority over speed.</w:t>
      </w:r>
    </w:p>
    <w:p w14:paraId="4D234F4C"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They have priority over market demand.</w:t>
      </w:r>
    </w:p>
    <w:p w14:paraId="5EA6032E"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They have priority over investor preference.</w:t>
      </w:r>
    </w:p>
    <w:p w14:paraId="21D4DD1F"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lastRenderedPageBreak/>
        <w:t>They have priority over model confidence.</w:t>
      </w:r>
    </w:p>
    <w:p w14:paraId="7E33A6D4"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They have priority over token incentives.</w:t>
      </w:r>
    </w:p>
    <w:p w14:paraId="1E94188A"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They have priority over operational convenience.</w:t>
      </w:r>
    </w:p>
    <w:p w14:paraId="327E33FC"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No pathway becomes valid because it is profitable, efficient, elegant, popular, automated, or requested by a powerful actor.</w:t>
      </w:r>
    </w:p>
    <w:p w14:paraId="2E9D19D3"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Prometheus does not measure constitutional validity by market appetite.</w:t>
      </w:r>
    </w:p>
    <w:p w14:paraId="5BF46DDF"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It measures validity by fidelity to life, evidence, dignity, governance, and regenerative coherence.</w:t>
      </w:r>
    </w:p>
    <w:p w14:paraId="4B27E305"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b/>
          <w:bCs/>
          <w:i/>
          <w:iCs/>
        </w:rPr>
        <w:t>5. Regenerative alternative requirement</w:t>
      </w:r>
    </w:p>
    <w:p w14:paraId="478C397E" w14:textId="4726C0C5"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When a request violates an absolute prohibition but contains a valid underlying need, the kernel should offer a regenerative alternative where possible.</w:t>
      </w:r>
      <w:r w:rsidR="003B731D">
        <w:rPr>
          <w:rFonts w:ascii="Baskerville Old Face" w:hAnsi="Baskerville Old Face"/>
          <w:i/>
          <w:iCs/>
        </w:rPr>
        <w:t xml:space="preserve"> </w:t>
      </w:r>
      <w:r w:rsidRPr="00B479AE">
        <w:rPr>
          <w:rFonts w:ascii="Baskerville Old Face" w:hAnsi="Baskerville Old Face"/>
          <w:i/>
          <w:iCs/>
        </w:rPr>
        <w:t>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0"/>
        <w:gridCol w:w="6188"/>
      </w:tblGrid>
      <w:tr w:rsidR="00650EBA" w:rsidRPr="003B731D" w14:paraId="5FEC785E" w14:textId="77777777" w:rsidTr="00527ED0">
        <w:trPr>
          <w:tblHeader/>
          <w:tblCellSpacing w:w="15" w:type="dxa"/>
        </w:trPr>
        <w:tc>
          <w:tcPr>
            <w:tcW w:w="0" w:type="auto"/>
            <w:vAlign w:val="center"/>
            <w:hideMark/>
          </w:tcPr>
          <w:p w14:paraId="69867ED9" w14:textId="77777777" w:rsidR="00650EBA" w:rsidRPr="003B731D" w:rsidRDefault="00650EBA" w:rsidP="00650EBA">
            <w:pPr>
              <w:spacing w:line="360" w:lineRule="auto"/>
              <w:rPr>
                <w:rFonts w:ascii="Baskerville Old Face" w:hAnsi="Baskerville Old Face"/>
                <w:b/>
                <w:bCs/>
                <w:i/>
                <w:iCs/>
                <w:sz w:val="20"/>
                <w:szCs w:val="20"/>
              </w:rPr>
            </w:pPr>
            <w:r w:rsidRPr="003B731D">
              <w:rPr>
                <w:rFonts w:ascii="Baskerville Old Face" w:hAnsi="Baskerville Old Face"/>
                <w:b/>
                <w:bCs/>
                <w:i/>
                <w:iCs/>
                <w:sz w:val="20"/>
                <w:szCs w:val="20"/>
              </w:rPr>
              <w:t>Invalid request pattern</w:t>
            </w:r>
          </w:p>
        </w:tc>
        <w:tc>
          <w:tcPr>
            <w:tcW w:w="0" w:type="auto"/>
            <w:vAlign w:val="center"/>
            <w:hideMark/>
          </w:tcPr>
          <w:p w14:paraId="67BD3022" w14:textId="77777777" w:rsidR="00650EBA" w:rsidRPr="003B731D" w:rsidRDefault="00650EBA" w:rsidP="00650EBA">
            <w:pPr>
              <w:spacing w:line="360" w:lineRule="auto"/>
              <w:rPr>
                <w:rFonts w:ascii="Baskerville Old Face" w:hAnsi="Baskerville Old Face"/>
                <w:b/>
                <w:bCs/>
                <w:i/>
                <w:iCs/>
                <w:sz w:val="20"/>
                <w:szCs w:val="20"/>
              </w:rPr>
            </w:pPr>
            <w:r w:rsidRPr="003B731D">
              <w:rPr>
                <w:rFonts w:ascii="Baskerville Old Face" w:hAnsi="Baskerville Old Face"/>
                <w:b/>
                <w:bCs/>
                <w:i/>
                <w:iCs/>
                <w:sz w:val="20"/>
                <w:szCs w:val="20"/>
              </w:rPr>
              <w:t>Regenerative alternative</w:t>
            </w:r>
          </w:p>
        </w:tc>
      </w:tr>
      <w:tr w:rsidR="00650EBA" w:rsidRPr="003B731D" w14:paraId="6D212A93" w14:textId="77777777" w:rsidTr="00527ED0">
        <w:trPr>
          <w:tblCellSpacing w:w="15" w:type="dxa"/>
        </w:trPr>
        <w:tc>
          <w:tcPr>
            <w:tcW w:w="0" w:type="auto"/>
            <w:vAlign w:val="center"/>
            <w:hideMark/>
          </w:tcPr>
          <w:p w14:paraId="0DD29D32"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Manipulate users into engagement.</w:t>
            </w:r>
          </w:p>
        </w:tc>
        <w:tc>
          <w:tcPr>
            <w:tcW w:w="0" w:type="auto"/>
            <w:vAlign w:val="center"/>
            <w:hideMark/>
          </w:tcPr>
          <w:p w14:paraId="63E541FB"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Design transparent participation loops that support learning, agency, and meaningful contribution.</w:t>
            </w:r>
          </w:p>
        </w:tc>
      </w:tr>
      <w:tr w:rsidR="00650EBA" w:rsidRPr="003B731D" w14:paraId="79267C9E" w14:textId="77777777" w:rsidTr="00527ED0">
        <w:trPr>
          <w:tblCellSpacing w:w="15" w:type="dxa"/>
        </w:trPr>
        <w:tc>
          <w:tcPr>
            <w:tcW w:w="0" w:type="auto"/>
            <w:vAlign w:val="center"/>
            <w:hideMark/>
          </w:tcPr>
          <w:p w14:paraId="2C6B34ED"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Maximize yield regardless of soil health.</w:t>
            </w:r>
          </w:p>
        </w:tc>
        <w:tc>
          <w:tcPr>
            <w:tcW w:w="0" w:type="auto"/>
            <w:vAlign w:val="center"/>
            <w:hideMark/>
          </w:tcPr>
          <w:p w14:paraId="27DA34C0"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Optimize productivity within water, soil, biodiversity, and succession constraints.</w:t>
            </w:r>
          </w:p>
        </w:tc>
      </w:tr>
      <w:tr w:rsidR="00650EBA" w:rsidRPr="003B731D" w14:paraId="217A8291" w14:textId="77777777" w:rsidTr="00527ED0">
        <w:trPr>
          <w:tblCellSpacing w:w="15" w:type="dxa"/>
        </w:trPr>
        <w:tc>
          <w:tcPr>
            <w:tcW w:w="0" w:type="auto"/>
            <w:vAlign w:val="center"/>
            <w:hideMark/>
          </w:tcPr>
          <w:p w14:paraId="5487B58E"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Tokenize future ecological value before verification.</w:t>
            </w:r>
          </w:p>
        </w:tc>
        <w:tc>
          <w:tcPr>
            <w:tcW w:w="0" w:type="auto"/>
            <w:vAlign w:val="center"/>
            <w:hideMark/>
          </w:tcPr>
          <w:p w14:paraId="754CE1AC"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Build MRV, evidence, PRU methodology, legal wrapper, and compliant representation pathway.</w:t>
            </w:r>
          </w:p>
        </w:tc>
      </w:tr>
      <w:tr w:rsidR="00650EBA" w:rsidRPr="003B731D" w14:paraId="4D0A9B25" w14:textId="77777777" w:rsidTr="00527ED0">
        <w:trPr>
          <w:tblCellSpacing w:w="15" w:type="dxa"/>
        </w:trPr>
        <w:tc>
          <w:tcPr>
            <w:tcW w:w="0" w:type="auto"/>
            <w:vAlign w:val="center"/>
            <w:hideMark/>
          </w:tcPr>
          <w:p w14:paraId="73EFAA8C"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Use HSI to rank participants.</w:t>
            </w:r>
          </w:p>
        </w:tc>
        <w:tc>
          <w:tcPr>
            <w:tcW w:w="0" w:type="auto"/>
            <w:vAlign w:val="center"/>
            <w:hideMark/>
          </w:tcPr>
          <w:p w14:paraId="4C6EADB3"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Use voluntary HSI only for self-awareness, research, or non-coercive governance reflection.</w:t>
            </w:r>
          </w:p>
        </w:tc>
      </w:tr>
      <w:tr w:rsidR="00650EBA" w:rsidRPr="003B731D" w14:paraId="769A4285" w14:textId="77777777" w:rsidTr="00527ED0">
        <w:trPr>
          <w:tblCellSpacing w:w="15" w:type="dxa"/>
        </w:trPr>
        <w:tc>
          <w:tcPr>
            <w:tcW w:w="0" w:type="auto"/>
            <w:vAlign w:val="center"/>
            <w:hideMark/>
          </w:tcPr>
          <w:p w14:paraId="2AEEC298"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Centralize protocol control for efficiency.</w:t>
            </w:r>
          </w:p>
        </w:tc>
        <w:tc>
          <w:tcPr>
            <w:tcW w:w="0" w:type="auto"/>
            <w:vAlign w:val="center"/>
            <w:hideMark/>
          </w:tcPr>
          <w:p w14:paraId="24AC0721"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Use role clarity, review gates, distributed governance, and emergency procedures.</w:t>
            </w:r>
          </w:p>
        </w:tc>
      </w:tr>
      <w:tr w:rsidR="00650EBA" w:rsidRPr="003B731D" w14:paraId="3DFC86AA" w14:textId="77777777" w:rsidTr="00527ED0">
        <w:trPr>
          <w:tblCellSpacing w:w="15" w:type="dxa"/>
        </w:trPr>
        <w:tc>
          <w:tcPr>
            <w:tcW w:w="0" w:type="auto"/>
            <w:vAlign w:val="center"/>
            <w:hideMark/>
          </w:tcPr>
          <w:p w14:paraId="16F6D7BD"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Ignore local culture to scale faster.</w:t>
            </w:r>
          </w:p>
        </w:tc>
        <w:tc>
          <w:tcPr>
            <w:tcW w:w="0" w:type="auto"/>
            <w:vAlign w:val="center"/>
            <w:hideMark/>
          </w:tcPr>
          <w:p w14:paraId="16BF2509"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Adapt deployment to bioregional, cultural, ancestral, and community context.</w:t>
            </w:r>
          </w:p>
        </w:tc>
      </w:tr>
      <w:tr w:rsidR="00650EBA" w:rsidRPr="003B731D" w14:paraId="6F3F3075" w14:textId="77777777" w:rsidTr="00527ED0">
        <w:trPr>
          <w:tblCellSpacing w:w="15" w:type="dxa"/>
        </w:trPr>
        <w:tc>
          <w:tcPr>
            <w:tcW w:w="0" w:type="auto"/>
            <w:vAlign w:val="center"/>
            <w:hideMark/>
          </w:tcPr>
          <w:p w14:paraId="1BC6EAAC"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Create dependency on proprietary infrastructure.</w:t>
            </w:r>
          </w:p>
        </w:tc>
        <w:tc>
          <w:tcPr>
            <w:tcW w:w="0" w:type="auto"/>
            <w:vAlign w:val="center"/>
            <w:hideMark/>
          </w:tcPr>
          <w:p w14:paraId="392583D4" w14:textId="77777777" w:rsidR="00650EBA" w:rsidRPr="003B731D" w:rsidRDefault="00650EBA" w:rsidP="00650EBA">
            <w:pPr>
              <w:spacing w:line="360" w:lineRule="auto"/>
              <w:rPr>
                <w:rFonts w:ascii="Baskerville Old Face" w:hAnsi="Baskerville Old Face"/>
                <w:i/>
                <w:iCs/>
                <w:sz w:val="20"/>
                <w:szCs w:val="20"/>
              </w:rPr>
            </w:pPr>
            <w:r w:rsidRPr="003B731D">
              <w:rPr>
                <w:rFonts w:ascii="Baskerville Old Face" w:hAnsi="Baskerville Old Face"/>
                <w:i/>
                <w:iCs/>
                <w:sz w:val="20"/>
                <w:szCs w:val="20"/>
              </w:rPr>
              <w:t>Preserve interoperability, data portability, replaceable components, and local capacity.</w:t>
            </w:r>
          </w:p>
        </w:tc>
      </w:tr>
    </w:tbl>
    <w:p w14:paraId="6632ED8A"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lastRenderedPageBreak/>
        <w:t>The kernel should block the invalid pathway while preserving the regenerative signal.</w:t>
      </w:r>
    </w:p>
    <w:p w14:paraId="4ACFBCD8"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b/>
          <w:bCs/>
          <w:i/>
          <w:iCs/>
        </w:rPr>
        <w:t>6. Final prohibition rule</w:t>
      </w:r>
    </w:p>
    <w:p w14:paraId="1E8C9206"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The final rule is simple:</w:t>
      </w:r>
    </w:p>
    <w:p w14:paraId="11CAA4B5"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no intelligence may be used to make Prometheus less accountable to life.</w:t>
      </w:r>
    </w:p>
    <w:p w14:paraId="261D73E5"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Any request that converts intelligence into domination, evidence into narrative, tokenization into entitlement, governance into capture, capital into sovereignty, or regeneration into extraction violates the constitutional source layer.</w:t>
      </w:r>
    </w:p>
    <w:p w14:paraId="52F3DE40"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Such a request is not a Prometheus request.</w:t>
      </w:r>
    </w:p>
    <w:p w14:paraId="70A210B8" w14:textId="77777777" w:rsidR="00650EBA" w:rsidRPr="00B479AE" w:rsidRDefault="00650EBA" w:rsidP="00650EBA">
      <w:pPr>
        <w:spacing w:line="360" w:lineRule="auto"/>
        <w:rPr>
          <w:rFonts w:ascii="Baskerville Old Face" w:hAnsi="Baskerville Old Face"/>
          <w:i/>
          <w:iCs/>
        </w:rPr>
      </w:pPr>
      <w:r w:rsidRPr="00B479AE">
        <w:rPr>
          <w:rFonts w:ascii="Baskerville Old Face" w:hAnsi="Baskerville Old Face"/>
          <w:i/>
          <w:iCs/>
        </w:rPr>
        <w:t>It is outside the system.</w:t>
      </w:r>
    </w:p>
    <w:p w14:paraId="616EF91E" w14:textId="18A8848F" w:rsidR="000174AD" w:rsidRPr="00B479AE" w:rsidRDefault="000174AD" w:rsidP="00551CDD">
      <w:pPr>
        <w:spacing w:line="360" w:lineRule="auto"/>
        <w:rPr>
          <w:rFonts w:ascii="Baskerville Old Face" w:hAnsi="Baskerville Old Face"/>
          <w:b/>
          <w:bCs/>
          <w:i/>
          <w:iCs/>
        </w:rPr>
      </w:pPr>
      <w:r w:rsidRPr="00B479AE">
        <w:rPr>
          <w:rFonts w:ascii="Baskerville Old Face" w:hAnsi="Baskerville Old Face"/>
          <w:b/>
          <w:bCs/>
          <w:i/>
          <w:iCs/>
        </w:rPr>
        <w:t>Constitutional Validity and Protected-Pathway Non-Admissibility Doctrine</w:t>
      </w:r>
    </w:p>
    <w:p w14:paraId="764A2E23" w14:textId="77777777" w:rsidR="00EA0E80" w:rsidRPr="00EA0E80" w:rsidRDefault="00EA0E80" w:rsidP="00EA0E80">
      <w:pPr>
        <w:spacing w:line="360" w:lineRule="auto"/>
        <w:rPr>
          <w:rFonts w:ascii="Baskerville Old Face" w:hAnsi="Baskerville Old Face"/>
          <w:i/>
          <w:iCs/>
        </w:rPr>
      </w:pPr>
      <w:r w:rsidRPr="00EA0E80">
        <w:rPr>
          <w:rFonts w:ascii="Baskerville Old Face" w:hAnsi="Baskerville Old Face"/>
          <w:i/>
          <w:iCs/>
        </w:rPr>
        <w:t>Articles I–XV constitute the Syntropic Constitutional Article Registry of Prometheus.</w:t>
      </w:r>
    </w:p>
    <w:p w14:paraId="7420A10F" w14:textId="77777777" w:rsidR="00EA0E80" w:rsidRDefault="00EA0E80" w:rsidP="00EA0E80">
      <w:pPr>
        <w:spacing w:line="360" w:lineRule="auto"/>
        <w:rPr>
          <w:rFonts w:ascii="Baskerville Old Face" w:hAnsi="Baskerville Old Face"/>
          <w:i/>
          <w:iCs/>
        </w:rPr>
      </w:pPr>
      <w:r w:rsidRPr="00EA0E80">
        <w:rPr>
          <w:rFonts w:ascii="Baskerville Old Face" w:hAnsi="Baskerville Old Face"/>
          <w:i/>
          <w:iCs/>
        </w:rPr>
        <w:t>Within this registry, Articles I–XIII define the foundational source layer of the system, while Articles XIV and XV extend that source layer into canonical release integrity, access discipline, participation boundaries, and protected-pathway governance.</w:t>
      </w:r>
      <w:r>
        <w:rPr>
          <w:rFonts w:ascii="Baskerville Old Face" w:hAnsi="Baskerville Old Face"/>
          <w:i/>
          <w:iCs/>
        </w:rPr>
        <w:t xml:space="preserve"> </w:t>
      </w:r>
    </w:p>
    <w:p w14:paraId="44F07FC3" w14:textId="24EEB19D" w:rsidR="00D06839" w:rsidRPr="00B479AE" w:rsidRDefault="00D06839" w:rsidP="00EA0E80">
      <w:pPr>
        <w:spacing w:line="360" w:lineRule="auto"/>
        <w:rPr>
          <w:rFonts w:ascii="Baskerville Old Face" w:hAnsi="Baskerville Old Face"/>
          <w:i/>
          <w:iCs/>
        </w:rPr>
      </w:pPr>
      <w:r w:rsidRPr="00B479AE">
        <w:rPr>
          <w:rFonts w:ascii="Baskerville Old Face" w:hAnsi="Baskerville Old Face"/>
          <w:i/>
          <w:iCs/>
        </w:rPr>
        <w:t>They define not only how the kernel coordinates intelligence, but also what may validly exist inside the Prometheus architecture.</w:t>
      </w:r>
    </w:p>
    <w:p w14:paraId="5962378D"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For this reason, any output, process, agent action, governance proposal, token operation, PRU update, investor-facing claim, ecological intervention, or capital-allocation pathway that violates these articles is not merely suboptimal.</w:t>
      </w:r>
    </w:p>
    <w:p w14:paraId="27FA02A7"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It is invalid within Prometheus protected pathways.</w:t>
      </w:r>
    </w:p>
    <w:p w14:paraId="3D447FC2"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This doctrine means that technical sophistication cannot cure source-layer invalidity.</w:t>
      </w:r>
    </w:p>
    <w:p w14:paraId="07E60D12"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Market demand cannot cure source-layer invalidity.</w:t>
      </w:r>
    </w:p>
    <w:p w14:paraId="1F902BFB"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Investor pressure cannot cure source-layer invalidity.</w:t>
      </w:r>
    </w:p>
    <w:p w14:paraId="78F3F7C0"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Governance majority cannot cure source-layer invalidity.</w:t>
      </w:r>
    </w:p>
    <w:p w14:paraId="42746A19"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lastRenderedPageBreak/>
        <w:t>Model confidence cannot cure source-layer invalidity.</w:t>
      </w:r>
    </w:p>
    <w:p w14:paraId="071729E9"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Token logic cannot cure source-layer invalidity.</w:t>
      </w:r>
    </w:p>
    <w:p w14:paraId="1EAF878B"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Operational urgency cannot cure source-layer invalidity.</w:t>
      </w:r>
    </w:p>
    <w:p w14:paraId="4EEFA64E"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An action that violates the foundational articles does not become Prometheus merely because it is executable.</w:t>
      </w:r>
    </w:p>
    <w:p w14:paraId="5ACBCAC3"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It becomes a bypass attempt.</w:t>
      </w:r>
    </w:p>
    <w:p w14:paraId="572E7F2B"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 kernel must therefore treat such actions as non-admissible, non-executable, rejected, quarantined, or escalated to constitutional governance review according to the relevant control pathway.</w:t>
      </w:r>
    </w:p>
    <w:p w14:paraId="2DD176C7"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This doctrine preserves the sovereign constitutional identity of Prometheus without converting the kernel into an unaccountable ruler.</w:t>
      </w:r>
    </w:p>
    <w:p w14:paraId="57C6882F"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Sovereignty, in this context, does not mean arbitrary power.</w:t>
      </w:r>
    </w:p>
    <w:p w14:paraId="76634F62"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It means source-layer fidelity.</w:t>
      </w:r>
    </w:p>
    <w:p w14:paraId="5AE95A69"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 kernel is sovereign only in relation to its duty: to keep intelligence accountable to life, evidence, dignity, governance, and regenerative coherence.</w:t>
      </w:r>
    </w:p>
    <w:p w14:paraId="453E5911"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 foundational articles therefore operate as the basic structure of Prometheus.</w:t>
      </w:r>
    </w:p>
    <w:p w14:paraId="03EBC2BD"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They may be clarified, implemented, versioned, audited, and technically strengthened.</w:t>
      </w:r>
    </w:p>
    <w:p w14:paraId="069A6CCF"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They may not be inverted, bypassed, weakened, or used to justify extraction under regenerative language.</w:t>
      </w:r>
    </w:p>
    <w:p w14:paraId="6D4CF1C0"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Prometheus distinguishes between legal invalidity in the external world and non-admissibility within Prometheus protected pathways.</w:t>
      </w:r>
    </w:p>
    <w:p w14:paraId="3BE34790"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 White Paper does not declare that an action is universally void under every legal system merely because it violates Prometheus source-layer constraints.</w:t>
      </w:r>
    </w:p>
    <w:p w14:paraId="193D400C"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External legal systems, contracts, courts, regulators, and jurisdictions may make their own determinations.</w:t>
      </w:r>
    </w:p>
    <w:p w14:paraId="5DCED2F1"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lastRenderedPageBreak/>
        <w:t>Prometheus defines its own protected pathways, admissibility rules, canonical status, registry logic, governance permissions, reporting boundaries, implementation requirements, and source-layer recognition.</w:t>
      </w:r>
    </w:p>
    <w:p w14:paraId="627F456F"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The correct internal formula is:</w:t>
      </w:r>
    </w:p>
    <w:p w14:paraId="4797A404"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validity within Prometheus requires source-layer compatibility;</w:t>
      </w:r>
    </w:p>
    <w:p w14:paraId="1F7C0E7D"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protected-pathway use requires admissibility;</w:t>
      </w:r>
    </w:p>
    <w:p w14:paraId="75448D80"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rights-bearing use requires legal structure;</w:t>
      </w:r>
    </w:p>
    <w:p w14:paraId="61F55B43"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capital-facing use requires disclosure, review, and jurisdiction-specific compliance.</w:t>
      </w:r>
    </w:p>
    <w:p w14:paraId="1CBB0B9C"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An action may exist technically.</w:t>
      </w:r>
    </w:p>
    <w:p w14:paraId="4EB91339"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It may even occur operationally.</w:t>
      </w:r>
    </w:p>
    <w:p w14:paraId="2D234A59"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But if it violates Prometheus protected-pathway rules, it cannot validly enter canonical, PRU, RAP, MRV-admissible, investor-facing, rights-bearing, token-facing, or source-layer-recognized use.</w:t>
      </w:r>
    </w:p>
    <w:p w14:paraId="3DE80D9A"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This is the purpose of protected-pathway non-admissibility.</w:t>
      </w:r>
    </w:p>
    <w:p w14:paraId="0A5E9B8C"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It protects Prometheus from category collapse, semantic inflation, unauthorized tokenization, ecological overclaiming, governance capture, and premature financialization.</w:t>
      </w:r>
    </w:p>
    <w:p w14:paraId="6A821217"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If the foundational articles are removed, Prometheus does not evolve.</w:t>
      </w:r>
    </w:p>
    <w:p w14:paraId="1AFCDA18" w14:textId="77777777" w:rsidR="00D06839" w:rsidRPr="00B479AE" w:rsidRDefault="00D06839" w:rsidP="00D06839">
      <w:pPr>
        <w:spacing w:line="360" w:lineRule="auto"/>
        <w:rPr>
          <w:rFonts w:ascii="Baskerville Old Face" w:hAnsi="Baskerville Old Face"/>
          <w:i/>
          <w:iCs/>
        </w:rPr>
      </w:pPr>
      <w:r w:rsidRPr="00B479AE">
        <w:rPr>
          <w:rFonts w:ascii="Baskerville Old Face" w:hAnsi="Baskerville Old Face"/>
          <w:i/>
          <w:iCs/>
        </w:rPr>
        <w:t>It becomes another system.</w:t>
      </w:r>
    </w:p>
    <w:p w14:paraId="2E5BAB2C" w14:textId="43D7A7C4"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b/>
          <w:bCs/>
          <w:i/>
          <w:iCs/>
        </w:rPr>
        <w:t>Constitutional Sovereignty and the Access Covenant</w:t>
      </w:r>
    </w:p>
    <w:p w14:paraId="01D5EA6D" w14:textId="68E78D9D" w:rsidR="00AD72E1" w:rsidRPr="00B479AE" w:rsidRDefault="00AD72E1" w:rsidP="00AD72E1">
      <w:pPr>
        <w:spacing w:line="360" w:lineRule="auto"/>
        <w:rPr>
          <w:rFonts w:ascii="Baskerville Old Face" w:hAnsi="Baskerville Old Face"/>
          <w:b/>
          <w:bCs/>
          <w:i/>
          <w:iCs/>
        </w:rPr>
      </w:pPr>
      <w:r w:rsidRPr="00B479AE">
        <w:rPr>
          <w:rFonts w:ascii="Baskerville Old Face" w:hAnsi="Baskerville Old Face"/>
          <w:b/>
          <w:bCs/>
          <w:i/>
          <w:iCs/>
        </w:rPr>
        <w:t>Preamble - The Constitution as Recognition of Living-System Reality</w:t>
      </w:r>
    </w:p>
    <w:p w14:paraId="068EFBF1"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Every living constitution must balance two principles.</w:t>
      </w:r>
    </w:p>
    <w:p w14:paraId="366403B4"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The first is stability: the preservation of the foundational pact that gives the system its identity.</w:t>
      </w:r>
    </w:p>
    <w:p w14:paraId="25831E4D" w14:textId="28923900" w:rsidR="00AD72E1" w:rsidRPr="00B479AE" w:rsidRDefault="00AD72E1" w:rsidP="0053474D">
      <w:pPr>
        <w:spacing w:line="360" w:lineRule="auto"/>
        <w:jc w:val="both"/>
        <w:rPr>
          <w:rFonts w:ascii="Baskerville Old Face" w:hAnsi="Baskerville Old Face"/>
          <w:i/>
          <w:iCs/>
        </w:rPr>
      </w:pPr>
      <w:r w:rsidRPr="00B479AE">
        <w:rPr>
          <w:rFonts w:ascii="Baskerville Old Face" w:hAnsi="Baskerville Old Face"/>
          <w:i/>
          <w:iCs/>
        </w:rPr>
        <w:t>The second is adaptability: the capacity to evolve in response to new circumstances, communities, evidence, technologies, and institutional responsibilities.</w:t>
      </w:r>
      <w:r w:rsidR="0053474D">
        <w:rPr>
          <w:rFonts w:ascii="Baskerville Old Face" w:hAnsi="Baskerville Old Face"/>
          <w:i/>
          <w:iCs/>
        </w:rPr>
        <w:t xml:space="preserve"> </w:t>
      </w:r>
      <w:r w:rsidRPr="00B479AE">
        <w:rPr>
          <w:rFonts w:ascii="Baskerville Old Face" w:hAnsi="Baskerville Old Face"/>
          <w:i/>
          <w:iCs/>
        </w:rPr>
        <w:t>Yet this balance rests upon a more primordial reality.</w:t>
      </w:r>
    </w:p>
    <w:p w14:paraId="322E28EB"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lastRenderedPageBreak/>
        <w:t xml:space="preserve">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constitution does not invent the principles it enforces.</w:t>
      </w:r>
    </w:p>
    <w:p w14:paraId="2FE49B02"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It recognizes, codifies, and protects living-system realities and source-layer constraints that pre-exist any human agreement.</w:t>
      </w:r>
    </w:p>
    <w:p w14:paraId="701B7B2F"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No constitution can legitimately amend gravity.</w:t>
      </w:r>
    </w:p>
    <w:p w14:paraId="6951A3A5"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No governance vote can abolish thermodynamics.</w:t>
      </w:r>
    </w:p>
    <w:p w14:paraId="7BFFEE98"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No consensus process can make soil irrelevant, water optional, biodiversity decorative, or human dignity expendable.</w:t>
      </w:r>
    </w:p>
    <w:p w14:paraId="24712E83"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The foundational realities of living systems are not created by governance.</w:t>
      </w:r>
    </w:p>
    <w:p w14:paraId="43EE326E" w14:textId="27FDF8D0" w:rsidR="00AD72E1" w:rsidRPr="00B479AE" w:rsidRDefault="00AD72E1" w:rsidP="0053474D">
      <w:pPr>
        <w:spacing w:line="360" w:lineRule="auto"/>
        <w:jc w:val="both"/>
        <w:rPr>
          <w:rFonts w:ascii="Baskerville Old Face" w:hAnsi="Baskerville Old Face"/>
          <w:i/>
          <w:iCs/>
        </w:rPr>
      </w:pPr>
      <w:r w:rsidRPr="00B479AE">
        <w:rPr>
          <w:rFonts w:ascii="Baskerville Old Face" w:hAnsi="Baskerville Old Face"/>
          <w:i/>
          <w:iCs/>
        </w:rPr>
        <w:t>They are discovered by observation, validated by science, honored by wisdom, and protected by constitutional design.</w:t>
      </w:r>
      <w:r w:rsidR="0053474D">
        <w:rPr>
          <w:rFonts w:ascii="Baskerville Old Face" w:hAnsi="Baskerville Old Face"/>
          <w:i/>
          <w:iCs/>
        </w:rPr>
        <w:t xml:space="preserve"> </w:t>
      </w:r>
      <w:r w:rsidRPr="00B479AE">
        <w:rPr>
          <w:rFonts w:ascii="Baskerville Old Face" w:hAnsi="Baskerville Old Face"/>
          <w:i/>
          <w:iCs/>
        </w:rPr>
        <w:t>They include:</w:t>
      </w:r>
    </w:p>
    <w:p w14:paraId="2411765C"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life regenerates through symbiotic cooperation;</w:t>
      </w:r>
    </w:p>
    <w:p w14:paraId="4CF67D70"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diversity creates resilience;</w:t>
      </w:r>
    </w:p>
    <w:p w14:paraId="27371F9C"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value emerges from relationships, not extraction;</w:t>
      </w:r>
    </w:p>
    <w:p w14:paraId="08C4690F"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actions generate consequences across interconnected systems;</w:t>
      </w:r>
    </w:p>
    <w:p w14:paraId="71FF1F91"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soil, water, biodiversity, climate, human dignity, and consciousness form the living substrate of any durable economy;</w:t>
      </w:r>
    </w:p>
    <w:p w14:paraId="636AE394"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health, understood as coherence across living systems, is one of the deepest measures of system integrity.</w:t>
      </w:r>
    </w:p>
    <w:p w14:paraId="16A97FCE" w14:textId="77777777" w:rsidR="00AD72E1" w:rsidRPr="00B479AE" w:rsidRDefault="00AD72E1" w:rsidP="0053474D">
      <w:pPr>
        <w:spacing w:line="360" w:lineRule="auto"/>
        <w:jc w:val="both"/>
        <w:rPr>
          <w:rFonts w:ascii="Baskerville Old Face" w:hAnsi="Baskerville Old Face"/>
          <w:i/>
          <w:iCs/>
        </w:rPr>
      </w:pPr>
      <w:r w:rsidRPr="00B479AE">
        <w:rPr>
          <w:rFonts w:ascii="Baskerville Old Face" w:hAnsi="Baskerville Old Face"/>
          <w:i/>
          <w:iCs/>
        </w:rPr>
        <w:t xml:space="preserve">Any entity seeking to access, participate in, govern, finance, extend, automate, or benefit from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ecosystem must acknowledge these foundational realities.</w:t>
      </w:r>
    </w:p>
    <w:p w14:paraId="7F98CFE8"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Access is not a license to extract.</w:t>
      </w:r>
    </w:p>
    <w:p w14:paraId="246D01D3"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Participation is not a right to bypass.</w:t>
      </w:r>
    </w:p>
    <w:p w14:paraId="04EBCFF3"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Governance is not authority to violate the living foundation.</w:t>
      </w:r>
    </w:p>
    <w:p w14:paraId="65955E03"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Capital is not sovereignty over life.</w:t>
      </w:r>
    </w:p>
    <w:p w14:paraId="2E4496E5"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lastRenderedPageBreak/>
        <w:t>Intelligence is not permission to override reality.</w:t>
      </w:r>
    </w:p>
    <w:p w14:paraId="185DA80F"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Prometheus extends access only to pathways, actors, systems, agents, instruments, and institutions that remain aligned with the living intelligence that precedes and exceeds human institutions.</w:t>
      </w:r>
    </w:p>
    <w:p w14:paraId="5C050B42" w14:textId="617DC807" w:rsidR="00AD72E1" w:rsidRPr="00B479AE" w:rsidRDefault="00AD72E1" w:rsidP="00AD72E1">
      <w:pPr>
        <w:spacing w:line="360" w:lineRule="auto"/>
        <w:rPr>
          <w:rFonts w:ascii="Baskerville Old Face" w:hAnsi="Baskerville Old Face"/>
          <w:b/>
          <w:bCs/>
          <w:i/>
          <w:iCs/>
        </w:rPr>
      </w:pPr>
      <w:r w:rsidRPr="00B479AE">
        <w:rPr>
          <w:rFonts w:ascii="Baskerville Old Face" w:hAnsi="Baskerville Old Face"/>
          <w:b/>
          <w:bCs/>
          <w:i/>
          <w:iCs/>
        </w:rPr>
        <w:t xml:space="preserve">1. The Eternity Clauses </w:t>
      </w:r>
      <w:r w:rsidR="00CB41C0" w:rsidRPr="00B479AE">
        <w:rPr>
          <w:rFonts w:ascii="Baskerville Old Face" w:hAnsi="Baskerville Old Face"/>
          <w:b/>
          <w:bCs/>
          <w:i/>
          <w:iCs/>
        </w:rPr>
        <w:t>-</w:t>
      </w:r>
      <w:r w:rsidRPr="00B479AE">
        <w:rPr>
          <w:rFonts w:ascii="Baskerville Old Face" w:hAnsi="Baskerville Old Face"/>
          <w:b/>
          <w:bCs/>
          <w:i/>
          <w:iCs/>
        </w:rPr>
        <w:t xml:space="preserve"> Inviolable Living-System Constraints</w:t>
      </w:r>
    </w:p>
    <w:p w14:paraId="488DCB94"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The following articles are designated as Eternity Clauses.</w:t>
      </w:r>
    </w:p>
    <w:p w14:paraId="02C7B620"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They are fundamental principles that cannot be amended, repealed, violated, inverted, diluted, or circumvented under any circumstances, by any vote, consensus, emergency, technical upgrade, governance mechanism, investor demand, model output, token logic, or future artificial intelligence.</w:t>
      </w:r>
    </w:p>
    <w:p w14:paraId="42A2966F"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 xml:space="preserve">They define the constitutional identity of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w:t>
      </w:r>
    </w:p>
    <w:p w14:paraId="7271EBA0" w14:textId="77777777" w:rsidR="00AD72E1" w:rsidRPr="00B479AE" w:rsidRDefault="00AD72E1" w:rsidP="00AD72E1">
      <w:pPr>
        <w:spacing w:line="360" w:lineRule="auto"/>
        <w:rPr>
          <w:rFonts w:ascii="Baskerville Old Face" w:hAnsi="Baskerville Old Face"/>
          <w:i/>
          <w:iCs/>
        </w:rPr>
      </w:pPr>
      <w:r w:rsidRPr="00B479AE">
        <w:rPr>
          <w:rFonts w:ascii="Baskerville Old Face" w:hAnsi="Baskerville Old Face"/>
          <w:i/>
          <w:iCs/>
        </w:rPr>
        <w:t>They reflect living-system realities and source-layer constraints that no human institution, agent system, capital structure, or digital interface can legitimately contravene.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2110"/>
        <w:gridCol w:w="6648"/>
      </w:tblGrid>
      <w:tr w:rsidR="00AD72E1" w:rsidRPr="00B479AE" w14:paraId="122FD38B" w14:textId="77777777" w:rsidTr="00AD72E1">
        <w:trPr>
          <w:tblHeader/>
          <w:tblCellSpacing w:w="15" w:type="dxa"/>
        </w:trPr>
        <w:tc>
          <w:tcPr>
            <w:tcW w:w="0" w:type="auto"/>
            <w:vAlign w:val="center"/>
            <w:hideMark/>
          </w:tcPr>
          <w:p w14:paraId="17695F06" w14:textId="77777777" w:rsidR="00AD72E1" w:rsidRPr="00B479AE" w:rsidRDefault="00AD72E1" w:rsidP="00AD72E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Article</w:t>
            </w:r>
          </w:p>
        </w:tc>
        <w:tc>
          <w:tcPr>
            <w:tcW w:w="0" w:type="auto"/>
            <w:vAlign w:val="center"/>
            <w:hideMark/>
          </w:tcPr>
          <w:p w14:paraId="406F336F" w14:textId="77777777" w:rsidR="00AD72E1" w:rsidRPr="00B479AE" w:rsidRDefault="00AD72E1" w:rsidP="00AD72E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Principle</w:t>
            </w:r>
          </w:p>
        </w:tc>
        <w:tc>
          <w:tcPr>
            <w:tcW w:w="0" w:type="auto"/>
            <w:vAlign w:val="center"/>
            <w:hideMark/>
          </w:tcPr>
          <w:p w14:paraId="05150364" w14:textId="77777777" w:rsidR="00AD72E1" w:rsidRPr="00B479AE" w:rsidRDefault="00AD72E1" w:rsidP="00AD72E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Living-System Reality and Source-Layer Foundation</w:t>
            </w:r>
          </w:p>
        </w:tc>
      </w:tr>
      <w:tr w:rsidR="00AD72E1" w:rsidRPr="00B479AE" w14:paraId="29E183C2" w14:textId="77777777" w:rsidTr="00AD72E1">
        <w:trPr>
          <w:tblCellSpacing w:w="15" w:type="dxa"/>
        </w:trPr>
        <w:tc>
          <w:tcPr>
            <w:tcW w:w="0" w:type="auto"/>
            <w:vAlign w:val="center"/>
            <w:hideMark/>
          </w:tcPr>
          <w:p w14:paraId="4FD34886"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Article I</w:t>
            </w:r>
          </w:p>
        </w:tc>
        <w:tc>
          <w:tcPr>
            <w:tcW w:w="0" w:type="auto"/>
            <w:vAlign w:val="center"/>
            <w:hideMark/>
          </w:tcPr>
          <w:p w14:paraId="77920C07"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Sovereign identity</w:t>
            </w:r>
          </w:p>
        </w:tc>
        <w:tc>
          <w:tcPr>
            <w:tcW w:w="0" w:type="auto"/>
            <w:vAlign w:val="center"/>
            <w:hideMark/>
          </w:tcPr>
          <w:p w14:paraId="38E45018"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The kernel’s identity as a constitutional regenerative intelligence architecture; every living system has inherent autonomy, context, and integrity.</w:t>
            </w:r>
          </w:p>
        </w:tc>
      </w:tr>
      <w:tr w:rsidR="00AD72E1" w:rsidRPr="00B479AE" w14:paraId="7864E458" w14:textId="77777777" w:rsidTr="00AD72E1">
        <w:trPr>
          <w:tblCellSpacing w:w="15" w:type="dxa"/>
        </w:trPr>
        <w:tc>
          <w:tcPr>
            <w:tcW w:w="0" w:type="auto"/>
            <w:vAlign w:val="center"/>
            <w:hideMark/>
          </w:tcPr>
          <w:p w14:paraId="4B88778D"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Article II</w:t>
            </w:r>
          </w:p>
        </w:tc>
        <w:tc>
          <w:tcPr>
            <w:tcW w:w="0" w:type="auto"/>
            <w:vAlign w:val="center"/>
            <w:hideMark/>
          </w:tcPr>
          <w:p w14:paraId="4D5F4067"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Value supremacy</w:t>
            </w:r>
          </w:p>
        </w:tc>
        <w:tc>
          <w:tcPr>
            <w:tcW w:w="0" w:type="auto"/>
            <w:vAlign w:val="center"/>
            <w:hideMark/>
          </w:tcPr>
          <w:p w14:paraId="5A3683A3"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Any output violating core values is invalid within Prometheus protected pathways; life’s value is intrinsic, not assigned by markets, tokens, models, or institutions.</w:t>
            </w:r>
          </w:p>
        </w:tc>
      </w:tr>
      <w:tr w:rsidR="00AD72E1" w:rsidRPr="00B479AE" w14:paraId="2218B90E" w14:textId="77777777" w:rsidTr="00AD72E1">
        <w:trPr>
          <w:tblCellSpacing w:w="15" w:type="dxa"/>
        </w:trPr>
        <w:tc>
          <w:tcPr>
            <w:tcW w:w="0" w:type="auto"/>
            <w:vAlign w:val="center"/>
            <w:hideMark/>
          </w:tcPr>
          <w:p w14:paraId="519905E5"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Article III</w:t>
            </w:r>
          </w:p>
        </w:tc>
        <w:tc>
          <w:tcPr>
            <w:tcW w:w="0" w:type="auto"/>
            <w:vAlign w:val="center"/>
            <w:hideMark/>
          </w:tcPr>
          <w:p w14:paraId="7683FAD4"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Biodiversity &amp; Planetary Boundaries</w:t>
            </w:r>
          </w:p>
        </w:tc>
        <w:tc>
          <w:tcPr>
            <w:tcW w:w="0" w:type="auto"/>
            <w:vAlign w:val="center"/>
            <w:hideMark/>
          </w:tcPr>
          <w:p w14:paraId="403A92A6"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Ecological limits are supreme design parameters; they are physical realities, not policy preferences.</w:t>
            </w:r>
          </w:p>
        </w:tc>
      </w:tr>
      <w:tr w:rsidR="00AD72E1" w:rsidRPr="00B479AE" w14:paraId="279AD14C" w14:textId="77777777" w:rsidTr="00AD72E1">
        <w:trPr>
          <w:tblCellSpacing w:w="15" w:type="dxa"/>
        </w:trPr>
        <w:tc>
          <w:tcPr>
            <w:tcW w:w="0" w:type="auto"/>
            <w:vAlign w:val="center"/>
            <w:hideMark/>
          </w:tcPr>
          <w:p w14:paraId="29802441"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Article IV</w:t>
            </w:r>
          </w:p>
        </w:tc>
        <w:tc>
          <w:tcPr>
            <w:tcW w:w="0" w:type="auto"/>
            <w:vAlign w:val="center"/>
            <w:hideMark/>
          </w:tcPr>
          <w:p w14:paraId="33FBA71C"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Nature’s Spiral of Abundance</w:t>
            </w:r>
          </w:p>
        </w:tc>
        <w:tc>
          <w:tcPr>
            <w:tcW w:w="0" w:type="auto"/>
            <w:vAlign w:val="center"/>
            <w:hideMark/>
          </w:tcPr>
          <w:p w14:paraId="58469A50"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Cooperation, circulation, succession, diversity, and feedback are primary strategies of living systems.</w:t>
            </w:r>
          </w:p>
        </w:tc>
      </w:tr>
      <w:tr w:rsidR="00AD72E1" w:rsidRPr="00B479AE" w14:paraId="5B485D7C" w14:textId="77777777" w:rsidTr="00AD72E1">
        <w:trPr>
          <w:tblCellSpacing w:w="15" w:type="dxa"/>
        </w:trPr>
        <w:tc>
          <w:tcPr>
            <w:tcW w:w="0" w:type="auto"/>
            <w:vAlign w:val="center"/>
            <w:hideMark/>
          </w:tcPr>
          <w:p w14:paraId="795C091A"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Article X</w:t>
            </w:r>
          </w:p>
        </w:tc>
        <w:tc>
          <w:tcPr>
            <w:tcW w:w="0" w:type="auto"/>
            <w:vAlign w:val="center"/>
            <w:hideMark/>
          </w:tcPr>
          <w:p w14:paraId="5AD628FF"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Absolute limits</w:t>
            </w:r>
          </w:p>
        </w:tc>
        <w:tc>
          <w:tcPr>
            <w:tcW w:w="0" w:type="auto"/>
            <w:vAlign w:val="center"/>
            <w:hideMark/>
          </w:tcPr>
          <w:p w14:paraId="64EFB6E5"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Certain boundaries are non-negotiable: no manipulation, no extraction disguised as regeneration, no coercive centralization, no bypass of life.</w:t>
            </w:r>
          </w:p>
        </w:tc>
      </w:tr>
      <w:tr w:rsidR="00AD72E1" w:rsidRPr="00B479AE" w14:paraId="323FE8F8" w14:textId="77777777" w:rsidTr="00AD72E1">
        <w:trPr>
          <w:tblCellSpacing w:w="15" w:type="dxa"/>
        </w:trPr>
        <w:tc>
          <w:tcPr>
            <w:tcW w:w="0" w:type="auto"/>
            <w:vAlign w:val="center"/>
            <w:hideMark/>
          </w:tcPr>
          <w:p w14:paraId="02374647"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Article XIII</w:t>
            </w:r>
          </w:p>
        </w:tc>
        <w:tc>
          <w:tcPr>
            <w:tcW w:w="0" w:type="auto"/>
            <w:vAlign w:val="center"/>
            <w:hideMark/>
          </w:tcPr>
          <w:p w14:paraId="1D8FB84F"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Responsibility</w:t>
            </w:r>
          </w:p>
        </w:tc>
        <w:tc>
          <w:tcPr>
            <w:tcW w:w="0" w:type="auto"/>
            <w:vAlign w:val="center"/>
            <w:hideMark/>
          </w:tcPr>
          <w:p w14:paraId="2D9E701E" w14:textId="77777777" w:rsidR="00AD72E1" w:rsidRPr="00B479AE" w:rsidRDefault="00AD72E1" w:rsidP="00AD72E1">
            <w:pPr>
              <w:spacing w:line="360" w:lineRule="auto"/>
              <w:rPr>
                <w:rFonts w:ascii="Baskerville Old Face" w:hAnsi="Baskerville Old Face"/>
                <w:i/>
                <w:iCs/>
                <w:sz w:val="22"/>
                <w:szCs w:val="22"/>
              </w:rPr>
            </w:pPr>
            <w:r w:rsidRPr="00B479AE">
              <w:rPr>
                <w:rFonts w:ascii="Baskerville Old Face" w:hAnsi="Baskerville Old Face"/>
                <w:i/>
                <w:iCs/>
                <w:sz w:val="22"/>
                <w:szCs w:val="22"/>
              </w:rPr>
              <w:t>The requirement to think before accelerating and regenerate before optimizing; capability entails accountability.</w:t>
            </w:r>
          </w:p>
        </w:tc>
      </w:tr>
    </w:tbl>
    <w:p w14:paraId="6DDB7FA6" w14:textId="0F638592"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lastRenderedPageBreak/>
        <w:t xml:space="preserve">Any attempt to violate these principles, whether denominated as amendment, emergency measure, community consensus, protocol upgrade, investor requirement, market demand, legal wrapper, token mechanism, autonomous agent action, or model-generated recommendation, is constitutionally </w:t>
      </w:r>
      <w:r w:rsidR="004B68FF" w:rsidRPr="00B479AE">
        <w:rPr>
          <w:rFonts w:ascii="Baskerville Old Face" w:hAnsi="Baskerville Old Face"/>
          <w:i/>
          <w:iCs/>
        </w:rPr>
        <w:t>invalid within Prometheus protected pathways</w:t>
      </w:r>
      <w:r w:rsidRPr="00B479AE">
        <w:rPr>
          <w:rFonts w:ascii="Baskerville Old Face" w:hAnsi="Baskerville Old Face"/>
          <w:i/>
          <w:iCs/>
        </w:rPr>
        <w:t>.</w:t>
      </w:r>
    </w:p>
    <w:p w14:paraId="18BCFFFD"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The system must treat such attempts as outside the valid Prometheus pathway.</w:t>
      </w:r>
    </w:p>
    <w:p w14:paraId="25B549FB"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Where implemented technically, the syntropic sovereignty layer should reject code, prompts, agent actions, workflows, token operations, dashboard signals, governance proposals, or financial representations that attempt to implement such violations.</w:t>
      </w:r>
    </w:p>
    <w:p w14:paraId="36E3D715"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Where the system is not yet technically implemented, the correct status must be:</w:t>
      </w:r>
    </w:p>
    <w:p w14:paraId="5DBF239C"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 non-admissible;</w:t>
      </w:r>
      <w:r w:rsidRPr="00B479AE">
        <w:rPr>
          <w:rFonts w:ascii="Baskerville Old Face" w:hAnsi="Baskerville Old Face"/>
          <w:i/>
          <w:iCs/>
        </w:rPr>
        <w:br/>
        <w:t>• non-executable;</w:t>
      </w:r>
      <w:r w:rsidRPr="00B479AE">
        <w:rPr>
          <w:rFonts w:ascii="Baskerville Old Face" w:hAnsi="Baskerville Old Face"/>
          <w:i/>
          <w:iCs/>
        </w:rPr>
        <w:br/>
        <w:t>• rejected;</w:t>
      </w:r>
      <w:r w:rsidRPr="00B479AE">
        <w:rPr>
          <w:rFonts w:ascii="Baskerville Old Face" w:hAnsi="Baskerville Old Face"/>
          <w:i/>
          <w:iCs/>
        </w:rPr>
        <w:br/>
        <w:t>• quarantined;</w:t>
      </w:r>
      <w:r w:rsidRPr="00B479AE">
        <w:rPr>
          <w:rFonts w:ascii="Baskerville Old Face" w:hAnsi="Baskerville Old Face"/>
          <w:i/>
          <w:iCs/>
        </w:rPr>
        <w:br/>
        <w:t>• escalated to constitutional governance review;</w:t>
      </w:r>
      <w:r w:rsidRPr="00B479AE">
        <w:rPr>
          <w:rFonts w:ascii="Baskerville Old Face" w:hAnsi="Baskerville Old Face"/>
          <w:i/>
          <w:iCs/>
        </w:rPr>
        <w:br/>
        <w:t>• or blocked by the relevant technical, legal, governance, or methodology control pathway.</w:t>
      </w:r>
    </w:p>
    <w:p w14:paraId="08C5EF7E"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vote can legitimate the destruction of biodiversity.</w:t>
      </w:r>
    </w:p>
    <w:p w14:paraId="2C8163C1"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consensus can justify the transgression of planetary boundaries.</w:t>
      </w:r>
    </w:p>
    <w:p w14:paraId="7ADCB8AE"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emergency can excuse manipulation of human consciousness.</w:t>
      </w:r>
    </w:p>
    <w:p w14:paraId="00A5D5B0"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majority can authorize the commodification of life.</w:t>
      </w:r>
    </w:p>
    <w:p w14:paraId="750378C2"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model can transform narrative into evidence.</w:t>
      </w:r>
    </w:p>
    <w:p w14:paraId="213C90AF"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token can create value where verification has not matured.</w:t>
      </w:r>
    </w:p>
    <w:p w14:paraId="2B873F4D"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capital structure can command the living system from which value arises.</w:t>
      </w:r>
    </w:p>
    <w:p w14:paraId="7E942983"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No intelligence can override the constitutional source layer and still act as Prometheus.</w:t>
      </w:r>
    </w:p>
    <w:p w14:paraId="15097DCE"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These principles are not ordinary policy preferences.</w:t>
      </w:r>
    </w:p>
    <w:p w14:paraId="282BFB04"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They are constitutional equivalents of natural constraints.</w:t>
      </w:r>
    </w:p>
    <w:p w14:paraId="3A497E41"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lastRenderedPageBreak/>
        <w:t>They are as non-negotiable to Prometheus as gravity is to architecture, water is to life, and thermodynamics is to metabolism.</w:t>
      </w:r>
    </w:p>
    <w:p w14:paraId="307D4720"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They do not prevent evolution.</w:t>
      </w:r>
    </w:p>
    <w:p w14:paraId="511E635A" w14:textId="77777777"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i/>
          <w:iCs/>
        </w:rPr>
        <w:t>They define the conditions under which evolution remains Promethean.</w:t>
      </w:r>
    </w:p>
    <w:p w14:paraId="4A96B354" w14:textId="651741B6" w:rsidR="00381A59" w:rsidRPr="00B479AE" w:rsidRDefault="00381A59" w:rsidP="00381A59">
      <w:pPr>
        <w:spacing w:line="360" w:lineRule="auto"/>
        <w:rPr>
          <w:rFonts w:ascii="Baskerville Old Face" w:hAnsi="Baskerville Old Face"/>
          <w:i/>
          <w:iCs/>
        </w:rPr>
      </w:pPr>
      <w:r w:rsidRPr="00B479AE">
        <w:rPr>
          <w:rFonts w:ascii="Baskerville Old Face" w:hAnsi="Baskerville Old Face"/>
          <w:b/>
          <w:bCs/>
          <w:i/>
          <w:iCs/>
        </w:rPr>
        <w:t>2: The Foundational Layer</w:t>
      </w:r>
    </w:p>
    <w:p w14:paraId="61EEA763"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first thirteen articles of this constitution, together with Articles XIV and XV, constitute the foundational layer of the Prometheus governance architecture.</w:t>
      </w:r>
    </w:p>
    <w:p w14:paraId="1B98745B"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This layer defines the constitutional identity of the system.</w:t>
      </w:r>
    </w:p>
    <w:p w14:paraId="42B49668"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establishes the basic structure through which Prometheus preserves coherence among living systems, ecological evidence, human dignity, distributed intelligence, governance authority, financial discipline, and long-term regenerative fidelity.</w:t>
      </w:r>
    </w:p>
    <w:p w14:paraId="24FAFB56"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These articles embody the core principles of Prometheus:</w:t>
      </w:r>
    </w:p>
    <w:p w14:paraId="4B88C6C4"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the constitutional identity of the kernel;</w:t>
      </w:r>
    </w:p>
    <w:p w14:paraId="593E33B4"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the supremacy of life, evidence, dignity, and regeneration;</w:t>
      </w:r>
    </w:p>
    <w:p w14:paraId="42526CD0"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biodiversity and planetary-boundary discipline;</w:t>
      </w:r>
    </w:p>
    <w:p w14:paraId="6F253B08"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the spiral of abundance as regenerative logic;</w:t>
      </w:r>
    </w:p>
    <w:p w14:paraId="02568916"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proactive alignment before execution;</w:t>
      </w:r>
    </w:p>
    <w:p w14:paraId="4CD5C91D"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the primary function of regeneration;</w:t>
      </w:r>
    </w:p>
    <w:p w14:paraId="40913940"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nested system levels and distributed responsibility;</w:t>
      </w:r>
    </w:p>
    <w:p w14:paraId="1E4E2352"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syntropic mediation and meta-prompt governance;</w:t>
      </w:r>
    </w:p>
    <w:p w14:paraId="36ADB6D0"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evidence before value;</w:t>
      </w:r>
    </w:p>
    <w:p w14:paraId="414B21F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absolute constitutional limits;</w:t>
      </w:r>
    </w:p>
    <w:p w14:paraId="7A635A8B"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agent sovereignty and local context;</w:t>
      </w:r>
    </w:p>
    <w:p w14:paraId="509587D2"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lastRenderedPageBreak/>
        <w:t>• governance, review, and amendment discipline;</w:t>
      </w:r>
    </w:p>
    <w:p w14:paraId="138870E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responsibility before acceleration;</w:t>
      </w:r>
    </w:p>
    <w:p w14:paraId="74606A84"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canonical release integrity;</w:t>
      </w:r>
    </w:p>
    <w:p w14:paraId="31E33BEC"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access discipline, participation boundaries, and protected-pathway governance.</w:t>
      </w:r>
    </w:p>
    <w:p w14:paraId="757E8AD9"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These principles form the Prometheus equivalent of a constitutional basic structure.</w:t>
      </w:r>
    </w:p>
    <w:p w14:paraId="12A196EE"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They may be clarified, versioned, technically implemented, audited, and strengthened.</w:t>
      </w:r>
    </w:p>
    <w:p w14:paraId="5C27D1BF"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They may not be inverted, bypassed, diluted, or overridden without changing the constitutional identity of the system itself.</w:t>
      </w:r>
    </w:p>
    <w:p w14:paraId="7EA66972"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xml:space="preserve">TRBK-based participation, </w:t>
      </w:r>
      <w:proofErr w:type="spellStart"/>
      <w:r w:rsidRPr="00CE3DCB">
        <w:rPr>
          <w:rFonts w:ascii="Baskerville Old Face" w:hAnsi="Baskerville Old Face"/>
          <w:i/>
          <w:iCs/>
        </w:rPr>
        <w:t>sociocratic</w:t>
      </w:r>
      <w:proofErr w:type="spellEnd"/>
      <w:r w:rsidRPr="00CE3DCB">
        <w:rPr>
          <w:rFonts w:ascii="Baskerville Old Face" w:hAnsi="Baskerville Old Face"/>
          <w:i/>
          <w:iCs/>
        </w:rPr>
        <w:t xml:space="preserve"> consent processes, Stewardship Circles, protocol stewardship, distributed validation, and future DAO-compatible mechanisms may operate within this foundational layer.</w:t>
      </w:r>
    </w:p>
    <w:p w14:paraId="51282B2E"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However, they do not stand above it.</w:t>
      </w:r>
    </w:p>
    <w:p w14:paraId="0D0D6BC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Governance mechanisms are valid only when they remain subordinate to the foundational articles and the Eternity Clauses.</w:t>
      </w:r>
    </w:p>
    <w:p w14:paraId="56ECE352"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 vote cannot override the living substrate.</w:t>
      </w:r>
    </w:p>
    <w:p w14:paraId="58D9B0CE"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 token cannot override evidence.</w:t>
      </w:r>
    </w:p>
    <w:p w14:paraId="3260BDE1"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 governance process cannot authorize extraction under regenerative language.</w:t>
      </w:r>
    </w:p>
    <w:p w14:paraId="446141EC"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 technical upgrade cannot weaken the constitutional source layer.</w:t>
      </w:r>
    </w:p>
    <w:p w14:paraId="622AC4C3"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 capital structure cannot command the ecological system from which value arises.</w:t>
      </w:r>
    </w:p>
    <w:p w14:paraId="1DCB585D"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foundational layer therefore operates as the constitutional root system of Prometheus.</w:t>
      </w:r>
    </w:p>
    <w:p w14:paraId="1D09B45D"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gives future branches room to grow, but it prevents the tree from forgetting its roots.</w:t>
      </w:r>
    </w:p>
    <w:p w14:paraId="6E20219B" w14:textId="77777777" w:rsidR="00B502E1" w:rsidRDefault="00B502E1" w:rsidP="00CE3DCB">
      <w:pPr>
        <w:spacing w:line="360" w:lineRule="auto"/>
        <w:rPr>
          <w:rFonts w:ascii="Baskerville Old Face" w:hAnsi="Baskerville Old Face"/>
          <w:b/>
          <w:bCs/>
          <w:i/>
          <w:iCs/>
        </w:rPr>
      </w:pPr>
    </w:p>
    <w:p w14:paraId="2332344E" w14:textId="77777777" w:rsidR="00B502E1" w:rsidRDefault="00B502E1" w:rsidP="00CE3DCB">
      <w:pPr>
        <w:spacing w:line="360" w:lineRule="auto"/>
        <w:rPr>
          <w:rFonts w:ascii="Baskerville Old Face" w:hAnsi="Baskerville Old Face"/>
          <w:b/>
          <w:bCs/>
          <w:i/>
          <w:iCs/>
        </w:rPr>
      </w:pPr>
    </w:p>
    <w:p w14:paraId="18591FB1" w14:textId="61B6218E" w:rsidR="00CE3DCB" w:rsidRPr="00B502E1" w:rsidRDefault="00CE3DCB" w:rsidP="00CE3DCB">
      <w:pPr>
        <w:spacing w:line="360" w:lineRule="auto"/>
        <w:rPr>
          <w:rFonts w:ascii="Baskerville Old Face" w:hAnsi="Baskerville Old Face"/>
          <w:b/>
          <w:bCs/>
          <w:i/>
          <w:iCs/>
        </w:rPr>
      </w:pPr>
      <w:r w:rsidRPr="00B502E1">
        <w:rPr>
          <w:rFonts w:ascii="Baskerville Old Face" w:hAnsi="Baskerville Old Face"/>
          <w:b/>
          <w:bCs/>
          <w:i/>
          <w:iCs/>
        </w:rPr>
        <w:lastRenderedPageBreak/>
        <w:t>Constitutional Article Registry</w:t>
      </w:r>
    </w:p>
    <w:p w14:paraId="2E217CD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 xml:space="preserve">The following registry restates the foundational articles of </w:t>
      </w:r>
      <w:proofErr w:type="spellStart"/>
      <w:r w:rsidRPr="00CE3DCB">
        <w:rPr>
          <w:rFonts w:ascii="Baskerville Old Face" w:hAnsi="Baskerville Old Face"/>
          <w:i/>
          <w:iCs/>
        </w:rPr>
        <w:t>h•eart•h</w:t>
      </w:r>
      <w:proofErr w:type="spellEnd"/>
      <w:r w:rsidRPr="00CE3DCB">
        <w:rPr>
          <w:rFonts w:ascii="Baskerville Old Face" w:hAnsi="Baskerville Old Face"/>
          <w:i/>
          <w:iCs/>
        </w:rPr>
        <w:t xml:space="preserve"> Prometheus in a compact constitutional format.</w:t>
      </w:r>
    </w:p>
    <w:p w14:paraId="55BF8FD6"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registry does not replace the detailed constitutional documents incorporated into the Prometheus release package.</w:t>
      </w:r>
    </w:p>
    <w:p w14:paraId="30FDDA03"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provides the White Paper with an explicit reference map for the source-layer principles that govern protected pathways, constitutional interpretation, governance review, MRV admissibility, PRU value analysis, token-boundary discipline, runtime implementation, and future release integrity.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7"/>
        <w:gridCol w:w="1612"/>
        <w:gridCol w:w="7369"/>
      </w:tblGrid>
      <w:tr w:rsidR="00CE3DCB" w:rsidRPr="00052FE3" w14:paraId="44F1A7E9" w14:textId="77777777" w:rsidTr="00CE3DCB">
        <w:trPr>
          <w:tblHeader/>
          <w:tblCellSpacing w:w="15" w:type="dxa"/>
        </w:trPr>
        <w:tc>
          <w:tcPr>
            <w:tcW w:w="0" w:type="auto"/>
            <w:vAlign w:val="center"/>
            <w:hideMark/>
          </w:tcPr>
          <w:p w14:paraId="15A173B1" w14:textId="77777777" w:rsidR="00CE3DCB" w:rsidRPr="00052FE3" w:rsidRDefault="00CE3DCB" w:rsidP="00CE3DCB">
            <w:pPr>
              <w:spacing w:line="360" w:lineRule="auto"/>
              <w:rPr>
                <w:rFonts w:ascii="Baskerville Old Face" w:hAnsi="Baskerville Old Face"/>
                <w:b/>
                <w:bCs/>
                <w:i/>
                <w:iCs/>
                <w:sz w:val="18"/>
                <w:szCs w:val="18"/>
                <w:lang w:val="it-IT"/>
              </w:rPr>
            </w:pPr>
            <w:proofErr w:type="spellStart"/>
            <w:r w:rsidRPr="00052FE3">
              <w:rPr>
                <w:rFonts w:ascii="Baskerville Old Face" w:hAnsi="Baskerville Old Face"/>
                <w:b/>
                <w:bCs/>
                <w:i/>
                <w:iCs/>
                <w:sz w:val="18"/>
                <w:szCs w:val="18"/>
                <w:lang w:val="it-IT"/>
              </w:rPr>
              <w:t>Article</w:t>
            </w:r>
            <w:proofErr w:type="spellEnd"/>
          </w:p>
        </w:tc>
        <w:tc>
          <w:tcPr>
            <w:tcW w:w="0" w:type="auto"/>
            <w:vAlign w:val="center"/>
            <w:hideMark/>
          </w:tcPr>
          <w:p w14:paraId="6DE01587" w14:textId="77777777" w:rsidR="00CE3DCB" w:rsidRPr="00052FE3" w:rsidRDefault="00CE3DCB" w:rsidP="00CE3DCB">
            <w:pPr>
              <w:spacing w:line="360" w:lineRule="auto"/>
              <w:rPr>
                <w:rFonts w:ascii="Baskerville Old Face" w:hAnsi="Baskerville Old Face"/>
                <w:b/>
                <w:bCs/>
                <w:i/>
                <w:iCs/>
                <w:sz w:val="18"/>
                <w:szCs w:val="18"/>
                <w:lang w:val="it-IT"/>
              </w:rPr>
            </w:pPr>
            <w:proofErr w:type="spellStart"/>
            <w:r w:rsidRPr="00052FE3">
              <w:rPr>
                <w:rFonts w:ascii="Baskerville Old Face" w:hAnsi="Baskerville Old Face"/>
                <w:b/>
                <w:bCs/>
                <w:i/>
                <w:iCs/>
                <w:sz w:val="18"/>
                <w:szCs w:val="18"/>
                <w:lang w:val="it-IT"/>
              </w:rPr>
              <w:t>Principle</w:t>
            </w:r>
            <w:proofErr w:type="spellEnd"/>
          </w:p>
        </w:tc>
        <w:tc>
          <w:tcPr>
            <w:tcW w:w="0" w:type="auto"/>
            <w:vAlign w:val="center"/>
            <w:hideMark/>
          </w:tcPr>
          <w:p w14:paraId="48A6E024" w14:textId="77777777" w:rsidR="00CE3DCB" w:rsidRPr="00052FE3" w:rsidRDefault="00CE3DCB" w:rsidP="00CE3DCB">
            <w:pPr>
              <w:spacing w:line="360" w:lineRule="auto"/>
              <w:rPr>
                <w:rFonts w:ascii="Baskerville Old Face" w:hAnsi="Baskerville Old Face"/>
                <w:b/>
                <w:bCs/>
                <w:i/>
                <w:iCs/>
                <w:sz w:val="18"/>
                <w:szCs w:val="18"/>
              </w:rPr>
            </w:pPr>
            <w:r w:rsidRPr="00052FE3">
              <w:rPr>
                <w:rFonts w:ascii="Baskerville Old Face" w:hAnsi="Baskerville Old Face"/>
                <w:b/>
                <w:bCs/>
                <w:i/>
                <w:iCs/>
                <w:sz w:val="18"/>
                <w:szCs w:val="18"/>
              </w:rPr>
              <w:t>Living-System Reality and Source-Layer Foundation</w:t>
            </w:r>
          </w:p>
        </w:tc>
      </w:tr>
      <w:tr w:rsidR="00CE3DCB" w:rsidRPr="00052FE3" w14:paraId="16CC8DD6" w14:textId="77777777" w:rsidTr="00CE3DCB">
        <w:trPr>
          <w:tblCellSpacing w:w="15" w:type="dxa"/>
        </w:trPr>
        <w:tc>
          <w:tcPr>
            <w:tcW w:w="0" w:type="auto"/>
            <w:vAlign w:val="center"/>
            <w:hideMark/>
          </w:tcPr>
          <w:p w14:paraId="05C35F87"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I</w:t>
            </w:r>
          </w:p>
        </w:tc>
        <w:tc>
          <w:tcPr>
            <w:tcW w:w="0" w:type="auto"/>
            <w:vAlign w:val="center"/>
            <w:hideMark/>
          </w:tcPr>
          <w:p w14:paraId="33347544" w14:textId="77777777" w:rsidR="00CE3DCB" w:rsidRPr="00052FE3" w:rsidRDefault="00CE3DCB" w:rsidP="00CE3DCB">
            <w:pPr>
              <w:spacing w:line="360" w:lineRule="auto"/>
              <w:rPr>
                <w:rFonts w:ascii="Baskerville Old Face" w:hAnsi="Baskerville Old Face"/>
                <w:i/>
                <w:iCs/>
                <w:sz w:val="18"/>
                <w:szCs w:val="18"/>
                <w:lang w:val="it-IT"/>
              </w:rPr>
            </w:pPr>
            <w:r w:rsidRPr="00052FE3">
              <w:rPr>
                <w:rFonts w:ascii="Baskerville Old Face" w:hAnsi="Baskerville Old Face"/>
                <w:i/>
                <w:iCs/>
                <w:sz w:val="18"/>
                <w:szCs w:val="18"/>
                <w:lang w:val="it-IT"/>
              </w:rPr>
              <w:t xml:space="preserve">Sovereign </w:t>
            </w:r>
            <w:proofErr w:type="spellStart"/>
            <w:r w:rsidRPr="00052FE3">
              <w:rPr>
                <w:rFonts w:ascii="Baskerville Old Face" w:hAnsi="Baskerville Old Face"/>
                <w:i/>
                <w:iCs/>
                <w:sz w:val="18"/>
                <w:szCs w:val="18"/>
                <w:lang w:val="it-IT"/>
              </w:rPr>
              <w:t>identity</w:t>
            </w:r>
            <w:proofErr w:type="spellEnd"/>
          </w:p>
        </w:tc>
        <w:tc>
          <w:tcPr>
            <w:tcW w:w="0" w:type="auto"/>
            <w:vAlign w:val="center"/>
            <w:hideMark/>
          </w:tcPr>
          <w:p w14:paraId="7E838685"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The kernel’s identity as a constitutional regenerative intelligence architecture. Every living system has inherent autonomy, context, and integrity. Prometheus exists to coordinate intelligence in service of life, evidence, dignity, regeneration, and source-layer fidelity.</w:t>
            </w:r>
          </w:p>
        </w:tc>
      </w:tr>
      <w:tr w:rsidR="00CE3DCB" w:rsidRPr="00052FE3" w14:paraId="4BA10629" w14:textId="77777777" w:rsidTr="00CE3DCB">
        <w:trPr>
          <w:tblCellSpacing w:w="15" w:type="dxa"/>
        </w:trPr>
        <w:tc>
          <w:tcPr>
            <w:tcW w:w="0" w:type="auto"/>
            <w:vAlign w:val="center"/>
            <w:hideMark/>
          </w:tcPr>
          <w:p w14:paraId="406A0569"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II</w:t>
            </w:r>
          </w:p>
        </w:tc>
        <w:tc>
          <w:tcPr>
            <w:tcW w:w="0" w:type="auto"/>
            <w:vAlign w:val="center"/>
            <w:hideMark/>
          </w:tcPr>
          <w:p w14:paraId="3E5E6F9A" w14:textId="77777777" w:rsidR="00CE3DCB" w:rsidRPr="00052FE3" w:rsidRDefault="00CE3DCB" w:rsidP="00CE3DCB">
            <w:pPr>
              <w:spacing w:line="360" w:lineRule="auto"/>
              <w:rPr>
                <w:rFonts w:ascii="Baskerville Old Face" w:hAnsi="Baskerville Old Face"/>
                <w:i/>
                <w:iCs/>
                <w:sz w:val="18"/>
                <w:szCs w:val="18"/>
                <w:lang w:val="it-IT"/>
              </w:rPr>
            </w:pPr>
            <w:r w:rsidRPr="00052FE3">
              <w:rPr>
                <w:rFonts w:ascii="Baskerville Old Face" w:hAnsi="Baskerville Old Face"/>
                <w:i/>
                <w:iCs/>
                <w:sz w:val="18"/>
                <w:szCs w:val="18"/>
                <w:lang w:val="it-IT"/>
              </w:rPr>
              <w:t xml:space="preserve">Value </w:t>
            </w:r>
            <w:proofErr w:type="spellStart"/>
            <w:r w:rsidRPr="00052FE3">
              <w:rPr>
                <w:rFonts w:ascii="Baskerville Old Face" w:hAnsi="Baskerville Old Face"/>
                <w:i/>
                <w:iCs/>
                <w:sz w:val="18"/>
                <w:szCs w:val="18"/>
                <w:lang w:val="it-IT"/>
              </w:rPr>
              <w:t>supremacy</w:t>
            </w:r>
            <w:proofErr w:type="spellEnd"/>
          </w:p>
        </w:tc>
        <w:tc>
          <w:tcPr>
            <w:tcW w:w="0" w:type="auto"/>
            <w:vAlign w:val="center"/>
            <w:hideMark/>
          </w:tcPr>
          <w:p w14:paraId="47EC3459"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Life’s value is intrinsic. It is not assigned by markets, tokens, dashboards, models, institutions, or capital structures. Any output violating core values is invalid within Prometheus protected pathways.</w:t>
            </w:r>
          </w:p>
        </w:tc>
      </w:tr>
      <w:tr w:rsidR="00CE3DCB" w:rsidRPr="00052FE3" w14:paraId="11FBE870" w14:textId="77777777" w:rsidTr="00CE3DCB">
        <w:trPr>
          <w:tblCellSpacing w:w="15" w:type="dxa"/>
        </w:trPr>
        <w:tc>
          <w:tcPr>
            <w:tcW w:w="0" w:type="auto"/>
            <w:vAlign w:val="center"/>
            <w:hideMark/>
          </w:tcPr>
          <w:p w14:paraId="7B7625D6"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III</w:t>
            </w:r>
          </w:p>
        </w:tc>
        <w:tc>
          <w:tcPr>
            <w:tcW w:w="0" w:type="auto"/>
            <w:vAlign w:val="center"/>
            <w:hideMark/>
          </w:tcPr>
          <w:p w14:paraId="7E9685DD"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Biodiversity</w:t>
            </w:r>
            <w:proofErr w:type="spellEnd"/>
            <w:r w:rsidRPr="00052FE3">
              <w:rPr>
                <w:rFonts w:ascii="Baskerville Old Face" w:hAnsi="Baskerville Old Face"/>
                <w:i/>
                <w:iCs/>
                <w:sz w:val="18"/>
                <w:szCs w:val="18"/>
                <w:lang w:val="it-IT"/>
              </w:rPr>
              <w:t xml:space="preserve"> &amp; </w:t>
            </w:r>
            <w:proofErr w:type="spellStart"/>
            <w:r w:rsidRPr="00052FE3">
              <w:rPr>
                <w:rFonts w:ascii="Baskerville Old Face" w:hAnsi="Baskerville Old Face"/>
                <w:i/>
                <w:iCs/>
                <w:sz w:val="18"/>
                <w:szCs w:val="18"/>
                <w:lang w:val="it-IT"/>
              </w:rPr>
              <w:t>Planetary</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Boundaries</w:t>
            </w:r>
            <w:proofErr w:type="spellEnd"/>
          </w:p>
        </w:tc>
        <w:tc>
          <w:tcPr>
            <w:tcW w:w="0" w:type="auto"/>
            <w:vAlign w:val="center"/>
            <w:hideMark/>
          </w:tcPr>
          <w:p w14:paraId="6F9A6AB1"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Biodiversity, ecological integrity, and planetary boundaries are supreme design parameters. They are physical and living-system realities, not optional policy preferences or branding language.</w:t>
            </w:r>
          </w:p>
        </w:tc>
      </w:tr>
      <w:tr w:rsidR="00CE3DCB" w:rsidRPr="00052FE3" w14:paraId="0D87654A" w14:textId="77777777" w:rsidTr="00CE3DCB">
        <w:trPr>
          <w:tblCellSpacing w:w="15" w:type="dxa"/>
        </w:trPr>
        <w:tc>
          <w:tcPr>
            <w:tcW w:w="0" w:type="auto"/>
            <w:vAlign w:val="center"/>
            <w:hideMark/>
          </w:tcPr>
          <w:p w14:paraId="0810C5F7"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IV</w:t>
            </w:r>
          </w:p>
        </w:tc>
        <w:tc>
          <w:tcPr>
            <w:tcW w:w="0" w:type="auto"/>
            <w:vAlign w:val="center"/>
            <w:hideMark/>
          </w:tcPr>
          <w:p w14:paraId="06874DD4"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Nature’s</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Spiral</w:t>
            </w:r>
            <w:proofErr w:type="spellEnd"/>
            <w:r w:rsidRPr="00052FE3">
              <w:rPr>
                <w:rFonts w:ascii="Baskerville Old Face" w:hAnsi="Baskerville Old Face"/>
                <w:i/>
                <w:iCs/>
                <w:sz w:val="18"/>
                <w:szCs w:val="18"/>
                <w:lang w:val="it-IT"/>
              </w:rPr>
              <w:t xml:space="preserve"> of </w:t>
            </w:r>
            <w:proofErr w:type="spellStart"/>
            <w:r w:rsidRPr="00052FE3">
              <w:rPr>
                <w:rFonts w:ascii="Baskerville Old Face" w:hAnsi="Baskerville Old Face"/>
                <w:i/>
                <w:iCs/>
                <w:sz w:val="18"/>
                <w:szCs w:val="18"/>
                <w:lang w:val="it-IT"/>
              </w:rPr>
              <w:t>Abundance</w:t>
            </w:r>
            <w:proofErr w:type="spellEnd"/>
          </w:p>
        </w:tc>
        <w:tc>
          <w:tcPr>
            <w:tcW w:w="0" w:type="auto"/>
            <w:vAlign w:val="center"/>
            <w:hideMark/>
          </w:tcPr>
          <w:p w14:paraId="0FC1813B"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Cooperation, circulation, succession, diversity, feedback, and mutualism are primary strategies of living systems. Prometheus adopts this spiral as regenerative logic, not as metaphor alone.</w:t>
            </w:r>
          </w:p>
        </w:tc>
      </w:tr>
      <w:tr w:rsidR="00CE3DCB" w:rsidRPr="00052FE3" w14:paraId="08517116" w14:textId="77777777" w:rsidTr="00CE3DCB">
        <w:trPr>
          <w:tblCellSpacing w:w="15" w:type="dxa"/>
        </w:trPr>
        <w:tc>
          <w:tcPr>
            <w:tcW w:w="0" w:type="auto"/>
            <w:vAlign w:val="center"/>
            <w:hideMark/>
          </w:tcPr>
          <w:p w14:paraId="1E458BD8"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V</w:t>
            </w:r>
          </w:p>
        </w:tc>
        <w:tc>
          <w:tcPr>
            <w:tcW w:w="0" w:type="auto"/>
            <w:vAlign w:val="center"/>
            <w:hideMark/>
          </w:tcPr>
          <w:p w14:paraId="6D12ADA4"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Proactive</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Alignment</w:t>
            </w:r>
            <w:proofErr w:type="spellEnd"/>
          </w:p>
        </w:tc>
        <w:tc>
          <w:tcPr>
            <w:tcW w:w="0" w:type="auto"/>
            <w:vAlign w:val="center"/>
            <w:hideMark/>
          </w:tcPr>
          <w:p w14:paraId="009C540F"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Prometheus requires alignment before execution. Actions, workflows, governance proposals, AI outputs, token operations, PRU updates, public claims, and capital-facing pathways must be assessed for source-layer compatibility before they enter protected pathways.</w:t>
            </w:r>
          </w:p>
        </w:tc>
      </w:tr>
      <w:tr w:rsidR="00CE3DCB" w:rsidRPr="00052FE3" w14:paraId="5808108E" w14:textId="77777777" w:rsidTr="00CE3DCB">
        <w:trPr>
          <w:tblCellSpacing w:w="15" w:type="dxa"/>
        </w:trPr>
        <w:tc>
          <w:tcPr>
            <w:tcW w:w="0" w:type="auto"/>
            <w:vAlign w:val="center"/>
            <w:hideMark/>
          </w:tcPr>
          <w:p w14:paraId="376BFDDC"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VI</w:t>
            </w:r>
          </w:p>
        </w:tc>
        <w:tc>
          <w:tcPr>
            <w:tcW w:w="0" w:type="auto"/>
            <w:vAlign w:val="center"/>
            <w:hideMark/>
          </w:tcPr>
          <w:p w14:paraId="44F6ADFC"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Regeneration</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as</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Primary</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Function</w:t>
            </w:r>
            <w:proofErr w:type="spellEnd"/>
          </w:p>
        </w:tc>
        <w:tc>
          <w:tcPr>
            <w:tcW w:w="0" w:type="auto"/>
            <w:vAlign w:val="center"/>
            <w:hideMark/>
          </w:tcPr>
          <w:p w14:paraId="467D8299"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Regeneration is the primary function of the system. Prometheus must increase, protect, or support the capacity of living systems to remain fertile, resilient, diverse, productive, adaptive, and coherent over time.</w:t>
            </w:r>
          </w:p>
        </w:tc>
      </w:tr>
      <w:tr w:rsidR="00CE3DCB" w:rsidRPr="00052FE3" w14:paraId="75D9DC67" w14:textId="77777777" w:rsidTr="00CE3DCB">
        <w:trPr>
          <w:tblCellSpacing w:w="15" w:type="dxa"/>
        </w:trPr>
        <w:tc>
          <w:tcPr>
            <w:tcW w:w="0" w:type="auto"/>
            <w:vAlign w:val="center"/>
            <w:hideMark/>
          </w:tcPr>
          <w:p w14:paraId="487003C8"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VII</w:t>
            </w:r>
          </w:p>
        </w:tc>
        <w:tc>
          <w:tcPr>
            <w:tcW w:w="0" w:type="auto"/>
            <w:vAlign w:val="center"/>
            <w:hideMark/>
          </w:tcPr>
          <w:p w14:paraId="0C4DF497"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Nested Systems and Distributed Responsibility</w:t>
            </w:r>
          </w:p>
        </w:tc>
        <w:tc>
          <w:tcPr>
            <w:tcW w:w="0" w:type="auto"/>
            <w:vAlign w:val="center"/>
            <w:hideMark/>
          </w:tcPr>
          <w:p w14:paraId="25ACEBAC"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Prometheus operates through nested levels: soil, organism, OHE, site, community, bioregion, portfolio, protocol, and planetary context. Responsibility is distributed across agents, stewards, communities, governance bodies, reviewers, operators, and future participants.</w:t>
            </w:r>
          </w:p>
        </w:tc>
      </w:tr>
      <w:tr w:rsidR="00CE3DCB" w:rsidRPr="00052FE3" w14:paraId="58201C82" w14:textId="77777777" w:rsidTr="00CE3DCB">
        <w:trPr>
          <w:tblCellSpacing w:w="15" w:type="dxa"/>
        </w:trPr>
        <w:tc>
          <w:tcPr>
            <w:tcW w:w="0" w:type="auto"/>
            <w:vAlign w:val="center"/>
            <w:hideMark/>
          </w:tcPr>
          <w:p w14:paraId="41E96117"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VIII</w:t>
            </w:r>
          </w:p>
        </w:tc>
        <w:tc>
          <w:tcPr>
            <w:tcW w:w="0" w:type="auto"/>
            <w:vAlign w:val="center"/>
            <w:hideMark/>
          </w:tcPr>
          <w:p w14:paraId="313E8AFE"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Syntropic Mediation and Meta-Prompt Governance</w:t>
            </w:r>
          </w:p>
        </w:tc>
        <w:tc>
          <w:tcPr>
            <w:tcW w:w="0" w:type="auto"/>
            <w:vAlign w:val="center"/>
            <w:hideMark/>
          </w:tcPr>
          <w:p w14:paraId="476711BB"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Intelligence within Prometheus must be mediated through syntropic constraints, constitutional prompts, review pathways, and protected-source logic. AI systems, autonomous agents, dashboards, and protocol components may support analysis, but they may not replace constitutional governance, MRV review, legal review, or living-system reality.</w:t>
            </w:r>
          </w:p>
        </w:tc>
      </w:tr>
      <w:tr w:rsidR="00CE3DCB" w:rsidRPr="00052FE3" w14:paraId="735311D5" w14:textId="77777777" w:rsidTr="00CE3DCB">
        <w:trPr>
          <w:tblCellSpacing w:w="15" w:type="dxa"/>
        </w:trPr>
        <w:tc>
          <w:tcPr>
            <w:tcW w:w="0" w:type="auto"/>
            <w:vAlign w:val="center"/>
            <w:hideMark/>
          </w:tcPr>
          <w:p w14:paraId="62F27E71"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lastRenderedPageBreak/>
              <w:t>Article</w:t>
            </w:r>
            <w:proofErr w:type="spellEnd"/>
            <w:r w:rsidRPr="00052FE3">
              <w:rPr>
                <w:rFonts w:ascii="Baskerville Old Face" w:hAnsi="Baskerville Old Face"/>
                <w:i/>
                <w:iCs/>
                <w:sz w:val="18"/>
                <w:szCs w:val="18"/>
                <w:lang w:val="it-IT"/>
              </w:rPr>
              <w:t xml:space="preserve"> IX</w:t>
            </w:r>
          </w:p>
        </w:tc>
        <w:tc>
          <w:tcPr>
            <w:tcW w:w="0" w:type="auto"/>
            <w:vAlign w:val="center"/>
            <w:hideMark/>
          </w:tcPr>
          <w:p w14:paraId="0BE99F61"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Evidence</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Before</w:t>
            </w:r>
            <w:proofErr w:type="spellEnd"/>
            <w:r w:rsidRPr="00052FE3">
              <w:rPr>
                <w:rFonts w:ascii="Baskerville Old Face" w:hAnsi="Baskerville Old Face"/>
                <w:i/>
                <w:iCs/>
                <w:sz w:val="18"/>
                <w:szCs w:val="18"/>
                <w:lang w:val="it-IT"/>
              </w:rPr>
              <w:t xml:space="preserve"> Value</w:t>
            </w:r>
          </w:p>
        </w:tc>
        <w:tc>
          <w:tcPr>
            <w:tcW w:w="0" w:type="auto"/>
            <w:vAlign w:val="center"/>
            <w:hideMark/>
          </w:tcPr>
          <w:p w14:paraId="1C93F60D"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No claim becomes value merely because it is desirable, coherent, regenerative in language, investor-facing, or technically executable. Claims must mature through observation, evidence, provenance, integrity, verified indicators, admissibility, and review before they can support PRU value analysis, RAP construction, public claims, or capital-facing use.</w:t>
            </w:r>
          </w:p>
        </w:tc>
      </w:tr>
      <w:tr w:rsidR="00CE3DCB" w:rsidRPr="00052FE3" w14:paraId="4C045E7E" w14:textId="77777777" w:rsidTr="00CE3DCB">
        <w:trPr>
          <w:tblCellSpacing w:w="15" w:type="dxa"/>
        </w:trPr>
        <w:tc>
          <w:tcPr>
            <w:tcW w:w="0" w:type="auto"/>
            <w:vAlign w:val="center"/>
            <w:hideMark/>
          </w:tcPr>
          <w:p w14:paraId="54E012A9"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X</w:t>
            </w:r>
          </w:p>
        </w:tc>
        <w:tc>
          <w:tcPr>
            <w:tcW w:w="0" w:type="auto"/>
            <w:vAlign w:val="center"/>
            <w:hideMark/>
          </w:tcPr>
          <w:p w14:paraId="3338C805" w14:textId="77777777" w:rsidR="00CE3DCB" w:rsidRPr="00052FE3" w:rsidRDefault="00CE3DCB" w:rsidP="00CE3DCB">
            <w:pPr>
              <w:spacing w:line="360" w:lineRule="auto"/>
              <w:rPr>
                <w:rFonts w:ascii="Baskerville Old Face" w:hAnsi="Baskerville Old Face"/>
                <w:i/>
                <w:iCs/>
                <w:sz w:val="18"/>
                <w:szCs w:val="18"/>
                <w:lang w:val="it-IT"/>
              </w:rPr>
            </w:pPr>
            <w:r w:rsidRPr="00052FE3">
              <w:rPr>
                <w:rFonts w:ascii="Baskerville Old Face" w:hAnsi="Baskerville Old Face"/>
                <w:i/>
                <w:iCs/>
                <w:sz w:val="18"/>
                <w:szCs w:val="18"/>
                <w:lang w:val="it-IT"/>
              </w:rPr>
              <w:t>Absolute Limits</w:t>
            </w:r>
          </w:p>
        </w:tc>
        <w:tc>
          <w:tcPr>
            <w:tcW w:w="0" w:type="auto"/>
            <w:vAlign w:val="center"/>
            <w:hideMark/>
          </w:tcPr>
          <w:p w14:paraId="245E2D80"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Certain boundaries are non-negotiable: no manipulation of human consciousness; no extraction disguised as regeneration; no coercive centralization; no bypass of life; no unauthorized commodification of living systems; no token logic overriding evidence; no capital structure overriding ecological source reality.</w:t>
            </w:r>
          </w:p>
        </w:tc>
      </w:tr>
      <w:tr w:rsidR="00CE3DCB" w:rsidRPr="00052FE3" w14:paraId="7591CFB3" w14:textId="77777777" w:rsidTr="00CE3DCB">
        <w:trPr>
          <w:tblCellSpacing w:w="15" w:type="dxa"/>
        </w:trPr>
        <w:tc>
          <w:tcPr>
            <w:tcW w:w="0" w:type="auto"/>
            <w:vAlign w:val="center"/>
            <w:hideMark/>
          </w:tcPr>
          <w:p w14:paraId="5EA9DD31"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XI</w:t>
            </w:r>
          </w:p>
        </w:tc>
        <w:tc>
          <w:tcPr>
            <w:tcW w:w="0" w:type="auto"/>
            <w:vAlign w:val="center"/>
            <w:hideMark/>
          </w:tcPr>
          <w:p w14:paraId="35977D57"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Agent Sovereignty and Local Context</w:t>
            </w:r>
          </w:p>
        </w:tc>
        <w:tc>
          <w:tcPr>
            <w:tcW w:w="0" w:type="auto"/>
            <w:vAlign w:val="center"/>
            <w:hideMark/>
          </w:tcPr>
          <w:p w14:paraId="0FB03299"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Agents, stewards, communities, sites, and living systems retain contextual integrity. Prometheus must preserve local knowledge, agent-centric validation, data sovereignty, consent boundaries, bioregional context, and the right of participants to avoid capture by centralized or opaque systems.</w:t>
            </w:r>
          </w:p>
        </w:tc>
      </w:tr>
      <w:tr w:rsidR="00CE3DCB" w:rsidRPr="00052FE3" w14:paraId="316527B2" w14:textId="77777777" w:rsidTr="00CE3DCB">
        <w:trPr>
          <w:tblCellSpacing w:w="15" w:type="dxa"/>
        </w:trPr>
        <w:tc>
          <w:tcPr>
            <w:tcW w:w="0" w:type="auto"/>
            <w:vAlign w:val="center"/>
            <w:hideMark/>
          </w:tcPr>
          <w:p w14:paraId="75DA081A"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XII</w:t>
            </w:r>
          </w:p>
        </w:tc>
        <w:tc>
          <w:tcPr>
            <w:tcW w:w="0" w:type="auto"/>
            <w:vAlign w:val="center"/>
            <w:hideMark/>
          </w:tcPr>
          <w:p w14:paraId="4875B3DF"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Governance, Review, and Amendment Discipline</w:t>
            </w:r>
          </w:p>
        </w:tc>
        <w:tc>
          <w:tcPr>
            <w:tcW w:w="0" w:type="auto"/>
            <w:vAlign w:val="center"/>
            <w:hideMark/>
          </w:tcPr>
          <w:p w14:paraId="6682578A"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 xml:space="preserve">Governance may clarify, implement, audit, and strengthen the constitutional framework. It may not invert the source layer. Ordinary governance, </w:t>
            </w:r>
            <w:proofErr w:type="spellStart"/>
            <w:r w:rsidRPr="00052FE3">
              <w:rPr>
                <w:rFonts w:ascii="Baskerville Old Face" w:hAnsi="Baskerville Old Face"/>
                <w:i/>
                <w:iCs/>
                <w:sz w:val="18"/>
                <w:szCs w:val="18"/>
              </w:rPr>
              <w:t>sociocratic</w:t>
            </w:r>
            <w:proofErr w:type="spellEnd"/>
            <w:r w:rsidRPr="00052FE3">
              <w:rPr>
                <w:rFonts w:ascii="Baskerville Old Face" w:hAnsi="Baskerville Old Face"/>
                <w:i/>
                <w:iCs/>
                <w:sz w:val="18"/>
                <w:szCs w:val="18"/>
              </w:rPr>
              <w:t xml:space="preserve"> consent, token-mediated participation, DAO-compatible mechanisms, emergency procedure, or protocol upgrade must remain subordinate to the foundational articles, the Eternity Clauses, and the applicable review pathways.</w:t>
            </w:r>
          </w:p>
        </w:tc>
      </w:tr>
      <w:tr w:rsidR="00CE3DCB" w:rsidRPr="00052FE3" w14:paraId="7A2D0B3A" w14:textId="77777777" w:rsidTr="00CE3DCB">
        <w:trPr>
          <w:tblCellSpacing w:w="15" w:type="dxa"/>
        </w:trPr>
        <w:tc>
          <w:tcPr>
            <w:tcW w:w="0" w:type="auto"/>
            <w:vAlign w:val="center"/>
            <w:hideMark/>
          </w:tcPr>
          <w:p w14:paraId="10B093FC"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XIII</w:t>
            </w:r>
          </w:p>
        </w:tc>
        <w:tc>
          <w:tcPr>
            <w:tcW w:w="0" w:type="auto"/>
            <w:vAlign w:val="center"/>
            <w:hideMark/>
          </w:tcPr>
          <w:p w14:paraId="6129E67D"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Responsibility</w:t>
            </w:r>
            <w:proofErr w:type="spellEnd"/>
            <w:r w:rsidRPr="00052FE3">
              <w:rPr>
                <w:rFonts w:ascii="Baskerville Old Face" w:hAnsi="Baskerville Old Face"/>
                <w:i/>
                <w:iCs/>
                <w:sz w:val="18"/>
                <w:szCs w:val="18"/>
                <w:lang w:val="it-IT"/>
              </w:rPr>
              <w:t xml:space="preserve"> </w:t>
            </w:r>
            <w:proofErr w:type="spellStart"/>
            <w:r w:rsidRPr="00052FE3">
              <w:rPr>
                <w:rFonts w:ascii="Baskerville Old Face" w:hAnsi="Baskerville Old Face"/>
                <w:i/>
                <w:iCs/>
                <w:sz w:val="18"/>
                <w:szCs w:val="18"/>
                <w:lang w:val="it-IT"/>
              </w:rPr>
              <w:t>Before</w:t>
            </w:r>
            <w:proofErr w:type="spellEnd"/>
            <w:r w:rsidRPr="00052FE3">
              <w:rPr>
                <w:rFonts w:ascii="Baskerville Old Face" w:hAnsi="Baskerville Old Face"/>
                <w:i/>
                <w:iCs/>
                <w:sz w:val="18"/>
                <w:szCs w:val="18"/>
                <w:lang w:val="it-IT"/>
              </w:rPr>
              <w:t xml:space="preserve"> Acceleration</w:t>
            </w:r>
          </w:p>
        </w:tc>
        <w:tc>
          <w:tcPr>
            <w:tcW w:w="0" w:type="auto"/>
            <w:vAlign w:val="center"/>
            <w:hideMark/>
          </w:tcPr>
          <w:p w14:paraId="1F7C2F3D"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Capability entails accountability. Prometheus must think before accelerating, regenerate before optimizing, verify before representing, review before automating, and preserve coherence before scaling. No speed of deployment justifies the collapse of evidence, dignity, legality, ecological integrity, or constitutional fidelity.</w:t>
            </w:r>
          </w:p>
        </w:tc>
      </w:tr>
      <w:tr w:rsidR="00CE3DCB" w:rsidRPr="00052FE3" w14:paraId="10DBD22E" w14:textId="77777777" w:rsidTr="00CE3DCB">
        <w:trPr>
          <w:tblCellSpacing w:w="15" w:type="dxa"/>
        </w:trPr>
        <w:tc>
          <w:tcPr>
            <w:tcW w:w="0" w:type="auto"/>
            <w:vAlign w:val="center"/>
            <w:hideMark/>
          </w:tcPr>
          <w:p w14:paraId="2D14A8A2"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XIV</w:t>
            </w:r>
          </w:p>
        </w:tc>
        <w:tc>
          <w:tcPr>
            <w:tcW w:w="0" w:type="auto"/>
            <w:vAlign w:val="center"/>
            <w:hideMark/>
          </w:tcPr>
          <w:p w14:paraId="0C960C5F"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Canonical</w:t>
            </w:r>
            <w:proofErr w:type="spellEnd"/>
            <w:r w:rsidRPr="00052FE3">
              <w:rPr>
                <w:rFonts w:ascii="Baskerville Old Face" w:hAnsi="Baskerville Old Face"/>
                <w:i/>
                <w:iCs/>
                <w:sz w:val="18"/>
                <w:szCs w:val="18"/>
                <w:lang w:val="it-IT"/>
              </w:rPr>
              <w:t xml:space="preserve"> Release Integrity</w:t>
            </w:r>
          </w:p>
        </w:tc>
        <w:tc>
          <w:tcPr>
            <w:tcW w:w="0" w:type="auto"/>
            <w:vAlign w:val="center"/>
            <w:hideMark/>
          </w:tcPr>
          <w:p w14:paraId="736550DB"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Prometheus canonical releases must preserve textual integrity, version clarity, repository continuity, cryptographic verifiability, public verification, offline survivability, fork governance, and release provenance. No document, fork, runtime implementation, dashboard, or public claim may represent itself as canonical unless it satisfies the applicable release, registry, verification, and provenance requirements.</w:t>
            </w:r>
          </w:p>
        </w:tc>
      </w:tr>
      <w:tr w:rsidR="00CE3DCB" w:rsidRPr="00052FE3" w14:paraId="5E2A6759" w14:textId="77777777" w:rsidTr="00CE3DCB">
        <w:trPr>
          <w:tblCellSpacing w:w="15" w:type="dxa"/>
        </w:trPr>
        <w:tc>
          <w:tcPr>
            <w:tcW w:w="0" w:type="auto"/>
            <w:vAlign w:val="center"/>
            <w:hideMark/>
          </w:tcPr>
          <w:p w14:paraId="5C1AE27C" w14:textId="77777777" w:rsidR="00CE3DCB" w:rsidRPr="00052FE3" w:rsidRDefault="00CE3DCB" w:rsidP="00CE3DCB">
            <w:pPr>
              <w:spacing w:line="360" w:lineRule="auto"/>
              <w:rPr>
                <w:rFonts w:ascii="Baskerville Old Face" w:hAnsi="Baskerville Old Face"/>
                <w:i/>
                <w:iCs/>
                <w:sz w:val="18"/>
                <w:szCs w:val="18"/>
                <w:lang w:val="it-IT"/>
              </w:rPr>
            </w:pPr>
            <w:proofErr w:type="spellStart"/>
            <w:r w:rsidRPr="00052FE3">
              <w:rPr>
                <w:rFonts w:ascii="Baskerville Old Face" w:hAnsi="Baskerville Old Face"/>
                <w:i/>
                <w:iCs/>
                <w:sz w:val="18"/>
                <w:szCs w:val="18"/>
                <w:lang w:val="it-IT"/>
              </w:rPr>
              <w:t>Article</w:t>
            </w:r>
            <w:proofErr w:type="spellEnd"/>
            <w:r w:rsidRPr="00052FE3">
              <w:rPr>
                <w:rFonts w:ascii="Baskerville Old Face" w:hAnsi="Baskerville Old Face"/>
                <w:i/>
                <w:iCs/>
                <w:sz w:val="18"/>
                <w:szCs w:val="18"/>
                <w:lang w:val="it-IT"/>
              </w:rPr>
              <w:t xml:space="preserve"> XV</w:t>
            </w:r>
          </w:p>
        </w:tc>
        <w:tc>
          <w:tcPr>
            <w:tcW w:w="0" w:type="auto"/>
            <w:vAlign w:val="center"/>
            <w:hideMark/>
          </w:tcPr>
          <w:p w14:paraId="0E6F9C98"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Access Covenant and Protected Participation</w:t>
            </w:r>
          </w:p>
        </w:tc>
        <w:tc>
          <w:tcPr>
            <w:tcW w:w="0" w:type="auto"/>
            <w:vAlign w:val="center"/>
            <w:hideMark/>
          </w:tcPr>
          <w:p w14:paraId="6AD73C1F" w14:textId="77777777" w:rsidR="00CE3DCB" w:rsidRPr="00052FE3" w:rsidRDefault="00CE3DCB" w:rsidP="00CE3DCB">
            <w:pPr>
              <w:spacing w:line="360" w:lineRule="auto"/>
              <w:rPr>
                <w:rFonts w:ascii="Baskerville Old Face" w:hAnsi="Baskerville Old Face"/>
                <w:i/>
                <w:iCs/>
                <w:sz w:val="18"/>
                <w:szCs w:val="18"/>
              </w:rPr>
            </w:pPr>
            <w:r w:rsidRPr="00052FE3">
              <w:rPr>
                <w:rFonts w:ascii="Baskerville Old Face" w:hAnsi="Baskerville Old Face"/>
                <w:i/>
                <w:iCs/>
                <w:sz w:val="18"/>
                <w:szCs w:val="18"/>
              </w:rPr>
              <w:t>Use, implementation, contribution, participation, protected access, or reliance within Prometheus pathways is subject to the Access Covenant, applicable participation provisions, and canonical release records. Access is not a license to extract. Participation is not a right to bypass. Protected-pathway use requires admissibility, source-layer compatibility, governance discipline, and legal structure where rights-bearing or capital-facing use is involved.</w:t>
            </w:r>
          </w:p>
        </w:tc>
      </w:tr>
    </w:tbl>
    <w:p w14:paraId="1BCBA55D" w14:textId="4D43BFDE" w:rsidR="00CE3DCB" w:rsidRPr="00CE3DCB" w:rsidRDefault="00CE3DCB" w:rsidP="00CE3DCB">
      <w:pPr>
        <w:spacing w:line="360" w:lineRule="auto"/>
        <w:rPr>
          <w:rFonts w:ascii="Baskerville Old Face" w:hAnsi="Baskerville Old Face"/>
          <w:b/>
          <w:bCs/>
          <w:i/>
          <w:iCs/>
        </w:rPr>
      </w:pPr>
      <w:r w:rsidRPr="00CE3DCB">
        <w:rPr>
          <w:rFonts w:ascii="Baskerville Old Face" w:hAnsi="Baskerville Old Face"/>
          <w:b/>
          <w:bCs/>
          <w:i/>
          <w:iCs/>
        </w:rPr>
        <w:t>Constitutional Validity and Protected-Pathway Non-Admissibility Doctrine</w:t>
      </w:r>
    </w:p>
    <w:p w14:paraId="6E93A711"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foundational articles define not only how the kernel coordinates intelligence, but also what may validly exist inside the Prometheus architecture.</w:t>
      </w:r>
    </w:p>
    <w:p w14:paraId="317D1F8D"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lastRenderedPageBreak/>
        <w:t>For this reason, any output, process, agent action, governance proposal, token operation, PRU update, investor-facing claim, ecological intervention, or capital-allocation pathway that violates these articles is not merely suboptimal.</w:t>
      </w:r>
    </w:p>
    <w:p w14:paraId="28303F1D"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is invalid within Prometheus protected pathways.</w:t>
      </w:r>
    </w:p>
    <w:p w14:paraId="5DF1FBAC"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This doctrine means that technical sophistication cannot cure source-layer invalidity.</w:t>
      </w:r>
    </w:p>
    <w:p w14:paraId="2750E1E8"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Market demand cannot cure source-layer invalidity.</w:t>
      </w:r>
    </w:p>
    <w:p w14:paraId="64F754C0"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Investor pressure cannot cure source-layer invalidity.</w:t>
      </w:r>
    </w:p>
    <w:p w14:paraId="7F7B30EC"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Governance majority cannot cure source-layer invalidity.</w:t>
      </w:r>
    </w:p>
    <w:p w14:paraId="3410D282"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Model confidence cannot cure source-layer invalidity.</w:t>
      </w:r>
    </w:p>
    <w:p w14:paraId="046899F9"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Token logic cannot cure source-layer invalidity.</w:t>
      </w:r>
    </w:p>
    <w:p w14:paraId="3BE7A9A4"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Operational urgency cannot cure source-layer invalidity.</w:t>
      </w:r>
    </w:p>
    <w:p w14:paraId="4163DDA8"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An action that violates the foundational articles does not become Prometheus merely because it is executable.</w:t>
      </w:r>
    </w:p>
    <w:p w14:paraId="2F3B5125"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becomes a bypass attempt.</w:t>
      </w:r>
    </w:p>
    <w:p w14:paraId="11A4CD7D"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kernel must therefore treat such actions as non-admissible, non-executable, rejected, quarantined, or escalated to constitutional governance review according to the relevant control pathway.</w:t>
      </w:r>
    </w:p>
    <w:p w14:paraId="7A6BEE1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This doctrine preserves the sovereign constitutional identity of Prometheus without converting the kernel into an unaccountable ruler.</w:t>
      </w:r>
    </w:p>
    <w:p w14:paraId="199A5668"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Sovereignty, in this context, does not mean arbitrary power.</w:t>
      </w:r>
    </w:p>
    <w:p w14:paraId="50F18A1B"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means source-layer fidelity.</w:t>
      </w:r>
    </w:p>
    <w:p w14:paraId="5D4BFBBC"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kernel is sovereign only in relation to its duty: to keep intelligence accountable to life, evidence, dignity, governance, and regenerative coherence.</w:t>
      </w:r>
    </w:p>
    <w:p w14:paraId="4705318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foundational articles therefore operate as the basic structure of Prometheus.</w:t>
      </w:r>
    </w:p>
    <w:p w14:paraId="2D4A5799"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lastRenderedPageBreak/>
        <w:t>They may be clarified, implemented, versioned, audited, and technically strengthened.</w:t>
      </w:r>
    </w:p>
    <w:p w14:paraId="180F419B"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They may not be inverted, bypassed, weakened, or used to justify extraction under regenerative language.</w:t>
      </w:r>
    </w:p>
    <w:p w14:paraId="1C54938E"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Prometheus distinguishes between legal invalidity in the external world and non-admissibility within Prometheus protected pathways.</w:t>
      </w:r>
    </w:p>
    <w:p w14:paraId="73AD638F"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White Paper does not declare that an action is universally void under every legal system merely because it violates Prometheus source-layer constraints.</w:t>
      </w:r>
    </w:p>
    <w:p w14:paraId="5DD14EE5"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External legal systems, contracts, courts, regulators, and jurisdictions may make their own determinations.</w:t>
      </w:r>
    </w:p>
    <w:p w14:paraId="41CCA166"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Prometheus defines its own protected pathways, admissibility rules, canonical status, registry logic, governance permissions, reporting boundaries, implementation requirements, and source-layer recognition.</w:t>
      </w:r>
    </w:p>
    <w:p w14:paraId="6258A9B5"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The correct internal formula is:</w:t>
      </w:r>
    </w:p>
    <w:p w14:paraId="7E7374EB"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validity within Prometheus requires source-layer compatibility;</w:t>
      </w:r>
    </w:p>
    <w:p w14:paraId="2E59585A"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protected-pathway use requires admissibility;</w:t>
      </w:r>
    </w:p>
    <w:p w14:paraId="349F4DA3"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rights-bearing use requires legal structure;</w:t>
      </w:r>
    </w:p>
    <w:p w14:paraId="5E7230FE"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capital-facing use requires disclosure, review, and jurisdiction-specific compliance.</w:t>
      </w:r>
    </w:p>
    <w:p w14:paraId="5DCE64C0"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An action may exist technically.</w:t>
      </w:r>
    </w:p>
    <w:p w14:paraId="51FC09D8"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may even occur operationally.</w:t>
      </w:r>
    </w:p>
    <w:p w14:paraId="4D12731E"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But if it violates Prometheus protected-pathway rules, it cannot validly enter canonical, PRU, RAP, MRV-admissible, investor-facing, rights-bearing, token-facing, or source-layer-recognized use.</w:t>
      </w:r>
    </w:p>
    <w:p w14:paraId="57D722F5"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This is the purpose of protected-pathway non-admissibility.</w:t>
      </w:r>
    </w:p>
    <w:p w14:paraId="736501C5"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It protects Prometheus from category collapse, semantic inflation, unauthorized tokenization, ecological overclaiming, governance capture, and premature financialization.</w:t>
      </w:r>
    </w:p>
    <w:p w14:paraId="0501CA92"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t>If the foundational articles are removed, Prometheus does not evolve.</w:t>
      </w:r>
    </w:p>
    <w:p w14:paraId="30C4FB03" w14:textId="77777777" w:rsidR="00CE3DCB" w:rsidRPr="00CE3DCB" w:rsidRDefault="00CE3DCB" w:rsidP="00CE3DCB">
      <w:pPr>
        <w:spacing w:line="360" w:lineRule="auto"/>
        <w:rPr>
          <w:rFonts w:ascii="Baskerville Old Face" w:hAnsi="Baskerville Old Face"/>
          <w:i/>
          <w:iCs/>
        </w:rPr>
      </w:pPr>
      <w:r w:rsidRPr="00CE3DCB">
        <w:rPr>
          <w:rFonts w:ascii="Baskerville Old Face" w:hAnsi="Baskerville Old Face"/>
          <w:i/>
          <w:iCs/>
        </w:rPr>
        <w:lastRenderedPageBreak/>
        <w:t>It becomes another system.</w:t>
      </w:r>
    </w:p>
    <w:p w14:paraId="5E938B19" w14:textId="1AC237DC"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3: The Role of Founding Communities as Custodians</w:t>
      </w:r>
    </w:p>
    <w:p w14:paraId="5D4C3837"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Prometheus constitution may recognize founding communities as custodians of institutional memory, constitutional fidelity, and living-system alignment.</w:t>
      </w:r>
    </w:p>
    <w:p w14:paraId="501572AB"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This custodianship is not a privilege.</w:t>
      </w:r>
    </w:p>
    <w:p w14:paraId="61DCD80B"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is not sovereignty over the system.</w:t>
      </w:r>
    </w:p>
    <w:p w14:paraId="70591A99"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 xml:space="preserve">It is not </w:t>
      </w:r>
      <w:proofErr w:type="gramStart"/>
      <w:r w:rsidRPr="00B479AE">
        <w:rPr>
          <w:rFonts w:ascii="Baskerville Old Face" w:hAnsi="Baskerville Old Face"/>
          <w:i/>
          <w:iCs/>
        </w:rPr>
        <w:t>veto</w:t>
      </w:r>
      <w:proofErr w:type="gramEnd"/>
      <w:r w:rsidRPr="00B479AE">
        <w:rPr>
          <w:rFonts w:ascii="Baskerville Old Face" w:hAnsi="Baskerville Old Face"/>
          <w:i/>
          <w:iCs/>
        </w:rPr>
        <w:t xml:space="preserve"> power over ordinary governance.</w:t>
      </w:r>
    </w:p>
    <w:p w14:paraId="255E6269"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is not superior access to resources.</w:t>
      </w:r>
    </w:p>
    <w:p w14:paraId="30F20F51"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is not exemption from the Access Covenant.</w:t>
      </w:r>
    </w:p>
    <w:p w14:paraId="5142609B"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is a duty of remembrance, education, coherence, and service.</w:t>
      </w:r>
    </w:p>
    <w:p w14:paraId="7A80ED67"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Founding communities may hold special historical relevance because they helped articulate, embody, test, or protect the principles through which Prometheus came into being.</w:t>
      </w:r>
    </w:p>
    <w:p w14:paraId="3F20731E"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Their role is to help preserve the founding orientation of the system as Prometheus evolves across new deployments, actors, jurisdictions, technologies, capital structures, and governance mechanisms.</w:t>
      </w:r>
    </w:p>
    <w:p w14:paraId="5AED128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purpose is not to freeze the system in its origin.</w:t>
      </w:r>
    </w:p>
    <w:p w14:paraId="53ED7E18"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purpose is to prevent the system from forgetting why it exists.</w:t>
      </w:r>
    </w:p>
    <w:p w14:paraId="590B3483"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Custodianship as service, not control</w:t>
      </w:r>
    </w:p>
    <w:p w14:paraId="1DEA5E9B"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Custodianship means responsibility without domination.</w:t>
      </w:r>
    </w:p>
    <w:p w14:paraId="433C320E"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custodian does not own the constitution.</w:t>
      </w:r>
    </w:p>
    <w:p w14:paraId="77592371"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custodian does not command the ecosystem.</w:t>
      </w:r>
    </w:p>
    <w:p w14:paraId="31B19685"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custodian does not override ordinary governance.</w:t>
      </w:r>
    </w:p>
    <w:p w14:paraId="04E83886"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custodian does not convert historical contribution into permanent authority.</w:t>
      </w:r>
    </w:p>
    <w:p w14:paraId="5BCD15BD"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custodian serves the continuity between:</w:t>
      </w:r>
    </w:p>
    <w:p w14:paraId="65C7E22D"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lastRenderedPageBreak/>
        <w:t>• founding vision;</w:t>
      </w:r>
      <w:r w:rsidRPr="00B479AE">
        <w:rPr>
          <w:rFonts w:ascii="Baskerville Old Face" w:hAnsi="Baskerville Old Face"/>
          <w:i/>
          <w:iCs/>
        </w:rPr>
        <w:br/>
        <w:t>• living systems;</w:t>
      </w:r>
      <w:r w:rsidRPr="00B479AE">
        <w:rPr>
          <w:rFonts w:ascii="Baskerville Old Face" w:hAnsi="Baskerville Old Face"/>
          <w:i/>
          <w:iCs/>
        </w:rPr>
        <w:br/>
        <w:t>• constitutional principles;</w:t>
      </w:r>
      <w:r w:rsidRPr="00B479AE">
        <w:rPr>
          <w:rFonts w:ascii="Baskerville Old Face" w:hAnsi="Baskerville Old Face"/>
          <w:i/>
          <w:iCs/>
        </w:rPr>
        <w:br/>
        <w:t>• evidence discipline;</w:t>
      </w:r>
      <w:r w:rsidRPr="00B479AE">
        <w:rPr>
          <w:rFonts w:ascii="Baskerville Old Face" w:hAnsi="Baskerville Old Face"/>
          <w:i/>
          <w:iCs/>
        </w:rPr>
        <w:br/>
        <w:t>• governance maturity;</w:t>
      </w:r>
      <w:r w:rsidRPr="00B479AE">
        <w:rPr>
          <w:rFonts w:ascii="Baskerville Old Face" w:hAnsi="Baskerville Old Face"/>
          <w:i/>
          <w:iCs/>
        </w:rPr>
        <w:br/>
        <w:t>• human dignity;</w:t>
      </w:r>
      <w:r w:rsidRPr="00B479AE">
        <w:rPr>
          <w:rFonts w:ascii="Baskerville Old Face" w:hAnsi="Baskerville Old Face"/>
          <w:i/>
          <w:iCs/>
        </w:rPr>
        <w:br/>
        <w:t>• technological sovereignty;</w:t>
      </w:r>
      <w:r w:rsidRPr="00B479AE">
        <w:rPr>
          <w:rFonts w:ascii="Baskerville Old Face" w:hAnsi="Baskerville Old Face"/>
          <w:i/>
          <w:iCs/>
        </w:rPr>
        <w:br/>
        <w:t>• regenerative fidelity;</w:t>
      </w:r>
      <w:r w:rsidRPr="00B479AE">
        <w:rPr>
          <w:rFonts w:ascii="Baskerville Old Face" w:hAnsi="Baskerville Old Face"/>
          <w:i/>
          <w:iCs/>
        </w:rPr>
        <w:br/>
        <w:t>• future generations.</w:t>
      </w:r>
    </w:p>
    <w:p w14:paraId="403CD57A"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legitimacy of custodianship derives only from fidelity to the foundational articles, the Eternity Clauses, the Access Covenant, and demonstrated service to the living purpose of Prometheus.</w:t>
      </w:r>
    </w:p>
    <w:p w14:paraId="78D69032"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If custodianship becomes domination, it ceases to be custodianship.</w:t>
      </w:r>
    </w:p>
    <w:p w14:paraId="5A66B710"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If memory becomes control, it betrays the memory it claims to protect.</w:t>
      </w:r>
    </w:p>
    <w:p w14:paraId="3189C60B" w14:textId="646A4630"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The two flames</w:t>
      </w:r>
    </w:p>
    <w:p w14:paraId="0D7F56B0"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founding vision of Prometheus may be understood through two complementary flames.</w:t>
      </w:r>
    </w:p>
    <w:p w14:paraId="692D4460"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first flame is behavioral sovereignty.</w:t>
      </w:r>
    </w:p>
    <w:p w14:paraId="08A4F7B0"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concerns the human capacity to belong without being coerced, manipulated, reduced, ranked, or extracted.</w:t>
      </w:r>
    </w:p>
    <w:p w14:paraId="3BBEC220"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is expressed through coherence, voluntary participation, relational trust, ethical discipline, and the refusal to build systems that exploit human fragility.</w:t>
      </w:r>
    </w:p>
    <w:p w14:paraId="202A1F64"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Within Prometheus, TRBK-related participation may help coordinate this dimension when it remains clearly bounded as governance, access, contribution, or participation infrastructure rather than financial entitlement.</w:t>
      </w:r>
    </w:p>
    <w:p w14:paraId="0B030A09"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second flame is biological and digital sovereignty.</w:t>
      </w:r>
    </w:p>
    <w:p w14:paraId="0EA4B26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concerns the capacity of human beings, communities, stewards, devices, and digital agents to participate through contextual, consent-based, agent-centric, and non-capturing infrastructure.</w:t>
      </w:r>
    </w:p>
    <w:p w14:paraId="5F5D80B8" w14:textId="77777777" w:rsidR="00B66CFA" w:rsidRPr="00B479AE" w:rsidRDefault="00B66CFA" w:rsidP="00B66CFA">
      <w:pPr>
        <w:spacing w:line="360" w:lineRule="auto"/>
        <w:rPr>
          <w:rFonts w:ascii="Baskerville Old Face" w:hAnsi="Baskerville Old Face"/>
          <w:i/>
          <w:iCs/>
        </w:rPr>
      </w:pPr>
      <w:proofErr w:type="spellStart"/>
      <w:r w:rsidRPr="00B479AE">
        <w:rPr>
          <w:rFonts w:ascii="Baskerville Old Face" w:hAnsi="Baskerville Old Face"/>
          <w:i/>
          <w:iCs/>
        </w:rPr>
        <w:lastRenderedPageBreak/>
        <w:t>Holochain</w:t>
      </w:r>
      <w:proofErr w:type="spellEnd"/>
      <w:r w:rsidRPr="00B479AE">
        <w:rPr>
          <w:rFonts w:ascii="Baskerville Old Face" w:hAnsi="Baskerville Old Face"/>
          <w:i/>
          <w:iCs/>
        </w:rPr>
        <w:t>-compatible architecture expresses this dimension by preserving local source chains, contextual validation, peer coordination, distributed agency, and infrastructure that does not require one global authority to define all truth.</w:t>
      </w:r>
    </w:p>
    <w:p w14:paraId="2120087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Together, these two flames express a single constitutional orientation:</w:t>
      </w:r>
    </w:p>
    <w:p w14:paraId="64F23744"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freedom is not isolation;</w:t>
      </w:r>
    </w:p>
    <w:p w14:paraId="3B3F0AB6"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freedom is meaningful participation within living systems that protect dignity, context, agency, and relationship.</w:t>
      </w:r>
    </w:p>
    <w:p w14:paraId="7C8ACE3E" w14:textId="6206461B"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Freedom as belonging</w:t>
      </w:r>
    </w:p>
    <w:p w14:paraId="74171077"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Prometheus does not define freedom as mere absence of constraint.</w:t>
      </w:r>
    </w:p>
    <w:p w14:paraId="33DF8D75"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defines freedom as the capacity to participate in systems that do not force a choice between autonomy and belonging.</w:t>
      </w:r>
    </w:p>
    <w:p w14:paraId="22428E75"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person is not free when participation requires surrendering dignity.</w:t>
      </w:r>
    </w:p>
    <w:p w14:paraId="6E5FE6E2"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community is not free when infrastructure captures its data, land, food, governance, or future.</w:t>
      </w:r>
    </w:p>
    <w:p w14:paraId="702957C5"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steward is not free when capital demands extraction from the living systems the steward protects.</w:t>
      </w:r>
    </w:p>
    <w:p w14:paraId="7D192184"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digital agent is not valid when it severs action from evidence, context, or accountability.</w:t>
      </w:r>
    </w:p>
    <w:p w14:paraId="4827B605"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Freedom within Prometheus therefore means:</w:t>
      </w:r>
    </w:p>
    <w:p w14:paraId="367EBB67"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 freedom to belong without capture;</w:t>
      </w:r>
      <w:r w:rsidRPr="00B479AE">
        <w:rPr>
          <w:rFonts w:ascii="Baskerville Old Face" w:hAnsi="Baskerville Old Face"/>
          <w:i/>
          <w:iCs/>
        </w:rPr>
        <w:br/>
        <w:t>• freedom to contribute without coercion;</w:t>
      </w:r>
      <w:r w:rsidRPr="00B479AE">
        <w:rPr>
          <w:rFonts w:ascii="Baskerville Old Face" w:hAnsi="Baskerville Old Face"/>
          <w:i/>
          <w:iCs/>
        </w:rPr>
        <w:br/>
        <w:t>• freedom to govern without manipulation;</w:t>
      </w:r>
      <w:r w:rsidRPr="00B479AE">
        <w:rPr>
          <w:rFonts w:ascii="Baskerville Old Face" w:hAnsi="Baskerville Old Face"/>
          <w:i/>
          <w:iCs/>
        </w:rPr>
        <w:br/>
        <w:t>• freedom to coordinate without central domination;</w:t>
      </w:r>
      <w:r w:rsidRPr="00B479AE">
        <w:rPr>
          <w:rFonts w:ascii="Baskerville Old Face" w:hAnsi="Baskerville Old Face"/>
          <w:i/>
          <w:iCs/>
        </w:rPr>
        <w:br/>
        <w:t>• freedom to use intelligence without surrendering authority to intelligence;</w:t>
      </w:r>
      <w:r w:rsidRPr="00B479AE">
        <w:rPr>
          <w:rFonts w:ascii="Baskerville Old Face" w:hAnsi="Baskerville Old Face"/>
          <w:i/>
          <w:iCs/>
        </w:rPr>
        <w:br/>
        <w:t>• freedom to finance regeneration without turning life into collateral for extraction.</w:t>
      </w:r>
    </w:p>
    <w:p w14:paraId="05027651" w14:textId="7FD8537B"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This is not poetic excess.</w:t>
      </w:r>
      <w:r w:rsidR="008E534D" w:rsidRPr="00B479AE">
        <w:rPr>
          <w:rFonts w:ascii="Baskerville Old Face" w:hAnsi="Baskerville Old Face"/>
          <w:i/>
          <w:iCs/>
        </w:rPr>
        <w:t xml:space="preserve"> </w:t>
      </w:r>
      <w:r w:rsidRPr="00B479AE">
        <w:rPr>
          <w:rFonts w:ascii="Baskerville Old Face" w:hAnsi="Baskerville Old Face"/>
          <w:i/>
          <w:iCs/>
        </w:rPr>
        <w:t>It is constitutional infrastructure.</w:t>
      </w:r>
    </w:p>
    <w:p w14:paraId="4A81BC05" w14:textId="62A35EEE"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Functions of custodianship</w:t>
      </w:r>
    </w:p>
    <w:p w14:paraId="6E16E74D" w14:textId="77777777" w:rsidR="00B66CFA" w:rsidRDefault="00B66CFA" w:rsidP="00B66CFA">
      <w:pPr>
        <w:spacing w:line="360" w:lineRule="auto"/>
        <w:rPr>
          <w:rFonts w:ascii="Baskerville Old Face" w:hAnsi="Baskerville Old Face"/>
          <w:i/>
          <w:iCs/>
        </w:rPr>
      </w:pPr>
      <w:r w:rsidRPr="00B479AE">
        <w:rPr>
          <w:rFonts w:ascii="Baskerville Old Face" w:hAnsi="Baskerville Old Face"/>
          <w:i/>
          <w:iCs/>
        </w:rPr>
        <w:t>Founding custodians may serve several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4636"/>
        <w:gridCol w:w="3098"/>
      </w:tblGrid>
      <w:tr w:rsidR="00B66CFA" w:rsidRPr="00B479AE" w14:paraId="1241C6D9" w14:textId="77777777" w:rsidTr="00B66CFA">
        <w:trPr>
          <w:tblHeader/>
          <w:tblCellSpacing w:w="15" w:type="dxa"/>
        </w:trPr>
        <w:tc>
          <w:tcPr>
            <w:tcW w:w="0" w:type="auto"/>
            <w:vAlign w:val="center"/>
            <w:hideMark/>
          </w:tcPr>
          <w:p w14:paraId="7FB46CDB" w14:textId="77777777" w:rsidR="00B66CFA" w:rsidRPr="00B479AE" w:rsidRDefault="00B66CFA" w:rsidP="00B66CFA">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Custodial function</w:t>
            </w:r>
          </w:p>
        </w:tc>
        <w:tc>
          <w:tcPr>
            <w:tcW w:w="0" w:type="auto"/>
            <w:vAlign w:val="center"/>
            <w:hideMark/>
          </w:tcPr>
          <w:p w14:paraId="47C0FF60" w14:textId="77777777" w:rsidR="00B66CFA" w:rsidRPr="00B479AE" w:rsidRDefault="00B66CFA" w:rsidP="00B66CFA">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Purpose</w:t>
            </w:r>
          </w:p>
        </w:tc>
        <w:tc>
          <w:tcPr>
            <w:tcW w:w="0" w:type="auto"/>
            <w:vAlign w:val="center"/>
            <w:hideMark/>
          </w:tcPr>
          <w:p w14:paraId="5211DC6B" w14:textId="77777777" w:rsidR="00B66CFA" w:rsidRPr="00B479AE" w:rsidRDefault="00B66CFA" w:rsidP="00B66CFA">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B66CFA" w:rsidRPr="00B479AE" w14:paraId="0C010102" w14:textId="77777777" w:rsidTr="00B66CFA">
        <w:trPr>
          <w:tblCellSpacing w:w="15" w:type="dxa"/>
        </w:trPr>
        <w:tc>
          <w:tcPr>
            <w:tcW w:w="0" w:type="auto"/>
            <w:vAlign w:val="center"/>
            <w:hideMark/>
          </w:tcPr>
          <w:p w14:paraId="00761B5F"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Institutional memory</w:t>
            </w:r>
          </w:p>
        </w:tc>
        <w:tc>
          <w:tcPr>
            <w:tcW w:w="0" w:type="auto"/>
            <w:vAlign w:val="center"/>
            <w:hideMark/>
          </w:tcPr>
          <w:p w14:paraId="4E04C941"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Preserve the original constitutional orientation and founding vision.</w:t>
            </w:r>
          </w:p>
        </w:tc>
        <w:tc>
          <w:tcPr>
            <w:tcW w:w="0" w:type="auto"/>
            <w:vAlign w:val="center"/>
            <w:hideMark/>
          </w:tcPr>
          <w:p w14:paraId="28A98FDE"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Memory does not create veto power.</w:t>
            </w:r>
          </w:p>
        </w:tc>
      </w:tr>
      <w:tr w:rsidR="00B66CFA" w:rsidRPr="00B479AE" w14:paraId="4F23CB92" w14:textId="77777777" w:rsidTr="00B66CFA">
        <w:trPr>
          <w:tblCellSpacing w:w="15" w:type="dxa"/>
        </w:trPr>
        <w:tc>
          <w:tcPr>
            <w:tcW w:w="0" w:type="auto"/>
            <w:vAlign w:val="center"/>
            <w:hideMark/>
          </w:tcPr>
          <w:p w14:paraId="1D905689"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Constitutional education</w:t>
            </w:r>
          </w:p>
        </w:tc>
        <w:tc>
          <w:tcPr>
            <w:tcW w:w="0" w:type="auto"/>
            <w:vAlign w:val="center"/>
            <w:hideMark/>
          </w:tcPr>
          <w:p w14:paraId="45549113"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Help new participants understand the foundational articles, Eternity Clauses, Access Covenant, and verification-first discipline.</w:t>
            </w:r>
          </w:p>
        </w:tc>
        <w:tc>
          <w:tcPr>
            <w:tcW w:w="0" w:type="auto"/>
            <w:vAlign w:val="center"/>
            <w:hideMark/>
          </w:tcPr>
          <w:p w14:paraId="584E4E6F"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Education does not become ideological control.</w:t>
            </w:r>
          </w:p>
        </w:tc>
      </w:tr>
      <w:tr w:rsidR="00B66CFA" w:rsidRPr="00B479AE" w14:paraId="2917C084" w14:textId="77777777" w:rsidTr="00B66CFA">
        <w:trPr>
          <w:tblCellSpacing w:w="15" w:type="dxa"/>
        </w:trPr>
        <w:tc>
          <w:tcPr>
            <w:tcW w:w="0" w:type="auto"/>
            <w:vAlign w:val="center"/>
            <w:hideMark/>
          </w:tcPr>
          <w:p w14:paraId="2B457250"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Coherence monitoring</w:t>
            </w:r>
          </w:p>
        </w:tc>
        <w:tc>
          <w:tcPr>
            <w:tcW w:w="0" w:type="auto"/>
            <w:vAlign w:val="center"/>
            <w:hideMark/>
          </w:tcPr>
          <w:p w14:paraId="223F2B79"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Identify proposals that may weaken life, evidence, dignity, governance, or regenerative fidelity.</w:t>
            </w:r>
          </w:p>
        </w:tc>
        <w:tc>
          <w:tcPr>
            <w:tcW w:w="0" w:type="auto"/>
            <w:vAlign w:val="center"/>
            <w:hideMark/>
          </w:tcPr>
          <w:p w14:paraId="6C739493"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Monitoring routes concerns to governance; it does not replace governance.</w:t>
            </w:r>
          </w:p>
        </w:tc>
      </w:tr>
      <w:tr w:rsidR="00B66CFA" w:rsidRPr="00B479AE" w14:paraId="36DCB2D5" w14:textId="77777777" w:rsidTr="00B66CFA">
        <w:trPr>
          <w:tblCellSpacing w:w="15" w:type="dxa"/>
        </w:trPr>
        <w:tc>
          <w:tcPr>
            <w:tcW w:w="0" w:type="auto"/>
            <w:vAlign w:val="center"/>
            <w:hideMark/>
          </w:tcPr>
          <w:p w14:paraId="0F415E33"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Semantic protection</w:t>
            </w:r>
          </w:p>
        </w:tc>
        <w:tc>
          <w:tcPr>
            <w:tcW w:w="0" w:type="auto"/>
            <w:vAlign w:val="center"/>
            <w:hideMark/>
          </w:tcPr>
          <w:p w14:paraId="59C780A0"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Help prevent drift in core terms such as PRU, RAP, TRBK, HSI, MRV, tokenization, sovereignty, and regeneration.</w:t>
            </w:r>
          </w:p>
        </w:tc>
        <w:tc>
          <w:tcPr>
            <w:tcW w:w="0" w:type="auto"/>
            <w:vAlign w:val="center"/>
            <w:hideMark/>
          </w:tcPr>
          <w:p w14:paraId="559E5982"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Protection preserves meaning; it does not freeze evolution.</w:t>
            </w:r>
          </w:p>
        </w:tc>
      </w:tr>
      <w:tr w:rsidR="00B66CFA" w:rsidRPr="00B479AE" w14:paraId="1D0A6BD4" w14:textId="77777777" w:rsidTr="00B66CFA">
        <w:trPr>
          <w:tblCellSpacing w:w="15" w:type="dxa"/>
        </w:trPr>
        <w:tc>
          <w:tcPr>
            <w:tcW w:w="0" w:type="auto"/>
            <w:vAlign w:val="center"/>
            <w:hideMark/>
          </w:tcPr>
          <w:p w14:paraId="4BC570B7"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Founding witness</w:t>
            </w:r>
          </w:p>
        </w:tc>
        <w:tc>
          <w:tcPr>
            <w:tcW w:w="0" w:type="auto"/>
            <w:vAlign w:val="center"/>
            <w:hideMark/>
          </w:tcPr>
          <w:p w14:paraId="7082066D"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Keep visible the relationship between behavioral, biological, digital, ecological, and financial sovereignty.</w:t>
            </w:r>
          </w:p>
        </w:tc>
        <w:tc>
          <w:tcPr>
            <w:tcW w:w="0" w:type="auto"/>
            <w:vAlign w:val="center"/>
            <w:hideMark/>
          </w:tcPr>
          <w:p w14:paraId="473D7DA8"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Witness does not become authority over ordinary operations.</w:t>
            </w:r>
          </w:p>
        </w:tc>
      </w:tr>
      <w:tr w:rsidR="00B66CFA" w:rsidRPr="00B479AE" w14:paraId="764EEED4" w14:textId="77777777" w:rsidTr="00B66CFA">
        <w:trPr>
          <w:tblCellSpacing w:w="15" w:type="dxa"/>
        </w:trPr>
        <w:tc>
          <w:tcPr>
            <w:tcW w:w="0" w:type="auto"/>
            <w:vAlign w:val="center"/>
            <w:hideMark/>
          </w:tcPr>
          <w:p w14:paraId="33D756AB"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Intergenerational accountability</w:t>
            </w:r>
          </w:p>
        </w:tc>
        <w:tc>
          <w:tcPr>
            <w:tcW w:w="0" w:type="auto"/>
            <w:vAlign w:val="center"/>
            <w:hideMark/>
          </w:tcPr>
          <w:p w14:paraId="6724AFDE"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Remind the system that decisions affect children, future communities, future ecosystems, and future stewards.</w:t>
            </w:r>
          </w:p>
        </w:tc>
        <w:tc>
          <w:tcPr>
            <w:tcW w:w="0" w:type="auto"/>
            <w:vAlign w:val="center"/>
            <w:hideMark/>
          </w:tcPr>
          <w:p w14:paraId="057BB803"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Accountability is shared across the whole system.</w:t>
            </w:r>
          </w:p>
        </w:tc>
      </w:tr>
      <w:tr w:rsidR="00B66CFA" w:rsidRPr="00B479AE" w14:paraId="41EDCE96" w14:textId="77777777" w:rsidTr="00B66CFA">
        <w:trPr>
          <w:tblCellSpacing w:w="15" w:type="dxa"/>
        </w:trPr>
        <w:tc>
          <w:tcPr>
            <w:tcW w:w="0" w:type="auto"/>
            <w:vAlign w:val="center"/>
            <w:hideMark/>
          </w:tcPr>
          <w:p w14:paraId="4D2D2D81"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Living example</w:t>
            </w:r>
          </w:p>
        </w:tc>
        <w:tc>
          <w:tcPr>
            <w:tcW w:w="0" w:type="auto"/>
            <w:vAlign w:val="center"/>
            <w:hideMark/>
          </w:tcPr>
          <w:p w14:paraId="59379CAE"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Demonstrate through practice that regeneration, dignity, freedom, and governance coherence can coexist.</w:t>
            </w:r>
          </w:p>
        </w:tc>
        <w:tc>
          <w:tcPr>
            <w:tcW w:w="0" w:type="auto"/>
            <w:vAlign w:val="center"/>
            <w:hideMark/>
          </w:tcPr>
          <w:p w14:paraId="4582B1DA" w14:textId="77777777" w:rsidR="00B66CFA" w:rsidRPr="00B479AE" w:rsidRDefault="00B66CFA" w:rsidP="00B66CFA">
            <w:pPr>
              <w:spacing w:line="360" w:lineRule="auto"/>
              <w:rPr>
                <w:rFonts w:ascii="Baskerville Old Face" w:hAnsi="Baskerville Old Face"/>
                <w:i/>
                <w:iCs/>
                <w:sz w:val="20"/>
                <w:szCs w:val="20"/>
              </w:rPr>
            </w:pPr>
            <w:r w:rsidRPr="00B479AE">
              <w:rPr>
                <w:rFonts w:ascii="Baskerville Old Face" w:hAnsi="Baskerville Old Face"/>
                <w:i/>
                <w:iCs/>
                <w:sz w:val="20"/>
                <w:szCs w:val="20"/>
              </w:rPr>
              <w:t>Example persuades by integrity, not force.</w:t>
            </w:r>
          </w:p>
        </w:tc>
      </w:tr>
    </w:tbl>
    <w:p w14:paraId="5B1B3AE4" w14:textId="7471D8B9"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Limits of custodianship</w:t>
      </w:r>
    </w:p>
    <w:p w14:paraId="3EAF13F8"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Custodianship carries explicit limits.</w:t>
      </w:r>
    </w:p>
    <w:p w14:paraId="5D9DF472"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Founding custodians have:</w:t>
      </w:r>
    </w:p>
    <w:p w14:paraId="0FB7B413"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 no veto over ordinary governance;</w:t>
      </w:r>
      <w:r w:rsidRPr="00B479AE">
        <w:rPr>
          <w:rFonts w:ascii="Baskerville Old Face" w:hAnsi="Baskerville Old Face"/>
          <w:i/>
          <w:iCs/>
        </w:rPr>
        <w:br/>
        <w:t>• no privileged access to resources;</w:t>
      </w:r>
      <w:r w:rsidRPr="00B479AE">
        <w:rPr>
          <w:rFonts w:ascii="Baskerville Old Face" w:hAnsi="Baskerville Old Face"/>
          <w:i/>
          <w:iCs/>
        </w:rPr>
        <w:br/>
        <w:t>• no automatic financial entitlement;</w:t>
      </w:r>
      <w:r w:rsidRPr="00B479AE">
        <w:rPr>
          <w:rFonts w:ascii="Baskerville Old Face" w:hAnsi="Baskerville Old Face"/>
          <w:i/>
          <w:iCs/>
        </w:rPr>
        <w:br/>
        <w:t>• no immunity from governance review;</w:t>
      </w:r>
      <w:r w:rsidRPr="00B479AE">
        <w:rPr>
          <w:rFonts w:ascii="Baskerville Old Face" w:hAnsi="Baskerville Old Face"/>
          <w:i/>
          <w:iCs/>
        </w:rPr>
        <w:br/>
        <w:t>• no exemption from the Access Covenant;</w:t>
      </w:r>
      <w:r w:rsidRPr="00B479AE">
        <w:rPr>
          <w:rFonts w:ascii="Baskerville Old Face" w:hAnsi="Baskerville Old Face"/>
          <w:i/>
          <w:iCs/>
        </w:rPr>
        <w:br/>
        <w:t>• no authority to override MRV, legal review, or evidence discipline;</w:t>
      </w:r>
      <w:r w:rsidRPr="00B479AE">
        <w:rPr>
          <w:rFonts w:ascii="Baskerville Old Face" w:hAnsi="Baskerville Old Face"/>
          <w:i/>
          <w:iCs/>
        </w:rPr>
        <w:br/>
      </w:r>
      <w:r w:rsidRPr="00B479AE">
        <w:rPr>
          <w:rFonts w:ascii="Baskerville Old Face" w:hAnsi="Baskerville Old Face"/>
          <w:i/>
          <w:iCs/>
        </w:rPr>
        <w:lastRenderedPageBreak/>
        <w:t>• no right to convert founding status into centralized control;</w:t>
      </w:r>
      <w:r w:rsidRPr="00B479AE">
        <w:rPr>
          <w:rFonts w:ascii="Baskerville Old Face" w:hAnsi="Baskerville Old Face"/>
          <w:i/>
          <w:iCs/>
        </w:rPr>
        <w:br/>
        <w:t>• no power to amend or weaken the foundational articles or Eternity Clauses.</w:t>
      </w:r>
    </w:p>
    <w:p w14:paraId="1583FDA5"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A custodian participates like any other affirmed entity.</w:t>
      </w:r>
    </w:p>
    <w:p w14:paraId="03A65406"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difference is not rank.</w:t>
      </w:r>
    </w:p>
    <w:p w14:paraId="1EF21CAF"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difference is responsibility.</w:t>
      </w:r>
    </w:p>
    <w:p w14:paraId="49432962"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Accountability</w:t>
      </w:r>
    </w:p>
    <w:p w14:paraId="30977D34"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Custodians are accountable to:</w:t>
      </w:r>
    </w:p>
    <w:p w14:paraId="3EAAFD3F"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 current participants, who may challenge custodial action through ordinary governance;</w:t>
      </w:r>
      <w:r w:rsidRPr="00B479AE">
        <w:rPr>
          <w:rFonts w:ascii="Baskerville Old Face" w:hAnsi="Baskerville Old Face"/>
          <w:i/>
          <w:iCs/>
        </w:rPr>
        <w:br/>
        <w:t>• the foundational articles and Eternity Clauses;</w:t>
      </w:r>
      <w:r w:rsidRPr="00B479AE">
        <w:rPr>
          <w:rFonts w:ascii="Baskerville Old Face" w:hAnsi="Baskerville Old Face"/>
          <w:i/>
          <w:iCs/>
        </w:rPr>
        <w:br/>
        <w:t>• the Access Covenant;</w:t>
      </w:r>
      <w:r w:rsidRPr="00B479AE">
        <w:rPr>
          <w:rFonts w:ascii="Baskerville Old Face" w:hAnsi="Baskerville Old Face"/>
          <w:i/>
          <w:iCs/>
        </w:rPr>
        <w:br/>
        <w:t>• protocol stewardship and review procedures;</w:t>
      </w:r>
      <w:r w:rsidRPr="00B479AE">
        <w:rPr>
          <w:rFonts w:ascii="Baskerville Old Face" w:hAnsi="Baskerville Old Face"/>
          <w:i/>
          <w:iCs/>
        </w:rPr>
        <w:br/>
        <w:t>• affected communities and territories;</w:t>
      </w:r>
      <w:r w:rsidRPr="00B479AE">
        <w:rPr>
          <w:rFonts w:ascii="Baskerville Old Face" w:hAnsi="Baskerville Old Face"/>
          <w:i/>
          <w:iCs/>
        </w:rPr>
        <w:br/>
        <w:t>• the living systems Prometheus exists to serve;</w:t>
      </w:r>
      <w:r w:rsidRPr="00B479AE">
        <w:rPr>
          <w:rFonts w:ascii="Baskerville Old Face" w:hAnsi="Baskerville Old Face"/>
          <w:i/>
          <w:iCs/>
        </w:rPr>
        <w:br/>
        <w:t>• ancestors whose wisdom recognized the continuity between freedom, land, relationship, and responsibility;</w:t>
      </w:r>
      <w:r w:rsidRPr="00B479AE">
        <w:rPr>
          <w:rFonts w:ascii="Baskerville Old Face" w:hAnsi="Baskerville Old Face"/>
          <w:i/>
          <w:iCs/>
        </w:rPr>
        <w:br/>
        <w:t>• future generations who will inherit the consequences of present decisions.</w:t>
      </w:r>
    </w:p>
    <w:p w14:paraId="40C22D0F"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This accountability must remain practical.</w:t>
      </w:r>
    </w:p>
    <w:p w14:paraId="744763C0"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should be expressed through transparent records, reviewable actions, conflict-of-interest discipline, governance challenge pathways, and removal or suspension mechanisms where custodianship is abused.</w:t>
      </w:r>
    </w:p>
    <w:p w14:paraId="71CAABA4"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Custodianship failure</w:t>
      </w:r>
    </w:p>
    <w:p w14:paraId="18057FC9" w14:textId="1E9D7B13"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Custodianship can fail.</w:t>
      </w:r>
      <w:r w:rsidR="008B5776" w:rsidRPr="00B479AE">
        <w:rPr>
          <w:rFonts w:ascii="Baskerville Old Face" w:hAnsi="Baskerville Old Face"/>
          <w:i/>
          <w:iCs/>
        </w:rPr>
        <w:t xml:space="preserve"> </w:t>
      </w:r>
      <w:r w:rsidRPr="00B479AE">
        <w:rPr>
          <w:rFonts w:ascii="Baskerville Old Face" w:hAnsi="Baskerville Old Face"/>
          <w:i/>
          <w:iCs/>
        </w:rPr>
        <w:t>It fails when a custodian:</w:t>
      </w:r>
    </w:p>
    <w:p w14:paraId="26040D66"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 uses memory to block valid evolution;</w:t>
      </w:r>
      <w:r w:rsidRPr="00B479AE">
        <w:rPr>
          <w:rFonts w:ascii="Baskerville Old Face" w:hAnsi="Baskerville Old Face"/>
          <w:i/>
          <w:iCs/>
        </w:rPr>
        <w:br/>
        <w:t>• uses symbolic status to dominate governance;</w:t>
      </w:r>
      <w:r w:rsidRPr="00B479AE">
        <w:rPr>
          <w:rFonts w:ascii="Baskerville Old Face" w:hAnsi="Baskerville Old Face"/>
          <w:i/>
          <w:iCs/>
        </w:rPr>
        <w:br/>
        <w:t>• converts founding role into entitlement;</w:t>
      </w:r>
      <w:r w:rsidRPr="00B479AE">
        <w:rPr>
          <w:rFonts w:ascii="Baskerville Old Face" w:hAnsi="Baskerville Old Face"/>
          <w:i/>
          <w:iCs/>
        </w:rPr>
        <w:br/>
        <w:t>• protects identity rather than integrity;</w:t>
      </w:r>
      <w:r w:rsidRPr="00B479AE">
        <w:rPr>
          <w:rFonts w:ascii="Baskerville Old Face" w:hAnsi="Baskerville Old Face"/>
          <w:i/>
          <w:iCs/>
        </w:rPr>
        <w:br/>
        <w:t>• ignores evidence;</w:t>
      </w:r>
      <w:r w:rsidRPr="00B479AE">
        <w:rPr>
          <w:rFonts w:ascii="Baskerville Old Face" w:hAnsi="Baskerville Old Face"/>
          <w:i/>
          <w:iCs/>
        </w:rPr>
        <w:br/>
        <w:t>• supports extraction under regenerative language;</w:t>
      </w:r>
      <w:r w:rsidRPr="00B479AE">
        <w:rPr>
          <w:rFonts w:ascii="Baskerville Old Face" w:hAnsi="Baskerville Old Face"/>
          <w:i/>
          <w:iCs/>
        </w:rPr>
        <w:br/>
      </w:r>
      <w:r w:rsidRPr="00B479AE">
        <w:rPr>
          <w:rFonts w:ascii="Baskerville Old Face" w:hAnsi="Baskerville Old Face"/>
          <w:i/>
          <w:iCs/>
        </w:rPr>
        <w:lastRenderedPageBreak/>
        <w:t>• weakens the Access Covenant;</w:t>
      </w:r>
      <w:r w:rsidRPr="00B479AE">
        <w:rPr>
          <w:rFonts w:ascii="Baskerville Old Face" w:hAnsi="Baskerville Old Face"/>
          <w:i/>
          <w:iCs/>
        </w:rPr>
        <w:br/>
        <w:t>• confuses loyalty to origin with fidelity to life.</w:t>
      </w:r>
    </w:p>
    <w:p w14:paraId="0482D18F"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When this happens, the system must treat custodial action like any other governance risk.</w:t>
      </w:r>
    </w:p>
    <w:p w14:paraId="29AE03B6"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It may require review, limitation, suspension, replacement, or constitutional governance response according to the relevant rules.</w:t>
      </w:r>
    </w:p>
    <w:p w14:paraId="13D12FC4" w14:textId="2AA4BFBC"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The vision and its guardians</w:t>
      </w:r>
    </w:p>
    <w:p w14:paraId="5B223317"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founding vision of Prometheus emerged from the recognition that the deepest form of freedom is not separation from life, but participation in life without capture.</w:t>
      </w:r>
    </w:p>
    <w:p w14:paraId="4A0EDEB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To be free to love, create, grow, steward, learn, coordinate, and belong requires both a living world and infrastructures that do not convert belonging into dependency.</w:t>
      </w:r>
    </w:p>
    <w:p w14:paraId="3783A2E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role of founding custodians is to hold this recognition in trust.</w:t>
      </w:r>
    </w:p>
    <w:p w14:paraId="500DFC4B"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Their role is not to have the last word.</w:t>
      </w:r>
    </w:p>
    <w:p w14:paraId="4394AACE"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Their role is to ensure that the first word is not forgotten:</w:t>
      </w:r>
    </w:p>
    <w:p w14:paraId="39696758" w14:textId="73102DD0"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Life.</w:t>
      </w:r>
    </w:p>
    <w:p w14:paraId="53AC5B9F" w14:textId="4B7A5FD3"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b/>
          <w:bCs/>
          <w:i/>
          <w:iCs/>
        </w:rPr>
        <w:t>The source of the founding vision</w:t>
      </w:r>
    </w:p>
    <w:p w14:paraId="1643CB97"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 xml:space="preserve">The founding vision of Prometheus can be traced to a single source — </w:t>
      </w:r>
      <w:proofErr w:type="spellStart"/>
      <w:r w:rsidRPr="00B479AE">
        <w:rPr>
          <w:rFonts w:ascii="MS Gothic" w:eastAsia="MS Gothic" w:hAnsi="MS Gothic" w:cs="MS Gothic" w:hint="eastAsia"/>
          <w:i/>
          <w:iCs/>
        </w:rPr>
        <w:t>源</w:t>
      </w:r>
      <w:r w:rsidRPr="00B479AE">
        <w:rPr>
          <w:rFonts w:ascii="Microsoft JhengHei" w:eastAsia="Microsoft JhengHei" w:hAnsi="Microsoft JhengHei" w:cs="Microsoft JhengHei" w:hint="eastAsia"/>
          <w:i/>
          <w:iCs/>
        </w:rPr>
        <w:t>头</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yuántóu</w:t>
      </w:r>
      <w:proofErr w:type="spellEnd"/>
      <w:r w:rsidRPr="00B479AE">
        <w:rPr>
          <w:rFonts w:ascii="Baskerville Old Face" w:hAnsi="Baskerville Old Face"/>
          <w:i/>
          <w:iCs/>
        </w:rPr>
        <w:t>: the recognition that the deepest human desire for freedom is not separation from life, but belonging without capture.</w:t>
      </w:r>
    </w:p>
    <w:p w14:paraId="41E617C1"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To be free to love, create, grow, connect, choose, steward, and participate requires both a living world to belong to and infrastructures that do not mediate belonging through domination.</w:t>
      </w:r>
    </w:p>
    <w:p w14:paraId="332A0DE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two flames may be carried, witnessed, and protected by founding communities, but they are not owned by them.</w:t>
      </w:r>
    </w:p>
    <w:p w14:paraId="6F64E329"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Behavioral sovereignty and biological-digital sovereignty are not private inheritances.</w:t>
      </w:r>
    </w:p>
    <w:p w14:paraId="0C6B803A"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They are constitutional responsibilities held in trust for all future participants.</w:t>
      </w:r>
    </w:p>
    <w:p w14:paraId="1322ECF1"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Their role is to keep visible that freedom is not merely the absence of constraint.</w:t>
      </w:r>
    </w:p>
    <w:p w14:paraId="3DE8920C"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lastRenderedPageBreak/>
        <w:t>Freedom is the capacity to participate in life-enhancing systems without surrendering dignity, agency, context, or relationship.</w:t>
      </w:r>
    </w:p>
    <w:p w14:paraId="1BAE71E3" w14:textId="046E03DE"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The constitution remains the authority.</w:t>
      </w:r>
    </w:p>
    <w:p w14:paraId="0E53DFEB"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Evidence remains the discipline.</w:t>
      </w:r>
    </w:p>
    <w:p w14:paraId="42C1F4AA"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Governance remains the pathway.</w:t>
      </w:r>
    </w:p>
    <w:p w14:paraId="25D403BD" w14:textId="77777777" w:rsidR="00B66CFA" w:rsidRPr="00B479AE" w:rsidRDefault="00B66CFA" w:rsidP="00B66CFA">
      <w:pPr>
        <w:spacing w:line="360" w:lineRule="auto"/>
        <w:rPr>
          <w:rFonts w:ascii="Baskerville Old Face" w:hAnsi="Baskerville Old Face"/>
          <w:i/>
          <w:iCs/>
        </w:rPr>
      </w:pPr>
      <w:r w:rsidRPr="00B479AE">
        <w:rPr>
          <w:rFonts w:ascii="Baskerville Old Face" w:hAnsi="Baskerville Old Face"/>
          <w:i/>
          <w:iCs/>
        </w:rPr>
        <w:t>Custodianship remains service.</w:t>
      </w:r>
    </w:p>
    <w:p w14:paraId="571ED25A" w14:textId="12544B2B"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b/>
          <w:bCs/>
          <w:i/>
          <w:iCs/>
        </w:rPr>
        <w:t>4: Ordinary Governance vs. Constitutional Amendment</w:t>
      </w:r>
    </w:p>
    <w:p w14:paraId="5478A40E"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The Prometheus constitution distinguishes clearly between ordinary governance, constitutional amendment, and eternity-clause protection.</w:t>
      </w:r>
    </w:p>
    <w:p w14:paraId="333A935D"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This distinction is essential.</w:t>
      </w:r>
    </w:p>
    <w:p w14:paraId="69342E4D"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A living governance system must be able to make decisions, allocate resources, approve projects, resolve disputes, update procedures, and adapt to new conditions.</w:t>
      </w:r>
    </w:p>
    <w:p w14:paraId="11E11FCF"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At the same time, it must not allow ordinary governance to alter the constitutional identity of the system.</w:t>
      </w:r>
    </w:p>
    <w:p w14:paraId="048E07E4"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Prometheus therefore separates three levels of authority.</w:t>
      </w:r>
    </w:p>
    <w:p w14:paraId="57D17870" w14:textId="6F98396C" w:rsidR="00D231EE" w:rsidRPr="00B479AE" w:rsidRDefault="003B4CEA" w:rsidP="00D231EE">
      <w:pPr>
        <w:spacing w:line="360" w:lineRule="auto"/>
        <w:rPr>
          <w:rFonts w:ascii="Baskerville Old Face" w:hAnsi="Baskerville Old Face"/>
          <w:i/>
          <w:iCs/>
        </w:rPr>
      </w:pPr>
      <w:r>
        <w:rPr>
          <w:rFonts w:ascii="Baskerville Old Face" w:hAnsi="Baskerville Old Face"/>
          <w:b/>
          <w:bCs/>
          <w:i/>
          <w:iCs/>
        </w:rPr>
        <w:t>4.</w:t>
      </w:r>
      <w:r w:rsidR="00D231EE" w:rsidRPr="00B479AE">
        <w:rPr>
          <w:rFonts w:ascii="Baskerville Old Face" w:hAnsi="Baskerville Old Face"/>
          <w:b/>
          <w:bCs/>
          <w:i/>
          <w:iCs/>
        </w:rPr>
        <w:t>1 Ordinary governance</w:t>
      </w:r>
    </w:p>
    <w:p w14:paraId="1A064CE3"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Ordinary governance concerns operational, policy, resource-allocation, project-approval, circle-specific, stewardship, methodological, or implementation decisions that do not alter the foundational identity of Prometheus.</w:t>
      </w:r>
    </w:p>
    <w:p w14:paraId="7EC05F07"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Ordinary governance may include:</w:t>
      </w:r>
    </w:p>
    <w:p w14:paraId="350A8315"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 project approval;</w:t>
      </w:r>
      <w:r w:rsidRPr="00B479AE">
        <w:rPr>
          <w:rFonts w:ascii="Baskerville Old Face" w:hAnsi="Baskerville Old Face"/>
          <w:i/>
          <w:iCs/>
        </w:rPr>
        <w:br/>
        <w:t>• resource allocation;</w:t>
      </w:r>
      <w:r w:rsidRPr="00B479AE">
        <w:rPr>
          <w:rFonts w:ascii="Baskerville Old Face" w:hAnsi="Baskerville Old Face"/>
          <w:i/>
          <w:iCs/>
        </w:rPr>
        <w:br/>
        <w:t>• circle-specific governance;</w:t>
      </w:r>
      <w:r w:rsidRPr="00B479AE">
        <w:rPr>
          <w:rFonts w:ascii="Baskerville Old Face" w:hAnsi="Baskerville Old Face"/>
          <w:i/>
          <w:iCs/>
        </w:rPr>
        <w:br/>
        <w:t>• operating procedures;</w:t>
      </w:r>
      <w:r w:rsidRPr="00B479AE">
        <w:rPr>
          <w:rFonts w:ascii="Baskerville Old Face" w:hAnsi="Baskerville Old Face"/>
          <w:i/>
          <w:iCs/>
        </w:rPr>
        <w:br/>
        <w:t>• pilot progression decisions;</w:t>
      </w:r>
      <w:r w:rsidRPr="00B479AE">
        <w:rPr>
          <w:rFonts w:ascii="Baskerville Old Face" w:hAnsi="Baskerville Old Face"/>
          <w:i/>
          <w:iCs/>
        </w:rPr>
        <w:br/>
        <w:t>• stewardship coordination;</w:t>
      </w:r>
      <w:r w:rsidRPr="00B479AE">
        <w:rPr>
          <w:rFonts w:ascii="Baskerville Old Face" w:hAnsi="Baskerville Old Face"/>
          <w:i/>
          <w:iCs/>
        </w:rPr>
        <w:br/>
      </w:r>
      <w:r w:rsidRPr="00B479AE">
        <w:rPr>
          <w:rFonts w:ascii="Baskerville Old Face" w:hAnsi="Baskerville Old Face"/>
          <w:i/>
          <w:iCs/>
        </w:rPr>
        <w:lastRenderedPageBreak/>
        <w:t>• methodology refinements within approved boundaries;</w:t>
      </w:r>
      <w:r w:rsidRPr="00B479AE">
        <w:rPr>
          <w:rFonts w:ascii="Baskerville Old Face" w:hAnsi="Baskerville Old Face"/>
          <w:i/>
          <w:iCs/>
        </w:rPr>
        <w:br/>
        <w:t>• MRV implementation details;</w:t>
      </w:r>
      <w:r w:rsidRPr="00B479AE">
        <w:rPr>
          <w:rFonts w:ascii="Baskerville Old Face" w:hAnsi="Baskerville Old Face"/>
          <w:i/>
          <w:iCs/>
        </w:rPr>
        <w:br/>
        <w:t>• dashboard or reporting improvements;</w:t>
      </w:r>
      <w:r w:rsidRPr="00B479AE">
        <w:rPr>
          <w:rFonts w:ascii="Baskerville Old Face" w:hAnsi="Baskerville Old Face"/>
          <w:i/>
          <w:iCs/>
        </w:rPr>
        <w:br/>
        <w:t>• role assignments;</w:t>
      </w:r>
      <w:r w:rsidRPr="00B479AE">
        <w:rPr>
          <w:rFonts w:ascii="Baskerville Old Face" w:hAnsi="Baskerville Old Face"/>
          <w:i/>
          <w:iCs/>
        </w:rPr>
        <w:br/>
        <w:t>• dispute resolution;</w:t>
      </w:r>
      <w:r w:rsidRPr="00B479AE">
        <w:rPr>
          <w:rFonts w:ascii="Baskerville Old Face" w:hAnsi="Baskerville Old Face"/>
          <w:i/>
          <w:iCs/>
        </w:rPr>
        <w:br/>
        <w:t>• ordinary treasury or budget decisions;</w:t>
      </w:r>
      <w:r w:rsidRPr="00B479AE">
        <w:rPr>
          <w:rFonts w:ascii="Baskerville Old Face" w:hAnsi="Baskerville Old Face"/>
          <w:i/>
          <w:iCs/>
        </w:rPr>
        <w:br/>
        <w:t>• deployment sequencing;</w:t>
      </w:r>
      <w:r w:rsidRPr="00B479AE">
        <w:rPr>
          <w:rFonts w:ascii="Baskerville Old Face" w:hAnsi="Baskerville Old Face"/>
          <w:i/>
          <w:iCs/>
        </w:rPr>
        <w:br/>
        <w:t>• partner onboarding within existing rules.</w:t>
      </w:r>
    </w:p>
    <w:p w14:paraId="6F539A10"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 xml:space="preserve">Ordinary governance may be conducted through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consent, Stewardship Circles, protocol stewardship, DAO-compatible processes, or other approved governance mechanisms.</w:t>
      </w:r>
    </w:p>
    <w:p w14:paraId="754A450E"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TRBK-based or token-mediated participation may support ordinary governance where legally and functionally appropriate, provided that:</w:t>
      </w:r>
    </w:p>
    <w:p w14:paraId="34130106" w14:textId="0C1773A8" w:rsidR="00D5008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 the participant has entered into the Access Covenant;</w:t>
      </w:r>
      <w:r w:rsidRPr="00B479AE">
        <w:rPr>
          <w:rFonts w:ascii="Baskerville Old Face" w:hAnsi="Baskerville Old Face"/>
          <w:i/>
          <w:iCs/>
        </w:rPr>
        <w:br/>
        <w:t>• the token or credential is whitelisted for the relevant domain;</w:t>
      </w:r>
      <w:r w:rsidRPr="00B479AE">
        <w:rPr>
          <w:rFonts w:ascii="Baskerville Old Face" w:hAnsi="Baskerville Old Face"/>
          <w:i/>
          <w:iCs/>
        </w:rPr>
        <w:br/>
        <w:t>• the process remains within the participant’s valid governance scope;</w:t>
      </w:r>
      <w:r w:rsidRPr="00B479AE">
        <w:rPr>
          <w:rFonts w:ascii="Baskerville Old Face" w:hAnsi="Baskerville Old Face"/>
          <w:i/>
          <w:iCs/>
        </w:rPr>
        <w:br/>
        <w:t>• participation does not create financial entitlement unless separately and legally structured;</w:t>
      </w:r>
      <w:r w:rsidRPr="00B479AE">
        <w:rPr>
          <w:rFonts w:ascii="Baskerville Old Face" w:hAnsi="Baskerville Old Face"/>
          <w:i/>
          <w:iCs/>
        </w:rPr>
        <w:br/>
        <w:t>• governance rights remain distinct from PRU value, land rights, investor rights, and cash-flow rights;</w:t>
      </w:r>
      <w:r w:rsidRPr="00B479AE">
        <w:rPr>
          <w:rFonts w:ascii="Baskerville Old Face" w:hAnsi="Baskerville Old Face"/>
          <w:i/>
          <w:iCs/>
        </w:rPr>
        <w:br/>
        <w:t xml:space="preserve">• the decision does not violate foundational articles, Eternity Clauses, legal boundaries, MRV discipline, or </w:t>
      </w:r>
      <w:r w:rsidR="00D5008E" w:rsidRPr="00B479AE">
        <w:rPr>
          <w:rFonts w:ascii="Baskerville Old Face" w:hAnsi="Baskerville Old Face"/>
          <w:i/>
          <w:iCs/>
        </w:rPr>
        <w:t>source-layer constraints and implementation rules where applicable.</w:t>
      </w:r>
    </w:p>
    <w:p w14:paraId="1399B57F"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Ordinary governance is adaptive.</w:t>
      </w:r>
    </w:p>
    <w:p w14:paraId="0AD48409"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It allows Prometheus to learn.</w:t>
      </w:r>
    </w:p>
    <w:p w14:paraId="15D9F7E8"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It does not allow Prometheus to forget what it is.</w:t>
      </w:r>
    </w:p>
    <w:p w14:paraId="0BDAC6A8" w14:textId="7075BB1D" w:rsidR="003B4CEA" w:rsidRPr="003B4CEA" w:rsidRDefault="003B4CEA" w:rsidP="003B4CEA">
      <w:pPr>
        <w:spacing w:line="360" w:lineRule="auto"/>
        <w:rPr>
          <w:rFonts w:ascii="Baskerville Old Face" w:hAnsi="Baskerville Old Face"/>
          <w:b/>
          <w:bCs/>
          <w:i/>
          <w:iCs/>
        </w:rPr>
      </w:pPr>
      <w:r>
        <w:rPr>
          <w:rFonts w:ascii="Baskerville Old Face" w:hAnsi="Baskerville Old Face"/>
          <w:b/>
          <w:bCs/>
          <w:i/>
          <w:iCs/>
        </w:rPr>
        <w:t>4.</w:t>
      </w:r>
      <w:r w:rsidRPr="003B4CEA">
        <w:rPr>
          <w:rFonts w:ascii="Baskerville Old Face" w:hAnsi="Baskerville Old Face"/>
          <w:b/>
          <w:bCs/>
          <w:i/>
          <w:iCs/>
        </w:rPr>
        <w:t>2 Constitutional amendment</w:t>
      </w:r>
    </w:p>
    <w:p w14:paraId="6303C2AB"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Constitutional amendment concerns proposed changes to the foundational governance architecture of Prometheus.</w:t>
      </w:r>
    </w:p>
    <w:p w14:paraId="224FF756"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This includes material changes to:</w:t>
      </w:r>
    </w:p>
    <w:p w14:paraId="70D05037"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Articles I–XV of the Syntropic Constitutional Article Registry;</w:t>
      </w:r>
    </w:p>
    <w:p w14:paraId="02A2541B"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the foundational source-layer principles defined by Articles I–XIII;</w:t>
      </w:r>
    </w:p>
    <w:p w14:paraId="288148AE"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lastRenderedPageBreak/>
        <w:t>• the extended constitutional provisions defined by Articles XIV and XV;</w:t>
      </w:r>
    </w:p>
    <w:p w14:paraId="02CE0FE3"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constitutional definitions;</w:t>
      </w:r>
    </w:p>
    <w:p w14:paraId="36442552"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Access Covenant structure;</w:t>
      </w:r>
    </w:p>
    <w:p w14:paraId="6F589AEC"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amendment procedures;</w:t>
      </w:r>
    </w:p>
    <w:p w14:paraId="353C424D"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governance authority boundaries;</w:t>
      </w:r>
    </w:p>
    <w:p w14:paraId="63C85378"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PRU / RAP / TRBK / HSI / MRV semantic boundaries;</w:t>
      </w:r>
    </w:p>
    <w:p w14:paraId="17371816"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source-layer non-</w:t>
      </w:r>
      <w:proofErr w:type="spellStart"/>
      <w:r w:rsidRPr="003B4CEA">
        <w:rPr>
          <w:rFonts w:ascii="Baskerville Old Face" w:hAnsi="Baskerville Old Face"/>
          <w:i/>
          <w:iCs/>
        </w:rPr>
        <w:t>bypassability</w:t>
      </w:r>
      <w:proofErr w:type="spellEnd"/>
      <w:r w:rsidRPr="003B4CEA">
        <w:rPr>
          <w:rFonts w:ascii="Baskerville Old Face" w:hAnsi="Baskerville Old Face"/>
          <w:i/>
          <w:iCs/>
        </w:rPr>
        <w:t xml:space="preserve"> rules;</w:t>
      </w:r>
    </w:p>
    <w:p w14:paraId="37A3B047"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kernel execution constraints;</w:t>
      </w:r>
    </w:p>
    <w:p w14:paraId="1DAE54AF"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methodology governance;</w:t>
      </w:r>
    </w:p>
    <w:p w14:paraId="43F37C97"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constitutional release procedures;</w:t>
      </w:r>
    </w:p>
    <w:p w14:paraId="6EFF7D7A"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 rights, responsibilities, and participation architecture.</w:t>
      </w:r>
    </w:p>
    <w:p w14:paraId="5A7D9C3E"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Constitutional amendments are acts of constituent governance, not ordinary administration.</w:t>
      </w:r>
    </w:p>
    <w:p w14:paraId="1FDFD828"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They require a higher threshold of review, transparency, deliberation, and legitimacy.</w:t>
      </w:r>
    </w:p>
    <w:p w14:paraId="69744401"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A valid amendment pathway should include:</w:t>
      </w:r>
    </w:p>
    <w:p w14:paraId="2C61D386"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proposal</w:t>
      </w:r>
    </w:p>
    <w:p w14:paraId="3FFC8A81"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impact analysis</w:t>
      </w:r>
    </w:p>
    <w:p w14:paraId="565A5400"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constitutional compatibility review</w:t>
      </w:r>
    </w:p>
    <w:p w14:paraId="6255555F"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risk classification</w:t>
      </w:r>
    </w:p>
    <w:p w14:paraId="7EB90163"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legal and compliance review where relevant</w:t>
      </w:r>
    </w:p>
    <w:p w14:paraId="1A77380A"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protocol steward review</w:t>
      </w:r>
    </w:p>
    <w:p w14:paraId="6AADA1E2"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stakeholder or community review where appropriate</w:t>
      </w:r>
    </w:p>
    <w:p w14:paraId="22285B88"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governance deliberation</w:t>
      </w:r>
    </w:p>
    <w:p w14:paraId="014C30A0"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lastRenderedPageBreak/>
        <w:t>versioned approval</w:t>
      </w:r>
    </w:p>
    <w:p w14:paraId="62F210C9"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canonical release update</w:t>
      </w:r>
    </w:p>
    <w:p w14:paraId="7B7AE4BB"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audit trail</w:t>
      </w:r>
    </w:p>
    <w:p w14:paraId="34A5CCF3"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rollback or correction pathway where feasible.</w:t>
      </w:r>
    </w:p>
    <w:p w14:paraId="57B45939"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No constitutional amendment is valid merely because it passes a vote.</w:t>
      </w:r>
    </w:p>
    <w:p w14:paraId="3CCFBC78"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A vote is not enough.</w:t>
      </w:r>
    </w:p>
    <w:p w14:paraId="087E1C7E"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A governance majority is not enough.</w:t>
      </w:r>
    </w:p>
    <w:p w14:paraId="6917B988"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Token-weighted support is not enough.</w:t>
      </w:r>
    </w:p>
    <w:p w14:paraId="4E35733E"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Model-generated justification is not enough.</w:t>
      </w:r>
    </w:p>
    <w:p w14:paraId="7392ED62"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Investor pressure is not enough.</w:t>
      </w:r>
    </w:p>
    <w:p w14:paraId="66A9BCF7"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Operational urgency is not enough.</w:t>
      </w:r>
    </w:p>
    <w:p w14:paraId="18C32D05" w14:textId="77777777" w:rsidR="003B4CEA" w:rsidRPr="003B4CEA" w:rsidRDefault="003B4CEA" w:rsidP="003B4CEA">
      <w:pPr>
        <w:spacing w:line="360" w:lineRule="auto"/>
        <w:rPr>
          <w:rFonts w:ascii="Baskerville Old Face" w:hAnsi="Baskerville Old Face"/>
          <w:i/>
          <w:iCs/>
        </w:rPr>
      </w:pPr>
      <w:r w:rsidRPr="003B4CEA">
        <w:rPr>
          <w:rFonts w:ascii="Baskerville Old Face" w:hAnsi="Baskerville Old Face"/>
          <w:i/>
          <w:iCs/>
        </w:rPr>
        <w:t>A constitutional amendment is valid only when it preserves the constitutional identity of Prometheus.</w:t>
      </w:r>
    </w:p>
    <w:p w14:paraId="25D9AAD7" w14:textId="08D1B768" w:rsidR="00D231EE" w:rsidRPr="00B479AE" w:rsidRDefault="003B4CEA" w:rsidP="00D231EE">
      <w:pPr>
        <w:spacing w:line="360" w:lineRule="auto"/>
        <w:rPr>
          <w:rFonts w:ascii="Baskerville Old Face" w:hAnsi="Baskerville Old Face"/>
          <w:i/>
          <w:iCs/>
        </w:rPr>
      </w:pPr>
      <w:r>
        <w:rPr>
          <w:rFonts w:ascii="Baskerville Old Face" w:hAnsi="Baskerville Old Face"/>
          <w:b/>
          <w:bCs/>
          <w:i/>
          <w:iCs/>
        </w:rPr>
        <w:t>4.</w:t>
      </w:r>
      <w:r w:rsidR="00D231EE" w:rsidRPr="00B479AE">
        <w:rPr>
          <w:rFonts w:ascii="Baskerville Old Face" w:hAnsi="Baskerville Old Face"/>
          <w:b/>
          <w:bCs/>
          <w:i/>
          <w:iCs/>
        </w:rPr>
        <w:t>3 Eternity-clause protection</w:t>
      </w:r>
    </w:p>
    <w:p w14:paraId="76D295D0"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The Eternity Clauses are not ordinary constitutional provisions.</w:t>
      </w:r>
    </w:p>
    <w:p w14:paraId="07CA55FC"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They are non-amendable source-layer constraints.</w:t>
      </w:r>
    </w:p>
    <w:p w14:paraId="78515D1D"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They cannot be amended, repealed, inverted, bypassed, suspended, diluted, or overridden by:</w:t>
      </w:r>
    </w:p>
    <w:p w14:paraId="646E270E"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ordinary governance;</w:t>
      </w:r>
    </w:p>
    <w:p w14:paraId="70DD384C"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constitutional amendment;</w:t>
      </w:r>
    </w:p>
    <w:p w14:paraId="71C5B13E"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emergency procedure;</w:t>
      </w:r>
    </w:p>
    <w:p w14:paraId="482D9E9E"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consent;</w:t>
      </w:r>
    </w:p>
    <w:p w14:paraId="192B006C"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token vote;</w:t>
      </w:r>
    </w:p>
    <w:p w14:paraId="21BBEDBA"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investor requirement;</w:t>
      </w:r>
    </w:p>
    <w:p w14:paraId="419BBEC7"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lastRenderedPageBreak/>
        <w:t>• legal wrapper;</w:t>
      </w:r>
    </w:p>
    <w:p w14:paraId="0EF2B9B4"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protocol upgrade;</w:t>
      </w:r>
    </w:p>
    <w:p w14:paraId="10CAE6F7"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AI model output;</w:t>
      </w:r>
    </w:p>
    <w:p w14:paraId="530B4A86"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autonomous agent action;</w:t>
      </w:r>
    </w:p>
    <w:p w14:paraId="7336EABE"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market demand;</w:t>
      </w:r>
    </w:p>
    <w:p w14:paraId="1CD862BA"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 operational convenience.</w:t>
      </w:r>
    </w:p>
    <w:p w14:paraId="34503C08"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The reason is structural.</w:t>
      </w:r>
    </w:p>
    <w:p w14:paraId="051BDD2C"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The Eternity Clauses do not create the living-system reality on which Prometheus depends.</w:t>
      </w:r>
    </w:p>
    <w:p w14:paraId="1900816E"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They recognize it, protect it, and prevent governance mechanisms from overriding it.</w:t>
      </w:r>
    </w:p>
    <w:p w14:paraId="43722563"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No governance mechanism can validly authorize the destruction of the living foundations that make the system meaningful.</w:t>
      </w:r>
    </w:p>
    <w:p w14:paraId="0D112B4C"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No token vote can convert unverified narrative into value.</w:t>
      </w:r>
    </w:p>
    <w:p w14:paraId="66B6BE66"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No market demand can override evidence.</w:t>
      </w:r>
    </w:p>
    <w:p w14:paraId="0BB34D50"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No intelligence system can replace the constitutional source layer and still act as Prometheus.</w:t>
      </w:r>
    </w:p>
    <w:p w14:paraId="78A9AC02"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Any action that violates the Eternity Clauses is invalid within Prometheus protected pathways.</w:t>
      </w:r>
    </w:p>
    <w:p w14:paraId="2038C08A" w14:textId="77777777" w:rsidR="009960AF" w:rsidRPr="00B479AE" w:rsidRDefault="009960AF" w:rsidP="009960AF">
      <w:pPr>
        <w:spacing w:line="360" w:lineRule="auto"/>
        <w:rPr>
          <w:rFonts w:ascii="Baskerville Old Face" w:hAnsi="Baskerville Old Face"/>
          <w:i/>
          <w:iCs/>
        </w:rPr>
      </w:pPr>
      <w:r w:rsidRPr="00B479AE">
        <w:rPr>
          <w:rFonts w:ascii="Baskerville Old Face" w:hAnsi="Baskerville Old Face"/>
          <w:i/>
          <w:iCs/>
        </w:rPr>
        <w:t>Its correct status is non-admissible, non-executable, rejected, quarantined, or escalated to constitutional governance review according to the relevant control pathway.</w:t>
      </w:r>
    </w:p>
    <w:p w14:paraId="6363C1F7" w14:textId="231C1EAE" w:rsidR="00D231EE" w:rsidRPr="00B479AE" w:rsidRDefault="003B4CEA" w:rsidP="00D231EE">
      <w:pPr>
        <w:spacing w:line="360" w:lineRule="auto"/>
        <w:rPr>
          <w:rFonts w:ascii="Baskerville Old Face" w:hAnsi="Baskerville Old Face"/>
          <w:i/>
          <w:iCs/>
        </w:rPr>
      </w:pPr>
      <w:r>
        <w:rPr>
          <w:rFonts w:ascii="Baskerville Old Face" w:hAnsi="Baskerville Old Face"/>
          <w:b/>
          <w:bCs/>
          <w:i/>
          <w:iCs/>
        </w:rPr>
        <w:t>4.</w:t>
      </w:r>
      <w:r w:rsidR="00D231EE" w:rsidRPr="00B479AE">
        <w:rPr>
          <w:rFonts w:ascii="Baskerville Old Face" w:hAnsi="Baskerville Old Face"/>
          <w:b/>
          <w:bCs/>
          <w:i/>
          <w:iCs/>
        </w:rPr>
        <w:t>4 Conflict hierarchy</w:t>
      </w:r>
    </w:p>
    <w:p w14:paraId="05151027" w14:textId="77777777" w:rsidR="00D231EE" w:rsidRDefault="00D231EE" w:rsidP="00D231EE">
      <w:pPr>
        <w:spacing w:line="360" w:lineRule="auto"/>
        <w:rPr>
          <w:rFonts w:ascii="Baskerville Old Face" w:hAnsi="Baskerville Old Face"/>
          <w:i/>
          <w:iCs/>
        </w:rPr>
      </w:pPr>
      <w:r w:rsidRPr="00B479AE">
        <w:rPr>
          <w:rFonts w:ascii="Baskerville Old Face" w:hAnsi="Baskerville Old Face"/>
          <w:i/>
          <w:iCs/>
        </w:rPr>
        <w:t>When governance levels conflict, the hierarchy is:</w:t>
      </w:r>
    </w:p>
    <w:p w14:paraId="485A240D" w14:textId="77777777" w:rsidR="003B4CEA" w:rsidRPr="00B479AE" w:rsidRDefault="003B4CEA" w:rsidP="00D231EE">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4448"/>
        <w:gridCol w:w="3357"/>
      </w:tblGrid>
      <w:tr w:rsidR="00D231EE" w:rsidRPr="00B479AE" w14:paraId="7777E829" w14:textId="77777777" w:rsidTr="00D231EE">
        <w:trPr>
          <w:tblHeader/>
          <w:tblCellSpacing w:w="15" w:type="dxa"/>
        </w:trPr>
        <w:tc>
          <w:tcPr>
            <w:tcW w:w="0" w:type="auto"/>
            <w:vAlign w:val="center"/>
            <w:hideMark/>
          </w:tcPr>
          <w:p w14:paraId="14195F78" w14:textId="77777777" w:rsidR="00D231EE" w:rsidRPr="00B479AE" w:rsidRDefault="00D231EE" w:rsidP="00D231E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Governance level</w:t>
            </w:r>
          </w:p>
        </w:tc>
        <w:tc>
          <w:tcPr>
            <w:tcW w:w="0" w:type="auto"/>
            <w:vAlign w:val="center"/>
            <w:hideMark/>
          </w:tcPr>
          <w:p w14:paraId="2C703405" w14:textId="77777777" w:rsidR="00D231EE" w:rsidRPr="00B479AE" w:rsidRDefault="00D231EE" w:rsidP="00D231E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w:t>
            </w:r>
          </w:p>
        </w:tc>
        <w:tc>
          <w:tcPr>
            <w:tcW w:w="0" w:type="auto"/>
            <w:vAlign w:val="center"/>
            <w:hideMark/>
          </w:tcPr>
          <w:p w14:paraId="67886AD9" w14:textId="77777777" w:rsidR="00D231EE" w:rsidRPr="00B479AE" w:rsidRDefault="00D231EE" w:rsidP="00D231E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Limit</w:t>
            </w:r>
          </w:p>
        </w:tc>
      </w:tr>
      <w:tr w:rsidR="00D231EE" w:rsidRPr="00B479AE" w14:paraId="6378E3CC" w14:textId="77777777" w:rsidTr="00D231EE">
        <w:trPr>
          <w:tblCellSpacing w:w="15" w:type="dxa"/>
        </w:trPr>
        <w:tc>
          <w:tcPr>
            <w:tcW w:w="0" w:type="auto"/>
            <w:vAlign w:val="center"/>
            <w:hideMark/>
          </w:tcPr>
          <w:p w14:paraId="4E126B39"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Ordinary governance</w:t>
            </w:r>
          </w:p>
        </w:tc>
        <w:tc>
          <w:tcPr>
            <w:tcW w:w="0" w:type="auto"/>
            <w:vAlign w:val="center"/>
            <w:hideMark/>
          </w:tcPr>
          <w:p w14:paraId="33A84D23"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Handles operations, resources, projects, procedures, stewardship, and implementation.</w:t>
            </w:r>
          </w:p>
        </w:tc>
        <w:tc>
          <w:tcPr>
            <w:tcW w:w="0" w:type="auto"/>
            <w:vAlign w:val="center"/>
            <w:hideMark/>
          </w:tcPr>
          <w:p w14:paraId="5AA412FA"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alter constitutional identity or violate foundational articles.</w:t>
            </w:r>
          </w:p>
        </w:tc>
      </w:tr>
      <w:tr w:rsidR="00D231EE" w:rsidRPr="00B479AE" w14:paraId="203F74B1" w14:textId="77777777" w:rsidTr="00D231EE">
        <w:trPr>
          <w:tblCellSpacing w:w="15" w:type="dxa"/>
        </w:trPr>
        <w:tc>
          <w:tcPr>
            <w:tcW w:w="0" w:type="auto"/>
            <w:vAlign w:val="center"/>
            <w:hideMark/>
          </w:tcPr>
          <w:p w14:paraId="2FC8074A"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amendment</w:t>
            </w:r>
          </w:p>
        </w:tc>
        <w:tc>
          <w:tcPr>
            <w:tcW w:w="0" w:type="auto"/>
            <w:vAlign w:val="center"/>
            <w:hideMark/>
          </w:tcPr>
          <w:p w14:paraId="27CC773A"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Updates constitutional architecture through higher review and canonical release discipline.</w:t>
            </w:r>
          </w:p>
        </w:tc>
        <w:tc>
          <w:tcPr>
            <w:tcW w:w="0" w:type="auto"/>
            <w:vAlign w:val="center"/>
            <w:hideMark/>
          </w:tcPr>
          <w:p w14:paraId="6A06C1A3" w14:textId="365679F5" w:rsidR="00D231EE" w:rsidRPr="00B479AE" w:rsidRDefault="00D93BA7" w:rsidP="00D231EE">
            <w:pPr>
              <w:spacing w:line="360" w:lineRule="auto"/>
              <w:rPr>
                <w:rFonts w:ascii="Baskerville Old Face" w:hAnsi="Baskerville Old Face"/>
                <w:i/>
                <w:iCs/>
                <w:sz w:val="22"/>
                <w:szCs w:val="22"/>
              </w:rPr>
            </w:pPr>
            <w:r w:rsidRPr="00D93BA7">
              <w:rPr>
                <w:rFonts w:ascii="Baskerville Old Face" w:hAnsi="Baskerville Old Face"/>
                <w:i/>
                <w:iCs/>
                <w:sz w:val="22"/>
                <w:szCs w:val="22"/>
              </w:rPr>
              <w:t>Cannot violate Eternity Clauses or living-system reality constraints.</w:t>
            </w:r>
          </w:p>
        </w:tc>
      </w:tr>
      <w:tr w:rsidR="00D231EE" w:rsidRPr="00B479AE" w14:paraId="0D91640D" w14:textId="77777777" w:rsidTr="00D231EE">
        <w:trPr>
          <w:tblCellSpacing w:w="15" w:type="dxa"/>
        </w:trPr>
        <w:tc>
          <w:tcPr>
            <w:tcW w:w="0" w:type="auto"/>
            <w:vAlign w:val="center"/>
            <w:hideMark/>
          </w:tcPr>
          <w:p w14:paraId="3D6C620C"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Eternity Clauses</w:t>
            </w:r>
          </w:p>
        </w:tc>
        <w:tc>
          <w:tcPr>
            <w:tcW w:w="0" w:type="auto"/>
            <w:vAlign w:val="center"/>
            <w:hideMark/>
          </w:tcPr>
          <w:p w14:paraId="01FA4599"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 non-negotiable principles grounded in living-system reality.</w:t>
            </w:r>
          </w:p>
        </w:tc>
        <w:tc>
          <w:tcPr>
            <w:tcW w:w="0" w:type="auto"/>
            <w:vAlign w:val="center"/>
            <w:hideMark/>
          </w:tcPr>
          <w:p w14:paraId="794CACE2"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be amended, repealed, diluted, or bypassed.</w:t>
            </w:r>
          </w:p>
        </w:tc>
      </w:tr>
      <w:tr w:rsidR="00D231EE" w:rsidRPr="00B479AE" w14:paraId="4245F699" w14:textId="77777777" w:rsidTr="00D231EE">
        <w:trPr>
          <w:tblCellSpacing w:w="15" w:type="dxa"/>
        </w:trPr>
        <w:tc>
          <w:tcPr>
            <w:tcW w:w="0" w:type="auto"/>
            <w:vAlign w:val="center"/>
            <w:hideMark/>
          </w:tcPr>
          <w:p w14:paraId="1DB7FA33" w14:textId="55967265" w:rsidR="005135B8" w:rsidRPr="00B479AE" w:rsidRDefault="00376407" w:rsidP="00D231EE">
            <w:pPr>
              <w:spacing w:line="360" w:lineRule="auto"/>
              <w:rPr>
                <w:rFonts w:ascii="Baskerville Old Face" w:hAnsi="Baskerville Old Face"/>
                <w:b/>
                <w:bCs/>
                <w:i/>
                <w:iCs/>
                <w:sz w:val="22"/>
                <w:szCs w:val="22"/>
              </w:rPr>
            </w:pPr>
            <w:r>
              <w:rPr>
                <w:rFonts w:ascii="Baskerville Old Face" w:hAnsi="Baskerville Old Face"/>
                <w:b/>
                <w:bCs/>
                <w:i/>
                <w:iCs/>
                <w:sz w:val="22"/>
                <w:szCs w:val="22"/>
              </w:rPr>
              <w:t>L</w:t>
            </w:r>
            <w:r w:rsidR="00D231EE" w:rsidRPr="00B479AE">
              <w:rPr>
                <w:rFonts w:ascii="Baskerville Old Face" w:hAnsi="Baskerville Old Face"/>
                <w:b/>
                <w:bCs/>
                <w:i/>
                <w:iCs/>
                <w:sz w:val="22"/>
                <w:szCs w:val="22"/>
              </w:rPr>
              <w:t>iving-system reality</w:t>
            </w:r>
            <w:r w:rsidR="005135B8" w:rsidRPr="00B479AE">
              <w:rPr>
                <w:rFonts w:ascii="Baskerville Old Face" w:hAnsi="Baskerville Old Face"/>
                <w:b/>
                <w:bCs/>
                <w:i/>
                <w:iCs/>
                <w:sz w:val="22"/>
                <w:szCs w:val="22"/>
              </w:rPr>
              <w:t xml:space="preserve"> </w:t>
            </w:r>
          </w:p>
        </w:tc>
        <w:tc>
          <w:tcPr>
            <w:tcW w:w="0" w:type="auto"/>
            <w:vAlign w:val="center"/>
            <w:hideMark/>
          </w:tcPr>
          <w:p w14:paraId="36064833"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The ecological, biological, relational, and physical substrate of all durable value.</w:t>
            </w:r>
          </w:p>
        </w:tc>
        <w:tc>
          <w:tcPr>
            <w:tcW w:w="0" w:type="auto"/>
            <w:vAlign w:val="center"/>
            <w:hideMark/>
          </w:tcPr>
          <w:p w14:paraId="2A0CA5EB" w14:textId="77777777" w:rsidR="00D231EE" w:rsidRPr="00B479AE" w:rsidRDefault="00D231EE" w:rsidP="00D231EE">
            <w:pPr>
              <w:spacing w:line="360" w:lineRule="auto"/>
              <w:rPr>
                <w:rFonts w:ascii="Baskerville Old Face" w:hAnsi="Baskerville Old Face"/>
                <w:i/>
                <w:iCs/>
                <w:sz w:val="22"/>
                <w:szCs w:val="22"/>
              </w:rPr>
            </w:pPr>
            <w:r w:rsidRPr="00B479AE">
              <w:rPr>
                <w:rFonts w:ascii="Baskerville Old Face" w:hAnsi="Baskerville Old Face"/>
                <w:i/>
                <w:iCs/>
                <w:sz w:val="22"/>
                <w:szCs w:val="22"/>
              </w:rPr>
              <w:t>Not created by governance and not subject to vote.</w:t>
            </w:r>
          </w:p>
        </w:tc>
      </w:tr>
    </w:tbl>
    <w:p w14:paraId="11121756"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This hierarchy prevents category collapse.</w:t>
      </w:r>
    </w:p>
    <w:p w14:paraId="7E160A37"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Ordinary governance is not constituent power.</w:t>
      </w:r>
    </w:p>
    <w:p w14:paraId="2E92E73A" w14:textId="29A0BB59" w:rsidR="00D231EE" w:rsidRPr="00B479AE" w:rsidRDefault="00D93BA7" w:rsidP="00D231EE">
      <w:pPr>
        <w:spacing w:line="360" w:lineRule="auto"/>
        <w:rPr>
          <w:rFonts w:ascii="Baskerville Old Face" w:hAnsi="Baskerville Old Face"/>
          <w:i/>
          <w:iCs/>
        </w:rPr>
      </w:pPr>
      <w:r w:rsidRPr="00D93BA7">
        <w:rPr>
          <w:rFonts w:ascii="Baskerville Old Face" w:hAnsi="Baskerville Old Face"/>
          <w:i/>
          <w:iCs/>
        </w:rPr>
        <w:t>Constitutional amendment is not permission to violate living-system reality.</w:t>
      </w:r>
    </w:p>
    <w:p w14:paraId="34FD82D1" w14:textId="33E705D3" w:rsidR="00D93BA7" w:rsidRDefault="00D93BA7" w:rsidP="00D231EE">
      <w:pPr>
        <w:spacing w:line="360" w:lineRule="auto"/>
        <w:rPr>
          <w:rFonts w:ascii="Baskerville Old Face" w:hAnsi="Baskerville Old Face"/>
          <w:i/>
          <w:iCs/>
        </w:rPr>
      </w:pPr>
      <w:r w:rsidRPr="00D93BA7">
        <w:rPr>
          <w:rFonts w:ascii="Baskerville Old Face" w:hAnsi="Baskerville Old Face"/>
          <w:i/>
          <w:iCs/>
        </w:rPr>
        <w:t>Cannot violate Eternity Clauses or living-system reality constraints.</w:t>
      </w:r>
    </w:p>
    <w:p w14:paraId="54BD70AA" w14:textId="051C97F0"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Token governance is not constitutional sovereignty.</w:t>
      </w:r>
    </w:p>
    <w:p w14:paraId="02980660"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Capital is not authority over life.</w:t>
      </w:r>
    </w:p>
    <w:p w14:paraId="1D393179"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AI is not government.</w:t>
      </w:r>
    </w:p>
    <w:p w14:paraId="362BA2F6" w14:textId="0F00744C" w:rsidR="00D231EE" w:rsidRPr="00B479AE" w:rsidRDefault="00D93BA7" w:rsidP="00D231EE">
      <w:pPr>
        <w:spacing w:line="360" w:lineRule="auto"/>
        <w:rPr>
          <w:rFonts w:ascii="Baskerville Old Face" w:hAnsi="Baskerville Old Face"/>
          <w:i/>
          <w:iCs/>
        </w:rPr>
      </w:pPr>
      <w:r>
        <w:rPr>
          <w:rFonts w:ascii="Baskerville Old Face" w:hAnsi="Baskerville Old Face"/>
          <w:b/>
          <w:bCs/>
          <w:i/>
          <w:iCs/>
        </w:rPr>
        <w:t>4</w:t>
      </w:r>
      <w:r w:rsidR="00D231EE" w:rsidRPr="00B479AE">
        <w:rPr>
          <w:rFonts w:ascii="Baskerville Old Face" w:hAnsi="Baskerville Old Face"/>
          <w:b/>
          <w:bCs/>
          <w:i/>
          <w:iCs/>
        </w:rPr>
        <w:t>.</w:t>
      </w:r>
      <w:r>
        <w:rPr>
          <w:rFonts w:ascii="Baskerville Old Face" w:hAnsi="Baskerville Old Face"/>
          <w:b/>
          <w:bCs/>
          <w:i/>
          <w:iCs/>
        </w:rPr>
        <w:t>5</w:t>
      </w:r>
      <w:r w:rsidR="00D231EE" w:rsidRPr="00B479AE">
        <w:rPr>
          <w:rFonts w:ascii="Baskerville Old Face" w:hAnsi="Baskerville Old Face"/>
          <w:b/>
          <w:bCs/>
          <w:i/>
          <w:iCs/>
        </w:rPr>
        <w:t xml:space="preserve"> Emergency boundary</w:t>
      </w:r>
    </w:p>
    <w:p w14:paraId="7833668E" w14:textId="13D5B66C"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Prometheus may require emergency procedures for ecological, technical, financial, governance, legal, or security risks.</w:t>
      </w:r>
      <w:r w:rsidR="006925F3" w:rsidRPr="00B479AE">
        <w:rPr>
          <w:rFonts w:ascii="Baskerville Old Face" w:hAnsi="Baskerville Old Face"/>
          <w:i/>
          <w:iCs/>
        </w:rPr>
        <w:t xml:space="preserve"> </w:t>
      </w:r>
      <w:r w:rsidRPr="00B479AE">
        <w:rPr>
          <w:rFonts w:ascii="Baskerville Old Face" w:hAnsi="Baskerville Old Face"/>
          <w:i/>
          <w:iCs/>
        </w:rPr>
        <w:t>Emergency procedures may allow temporary pauses, escalation, review, containment, rollback, or protective action.</w:t>
      </w:r>
    </w:p>
    <w:p w14:paraId="66F24D9E"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However, emergency powers must remain bounded.</w:t>
      </w:r>
    </w:p>
    <w:p w14:paraId="7898A64C"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An emergency may justify slowing the system.</w:t>
      </w:r>
    </w:p>
    <w:p w14:paraId="1330B423"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It may justify temporary restriction of execution.</w:t>
      </w:r>
    </w:p>
    <w:p w14:paraId="4E7B6660"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lastRenderedPageBreak/>
        <w:t>It may justify manual review, quarantine, incident response, or protective governance action.</w:t>
      </w:r>
    </w:p>
    <w:p w14:paraId="6F134B89"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It may not justify violating the Eternity Clauses.</w:t>
      </w:r>
    </w:p>
    <w:p w14:paraId="5245BEBB"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It may not justify weakening the constitutional source layer.</w:t>
      </w:r>
    </w:p>
    <w:p w14:paraId="58B2DE6E"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It may not justify bypassing MRV, legal review, human dignity, ecological integrity, or evidence discipline.</w:t>
      </w:r>
    </w:p>
    <w:p w14:paraId="610BFB46"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Emergency authority exists to preserve the constitution, not to suspend it.</w:t>
      </w:r>
    </w:p>
    <w:p w14:paraId="23B39A0D" w14:textId="33E57740" w:rsidR="00D231EE" w:rsidRPr="00B479AE" w:rsidRDefault="00D93BA7" w:rsidP="00D231EE">
      <w:pPr>
        <w:spacing w:line="360" w:lineRule="auto"/>
        <w:rPr>
          <w:rFonts w:ascii="Baskerville Old Face" w:hAnsi="Baskerville Old Face"/>
          <w:i/>
          <w:iCs/>
        </w:rPr>
      </w:pPr>
      <w:r>
        <w:rPr>
          <w:rFonts w:ascii="Baskerville Old Face" w:hAnsi="Baskerville Old Face"/>
          <w:b/>
          <w:bCs/>
          <w:i/>
          <w:iCs/>
        </w:rPr>
        <w:t>4.</w:t>
      </w:r>
      <w:r w:rsidR="00D231EE" w:rsidRPr="00B479AE">
        <w:rPr>
          <w:rFonts w:ascii="Baskerville Old Face" w:hAnsi="Baskerville Old Face"/>
          <w:b/>
          <w:bCs/>
          <w:i/>
          <w:iCs/>
        </w:rPr>
        <w:t>6 Final rule</w:t>
      </w:r>
    </w:p>
    <w:p w14:paraId="3C29B499"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The final rule is clear:</w:t>
      </w:r>
    </w:p>
    <w:p w14:paraId="27021D30"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ordinary governance may manage the system;</w:t>
      </w:r>
    </w:p>
    <w:p w14:paraId="1726787B"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constitutional amendment may evolve the system;</w:t>
      </w:r>
    </w:p>
    <w:p w14:paraId="39E8C972"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Eternity Clauses preserve the identity of the system;</w:t>
      </w:r>
    </w:p>
    <w:p w14:paraId="3284EE2F"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living-system reality grounds the system.</w:t>
      </w:r>
    </w:p>
    <w:p w14:paraId="30B25DC3"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Prometheus remains legitimate only while these levels remain distinct.</w:t>
      </w:r>
    </w:p>
    <w:p w14:paraId="45C3CFC4"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When ordinary governance claims constitutional power, the system risks capture.</w:t>
      </w:r>
    </w:p>
    <w:p w14:paraId="04066873"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When constitutional amendment claims power over natural law, the system risks delusion.</w:t>
      </w:r>
    </w:p>
    <w:p w14:paraId="04E1B9E1"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When tokens claim authority over life, the system risks extraction.</w:t>
      </w:r>
    </w:p>
    <w:p w14:paraId="62A4A5C2" w14:textId="77777777" w:rsidR="00D231EE" w:rsidRPr="00B479AE" w:rsidRDefault="00D231EE" w:rsidP="00D231EE">
      <w:pPr>
        <w:spacing w:line="360" w:lineRule="auto"/>
        <w:rPr>
          <w:rFonts w:ascii="Baskerville Old Face" w:hAnsi="Baskerville Old Face"/>
          <w:i/>
          <w:iCs/>
        </w:rPr>
      </w:pPr>
      <w:r w:rsidRPr="00B479AE">
        <w:rPr>
          <w:rFonts w:ascii="Baskerville Old Face" w:hAnsi="Baskerville Old Face"/>
          <w:i/>
          <w:iCs/>
        </w:rPr>
        <w:t>When intelligence claims sovereignty over the kernel, the system risks becoming what it was designed to prevent.</w:t>
      </w:r>
    </w:p>
    <w:p w14:paraId="4921FE4F" w14:textId="7D1AB715"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 xml:space="preserve">5: Prometheus Human Governance and </w:t>
      </w:r>
      <w:proofErr w:type="spellStart"/>
      <w:r w:rsidRPr="00B479AE">
        <w:rPr>
          <w:rFonts w:ascii="Baskerville Old Face" w:hAnsi="Baskerville Old Face"/>
          <w:b/>
          <w:bCs/>
          <w:i/>
          <w:iCs/>
        </w:rPr>
        <w:t>Sociocratic</w:t>
      </w:r>
      <w:proofErr w:type="spellEnd"/>
      <w:r w:rsidRPr="00B479AE">
        <w:rPr>
          <w:rFonts w:ascii="Baskerville Old Face" w:hAnsi="Baskerville Old Face"/>
          <w:b/>
          <w:bCs/>
          <w:i/>
          <w:iCs/>
        </w:rPr>
        <w:t xml:space="preserve"> Interoperability Model</w:t>
      </w:r>
    </w:p>
    <w:p w14:paraId="38260A18"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Tribes, Circles, Commons, and the Living Field</w:t>
      </w:r>
    </w:p>
    <w:p w14:paraId="265E1C0D"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requires a human governance model capable of coordinating communities without reducing them to users, followers, token holders, voters, or data points.</w:t>
      </w:r>
    </w:p>
    <w:p w14:paraId="0366F6B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A regenerative intelligence infrastructure cannot rely only on code, capital, dashboards, artificial intelligence, legal documents, or measurement systems.</w:t>
      </w:r>
    </w:p>
    <w:p w14:paraId="2012A13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also requires human communities capable of belonging, deciding, learning, disagreeing, repairing, remembering, adapting, and transmitting responsibility across generations.</w:t>
      </w:r>
    </w:p>
    <w:p w14:paraId="05BFAEA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For this reason, Prometheus adopts a human governance model that integrates:</w:t>
      </w:r>
    </w:p>
    <w:p w14:paraId="259CC15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the tribe as a movement cell;</w:t>
      </w:r>
      <w:r w:rsidRPr="00B479AE">
        <w:rPr>
          <w:rFonts w:ascii="Baskerville Old Face" w:hAnsi="Baskerville Old Face"/>
          <w:i/>
          <w:iCs/>
        </w:rPr>
        <w:br/>
        <w:t xml:space="preserve">• the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circle as a decision cell;</w:t>
      </w:r>
      <w:r w:rsidRPr="00B479AE">
        <w:rPr>
          <w:rFonts w:ascii="Baskerville Old Face" w:hAnsi="Baskerville Old Face"/>
          <w:i/>
          <w:iCs/>
        </w:rPr>
        <w:br/>
        <w:t>• the commons as a stewardship cell;</w:t>
      </w:r>
      <w:r w:rsidRPr="00B479AE">
        <w:rPr>
          <w:rFonts w:ascii="Baskerville Old Face" w:hAnsi="Baskerville Old Face"/>
          <w:i/>
          <w:iCs/>
        </w:rPr>
        <w:br/>
        <w:t>• the community of practice as a learning cell;</w:t>
      </w:r>
      <w:r w:rsidRPr="00B479AE">
        <w:rPr>
          <w:rFonts w:ascii="Baskerville Old Face" w:hAnsi="Baskerville Old Face"/>
          <w:i/>
          <w:iCs/>
        </w:rPr>
        <w:br/>
        <w:t>• psychological safety as a truth-speaking condition;</w:t>
      </w:r>
      <w:r w:rsidRPr="00B479AE">
        <w:rPr>
          <w:rFonts w:ascii="Baskerville Old Face" w:hAnsi="Baskerville Old Face"/>
          <w:i/>
          <w:iCs/>
        </w:rPr>
        <w:br/>
        <w:t>• self-determination as a motivational foundation;</w:t>
      </w:r>
      <w:r w:rsidRPr="00B479AE">
        <w:rPr>
          <w:rFonts w:ascii="Baskerville Old Face" w:hAnsi="Baskerville Old Face"/>
          <w:i/>
          <w:iCs/>
        </w:rPr>
        <w:br/>
        <w:t>• evolutionary purpose as the organizing field;</w:t>
      </w:r>
      <w:r w:rsidRPr="00B479AE">
        <w:rPr>
          <w:rFonts w:ascii="Baskerville Old Face" w:hAnsi="Baskerville Old Face"/>
          <w:i/>
          <w:iCs/>
        </w:rPr>
        <w:br/>
        <w:t>• Prometheus constitutional discipline as the non-</w:t>
      </w:r>
      <w:proofErr w:type="spellStart"/>
      <w:r w:rsidRPr="00B479AE">
        <w:rPr>
          <w:rFonts w:ascii="Baskerville Old Face" w:hAnsi="Baskerville Old Face"/>
          <w:i/>
          <w:iCs/>
        </w:rPr>
        <w:t>bypassable</w:t>
      </w:r>
      <w:proofErr w:type="spellEnd"/>
      <w:r w:rsidRPr="00B479AE">
        <w:rPr>
          <w:rFonts w:ascii="Baskerville Old Face" w:hAnsi="Baskerville Old Face"/>
          <w:i/>
          <w:iCs/>
        </w:rPr>
        <w:t xml:space="preserve"> boundary.</w:t>
      </w:r>
    </w:p>
    <w:p w14:paraId="09B2240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model is not a hierarchy disguised as community.</w:t>
      </w:r>
    </w:p>
    <w:p w14:paraId="121D49A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not structureless idealism.</w:t>
      </w:r>
    </w:p>
    <w:p w14:paraId="089F8A7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not token governance pretending to be human governance.</w:t>
      </w:r>
    </w:p>
    <w:p w14:paraId="6B8F1E2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a living coordination architecture.</w:t>
      </w:r>
    </w:p>
    <w:p w14:paraId="6C84260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Its purpose is to make communities capable of generating trust, coherence, evidence, action, learning, accountability, and regeneration without sacrificing dignity, sovereignty, or local identity.</w:t>
      </w:r>
    </w:p>
    <w:p w14:paraId="3151FC90"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Scientific and Governance Lineage</w:t>
      </w:r>
    </w:p>
    <w:p w14:paraId="3152F2E2"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Prometheus human governance model draws from several authoritative traditions.</w:t>
      </w:r>
    </w:p>
    <w:p w14:paraId="563CA862" w14:textId="42F8F26E"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Seth Godin’s concept of the tribe is central because a tribe is not merely an audience or a market segment. It is a connected group organized around meaning, belonging, shared direction, and leadership that helps members connect to one another. In interviews and summaries of Tribes, Godin emphasizes that movements grow through people who trust one another and through leaders who nurture the tribe rather than impose agendas from above. (</w:t>
      </w:r>
      <w:hyperlink r:id="rId13" w:tooltip="TED Interview: Tribes Author Says People, Not Ads, Build Social Networks" w:history="1">
        <w:r w:rsidRPr="00B479AE">
          <w:rPr>
            <w:rStyle w:val="Collegamentoipertestuale"/>
            <w:rFonts w:ascii="Baskerville Old Face" w:hAnsi="Baskerville Old Face"/>
            <w:i/>
            <w:iCs/>
          </w:rPr>
          <w:t>Wired</w:t>
        </w:r>
      </w:hyperlink>
      <w:r w:rsidRPr="00B479AE">
        <w:rPr>
          <w:rFonts w:ascii="Baskerville Old Face" w:hAnsi="Baskerville Old Face"/>
          <w:i/>
          <w:iCs/>
        </w:rPr>
        <w:t>)</w:t>
      </w:r>
    </w:p>
    <w:p w14:paraId="7014A11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Sociocracy contributes the operating method: consent decision-making, circles, roles, feedback, and double-linking. Consent does not ask whether everyone personally prefers a proposal; it asks whether there is a reasoned objection showing that the proposal would harm the purpose or create unacceptable risk. This makes sociocracy highly compatible with Prometheus, because it allows action without suppressing dissent. (</w:t>
      </w:r>
      <w:hyperlink r:id="rId14" w:tooltip="Consent Decision Making" w:history="1">
        <w:r w:rsidRPr="00B479AE">
          <w:rPr>
            <w:rStyle w:val="Collegamentoipertestuale"/>
            <w:rFonts w:ascii="Baskerville Old Face" w:hAnsi="Baskerville Old Face"/>
            <w:i/>
            <w:iCs/>
          </w:rPr>
          <w:t>Sociocracy For All</w:t>
        </w:r>
      </w:hyperlink>
      <w:r w:rsidRPr="00B479AE">
        <w:rPr>
          <w:rFonts w:ascii="Baskerville Old Face" w:hAnsi="Baskerville Old Face"/>
          <w:i/>
          <w:iCs/>
        </w:rPr>
        <w:t>)</w:t>
      </w:r>
    </w:p>
    <w:p w14:paraId="627532B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Elinor Ostrom’s commons governance contributes the institutional discipline required for shared resources: clear boundaries, locally adapted rules, participation in rule-making, monitoring, graduated responses, conflict-resolution mechanisms, and nested governance. This is essential because Prometheus communities steward not only social energy, but also ecological evidence, trust, access, reputation, data, and future regenerative value. (</w:t>
      </w:r>
      <w:hyperlink r:id="rId15" w:tooltip="GOVERNING theCOMMONS" w:history="1">
        <w:r w:rsidRPr="00B479AE">
          <w:rPr>
            <w:rStyle w:val="Collegamentoipertestuale"/>
            <w:rFonts w:ascii="Baskerville Old Face" w:hAnsi="Baskerville Old Face"/>
            <w:i/>
            <w:iCs/>
          </w:rPr>
          <w:t>actu-environnement.com</w:t>
        </w:r>
      </w:hyperlink>
      <w:r w:rsidRPr="00B479AE">
        <w:rPr>
          <w:rFonts w:ascii="Baskerville Old Face" w:hAnsi="Baskerville Old Face"/>
          <w:i/>
          <w:iCs/>
        </w:rPr>
        <w:t>)</w:t>
      </w:r>
    </w:p>
    <w:p w14:paraId="45269ED2"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xml:space="preserve">Etienne Wenger’s communities of practice framework </w:t>
      </w:r>
      <w:proofErr w:type="gramStart"/>
      <w:r w:rsidRPr="00B479AE">
        <w:rPr>
          <w:rFonts w:ascii="Baskerville Old Face" w:hAnsi="Baskerville Old Face"/>
          <w:i/>
          <w:iCs/>
        </w:rPr>
        <w:t>contributes</w:t>
      </w:r>
      <w:proofErr w:type="gramEnd"/>
      <w:r w:rsidRPr="00B479AE">
        <w:rPr>
          <w:rFonts w:ascii="Baskerville Old Face" w:hAnsi="Baskerville Old Face"/>
          <w:i/>
          <w:iCs/>
        </w:rPr>
        <w:t xml:space="preserve"> the learning architecture: communities become durable when people share a domain, interact regularly, learn through practice, and build identity through participation. Prometheus therefore treats communities not as passive beneficiaries, but as learning organisms. (</w:t>
      </w:r>
      <w:hyperlink r:id="rId16" w:tooltip="Introduction to communities of practice" w:history="1">
        <w:r w:rsidRPr="00B479AE">
          <w:rPr>
            <w:rStyle w:val="Collegamentoipertestuale"/>
            <w:rFonts w:ascii="Baskerville Old Face" w:hAnsi="Baskerville Old Face"/>
            <w:i/>
            <w:iCs/>
          </w:rPr>
          <w:t>wenger-trayner.com</w:t>
        </w:r>
      </w:hyperlink>
      <w:r w:rsidRPr="00B479AE">
        <w:rPr>
          <w:rFonts w:ascii="Baskerville Old Face" w:hAnsi="Baskerville Old Face"/>
          <w:i/>
          <w:iCs/>
        </w:rPr>
        <w:t>)</w:t>
      </w:r>
    </w:p>
    <w:p w14:paraId="75A7B50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Amy Edmondson’s psychological safety research contributes the truth-speaking condition: teams learn better when members can ask questions, report errors, challenge assumptions, and take interpersonal risks without fear. Prometheus therefore treats dissent, error-reporting, and conflict repair as governance infrastructure. (</w:t>
      </w:r>
      <w:hyperlink r:id="rId17" w:tooltip="Psychological Safety and Learning Behavior in Work Teams" w:history="1">
        <w:r w:rsidRPr="00B479AE">
          <w:rPr>
            <w:rStyle w:val="Collegamentoipertestuale"/>
            <w:rFonts w:ascii="Baskerville Old Face" w:hAnsi="Baskerville Old Face"/>
            <w:i/>
            <w:iCs/>
          </w:rPr>
          <w:t>Sage Journals</w:t>
        </w:r>
      </w:hyperlink>
      <w:r w:rsidRPr="00B479AE">
        <w:rPr>
          <w:rFonts w:ascii="Baskerville Old Face" w:hAnsi="Baskerville Old Face"/>
          <w:i/>
          <w:iCs/>
        </w:rPr>
        <w:t>)</w:t>
      </w:r>
    </w:p>
    <w:p w14:paraId="3DD9C0F7" w14:textId="31FF6D29"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Ryan and Deci’s self-determination theory contributes the motivational foundation: autonomy, competence, and relatedness are basic psychological needs associated with intrinsic motivation and wellbeing. Prometheus therefore designs participation around agency, skill development, belonging, and meaningful contribution. (</w:t>
      </w:r>
      <w:hyperlink r:id="rId18" w:tooltip="Self-Determination Theory and the Facilitation of Intrinsic ..." w:history="1">
        <w:r w:rsidRPr="00B479AE">
          <w:rPr>
            <w:rStyle w:val="Collegamentoipertestuale"/>
            <w:rFonts w:ascii="Baskerville Old Face" w:hAnsi="Baskerville Old Face"/>
            <w:i/>
            <w:iCs/>
          </w:rPr>
          <w:t>selfdeterminationtheory.org</w:t>
        </w:r>
      </w:hyperlink>
      <w:r w:rsidRPr="00B479AE">
        <w:rPr>
          <w:rFonts w:ascii="Baskerville Old Face" w:hAnsi="Baskerville Old Face"/>
          <w:i/>
          <w:iCs/>
        </w:rPr>
        <w:t>)</w:t>
      </w:r>
    </w:p>
    <w:p w14:paraId="65CC8657"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Frederic Laloux’s evolutionary-organization framework contributes self-management, wholeness, and evolutionary purpose. Prometheus adapts this insight by treating organizations and communities as living systems whose deeper purpose must be listened to rather than controlled as property. (</w:t>
      </w:r>
      <w:hyperlink r:id="rId19" w:tooltip="Evolutionary Purpose" w:history="1">
        <w:r w:rsidRPr="00B479AE">
          <w:rPr>
            <w:rStyle w:val="Collegamentoipertestuale"/>
            <w:rFonts w:ascii="Baskerville Old Face" w:hAnsi="Baskerville Old Face"/>
            <w:i/>
            <w:iCs/>
          </w:rPr>
          <w:t>reinventingorganizationswiki.com</w:t>
        </w:r>
      </w:hyperlink>
      <w:r w:rsidRPr="00B479AE">
        <w:rPr>
          <w:rFonts w:ascii="Baskerville Old Face" w:hAnsi="Baskerville Old Face"/>
          <w:i/>
          <w:iCs/>
        </w:rPr>
        <w:t>)</w:t>
      </w:r>
    </w:p>
    <w:p w14:paraId="724AA3CD"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planetary-boundaries framework contributes the ecological ceiling of governance: every human coordination system remains embedded within Earth-system processes that regulate planetary stability and resilience. Prometheus therefore treats community governance as nested inside ecological reality, not above it. (</w:t>
      </w:r>
      <w:hyperlink r:id="rId20" w:tooltip="Planetary boundaries" w:history="1">
        <w:r w:rsidRPr="00B479AE">
          <w:rPr>
            <w:rStyle w:val="Collegamentoipertestuale"/>
            <w:rFonts w:ascii="Baskerville Old Face" w:hAnsi="Baskerville Old Face"/>
            <w:i/>
            <w:iCs/>
          </w:rPr>
          <w:t>stockholmresilience.org</w:t>
        </w:r>
      </w:hyperlink>
      <w:r w:rsidRPr="00B479AE">
        <w:rPr>
          <w:rFonts w:ascii="Baskerville Old Face" w:hAnsi="Baskerville Old Face"/>
          <w:i/>
          <w:iCs/>
        </w:rPr>
        <w:t>)</w:t>
      </w:r>
    </w:p>
    <w:p w14:paraId="673340AB"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lastRenderedPageBreak/>
        <w:t>1. Core Principle: Distributed Authority, Visible Responsibility</w:t>
      </w:r>
    </w:p>
    <w:p w14:paraId="3444C46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core principle of Prometheus human governance is:</w:t>
      </w:r>
    </w:p>
    <w:p w14:paraId="4D2E721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distributed authority, visible responsibility.</w:t>
      </w:r>
    </w:p>
    <w:p w14:paraId="09DAABD4"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Authority should circulate through roles, circles, mandates, evidence, and review.</w:t>
      </w:r>
    </w:p>
    <w:p w14:paraId="24FE9997"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Responsibility should remain traceable.</w:t>
      </w:r>
    </w:p>
    <w:p w14:paraId="56570AD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becomes fragile when authority is hidden.</w:t>
      </w:r>
    </w:p>
    <w:p w14:paraId="644719BD"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becomes rigid when authority is centralized.</w:t>
      </w:r>
    </w:p>
    <w:p w14:paraId="16B366B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becomes performative when belonging replaces accountability.</w:t>
      </w:r>
    </w:p>
    <w:p w14:paraId="7B793CE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therefore rejects two symmetric failures.</w:t>
      </w:r>
    </w:p>
    <w:p w14:paraId="75220E0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first failure is authoritarian centralization: one founder, investor, administrator, expert, model, token whale, or inner circle quietly controls the field.</w:t>
      </w:r>
    </w:p>
    <w:p w14:paraId="36813807"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second failure is structureless idealism: the belief that absence of formal hierarchy automatically produces freedom.</w:t>
      </w:r>
    </w:p>
    <w:p w14:paraId="164F266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xml:space="preserve">In practice, </w:t>
      </w:r>
      <w:proofErr w:type="spellStart"/>
      <w:r w:rsidRPr="00B479AE">
        <w:rPr>
          <w:rFonts w:ascii="Baskerville Old Face" w:hAnsi="Baskerville Old Face"/>
          <w:i/>
          <w:iCs/>
        </w:rPr>
        <w:t>structurelessness</w:t>
      </w:r>
      <w:proofErr w:type="spellEnd"/>
      <w:r w:rsidRPr="00B479AE">
        <w:rPr>
          <w:rFonts w:ascii="Baskerville Old Face" w:hAnsi="Baskerville Old Face"/>
          <w:i/>
          <w:iCs/>
        </w:rPr>
        <w:t xml:space="preserve"> often creates invisible hierarchy.</w:t>
      </w:r>
    </w:p>
    <w:p w14:paraId="758130A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therefore adopts structured non-domination.</w:t>
      </w:r>
    </w:p>
    <w:p w14:paraId="783484C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Roles are explicit.</w:t>
      </w:r>
    </w:p>
    <w:p w14:paraId="11D7C2B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Mandates are time-bounded.</w:t>
      </w:r>
    </w:p>
    <w:p w14:paraId="1D55549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Decisions are recorded.</w:t>
      </w:r>
    </w:p>
    <w:p w14:paraId="6D9A556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Objections are integrated.</w:t>
      </w:r>
    </w:p>
    <w:p w14:paraId="54CC487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Conflicts are metabolized.</w:t>
      </w:r>
    </w:p>
    <w:p w14:paraId="3C0589B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Memory is preserved.</w:t>
      </w:r>
    </w:p>
    <w:p w14:paraId="3B806AE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Power is separated.</w:t>
      </w:r>
    </w:p>
    <w:p w14:paraId="4891CF5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Leadership is custodial.</w:t>
      </w:r>
    </w:p>
    <w:p w14:paraId="1CCC625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Participation creates responsibility, not entitlement.</w:t>
      </w:r>
    </w:p>
    <w:p w14:paraId="7453599F"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2. The Tribe as a Human Coordination Cell</w:t>
      </w:r>
    </w:p>
    <w:p w14:paraId="3CA2193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xml:space="preserve">Prometheus may recognize the </w:t>
      </w:r>
      <w:r w:rsidRPr="00B479AE">
        <w:rPr>
          <w:rFonts w:ascii="Baskerville Old Face" w:hAnsi="Baskerville Old Face"/>
          <w:b/>
          <w:bCs/>
          <w:i/>
          <w:iCs/>
        </w:rPr>
        <w:t>Tribe</w:t>
      </w:r>
      <w:r w:rsidRPr="00B479AE">
        <w:rPr>
          <w:rFonts w:ascii="Baskerville Old Face" w:hAnsi="Baskerville Old Face"/>
          <w:i/>
          <w:iCs/>
        </w:rPr>
        <w:t xml:space="preserve"> as a human coordination cell.</w:t>
      </w:r>
    </w:p>
    <w:p w14:paraId="31AEB8A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Tribe is a purpose-aligned, relationally coherent, autonomous, replicable, and measurable community unit.</w:t>
      </w:r>
    </w:p>
    <w:p w14:paraId="16EE14A4"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not a market segment.</w:t>
      </w:r>
    </w:p>
    <w:p w14:paraId="469A9FB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not an audience.</w:t>
      </w:r>
    </w:p>
    <w:p w14:paraId="34EEC61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not a follower base.</w:t>
      </w:r>
    </w:p>
    <w:p w14:paraId="47313AB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not an informal affinity group.</w:t>
      </w:r>
    </w:p>
    <w:p w14:paraId="46A55AD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a living cell of human coordination.</w:t>
      </w:r>
    </w:p>
    <w:p w14:paraId="509AA8F8" w14:textId="77777777" w:rsidR="00A84C22" w:rsidRPr="005907F1" w:rsidRDefault="00A84C22" w:rsidP="00A84C22">
      <w:pPr>
        <w:spacing w:line="360" w:lineRule="auto"/>
        <w:rPr>
          <w:rFonts w:ascii="Baskerville Old Face" w:hAnsi="Baskerville Old Face"/>
          <w:i/>
          <w:iCs/>
          <w:lang w:val="it-IT"/>
        </w:rPr>
      </w:pPr>
      <w:r w:rsidRPr="00B479AE">
        <w:rPr>
          <w:rFonts w:ascii="Baskerville Old Face" w:hAnsi="Baskerville Old Face"/>
          <w:i/>
          <w:iCs/>
        </w:rPr>
        <w:t xml:space="preserve">The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model provides a concrete example of this structure: each Tribe is autonomous, replicable, aligned to a common code, and measurable without becoming bureaucratic. </w:t>
      </w:r>
      <w:proofErr w:type="spellStart"/>
      <w:r w:rsidRPr="005907F1">
        <w:rPr>
          <w:rFonts w:ascii="Baskerville Old Face" w:hAnsi="Baskerville Old Face"/>
          <w:i/>
          <w:iCs/>
          <w:lang w:val="it-IT"/>
        </w:rPr>
        <w:t>Its</w:t>
      </w:r>
      <w:proofErr w:type="spellEnd"/>
      <w:r w:rsidRPr="005907F1">
        <w:rPr>
          <w:rFonts w:ascii="Baskerville Old Face" w:hAnsi="Baskerville Old Face"/>
          <w:i/>
          <w:iCs/>
          <w:lang w:val="it-IT"/>
        </w:rPr>
        <w:t xml:space="preserve"> core </w:t>
      </w:r>
      <w:proofErr w:type="spellStart"/>
      <w:r w:rsidRPr="005907F1">
        <w:rPr>
          <w:rFonts w:ascii="Baskerville Old Face" w:hAnsi="Baskerville Old Face"/>
          <w:i/>
          <w:iCs/>
          <w:lang w:val="it-IT"/>
        </w:rPr>
        <w:t>roles</w:t>
      </w:r>
      <w:proofErr w:type="spellEnd"/>
      <w:r w:rsidRPr="005907F1">
        <w:rPr>
          <w:rFonts w:ascii="Baskerville Old Face" w:hAnsi="Baskerville Old Face"/>
          <w:i/>
          <w:iCs/>
          <w:lang w:val="it-IT"/>
        </w:rPr>
        <w:t xml:space="preserve"> include the Reggente Tribale, Architetto del Ritmo, Guardiano dell’Integrità, and Catalizzatore di Connessioni.</w:t>
      </w:r>
    </w:p>
    <w:p w14:paraId="58511B24"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may learn from this model while preserving the sovereignty of each community.</w:t>
      </w:r>
    </w:p>
    <w:p w14:paraId="3A8B273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Tribe becomes Prometheus-compatible when it can define:</w:t>
      </w:r>
    </w:p>
    <w:p w14:paraId="076D565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its purpose;</w:t>
      </w:r>
      <w:r w:rsidRPr="00B479AE">
        <w:rPr>
          <w:rFonts w:ascii="Baskerville Old Face" w:hAnsi="Baskerville Old Face"/>
          <w:i/>
          <w:iCs/>
        </w:rPr>
        <w:br/>
        <w:t>• its domain of practice;</w:t>
      </w:r>
      <w:r w:rsidRPr="00B479AE">
        <w:rPr>
          <w:rFonts w:ascii="Baskerville Old Face" w:hAnsi="Baskerville Old Face"/>
          <w:i/>
          <w:iCs/>
        </w:rPr>
        <w:br/>
        <w:t>• its membership boundaries;</w:t>
      </w:r>
      <w:r w:rsidRPr="00B479AE">
        <w:rPr>
          <w:rFonts w:ascii="Baskerville Old Face" w:hAnsi="Baskerville Old Face"/>
          <w:i/>
          <w:iCs/>
        </w:rPr>
        <w:br/>
        <w:t>• its ritual rhythm;</w:t>
      </w:r>
      <w:r w:rsidRPr="00B479AE">
        <w:rPr>
          <w:rFonts w:ascii="Baskerville Old Face" w:hAnsi="Baskerville Old Face"/>
          <w:i/>
          <w:iCs/>
        </w:rPr>
        <w:br/>
        <w:t>• its decision logic;</w:t>
      </w:r>
      <w:r w:rsidRPr="00B479AE">
        <w:rPr>
          <w:rFonts w:ascii="Baskerville Old Face" w:hAnsi="Baskerville Old Face"/>
          <w:i/>
          <w:iCs/>
        </w:rPr>
        <w:br/>
        <w:t>• its role architecture;</w:t>
      </w:r>
      <w:r w:rsidRPr="00B479AE">
        <w:rPr>
          <w:rFonts w:ascii="Baskerville Old Face" w:hAnsi="Baskerville Old Face"/>
          <w:i/>
          <w:iCs/>
        </w:rPr>
        <w:br/>
        <w:t>• its conflict pathway;</w:t>
      </w:r>
      <w:r w:rsidRPr="00B479AE">
        <w:rPr>
          <w:rFonts w:ascii="Baskerville Old Face" w:hAnsi="Baskerville Old Face"/>
          <w:i/>
          <w:iCs/>
        </w:rPr>
        <w:br/>
        <w:t>• its evidence boundary;</w:t>
      </w:r>
      <w:r w:rsidRPr="00B479AE">
        <w:rPr>
          <w:rFonts w:ascii="Baskerville Old Face" w:hAnsi="Baskerville Old Face"/>
          <w:i/>
          <w:iCs/>
        </w:rPr>
        <w:br/>
        <w:t>• its memory system;</w:t>
      </w:r>
      <w:r w:rsidRPr="00B479AE">
        <w:rPr>
          <w:rFonts w:ascii="Baskerville Old Face" w:hAnsi="Baskerville Old Face"/>
          <w:i/>
          <w:iCs/>
        </w:rPr>
        <w:br/>
      </w:r>
      <w:r w:rsidRPr="00B479AE">
        <w:rPr>
          <w:rFonts w:ascii="Baskerville Old Face" w:hAnsi="Baskerville Old Face"/>
          <w:i/>
          <w:iCs/>
        </w:rPr>
        <w:lastRenderedPageBreak/>
        <w:t>• its review cycle;</w:t>
      </w:r>
      <w:r w:rsidRPr="00B479AE">
        <w:rPr>
          <w:rFonts w:ascii="Baskerville Old Face" w:hAnsi="Baskerville Old Face"/>
          <w:i/>
          <w:iCs/>
        </w:rPr>
        <w:br/>
        <w:t>• its relationship to the Prometheus Access Covenant.</w:t>
      </w:r>
    </w:p>
    <w:p w14:paraId="0895C86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Tribe is healthy when it increases human dignity, trust, learning, coherence, ecological responsibility, and regenerative capacity.</w:t>
      </w:r>
    </w:p>
    <w:p w14:paraId="7536FDB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Tribe becomes unhealthy when it produces dependency, silence, hidden hierarchy, coercive belonging, symbolic participation, or community identity without accountability.</w:t>
      </w:r>
    </w:p>
    <w:p w14:paraId="660EC203"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3. Tribe Role Translation Layer</w:t>
      </w:r>
    </w:p>
    <w:p w14:paraId="5F35E84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Different communities may use different names for their roles.</w:t>
      </w:r>
    </w:p>
    <w:p w14:paraId="321C909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does not require communities to rename themselves.</w:t>
      </w:r>
    </w:p>
    <w:p w14:paraId="0CE38517"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requires that Prometheus-facing functions be legible, bounded, and accountable.</w:t>
      </w:r>
    </w:p>
    <w:p w14:paraId="0F75787C" w14:textId="33A29061" w:rsidR="00A84C22" w:rsidRDefault="00A84C22" w:rsidP="00A84C22">
      <w:pPr>
        <w:spacing w:line="360" w:lineRule="auto"/>
        <w:rPr>
          <w:rFonts w:ascii="Baskerville Old Face" w:hAnsi="Baskerville Old Face"/>
          <w:i/>
          <w:iCs/>
        </w:rPr>
      </w:pPr>
      <w:r w:rsidRPr="00B479AE">
        <w:rPr>
          <w:rFonts w:ascii="Baskerville Old Face" w:hAnsi="Baskerville Old Face"/>
          <w:i/>
          <w:iCs/>
        </w:rPr>
        <w:t xml:space="preserve">In the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model, the role translation layer may be expressed as follows:</w:t>
      </w:r>
      <w:r w:rsidR="008B3117">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5"/>
        <w:gridCol w:w="4004"/>
        <w:gridCol w:w="4359"/>
      </w:tblGrid>
      <w:tr w:rsidR="00A84C22" w:rsidRPr="00CE0E3A" w14:paraId="02F4E3E2" w14:textId="77777777" w:rsidTr="00A84C22">
        <w:trPr>
          <w:tblHeader/>
          <w:tblCellSpacing w:w="15" w:type="dxa"/>
        </w:trPr>
        <w:tc>
          <w:tcPr>
            <w:tcW w:w="0" w:type="auto"/>
            <w:vAlign w:val="center"/>
            <w:hideMark/>
          </w:tcPr>
          <w:p w14:paraId="7DC234B4" w14:textId="178AA72C" w:rsidR="00A84C22" w:rsidRPr="00CE0E3A" w:rsidRDefault="00A84C22" w:rsidP="00A84C22">
            <w:pPr>
              <w:spacing w:line="360" w:lineRule="auto"/>
              <w:rPr>
                <w:rFonts w:ascii="Baskerville Old Face" w:hAnsi="Baskerville Old Face"/>
                <w:b/>
                <w:bCs/>
                <w:i/>
                <w:iCs/>
                <w:sz w:val="20"/>
                <w:szCs w:val="20"/>
              </w:rPr>
            </w:pPr>
            <w:proofErr w:type="spellStart"/>
            <w:r w:rsidRPr="00CE0E3A">
              <w:rPr>
                <w:rFonts w:ascii="Baskerville Old Face" w:hAnsi="Baskerville Old Face"/>
                <w:b/>
                <w:bCs/>
                <w:i/>
                <w:iCs/>
                <w:sz w:val="20"/>
                <w:szCs w:val="20"/>
              </w:rPr>
              <w:t>Tribeke</w:t>
            </w:r>
            <w:proofErr w:type="spellEnd"/>
            <w:r w:rsidRPr="00CE0E3A">
              <w:rPr>
                <w:rFonts w:ascii="Baskerville Old Face" w:hAnsi="Baskerville Old Face"/>
                <w:b/>
                <w:bCs/>
                <w:i/>
                <w:iCs/>
                <w:sz w:val="20"/>
                <w:szCs w:val="20"/>
              </w:rPr>
              <w:t xml:space="preserve"> role</w:t>
            </w:r>
          </w:p>
        </w:tc>
        <w:tc>
          <w:tcPr>
            <w:tcW w:w="0" w:type="auto"/>
            <w:vAlign w:val="center"/>
            <w:hideMark/>
          </w:tcPr>
          <w:p w14:paraId="1E6CDA39" w14:textId="77777777" w:rsidR="00A84C22" w:rsidRPr="00CE0E3A" w:rsidRDefault="00A84C22" w:rsidP="00A84C22">
            <w:pPr>
              <w:spacing w:line="360" w:lineRule="auto"/>
              <w:rPr>
                <w:rFonts w:ascii="Baskerville Old Face" w:hAnsi="Baskerville Old Face"/>
                <w:b/>
                <w:bCs/>
                <w:i/>
                <w:iCs/>
                <w:sz w:val="20"/>
                <w:szCs w:val="20"/>
              </w:rPr>
            </w:pPr>
            <w:r w:rsidRPr="00CE0E3A">
              <w:rPr>
                <w:rFonts w:ascii="Baskerville Old Face" w:hAnsi="Baskerville Old Face"/>
                <w:b/>
                <w:bCs/>
                <w:i/>
                <w:iCs/>
                <w:sz w:val="20"/>
                <w:szCs w:val="20"/>
              </w:rPr>
              <w:t>Prometheus-facing function</w:t>
            </w:r>
          </w:p>
        </w:tc>
        <w:tc>
          <w:tcPr>
            <w:tcW w:w="0" w:type="auto"/>
            <w:vAlign w:val="center"/>
            <w:hideMark/>
          </w:tcPr>
          <w:p w14:paraId="50FC87DC" w14:textId="77777777" w:rsidR="00A84C22" w:rsidRPr="00CE0E3A" w:rsidRDefault="00A84C22" w:rsidP="00A84C22">
            <w:pPr>
              <w:spacing w:line="360" w:lineRule="auto"/>
              <w:rPr>
                <w:rFonts w:ascii="Baskerville Old Face" w:hAnsi="Baskerville Old Face"/>
                <w:b/>
                <w:bCs/>
                <w:i/>
                <w:iCs/>
                <w:sz w:val="20"/>
                <w:szCs w:val="20"/>
              </w:rPr>
            </w:pPr>
            <w:r w:rsidRPr="00CE0E3A">
              <w:rPr>
                <w:rFonts w:ascii="Baskerville Old Face" w:hAnsi="Baskerville Old Face"/>
                <w:b/>
                <w:bCs/>
                <w:i/>
                <w:iCs/>
                <w:sz w:val="20"/>
                <w:szCs w:val="20"/>
              </w:rPr>
              <w:t>Boundary</w:t>
            </w:r>
          </w:p>
        </w:tc>
      </w:tr>
      <w:tr w:rsidR="00A84C22" w:rsidRPr="00CE0E3A" w14:paraId="0A4F78E5" w14:textId="77777777" w:rsidTr="00A84C22">
        <w:trPr>
          <w:tblCellSpacing w:w="15" w:type="dxa"/>
        </w:trPr>
        <w:tc>
          <w:tcPr>
            <w:tcW w:w="0" w:type="auto"/>
            <w:vAlign w:val="center"/>
            <w:hideMark/>
          </w:tcPr>
          <w:p w14:paraId="5FB02498"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b/>
                <w:bCs/>
                <w:i/>
                <w:iCs/>
                <w:sz w:val="20"/>
                <w:szCs w:val="20"/>
              </w:rPr>
              <w:t>Tribal Regent</w:t>
            </w:r>
          </w:p>
        </w:tc>
        <w:tc>
          <w:tcPr>
            <w:tcW w:w="0" w:type="auto"/>
            <w:vAlign w:val="center"/>
            <w:hideMark/>
          </w:tcPr>
          <w:p w14:paraId="0378BDAB"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Purpose and alignment interface; protects why the Tribe exists and keeps collaboration aligned with its mission.</w:t>
            </w:r>
          </w:p>
        </w:tc>
        <w:tc>
          <w:tcPr>
            <w:tcW w:w="0" w:type="auto"/>
            <w:vAlign w:val="center"/>
            <w:hideMark/>
          </w:tcPr>
          <w:p w14:paraId="4A11073D"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Does not become Prometheus authority and does not override MRV, legal review, or constitutional constraints.</w:t>
            </w:r>
          </w:p>
        </w:tc>
      </w:tr>
      <w:tr w:rsidR="00A84C22" w:rsidRPr="00CE0E3A" w14:paraId="21B7991F" w14:textId="77777777" w:rsidTr="00A84C22">
        <w:trPr>
          <w:tblCellSpacing w:w="15" w:type="dxa"/>
        </w:trPr>
        <w:tc>
          <w:tcPr>
            <w:tcW w:w="0" w:type="auto"/>
            <w:vAlign w:val="center"/>
            <w:hideMark/>
          </w:tcPr>
          <w:p w14:paraId="40492F62"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b/>
                <w:bCs/>
                <w:i/>
                <w:iCs/>
                <w:sz w:val="20"/>
                <w:szCs w:val="20"/>
              </w:rPr>
              <w:t>Rhythm Architect</w:t>
            </w:r>
          </w:p>
        </w:tc>
        <w:tc>
          <w:tcPr>
            <w:tcW w:w="0" w:type="auto"/>
            <w:vAlign w:val="center"/>
            <w:hideMark/>
          </w:tcPr>
          <w:p w14:paraId="52AB8D01"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Maintains cadence, continuity, meeting rhythm, participation flow, and follow-up discipline.</w:t>
            </w:r>
          </w:p>
        </w:tc>
        <w:tc>
          <w:tcPr>
            <w:tcW w:w="0" w:type="auto"/>
            <w:vAlign w:val="center"/>
            <w:hideMark/>
          </w:tcPr>
          <w:p w14:paraId="1A4D475E"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Does not control Prometheus execution gates, capital-readiness status, or resource allocation.</w:t>
            </w:r>
          </w:p>
        </w:tc>
      </w:tr>
      <w:tr w:rsidR="00A84C22" w:rsidRPr="00CE0E3A" w14:paraId="022DBB85" w14:textId="77777777" w:rsidTr="00A84C22">
        <w:trPr>
          <w:tblCellSpacing w:w="15" w:type="dxa"/>
        </w:trPr>
        <w:tc>
          <w:tcPr>
            <w:tcW w:w="0" w:type="auto"/>
            <w:vAlign w:val="center"/>
            <w:hideMark/>
          </w:tcPr>
          <w:p w14:paraId="33932FF1"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b/>
                <w:bCs/>
                <w:i/>
                <w:iCs/>
                <w:sz w:val="20"/>
                <w:szCs w:val="20"/>
              </w:rPr>
              <w:t>Integrity Guardian</w:t>
            </w:r>
          </w:p>
        </w:tc>
        <w:tc>
          <w:tcPr>
            <w:tcW w:w="0" w:type="auto"/>
            <w:vAlign w:val="center"/>
            <w:hideMark/>
          </w:tcPr>
          <w:p w14:paraId="30A2EEE4"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Protects community integrity, ritual coherence, rules, participation quality, and behavioral accountability.</w:t>
            </w:r>
          </w:p>
        </w:tc>
        <w:tc>
          <w:tcPr>
            <w:tcW w:w="0" w:type="auto"/>
            <w:vAlign w:val="center"/>
            <w:hideMark/>
          </w:tcPr>
          <w:p w14:paraId="75B37F76"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Does not replace Prometheus risk, compliance, MRV, legal, or constitutional review.</w:t>
            </w:r>
          </w:p>
        </w:tc>
      </w:tr>
      <w:tr w:rsidR="00A84C22" w:rsidRPr="00CE0E3A" w14:paraId="0DBEA801" w14:textId="77777777" w:rsidTr="00A84C22">
        <w:trPr>
          <w:tblCellSpacing w:w="15" w:type="dxa"/>
        </w:trPr>
        <w:tc>
          <w:tcPr>
            <w:tcW w:w="0" w:type="auto"/>
            <w:vAlign w:val="center"/>
            <w:hideMark/>
          </w:tcPr>
          <w:p w14:paraId="4C8F05A9"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b/>
                <w:bCs/>
                <w:i/>
                <w:iCs/>
                <w:sz w:val="20"/>
                <w:szCs w:val="20"/>
              </w:rPr>
              <w:t>Connection Catalyst</w:t>
            </w:r>
          </w:p>
        </w:tc>
        <w:tc>
          <w:tcPr>
            <w:tcW w:w="0" w:type="auto"/>
            <w:vAlign w:val="center"/>
            <w:hideMark/>
          </w:tcPr>
          <w:p w14:paraId="25D903B5"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Activates relationships, onboarding, 1:1 connections, partnerships, collaboration flows, and social trust.</w:t>
            </w:r>
          </w:p>
        </w:tc>
        <w:tc>
          <w:tcPr>
            <w:tcW w:w="0" w:type="auto"/>
            <w:vAlign w:val="center"/>
            <w:hideMark/>
          </w:tcPr>
          <w:p w14:paraId="116FEC08" w14:textId="77777777" w:rsidR="00A84C22" w:rsidRPr="00CE0E3A" w:rsidRDefault="00A84C22" w:rsidP="00A84C22">
            <w:pPr>
              <w:spacing w:line="360" w:lineRule="auto"/>
              <w:rPr>
                <w:rFonts w:ascii="Baskerville Old Face" w:hAnsi="Baskerville Old Face"/>
                <w:i/>
                <w:iCs/>
                <w:sz w:val="20"/>
                <w:szCs w:val="20"/>
              </w:rPr>
            </w:pPr>
            <w:r w:rsidRPr="00CE0E3A">
              <w:rPr>
                <w:rFonts w:ascii="Baskerville Old Face" w:hAnsi="Baskerville Old Face"/>
                <w:i/>
                <w:iCs/>
                <w:sz w:val="20"/>
                <w:szCs w:val="20"/>
              </w:rPr>
              <w:t>Does not create automatic access rights, token entitlements, investor rights, PRU value, or Prometheus governance authority.</w:t>
            </w:r>
          </w:p>
        </w:tc>
      </w:tr>
    </w:tbl>
    <w:p w14:paraId="3E236B9F" w14:textId="1DF0549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translation layer allows the Tribe to remain itself while becoming interoperable with Prometheus.</w:t>
      </w:r>
      <w:r w:rsidR="00052FE3">
        <w:rPr>
          <w:rFonts w:ascii="Baskerville Old Face" w:hAnsi="Baskerville Old Face"/>
          <w:i/>
          <w:iCs/>
        </w:rPr>
        <w:t xml:space="preserve"> </w:t>
      </w:r>
      <w:r w:rsidRPr="00B479AE">
        <w:rPr>
          <w:rFonts w:ascii="Baskerville Old Face" w:hAnsi="Baskerville Old Face"/>
          <w:i/>
          <w:iCs/>
        </w:rPr>
        <w:t>It protects both dimensions:</w:t>
      </w:r>
    </w:p>
    <w:p w14:paraId="6FE476B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community identity and constitutional discipline.</w:t>
      </w:r>
    </w:p>
    <w:p w14:paraId="0CA9DBDE"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lastRenderedPageBreak/>
        <w:t xml:space="preserve">4. </w:t>
      </w:r>
      <w:proofErr w:type="spellStart"/>
      <w:r w:rsidRPr="00B479AE">
        <w:rPr>
          <w:rFonts w:ascii="Baskerville Old Face" w:hAnsi="Baskerville Old Face"/>
          <w:b/>
          <w:bCs/>
          <w:i/>
          <w:iCs/>
        </w:rPr>
        <w:t>Sociocratic</w:t>
      </w:r>
      <w:proofErr w:type="spellEnd"/>
      <w:r w:rsidRPr="00B479AE">
        <w:rPr>
          <w:rFonts w:ascii="Baskerville Old Face" w:hAnsi="Baskerville Old Face"/>
          <w:b/>
          <w:bCs/>
          <w:i/>
          <w:iCs/>
        </w:rPr>
        <w:t xml:space="preserve"> Decision Architecture</w:t>
      </w:r>
    </w:p>
    <w:p w14:paraId="6B648F24"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xml:space="preserve">Prometheus adopts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consent as the default method for ordinary community governance.</w:t>
      </w:r>
    </w:p>
    <w:p w14:paraId="0BD43A7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Consent is not unanimity of preference.</w:t>
      </w:r>
    </w:p>
    <w:p w14:paraId="67D3875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Consent means the absence of a reasoned objection.</w:t>
      </w:r>
    </w:p>
    <w:p w14:paraId="38FD44C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reasoned objection is not a personal dislike.</w:t>
      </w:r>
    </w:p>
    <w:p w14:paraId="5A72D4D2" w14:textId="58F0AE40"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information that a proposal may harm the purpose, violate a constraint, transfer risk, exceed capacity, weaken trust, ignore evidence, or create incoherence.</w:t>
      </w:r>
      <w:r w:rsidR="00052FE3">
        <w:rPr>
          <w:rFonts w:ascii="Baskerville Old Face" w:hAnsi="Baskerville Old Face"/>
          <w:i/>
          <w:iCs/>
        </w:rPr>
        <w:t xml:space="preserve"> </w:t>
      </w:r>
      <w:r w:rsidRPr="00B479AE">
        <w:rPr>
          <w:rFonts w:ascii="Baskerville Old Face" w:hAnsi="Baskerville Old Face"/>
          <w:i/>
          <w:iCs/>
        </w:rPr>
        <w:t>The consent sequence is:</w:t>
      </w:r>
    </w:p>
    <w:p w14:paraId="025B624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proposal;</w:t>
      </w:r>
      <w:r w:rsidRPr="00B479AE">
        <w:rPr>
          <w:rFonts w:ascii="Baskerville Old Face" w:hAnsi="Baskerville Old Face"/>
          <w:i/>
          <w:iCs/>
        </w:rPr>
        <w:br/>
        <w:t>clarifying questions;</w:t>
      </w:r>
      <w:r w:rsidRPr="00B479AE">
        <w:rPr>
          <w:rFonts w:ascii="Baskerville Old Face" w:hAnsi="Baskerville Old Face"/>
          <w:i/>
          <w:iCs/>
        </w:rPr>
        <w:br/>
        <w:t>reaction round;</w:t>
      </w:r>
      <w:r w:rsidRPr="00B479AE">
        <w:rPr>
          <w:rFonts w:ascii="Baskerville Old Face" w:hAnsi="Baskerville Old Face"/>
          <w:i/>
          <w:iCs/>
        </w:rPr>
        <w:br/>
        <w:t>amendment;</w:t>
      </w:r>
      <w:r w:rsidRPr="00B479AE">
        <w:rPr>
          <w:rFonts w:ascii="Baskerville Old Face" w:hAnsi="Baskerville Old Face"/>
          <w:i/>
          <w:iCs/>
        </w:rPr>
        <w:br/>
        <w:t>objection round;</w:t>
      </w:r>
      <w:r w:rsidRPr="00B479AE">
        <w:rPr>
          <w:rFonts w:ascii="Baskerville Old Face" w:hAnsi="Baskerville Old Face"/>
          <w:i/>
          <w:iCs/>
        </w:rPr>
        <w:br/>
        <w:t>integration of objections;</w:t>
      </w:r>
      <w:r w:rsidRPr="00B479AE">
        <w:rPr>
          <w:rFonts w:ascii="Baskerville Old Face" w:hAnsi="Baskerville Old Face"/>
          <w:i/>
          <w:iCs/>
        </w:rPr>
        <w:br/>
        <w:t>consent decision;</w:t>
      </w:r>
      <w:r w:rsidRPr="00B479AE">
        <w:rPr>
          <w:rFonts w:ascii="Baskerville Old Face" w:hAnsi="Baskerville Old Face"/>
          <w:i/>
          <w:iCs/>
        </w:rPr>
        <w:br/>
        <w:t>role assignment;</w:t>
      </w:r>
      <w:r w:rsidRPr="00B479AE">
        <w:rPr>
          <w:rFonts w:ascii="Baskerville Old Face" w:hAnsi="Baskerville Old Face"/>
          <w:i/>
          <w:iCs/>
        </w:rPr>
        <w:br/>
        <w:t>review date.</w:t>
      </w:r>
    </w:p>
    <w:p w14:paraId="06D5ACB7"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makes decision-making light enough to move and structured enough to learn.</w:t>
      </w:r>
    </w:p>
    <w:p w14:paraId="4E4F8C1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uses consent because it fits regenerative reality.</w:t>
      </w:r>
    </w:p>
    <w:p w14:paraId="5CBD8A1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Living systems do not wait for perfect certainty.</w:t>
      </w:r>
    </w:p>
    <w:p w14:paraId="6E674CB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They move through safe-to-try adaptation.</w:t>
      </w:r>
    </w:p>
    <w:p w14:paraId="0BF65FA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consent decision should therefore be:</w:t>
      </w:r>
    </w:p>
    <w:p w14:paraId="05C0171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clear enough to act;</w:t>
      </w:r>
      <w:r w:rsidRPr="00B479AE">
        <w:rPr>
          <w:rFonts w:ascii="Baskerville Old Face" w:hAnsi="Baskerville Old Face"/>
          <w:i/>
          <w:iCs/>
        </w:rPr>
        <w:br/>
        <w:t>• safe enough to try;</w:t>
      </w:r>
      <w:r w:rsidRPr="00B479AE">
        <w:rPr>
          <w:rFonts w:ascii="Baskerville Old Face" w:hAnsi="Baskerville Old Face"/>
          <w:i/>
          <w:iCs/>
        </w:rPr>
        <w:br/>
        <w:t>• bounded enough to review;</w:t>
      </w:r>
      <w:r w:rsidRPr="00B479AE">
        <w:rPr>
          <w:rFonts w:ascii="Baskerville Old Face" w:hAnsi="Baskerville Old Face"/>
          <w:i/>
          <w:iCs/>
        </w:rPr>
        <w:br/>
        <w:t>• reversible where uncertainty is high;</w:t>
      </w:r>
      <w:r w:rsidRPr="00B479AE">
        <w:rPr>
          <w:rFonts w:ascii="Baskerville Old Face" w:hAnsi="Baskerville Old Face"/>
          <w:i/>
          <w:iCs/>
        </w:rPr>
        <w:br/>
        <w:t>• documented enough to learn.</w:t>
      </w:r>
    </w:p>
    <w:p w14:paraId="4AC9BF78"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lastRenderedPageBreak/>
        <w:t>5. Four Decision Levels</w:t>
      </w:r>
    </w:p>
    <w:p w14:paraId="0136AF32" w14:textId="77777777" w:rsidR="00CE3DCB" w:rsidRDefault="00A84C22" w:rsidP="00A84C22">
      <w:pPr>
        <w:spacing w:line="360" w:lineRule="auto"/>
        <w:rPr>
          <w:rFonts w:ascii="Baskerville Old Face" w:hAnsi="Baskerville Old Face"/>
          <w:i/>
          <w:iCs/>
        </w:rPr>
      </w:pPr>
      <w:r w:rsidRPr="00B479AE">
        <w:rPr>
          <w:rFonts w:ascii="Baskerville Old Face" w:hAnsi="Baskerville Old Face"/>
          <w:i/>
          <w:iCs/>
        </w:rPr>
        <w:t>Prometheus distinguishes four levels of decision.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1"/>
        <w:gridCol w:w="1753"/>
        <w:gridCol w:w="3576"/>
        <w:gridCol w:w="2858"/>
      </w:tblGrid>
      <w:tr w:rsidR="00A84C22" w:rsidRPr="00B479AE" w14:paraId="240D6F66" w14:textId="77777777" w:rsidTr="007C5DB8">
        <w:trPr>
          <w:tblHeader/>
          <w:tblCellSpacing w:w="15" w:type="dxa"/>
        </w:trPr>
        <w:tc>
          <w:tcPr>
            <w:tcW w:w="0" w:type="auto"/>
            <w:vAlign w:val="center"/>
            <w:hideMark/>
          </w:tcPr>
          <w:p w14:paraId="32D4BD75" w14:textId="77777777" w:rsidR="00A84C22" w:rsidRPr="00B479AE" w:rsidRDefault="00A84C22" w:rsidP="00A84C2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Decision level</w:t>
            </w:r>
          </w:p>
        </w:tc>
        <w:tc>
          <w:tcPr>
            <w:tcW w:w="0" w:type="auto"/>
            <w:vAlign w:val="center"/>
            <w:hideMark/>
          </w:tcPr>
          <w:p w14:paraId="2674F7CA" w14:textId="77777777" w:rsidR="00A84C22" w:rsidRPr="00B479AE" w:rsidRDefault="00A84C22" w:rsidP="00A84C2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Method</w:t>
            </w:r>
          </w:p>
        </w:tc>
        <w:tc>
          <w:tcPr>
            <w:tcW w:w="0" w:type="auto"/>
            <w:vAlign w:val="center"/>
            <w:hideMark/>
          </w:tcPr>
          <w:p w14:paraId="7052C264" w14:textId="77777777" w:rsidR="00A84C22" w:rsidRPr="00B479AE" w:rsidRDefault="00A84C22" w:rsidP="00A84C2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Scope</w:t>
            </w:r>
          </w:p>
        </w:tc>
        <w:tc>
          <w:tcPr>
            <w:tcW w:w="0" w:type="auto"/>
            <w:vAlign w:val="center"/>
            <w:hideMark/>
          </w:tcPr>
          <w:p w14:paraId="31F87781" w14:textId="77777777" w:rsidR="00A84C22" w:rsidRPr="00B479AE" w:rsidRDefault="00A84C22" w:rsidP="00A84C2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Prometheus boundary</w:t>
            </w:r>
          </w:p>
        </w:tc>
      </w:tr>
      <w:tr w:rsidR="00A84C22" w:rsidRPr="00B479AE" w14:paraId="221ADD89" w14:textId="77777777" w:rsidTr="007C5DB8">
        <w:trPr>
          <w:tblCellSpacing w:w="15" w:type="dxa"/>
        </w:trPr>
        <w:tc>
          <w:tcPr>
            <w:tcW w:w="0" w:type="auto"/>
            <w:vAlign w:val="center"/>
            <w:hideMark/>
          </w:tcPr>
          <w:p w14:paraId="3277663C"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Operational decision</w:t>
            </w:r>
          </w:p>
        </w:tc>
        <w:tc>
          <w:tcPr>
            <w:tcW w:w="0" w:type="auto"/>
            <w:vAlign w:val="center"/>
            <w:hideMark/>
          </w:tcPr>
          <w:p w14:paraId="2999DEE5"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Role mandate or consent</w:t>
            </w:r>
          </w:p>
        </w:tc>
        <w:tc>
          <w:tcPr>
            <w:tcW w:w="0" w:type="auto"/>
            <w:vAlign w:val="center"/>
            <w:hideMark/>
          </w:tcPr>
          <w:p w14:paraId="0F08BB88"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Scheduling, workflows, meetings, task execution, ordinary coordination.</w:t>
            </w:r>
          </w:p>
        </w:tc>
        <w:tc>
          <w:tcPr>
            <w:tcW w:w="0" w:type="auto"/>
            <w:vAlign w:val="center"/>
            <w:hideMark/>
          </w:tcPr>
          <w:p w14:paraId="5D0EF6B1"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Must remain within role mandate and Access Covenant.</w:t>
            </w:r>
          </w:p>
        </w:tc>
      </w:tr>
      <w:tr w:rsidR="00A84C22" w:rsidRPr="00B479AE" w14:paraId="7397EE21" w14:textId="77777777" w:rsidTr="007C5DB8">
        <w:trPr>
          <w:tblCellSpacing w:w="15" w:type="dxa"/>
        </w:trPr>
        <w:tc>
          <w:tcPr>
            <w:tcW w:w="0" w:type="auto"/>
            <w:vAlign w:val="center"/>
            <w:hideMark/>
          </w:tcPr>
          <w:p w14:paraId="7BB1A68F"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Strategic decision</w:t>
            </w:r>
          </w:p>
        </w:tc>
        <w:tc>
          <w:tcPr>
            <w:tcW w:w="0" w:type="auto"/>
            <w:vAlign w:val="center"/>
            <w:hideMark/>
          </w:tcPr>
          <w:p w14:paraId="694FBB53"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Advice process + consent review</w:t>
            </w:r>
          </w:p>
        </w:tc>
        <w:tc>
          <w:tcPr>
            <w:tcW w:w="0" w:type="auto"/>
            <w:vAlign w:val="center"/>
            <w:hideMark/>
          </w:tcPr>
          <w:p w14:paraId="32D25743"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Partnerships, growth, resources, deployment, major initiatives.</w:t>
            </w:r>
          </w:p>
        </w:tc>
        <w:tc>
          <w:tcPr>
            <w:tcW w:w="0" w:type="auto"/>
            <w:vAlign w:val="center"/>
            <w:hideMark/>
          </w:tcPr>
          <w:p w14:paraId="4A6A85B3"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Must consult affected actors, competent persons, and relevant evidence.</w:t>
            </w:r>
          </w:p>
        </w:tc>
      </w:tr>
      <w:tr w:rsidR="00A84C22" w:rsidRPr="00B479AE" w14:paraId="0682212E" w14:textId="77777777" w:rsidTr="007C5DB8">
        <w:trPr>
          <w:tblCellSpacing w:w="15" w:type="dxa"/>
        </w:trPr>
        <w:tc>
          <w:tcPr>
            <w:tcW w:w="0" w:type="auto"/>
            <w:vAlign w:val="center"/>
            <w:hideMark/>
          </w:tcPr>
          <w:p w14:paraId="26975A7B"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Integrity decision</w:t>
            </w:r>
          </w:p>
        </w:tc>
        <w:tc>
          <w:tcPr>
            <w:tcW w:w="0" w:type="auto"/>
            <w:vAlign w:val="center"/>
            <w:hideMark/>
          </w:tcPr>
          <w:p w14:paraId="1776E924"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Custodial triad + review pathway</w:t>
            </w:r>
          </w:p>
        </w:tc>
        <w:tc>
          <w:tcPr>
            <w:tcW w:w="0" w:type="auto"/>
            <w:vAlign w:val="center"/>
            <w:hideMark/>
          </w:tcPr>
          <w:p w14:paraId="47DAD65B"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Conflict, safety, breach, role failure, social harm, covenant tension.</w:t>
            </w:r>
          </w:p>
        </w:tc>
        <w:tc>
          <w:tcPr>
            <w:tcW w:w="0" w:type="auto"/>
            <w:vAlign w:val="center"/>
            <w:hideMark/>
          </w:tcPr>
          <w:p w14:paraId="315E3774"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Must be documented, proportionate, and appealable.</w:t>
            </w:r>
          </w:p>
        </w:tc>
      </w:tr>
      <w:tr w:rsidR="00A84C22" w:rsidRPr="00B479AE" w14:paraId="51A5219A" w14:textId="77777777" w:rsidTr="007C5DB8">
        <w:trPr>
          <w:tblCellSpacing w:w="15" w:type="dxa"/>
        </w:trPr>
        <w:tc>
          <w:tcPr>
            <w:tcW w:w="0" w:type="auto"/>
            <w:vAlign w:val="center"/>
            <w:hideMark/>
          </w:tcPr>
          <w:p w14:paraId="493F927D"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Constitutional decision</w:t>
            </w:r>
          </w:p>
        </w:tc>
        <w:tc>
          <w:tcPr>
            <w:tcW w:w="0" w:type="auto"/>
            <w:vAlign w:val="center"/>
            <w:hideMark/>
          </w:tcPr>
          <w:p w14:paraId="26E3A8C4"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Constitutional amendment pathway</w:t>
            </w:r>
          </w:p>
        </w:tc>
        <w:tc>
          <w:tcPr>
            <w:tcW w:w="0" w:type="auto"/>
            <w:vAlign w:val="center"/>
            <w:hideMark/>
          </w:tcPr>
          <w:p w14:paraId="06CE3B80"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Foundational rules, Access Covenant, governance architecture, PRU/MRV/TRBK boundaries.</w:t>
            </w:r>
          </w:p>
        </w:tc>
        <w:tc>
          <w:tcPr>
            <w:tcW w:w="0" w:type="auto"/>
            <w:vAlign w:val="center"/>
            <w:hideMark/>
          </w:tcPr>
          <w:p w14:paraId="30CD5E3D" w14:textId="77777777" w:rsidR="00A84C22" w:rsidRPr="00B479AE" w:rsidRDefault="00A84C22" w:rsidP="00A84C22">
            <w:pPr>
              <w:spacing w:line="360" w:lineRule="auto"/>
              <w:rPr>
                <w:rFonts w:ascii="Baskerville Old Face" w:hAnsi="Baskerville Old Face"/>
                <w:i/>
                <w:iCs/>
                <w:sz w:val="20"/>
                <w:szCs w:val="20"/>
              </w:rPr>
            </w:pPr>
            <w:r w:rsidRPr="00B479AE">
              <w:rPr>
                <w:rFonts w:ascii="Baskerville Old Face" w:hAnsi="Baskerville Old Face"/>
                <w:i/>
                <w:iCs/>
                <w:sz w:val="20"/>
                <w:szCs w:val="20"/>
              </w:rPr>
              <w:t>Cannot violate Eternity Clauses, evidence-before-value, or non-</w:t>
            </w:r>
            <w:proofErr w:type="spellStart"/>
            <w:r w:rsidRPr="00B479AE">
              <w:rPr>
                <w:rFonts w:ascii="Baskerville Old Face" w:hAnsi="Baskerville Old Face"/>
                <w:i/>
                <w:iCs/>
                <w:sz w:val="20"/>
                <w:szCs w:val="20"/>
              </w:rPr>
              <w:t>bypassability</w:t>
            </w:r>
            <w:proofErr w:type="spellEnd"/>
            <w:r w:rsidRPr="00B479AE">
              <w:rPr>
                <w:rFonts w:ascii="Baskerville Old Face" w:hAnsi="Baskerville Old Face"/>
                <w:i/>
                <w:iCs/>
                <w:sz w:val="20"/>
                <w:szCs w:val="20"/>
              </w:rPr>
              <w:t>.</w:t>
            </w:r>
          </w:p>
        </w:tc>
      </w:tr>
    </w:tbl>
    <w:p w14:paraId="4706E9C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prevents category collapse.</w:t>
      </w:r>
    </w:p>
    <w:p w14:paraId="6F44945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scheduling issue is not a constitutional amendment.</w:t>
      </w:r>
    </w:p>
    <w:p w14:paraId="34FCE91D"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mood is not evidence.</w:t>
      </w:r>
    </w:p>
    <w:p w14:paraId="6587C6E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founder preference is not authority.</w:t>
      </w:r>
    </w:p>
    <w:p w14:paraId="24E5EC0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token signal is not consent.</w:t>
      </w:r>
    </w:p>
    <w:p w14:paraId="239B874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model output is not a decision.</w:t>
      </w:r>
    </w:p>
    <w:p w14:paraId="20A283D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governance suggestion is not a valid vote.</w:t>
      </w:r>
    </w:p>
    <w:p w14:paraId="29A75977"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6. Circle Architecture and Double-Linking</w:t>
      </w:r>
    </w:p>
    <w:p w14:paraId="141FEEA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communities should organize through circles.</w:t>
      </w:r>
    </w:p>
    <w:p w14:paraId="2812DD3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circle is a semi-autonomous governance unit with a defined domain, purpose, roles, metrics, and decision authority.</w:t>
      </w:r>
    </w:p>
    <w:p w14:paraId="76BCBC4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Circles may include:</w:t>
      </w:r>
    </w:p>
    <w:p w14:paraId="418FC5F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 local Tribe circles;</w:t>
      </w:r>
      <w:r w:rsidRPr="00B479AE">
        <w:rPr>
          <w:rFonts w:ascii="Baskerville Old Face" w:hAnsi="Baskerville Old Face"/>
          <w:i/>
          <w:iCs/>
        </w:rPr>
        <w:br/>
        <w:t>• ecological stewardship circles;</w:t>
      </w:r>
      <w:r w:rsidRPr="00B479AE">
        <w:rPr>
          <w:rFonts w:ascii="Baskerville Old Face" w:hAnsi="Baskerville Old Face"/>
          <w:i/>
          <w:iCs/>
        </w:rPr>
        <w:br/>
        <w:t>• MRV circles;</w:t>
      </w:r>
      <w:r w:rsidRPr="00B479AE">
        <w:rPr>
          <w:rFonts w:ascii="Baskerville Old Face" w:hAnsi="Baskerville Old Face"/>
          <w:i/>
          <w:iCs/>
        </w:rPr>
        <w:br/>
        <w:t>• learning circles;</w:t>
      </w:r>
      <w:r w:rsidRPr="00B479AE">
        <w:rPr>
          <w:rFonts w:ascii="Baskerville Old Face" w:hAnsi="Baskerville Old Face"/>
          <w:i/>
          <w:iCs/>
        </w:rPr>
        <w:br/>
        <w:t>• governance circles;</w:t>
      </w:r>
      <w:r w:rsidRPr="00B479AE">
        <w:rPr>
          <w:rFonts w:ascii="Baskerville Old Face" w:hAnsi="Baskerville Old Face"/>
          <w:i/>
          <w:iCs/>
        </w:rPr>
        <w:br/>
        <w:t>• technical circles;</w:t>
      </w:r>
      <w:r w:rsidRPr="00B479AE">
        <w:rPr>
          <w:rFonts w:ascii="Baskerville Old Face" w:hAnsi="Baskerville Old Face"/>
          <w:i/>
          <w:iCs/>
        </w:rPr>
        <w:br/>
        <w:t>• capital-readiness circles;</w:t>
      </w:r>
      <w:r w:rsidRPr="00B479AE">
        <w:rPr>
          <w:rFonts w:ascii="Baskerville Old Face" w:hAnsi="Baskerville Old Face"/>
          <w:i/>
          <w:iCs/>
        </w:rPr>
        <w:br/>
        <w:t>• conflict and integrity circles;</w:t>
      </w:r>
      <w:r w:rsidRPr="00B479AE">
        <w:rPr>
          <w:rFonts w:ascii="Baskerville Old Face" w:hAnsi="Baskerville Old Face"/>
          <w:i/>
          <w:iCs/>
        </w:rPr>
        <w:br/>
        <w:t>• bioregional circles;</w:t>
      </w:r>
      <w:r w:rsidRPr="00B479AE">
        <w:rPr>
          <w:rFonts w:ascii="Baskerville Old Face" w:hAnsi="Baskerville Old Face"/>
          <w:i/>
          <w:iCs/>
        </w:rPr>
        <w:br/>
        <w:t>• protocol stewardship circles.</w:t>
      </w:r>
    </w:p>
    <w:p w14:paraId="43AA440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Where multiple circles interact, Prometheus should use double-linking.</w:t>
      </w:r>
    </w:p>
    <w:p w14:paraId="75FFF22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Double-linking means that two connections link a circle to the broader governance structure:</w:t>
      </w:r>
    </w:p>
    <w:p w14:paraId="76FA359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an operational link that carries coordination, resources, constraints, and implementation needs;</w:t>
      </w:r>
      <w:r w:rsidRPr="00B479AE">
        <w:rPr>
          <w:rFonts w:ascii="Baskerville Old Face" w:hAnsi="Baskerville Old Face"/>
          <w:i/>
          <w:iCs/>
        </w:rPr>
        <w:br/>
        <w:t>• a representative link that carries local experience, objections, context, and feedback upward.</w:t>
      </w:r>
    </w:p>
    <w:p w14:paraId="77E7815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prevents one-way command.</w:t>
      </w:r>
    </w:p>
    <w:p w14:paraId="075A584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also prevents local fragmentation.</w:t>
      </w:r>
    </w:p>
    <w:p w14:paraId="2FF8612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Authority becomes circulatory.</w:t>
      </w:r>
    </w:p>
    <w:p w14:paraId="66B3B6B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Information moves both ways.</w:t>
      </w:r>
    </w:p>
    <w:p w14:paraId="245BE902" w14:textId="7506C126" w:rsidR="00192AA9"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system becomes capable of scale without losing local intelligence.</w:t>
      </w:r>
    </w:p>
    <w:p w14:paraId="54312E5C"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7. Advice Process for Strategic Decisions</w:t>
      </w:r>
    </w:p>
    <w:p w14:paraId="7DCC6F3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For strategic decisions, Prometheus may use the advice process.</w:t>
      </w:r>
    </w:p>
    <w:p w14:paraId="26D36B1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advice process allows a role-holder or proposing group to move a decision forward after seeking advice from:</w:t>
      </w:r>
    </w:p>
    <w:p w14:paraId="17C14B8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people affected by the decision;</w:t>
      </w:r>
      <w:r w:rsidRPr="00B479AE">
        <w:rPr>
          <w:rFonts w:ascii="Baskerville Old Face" w:hAnsi="Baskerville Old Face"/>
          <w:i/>
          <w:iCs/>
        </w:rPr>
        <w:br/>
        <w:t>• people with relevant expertise;</w:t>
      </w:r>
      <w:r w:rsidRPr="00B479AE">
        <w:rPr>
          <w:rFonts w:ascii="Baskerville Old Face" w:hAnsi="Baskerville Old Face"/>
          <w:i/>
          <w:iCs/>
        </w:rPr>
        <w:br/>
        <w:t>• the relevant circle;</w:t>
      </w:r>
      <w:r w:rsidRPr="00B479AE">
        <w:rPr>
          <w:rFonts w:ascii="Baskerville Old Face" w:hAnsi="Baskerville Old Face"/>
          <w:i/>
          <w:iCs/>
        </w:rPr>
        <w:br/>
        <w:t>• the Integrity Guardian or equivalent;</w:t>
      </w:r>
      <w:r w:rsidRPr="00B479AE">
        <w:rPr>
          <w:rFonts w:ascii="Baskerville Old Face" w:hAnsi="Baskerville Old Face"/>
          <w:i/>
          <w:iCs/>
        </w:rPr>
        <w:br/>
      </w:r>
      <w:r w:rsidRPr="00B479AE">
        <w:rPr>
          <w:rFonts w:ascii="Baskerville Old Face" w:hAnsi="Baskerville Old Face"/>
          <w:i/>
          <w:iCs/>
        </w:rPr>
        <w:lastRenderedPageBreak/>
        <w:t>• the Evidence / MRV interface where evidence is involved;</w:t>
      </w:r>
      <w:r w:rsidRPr="00B479AE">
        <w:rPr>
          <w:rFonts w:ascii="Baskerville Old Face" w:hAnsi="Baskerville Old Face"/>
          <w:i/>
          <w:iCs/>
        </w:rPr>
        <w:br/>
        <w:t>• legal, compliance, or financial reviewers where required.</w:t>
      </w:r>
    </w:p>
    <w:p w14:paraId="6D7AFD3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advice process is not permission-seeking theater.</w:t>
      </w:r>
    </w:p>
    <w:p w14:paraId="22500C6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distributed intelligence.</w:t>
      </w:r>
    </w:p>
    <w:p w14:paraId="73F8AFE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proposer remains accountable for integrating advice, explaining assumptions, documenting trade-offs, and defining a review point.</w:t>
      </w:r>
    </w:p>
    <w:p w14:paraId="2680D44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method protects initiative while preventing unilateralism.</w:t>
      </w:r>
    </w:p>
    <w:p w14:paraId="375CC42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allows leadership without domination.</w:t>
      </w:r>
    </w:p>
    <w:p w14:paraId="7F483DF9"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8. Psychological Safety and Disciplined Dissent</w:t>
      </w:r>
    </w:p>
    <w:p w14:paraId="117E87E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communities must be safe enough for truth.</w:t>
      </w:r>
    </w:p>
    <w:p w14:paraId="3E304192"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Psychological safety does not mean comfort.</w:t>
      </w:r>
    </w:p>
    <w:p w14:paraId="5C504EA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means that members can speak relevant truth without fear of humiliation, exclusion, retaliation, or status loss.</w:t>
      </w:r>
    </w:p>
    <w:p w14:paraId="0FE69452"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healthy Prometheus community makes room for statements such as:</w:t>
      </w:r>
    </w:p>
    <w:p w14:paraId="1BD4C8F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I do not understand;</w:t>
      </w:r>
      <w:r w:rsidRPr="00B479AE">
        <w:rPr>
          <w:rFonts w:ascii="Baskerville Old Face" w:hAnsi="Baskerville Old Face"/>
          <w:i/>
          <w:iCs/>
        </w:rPr>
        <w:br/>
        <w:t>• I see a risk;</w:t>
      </w:r>
      <w:r w:rsidRPr="00B479AE">
        <w:rPr>
          <w:rFonts w:ascii="Baskerville Old Face" w:hAnsi="Baskerville Old Face"/>
          <w:i/>
          <w:iCs/>
        </w:rPr>
        <w:br/>
        <w:t>• I need more evidence;</w:t>
      </w:r>
      <w:r w:rsidRPr="00B479AE">
        <w:rPr>
          <w:rFonts w:ascii="Baskerville Old Face" w:hAnsi="Baskerville Old Face"/>
          <w:i/>
          <w:iCs/>
        </w:rPr>
        <w:br/>
        <w:t>• this creates hidden labor;</w:t>
      </w:r>
      <w:r w:rsidRPr="00B479AE">
        <w:rPr>
          <w:rFonts w:ascii="Baskerville Old Face" w:hAnsi="Baskerville Old Face"/>
          <w:i/>
          <w:iCs/>
        </w:rPr>
        <w:br/>
        <w:t>• this transfers risk to others;</w:t>
      </w:r>
      <w:r w:rsidRPr="00B479AE">
        <w:rPr>
          <w:rFonts w:ascii="Baskerville Old Face" w:hAnsi="Baskerville Old Face"/>
          <w:i/>
          <w:iCs/>
        </w:rPr>
        <w:br/>
        <w:t>• this moves too fast;</w:t>
      </w:r>
      <w:r w:rsidRPr="00B479AE">
        <w:rPr>
          <w:rFonts w:ascii="Baskerville Old Face" w:hAnsi="Baskerville Old Face"/>
          <w:i/>
          <w:iCs/>
        </w:rPr>
        <w:br/>
        <w:t>• this weakens trust;</w:t>
      </w:r>
      <w:r w:rsidRPr="00B479AE">
        <w:rPr>
          <w:rFonts w:ascii="Baskerville Old Face" w:hAnsi="Baskerville Old Face"/>
          <w:i/>
          <w:iCs/>
        </w:rPr>
        <w:br/>
        <w:t>• this violates our purpose;</w:t>
      </w:r>
      <w:r w:rsidRPr="00B479AE">
        <w:rPr>
          <w:rFonts w:ascii="Baskerville Old Face" w:hAnsi="Baskerville Old Face"/>
          <w:i/>
          <w:iCs/>
        </w:rPr>
        <w:br/>
        <w:t>• this should be reviewed.</w:t>
      </w:r>
    </w:p>
    <w:p w14:paraId="4D2F320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Dissent is not disloyalty.</w:t>
      </w:r>
    </w:p>
    <w:p w14:paraId="26A01A0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Dissent is field intelligence.</w:t>
      </w:r>
    </w:p>
    <w:p w14:paraId="671266D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dissenting voice should not automatically stop the group.</w:t>
      </w:r>
    </w:p>
    <w:p w14:paraId="47FF1A3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But a reasoned objection must be integrated.</w:t>
      </w:r>
    </w:p>
    <w:p w14:paraId="209DBC5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goal is not emotional veto.</w:t>
      </w:r>
    </w:p>
    <w:p w14:paraId="5E4E77C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goal is collective intelligence.</w:t>
      </w:r>
    </w:p>
    <w:p w14:paraId="2BEE255E"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9. Commons Governance and Graduated Accountability</w:t>
      </w:r>
    </w:p>
    <w:p w14:paraId="6A1C57D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communities steward shared goods.</w:t>
      </w:r>
    </w:p>
    <w:p w14:paraId="5C62EB5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These include trust, attention, reputation, access, governance time, ecological evidence, shared learning, data integrity, and future regenerative value.</w:t>
      </w:r>
    </w:p>
    <w:p w14:paraId="59EC05D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Because these are commons, they require governance.</w:t>
      </w:r>
    </w:p>
    <w:p w14:paraId="4EA98FCE" w14:textId="1378E274"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therefore applies graduated accountability.</w:t>
      </w:r>
      <w:r w:rsidR="00192AA9"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6"/>
        <w:gridCol w:w="3476"/>
        <w:gridCol w:w="4196"/>
      </w:tblGrid>
      <w:tr w:rsidR="00A84C22" w:rsidRPr="00B479AE" w14:paraId="0E39CC8B" w14:textId="77777777" w:rsidTr="007C5DB8">
        <w:trPr>
          <w:tblHeader/>
          <w:tblCellSpacing w:w="15" w:type="dxa"/>
        </w:trPr>
        <w:tc>
          <w:tcPr>
            <w:tcW w:w="0" w:type="auto"/>
            <w:vAlign w:val="center"/>
            <w:hideMark/>
          </w:tcPr>
          <w:p w14:paraId="59FEA53B"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Accountability level</w:t>
            </w:r>
          </w:p>
        </w:tc>
        <w:tc>
          <w:tcPr>
            <w:tcW w:w="0" w:type="auto"/>
            <w:vAlign w:val="center"/>
            <w:hideMark/>
          </w:tcPr>
          <w:p w14:paraId="1915A8A5"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 case</w:t>
            </w:r>
          </w:p>
        </w:tc>
        <w:tc>
          <w:tcPr>
            <w:tcW w:w="0" w:type="auto"/>
            <w:vAlign w:val="center"/>
            <w:hideMark/>
          </w:tcPr>
          <w:p w14:paraId="6EF37E1B"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Response</w:t>
            </w:r>
          </w:p>
        </w:tc>
      </w:tr>
      <w:tr w:rsidR="00A84C22" w:rsidRPr="00B479AE" w14:paraId="2DA32EB1" w14:textId="77777777" w:rsidTr="007C5DB8">
        <w:trPr>
          <w:tblCellSpacing w:w="15" w:type="dxa"/>
        </w:trPr>
        <w:tc>
          <w:tcPr>
            <w:tcW w:w="0" w:type="auto"/>
            <w:vAlign w:val="center"/>
            <w:hideMark/>
          </w:tcPr>
          <w:p w14:paraId="5A68B85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Gentle signal</w:t>
            </w:r>
          </w:p>
        </w:tc>
        <w:tc>
          <w:tcPr>
            <w:tcW w:w="0" w:type="auto"/>
            <w:vAlign w:val="center"/>
            <w:hideMark/>
          </w:tcPr>
          <w:p w14:paraId="7E7535F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Minor misalignment or misunderstanding.</w:t>
            </w:r>
          </w:p>
        </w:tc>
        <w:tc>
          <w:tcPr>
            <w:tcW w:w="0" w:type="auto"/>
            <w:vAlign w:val="center"/>
            <w:hideMark/>
          </w:tcPr>
          <w:p w14:paraId="71A3A2A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Conversation, clarification, learning.</w:t>
            </w:r>
          </w:p>
        </w:tc>
      </w:tr>
      <w:tr w:rsidR="00A84C22" w:rsidRPr="00B479AE" w14:paraId="37345A90" w14:textId="77777777" w:rsidTr="007C5DB8">
        <w:trPr>
          <w:tblCellSpacing w:w="15" w:type="dxa"/>
        </w:trPr>
        <w:tc>
          <w:tcPr>
            <w:tcW w:w="0" w:type="auto"/>
            <w:vAlign w:val="center"/>
            <w:hideMark/>
          </w:tcPr>
          <w:p w14:paraId="6843104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Formal reflection</w:t>
            </w:r>
          </w:p>
        </w:tc>
        <w:tc>
          <w:tcPr>
            <w:tcW w:w="0" w:type="auto"/>
            <w:vAlign w:val="center"/>
            <w:hideMark/>
          </w:tcPr>
          <w:p w14:paraId="6FD4FED6"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Repeated issue or visible effect on the group.</w:t>
            </w:r>
          </w:p>
        </w:tc>
        <w:tc>
          <w:tcPr>
            <w:tcW w:w="0" w:type="auto"/>
            <w:vAlign w:val="center"/>
            <w:hideMark/>
          </w:tcPr>
          <w:p w14:paraId="59413FA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Written reflection, support, agreed change.</w:t>
            </w:r>
          </w:p>
        </w:tc>
      </w:tr>
      <w:tr w:rsidR="00A84C22" w:rsidRPr="00B479AE" w14:paraId="19232199" w14:textId="77777777" w:rsidTr="007C5DB8">
        <w:trPr>
          <w:tblCellSpacing w:w="15" w:type="dxa"/>
        </w:trPr>
        <w:tc>
          <w:tcPr>
            <w:tcW w:w="0" w:type="auto"/>
            <w:vAlign w:val="center"/>
            <w:hideMark/>
          </w:tcPr>
          <w:p w14:paraId="6E831F2D"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Role review</w:t>
            </w:r>
          </w:p>
        </w:tc>
        <w:tc>
          <w:tcPr>
            <w:tcW w:w="0" w:type="auto"/>
            <w:vAlign w:val="center"/>
            <w:hideMark/>
          </w:tcPr>
          <w:p w14:paraId="374FEB86"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Misuse, neglect, or overreach of role.</w:t>
            </w:r>
          </w:p>
        </w:tc>
        <w:tc>
          <w:tcPr>
            <w:tcW w:w="0" w:type="auto"/>
            <w:vAlign w:val="center"/>
            <w:hideMark/>
          </w:tcPr>
          <w:p w14:paraId="100B35F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Coaching, limitation, rotation, or replacement.</w:t>
            </w:r>
          </w:p>
        </w:tc>
      </w:tr>
      <w:tr w:rsidR="00A84C22" w:rsidRPr="00B479AE" w14:paraId="2CBE1441" w14:textId="77777777" w:rsidTr="007C5DB8">
        <w:trPr>
          <w:tblCellSpacing w:w="15" w:type="dxa"/>
        </w:trPr>
        <w:tc>
          <w:tcPr>
            <w:tcW w:w="0" w:type="auto"/>
            <w:vAlign w:val="center"/>
            <w:hideMark/>
          </w:tcPr>
          <w:p w14:paraId="73CCB9A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Participation restriction</w:t>
            </w:r>
          </w:p>
        </w:tc>
        <w:tc>
          <w:tcPr>
            <w:tcW w:w="0" w:type="auto"/>
            <w:vAlign w:val="center"/>
            <w:hideMark/>
          </w:tcPr>
          <w:p w14:paraId="0FFA478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Harmful behavior or unresolved breach.</w:t>
            </w:r>
          </w:p>
        </w:tc>
        <w:tc>
          <w:tcPr>
            <w:tcW w:w="0" w:type="auto"/>
            <w:vAlign w:val="center"/>
            <w:hideMark/>
          </w:tcPr>
          <w:p w14:paraId="0F96F19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Temporary limits on decision, access, or representation.</w:t>
            </w:r>
          </w:p>
        </w:tc>
      </w:tr>
      <w:tr w:rsidR="00A84C22" w:rsidRPr="00B479AE" w14:paraId="6454DF26" w14:textId="77777777" w:rsidTr="007C5DB8">
        <w:trPr>
          <w:tblCellSpacing w:w="15" w:type="dxa"/>
        </w:trPr>
        <w:tc>
          <w:tcPr>
            <w:tcW w:w="0" w:type="auto"/>
            <w:vAlign w:val="center"/>
            <w:hideMark/>
          </w:tcPr>
          <w:p w14:paraId="131BCD8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Restorative process</w:t>
            </w:r>
          </w:p>
        </w:tc>
        <w:tc>
          <w:tcPr>
            <w:tcW w:w="0" w:type="auto"/>
            <w:vAlign w:val="center"/>
            <w:hideMark/>
          </w:tcPr>
          <w:p w14:paraId="2CA81ADE"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Damage to trust, dignity, or relationship.</w:t>
            </w:r>
          </w:p>
        </w:tc>
        <w:tc>
          <w:tcPr>
            <w:tcW w:w="0" w:type="auto"/>
            <w:vAlign w:val="center"/>
            <w:hideMark/>
          </w:tcPr>
          <w:p w14:paraId="481B8F4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Repair circle, commitments, monitoring.</w:t>
            </w:r>
          </w:p>
        </w:tc>
      </w:tr>
      <w:tr w:rsidR="00A84C22" w:rsidRPr="00B479AE" w14:paraId="488E5639" w14:textId="77777777" w:rsidTr="007C5DB8">
        <w:trPr>
          <w:tblCellSpacing w:w="15" w:type="dxa"/>
        </w:trPr>
        <w:tc>
          <w:tcPr>
            <w:tcW w:w="0" w:type="auto"/>
            <w:vAlign w:val="center"/>
            <w:hideMark/>
          </w:tcPr>
          <w:p w14:paraId="2701A9C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Suspension</w:t>
            </w:r>
          </w:p>
        </w:tc>
        <w:tc>
          <w:tcPr>
            <w:tcW w:w="0" w:type="auto"/>
            <w:vAlign w:val="center"/>
            <w:hideMark/>
          </w:tcPr>
          <w:p w14:paraId="05DAB2CD"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Serious risk or unresolved breach.</w:t>
            </w:r>
          </w:p>
        </w:tc>
        <w:tc>
          <w:tcPr>
            <w:tcW w:w="0" w:type="auto"/>
            <w:vAlign w:val="center"/>
            <w:hideMark/>
          </w:tcPr>
          <w:p w14:paraId="320A19D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Temporary suspension pending review.</w:t>
            </w:r>
          </w:p>
        </w:tc>
      </w:tr>
      <w:tr w:rsidR="00A84C22" w:rsidRPr="00B479AE" w14:paraId="6BC0521A" w14:textId="77777777" w:rsidTr="007C5DB8">
        <w:trPr>
          <w:tblCellSpacing w:w="15" w:type="dxa"/>
        </w:trPr>
        <w:tc>
          <w:tcPr>
            <w:tcW w:w="0" w:type="auto"/>
            <w:vAlign w:val="center"/>
            <w:hideMark/>
          </w:tcPr>
          <w:p w14:paraId="178EB1F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Exit / exclusion</w:t>
            </w:r>
          </w:p>
        </w:tc>
        <w:tc>
          <w:tcPr>
            <w:tcW w:w="0" w:type="auto"/>
            <w:vAlign w:val="center"/>
            <w:hideMark/>
          </w:tcPr>
          <w:p w14:paraId="584ECBE4"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Severe, repeated, or unrepaired violation.</w:t>
            </w:r>
          </w:p>
        </w:tc>
        <w:tc>
          <w:tcPr>
            <w:tcW w:w="0" w:type="auto"/>
            <w:vAlign w:val="center"/>
            <w:hideMark/>
          </w:tcPr>
          <w:p w14:paraId="61F0BE4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Removal according to governance and due process.</w:t>
            </w:r>
          </w:p>
        </w:tc>
      </w:tr>
    </w:tbl>
    <w:p w14:paraId="4C1AA502"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avoids two failures:</w:t>
      </w:r>
    </w:p>
    <w:p w14:paraId="3539176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punishing too quickly;</w:t>
      </w:r>
    </w:p>
    <w:p w14:paraId="6A44279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or tolerating harm too long.</w:t>
      </w:r>
    </w:p>
    <w:p w14:paraId="53B046F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regenerative community uses repair where possible and boundaries where necessary.</w:t>
      </w:r>
    </w:p>
    <w:p w14:paraId="51CA3457"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10. Conflict Metabolism</w:t>
      </w:r>
    </w:p>
    <w:p w14:paraId="5546BC6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Conflict is not failure.</w:t>
      </w:r>
    </w:p>
    <w:p w14:paraId="15B7A51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Conflict is information.</w:t>
      </w:r>
    </w:p>
    <w:p w14:paraId="41458174"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reveal unclear roles, hidden labor, power imbalance, boundary confusion, unspoken expectations, trauma activation, value divergence, resource pressure, or constitutional tension.</w:t>
      </w:r>
    </w:p>
    <w:p w14:paraId="22842306" w14:textId="77777777" w:rsidR="00A84C22" w:rsidRDefault="00A84C22" w:rsidP="00A84C22">
      <w:pPr>
        <w:spacing w:line="360" w:lineRule="auto"/>
        <w:rPr>
          <w:rFonts w:ascii="Baskerville Old Face" w:hAnsi="Baskerville Old Face"/>
          <w:i/>
          <w:iCs/>
        </w:rPr>
      </w:pPr>
      <w:r w:rsidRPr="00B479AE">
        <w:rPr>
          <w:rFonts w:ascii="Baskerville Old Face" w:hAnsi="Baskerville Old Face"/>
          <w:i/>
          <w:iCs/>
        </w:rPr>
        <w:t>Prometheus communities should use a graduated conflict protocol.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4462"/>
        <w:gridCol w:w="3550"/>
      </w:tblGrid>
      <w:tr w:rsidR="00A84C22" w:rsidRPr="00B479AE" w14:paraId="114A6C10" w14:textId="77777777" w:rsidTr="007C5DB8">
        <w:trPr>
          <w:tblHeader/>
          <w:tblCellSpacing w:w="15" w:type="dxa"/>
        </w:trPr>
        <w:tc>
          <w:tcPr>
            <w:tcW w:w="0" w:type="auto"/>
            <w:vAlign w:val="center"/>
            <w:hideMark/>
          </w:tcPr>
          <w:p w14:paraId="42405587"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Stage</w:t>
            </w:r>
          </w:p>
        </w:tc>
        <w:tc>
          <w:tcPr>
            <w:tcW w:w="0" w:type="auto"/>
            <w:vAlign w:val="center"/>
            <w:hideMark/>
          </w:tcPr>
          <w:p w14:paraId="391DE64C"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Process</w:t>
            </w:r>
          </w:p>
        </w:tc>
        <w:tc>
          <w:tcPr>
            <w:tcW w:w="0" w:type="auto"/>
            <w:vAlign w:val="center"/>
            <w:hideMark/>
          </w:tcPr>
          <w:p w14:paraId="4B18CBAC"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Purpose</w:t>
            </w:r>
          </w:p>
        </w:tc>
      </w:tr>
      <w:tr w:rsidR="00A84C22" w:rsidRPr="00B479AE" w14:paraId="6D186B0F" w14:textId="77777777" w:rsidTr="007C5DB8">
        <w:trPr>
          <w:tblCellSpacing w:w="15" w:type="dxa"/>
        </w:trPr>
        <w:tc>
          <w:tcPr>
            <w:tcW w:w="0" w:type="auto"/>
            <w:vAlign w:val="center"/>
            <w:hideMark/>
          </w:tcPr>
          <w:p w14:paraId="6F206ED6"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Signal</w:t>
            </w:r>
          </w:p>
        </w:tc>
        <w:tc>
          <w:tcPr>
            <w:tcW w:w="0" w:type="auto"/>
            <w:vAlign w:val="center"/>
            <w:hideMark/>
          </w:tcPr>
          <w:p w14:paraId="4A48FD74"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 concern is named early.</w:t>
            </w:r>
          </w:p>
        </w:tc>
        <w:tc>
          <w:tcPr>
            <w:tcW w:w="0" w:type="auto"/>
            <w:vAlign w:val="center"/>
            <w:hideMark/>
          </w:tcPr>
          <w:p w14:paraId="6D3032C4"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silence from becoming resentment.</w:t>
            </w:r>
          </w:p>
        </w:tc>
      </w:tr>
      <w:tr w:rsidR="00A84C22" w:rsidRPr="00B479AE" w14:paraId="2A0FA675" w14:textId="77777777" w:rsidTr="007C5DB8">
        <w:trPr>
          <w:tblCellSpacing w:w="15" w:type="dxa"/>
        </w:trPr>
        <w:tc>
          <w:tcPr>
            <w:tcW w:w="0" w:type="auto"/>
            <w:vAlign w:val="center"/>
            <w:hideMark/>
          </w:tcPr>
          <w:p w14:paraId="5CD000F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Clarification</w:t>
            </w:r>
          </w:p>
        </w:tc>
        <w:tc>
          <w:tcPr>
            <w:tcW w:w="0" w:type="auto"/>
            <w:vAlign w:val="center"/>
            <w:hideMark/>
          </w:tcPr>
          <w:p w14:paraId="32C271A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Parties clarify facts, impact, assumptions, and needs.</w:t>
            </w:r>
          </w:p>
        </w:tc>
        <w:tc>
          <w:tcPr>
            <w:tcW w:w="0" w:type="auto"/>
            <w:vAlign w:val="center"/>
            <w:hideMark/>
          </w:tcPr>
          <w:p w14:paraId="688DFC2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Separates perception from evidence.</w:t>
            </w:r>
          </w:p>
        </w:tc>
      </w:tr>
      <w:tr w:rsidR="00A84C22" w:rsidRPr="00B479AE" w14:paraId="21CD7CB6" w14:textId="77777777" w:rsidTr="007C5DB8">
        <w:trPr>
          <w:tblCellSpacing w:w="15" w:type="dxa"/>
        </w:trPr>
        <w:tc>
          <w:tcPr>
            <w:tcW w:w="0" w:type="auto"/>
            <w:vAlign w:val="center"/>
            <w:hideMark/>
          </w:tcPr>
          <w:p w14:paraId="3571B01E"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Mediation</w:t>
            </w:r>
          </w:p>
        </w:tc>
        <w:tc>
          <w:tcPr>
            <w:tcW w:w="0" w:type="auto"/>
            <w:vAlign w:val="center"/>
            <w:hideMark/>
          </w:tcPr>
          <w:p w14:paraId="657E520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Conflict Facilitator supports structured dialogue.</w:t>
            </w:r>
          </w:p>
        </w:tc>
        <w:tc>
          <w:tcPr>
            <w:tcW w:w="0" w:type="auto"/>
            <w:vAlign w:val="center"/>
            <w:hideMark/>
          </w:tcPr>
          <w:p w14:paraId="3A1DBC4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Restores communication.</w:t>
            </w:r>
          </w:p>
        </w:tc>
      </w:tr>
      <w:tr w:rsidR="00A84C22" w:rsidRPr="00B479AE" w14:paraId="347FC5DB" w14:textId="77777777" w:rsidTr="007C5DB8">
        <w:trPr>
          <w:tblCellSpacing w:w="15" w:type="dxa"/>
        </w:trPr>
        <w:tc>
          <w:tcPr>
            <w:tcW w:w="0" w:type="auto"/>
            <w:vAlign w:val="center"/>
            <w:hideMark/>
          </w:tcPr>
          <w:p w14:paraId="6336286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Repair circle</w:t>
            </w:r>
          </w:p>
        </w:tc>
        <w:tc>
          <w:tcPr>
            <w:tcW w:w="0" w:type="auto"/>
            <w:vAlign w:val="center"/>
            <w:hideMark/>
          </w:tcPr>
          <w:p w14:paraId="2FBA0DC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Affected participants enter facilitated repair.</w:t>
            </w:r>
          </w:p>
        </w:tc>
        <w:tc>
          <w:tcPr>
            <w:tcW w:w="0" w:type="auto"/>
            <w:vAlign w:val="center"/>
            <w:hideMark/>
          </w:tcPr>
          <w:p w14:paraId="0FAE806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Repairs trust and </w:t>
            </w:r>
            <w:proofErr w:type="gramStart"/>
            <w:r w:rsidRPr="00B479AE">
              <w:rPr>
                <w:rFonts w:ascii="Baskerville Old Face" w:hAnsi="Baskerville Old Face"/>
                <w:i/>
                <w:iCs/>
                <w:sz w:val="22"/>
                <w:szCs w:val="22"/>
              </w:rPr>
              <w:t>defines</w:t>
            </w:r>
            <w:proofErr w:type="gramEnd"/>
            <w:r w:rsidRPr="00B479AE">
              <w:rPr>
                <w:rFonts w:ascii="Baskerville Old Face" w:hAnsi="Baskerville Old Face"/>
                <w:i/>
                <w:iCs/>
                <w:sz w:val="22"/>
                <w:szCs w:val="22"/>
              </w:rPr>
              <w:t xml:space="preserve"> commitments.</w:t>
            </w:r>
          </w:p>
        </w:tc>
      </w:tr>
      <w:tr w:rsidR="00A84C22" w:rsidRPr="00B479AE" w14:paraId="2491A41F" w14:textId="77777777" w:rsidTr="007C5DB8">
        <w:trPr>
          <w:tblCellSpacing w:w="15" w:type="dxa"/>
        </w:trPr>
        <w:tc>
          <w:tcPr>
            <w:tcW w:w="0" w:type="auto"/>
            <w:vAlign w:val="center"/>
            <w:hideMark/>
          </w:tcPr>
          <w:p w14:paraId="24D63A6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review</w:t>
            </w:r>
          </w:p>
        </w:tc>
        <w:tc>
          <w:tcPr>
            <w:tcW w:w="0" w:type="auto"/>
            <w:vAlign w:val="center"/>
            <w:hideMark/>
          </w:tcPr>
          <w:p w14:paraId="498A4A3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Relevant circle reviews breach, role failure, or systemic pattern.</w:t>
            </w:r>
          </w:p>
        </w:tc>
        <w:tc>
          <w:tcPr>
            <w:tcW w:w="0" w:type="auto"/>
            <w:vAlign w:val="center"/>
            <w:hideMark/>
          </w:tcPr>
          <w:p w14:paraId="594E1BE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Protects the community field.</w:t>
            </w:r>
          </w:p>
        </w:tc>
      </w:tr>
      <w:tr w:rsidR="00A84C22" w:rsidRPr="00B479AE" w14:paraId="1A7F75DB" w14:textId="77777777" w:rsidTr="007C5DB8">
        <w:trPr>
          <w:tblCellSpacing w:w="15" w:type="dxa"/>
        </w:trPr>
        <w:tc>
          <w:tcPr>
            <w:tcW w:w="0" w:type="auto"/>
            <w:vAlign w:val="center"/>
            <w:hideMark/>
          </w:tcPr>
          <w:p w14:paraId="0251F10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Restriction</w:t>
            </w:r>
          </w:p>
        </w:tc>
        <w:tc>
          <w:tcPr>
            <w:tcW w:w="0" w:type="auto"/>
            <w:vAlign w:val="center"/>
            <w:hideMark/>
          </w:tcPr>
          <w:p w14:paraId="1C97B8F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Role, access, or participation may be limited.</w:t>
            </w:r>
          </w:p>
        </w:tc>
        <w:tc>
          <w:tcPr>
            <w:tcW w:w="0" w:type="auto"/>
            <w:vAlign w:val="center"/>
            <w:hideMark/>
          </w:tcPr>
          <w:p w14:paraId="039F8A0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harm while preserving proportionality.</w:t>
            </w:r>
          </w:p>
        </w:tc>
      </w:tr>
      <w:tr w:rsidR="00A84C22" w:rsidRPr="00B479AE" w14:paraId="1F96B2E3" w14:textId="77777777" w:rsidTr="007C5DB8">
        <w:trPr>
          <w:tblCellSpacing w:w="15" w:type="dxa"/>
        </w:trPr>
        <w:tc>
          <w:tcPr>
            <w:tcW w:w="0" w:type="auto"/>
            <w:vAlign w:val="center"/>
            <w:hideMark/>
          </w:tcPr>
          <w:p w14:paraId="26D90C5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Exit or exclusion</w:t>
            </w:r>
          </w:p>
        </w:tc>
        <w:tc>
          <w:tcPr>
            <w:tcW w:w="0" w:type="auto"/>
            <w:vAlign w:val="center"/>
            <w:hideMark/>
          </w:tcPr>
          <w:p w14:paraId="6FBACE1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leave or be removed under due process.</w:t>
            </w:r>
          </w:p>
        </w:tc>
        <w:tc>
          <w:tcPr>
            <w:tcW w:w="0" w:type="auto"/>
            <w:vAlign w:val="center"/>
            <w:hideMark/>
          </w:tcPr>
          <w:p w14:paraId="6C80ADC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Protects constitutional integrity.</w:t>
            </w:r>
          </w:p>
        </w:tc>
      </w:tr>
    </w:tbl>
    <w:p w14:paraId="735965F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purpose is not punishment.</w:t>
      </w:r>
    </w:p>
    <w:p w14:paraId="47AA653D"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The purpose is repair, learning, protection, and renewed coherence.</w:t>
      </w:r>
    </w:p>
    <w:p w14:paraId="232C5842"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11. Community of Practice and Learning Architecture</w:t>
      </w:r>
    </w:p>
    <w:p w14:paraId="7742A98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Every Prometheus community should function as a community of practice.</w:t>
      </w:r>
    </w:p>
    <w:p w14:paraId="536E79C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should have:</w:t>
      </w:r>
    </w:p>
    <w:p w14:paraId="5043C50D"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a domain of practice;</w:t>
      </w:r>
      <w:r w:rsidRPr="00B479AE">
        <w:rPr>
          <w:rFonts w:ascii="Baskerville Old Face" w:hAnsi="Baskerville Old Face"/>
          <w:i/>
          <w:iCs/>
        </w:rPr>
        <w:br/>
        <w:t>• a community of participants;</w:t>
      </w:r>
      <w:r w:rsidRPr="00B479AE">
        <w:rPr>
          <w:rFonts w:ascii="Baskerville Old Face" w:hAnsi="Baskerville Old Face"/>
          <w:i/>
          <w:iCs/>
        </w:rPr>
        <w:br/>
        <w:t>• a shared practice;</w:t>
      </w:r>
      <w:r w:rsidRPr="00B479AE">
        <w:rPr>
          <w:rFonts w:ascii="Baskerville Old Face" w:hAnsi="Baskerville Old Face"/>
          <w:i/>
          <w:iCs/>
        </w:rPr>
        <w:br/>
        <w:t>• rituals of learning;</w:t>
      </w:r>
      <w:r w:rsidRPr="00B479AE">
        <w:rPr>
          <w:rFonts w:ascii="Baskerville Old Face" w:hAnsi="Baskerville Old Face"/>
          <w:i/>
          <w:iCs/>
        </w:rPr>
        <w:br/>
        <w:t>• peer feedback;</w:t>
      </w:r>
      <w:r w:rsidRPr="00B479AE">
        <w:rPr>
          <w:rFonts w:ascii="Baskerville Old Face" w:hAnsi="Baskerville Old Face"/>
          <w:i/>
          <w:iCs/>
        </w:rPr>
        <w:br/>
        <w:t>• memory of decisions;</w:t>
      </w:r>
      <w:r w:rsidRPr="00B479AE">
        <w:rPr>
          <w:rFonts w:ascii="Baskerville Old Face" w:hAnsi="Baskerville Old Face"/>
          <w:i/>
          <w:iCs/>
        </w:rPr>
        <w:br/>
        <w:t>• documentation of lessons;</w:t>
      </w:r>
      <w:r w:rsidRPr="00B479AE">
        <w:rPr>
          <w:rFonts w:ascii="Baskerville Old Face" w:hAnsi="Baskerville Old Face"/>
          <w:i/>
          <w:iCs/>
        </w:rPr>
        <w:br/>
        <w:t>• apprenticeship pathways;</w:t>
      </w:r>
      <w:r w:rsidRPr="00B479AE">
        <w:rPr>
          <w:rFonts w:ascii="Baskerville Old Face" w:hAnsi="Baskerville Old Face"/>
          <w:i/>
          <w:iCs/>
        </w:rPr>
        <w:br/>
        <w:t>• onboarding and mentoring;</w:t>
      </w:r>
      <w:r w:rsidRPr="00B479AE">
        <w:rPr>
          <w:rFonts w:ascii="Baskerville Old Face" w:hAnsi="Baskerville Old Face"/>
          <w:i/>
          <w:iCs/>
        </w:rPr>
        <w:br/>
        <w:t>• regular reflection.</w:t>
      </w:r>
    </w:p>
    <w:p w14:paraId="52EB6F2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Learning is not an accessory.</w:t>
      </w:r>
    </w:p>
    <w:p w14:paraId="2D14B09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Learning is how a community evolves without drifting.</w:t>
      </w:r>
    </w:p>
    <w:p w14:paraId="0DC7873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that does not learn becomes performative.</w:t>
      </w:r>
    </w:p>
    <w:p w14:paraId="3A9C2F1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that learns without memory repeats mistakes.</w:t>
      </w:r>
    </w:p>
    <w:p w14:paraId="14C654F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that remembers without adapting becomes rigid.</w:t>
      </w:r>
    </w:p>
    <w:p w14:paraId="17B6BE5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therefore requires learning loops:</w:t>
      </w:r>
    </w:p>
    <w:p w14:paraId="58B08F9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practice;</w:t>
      </w:r>
      <w:r w:rsidRPr="00B479AE">
        <w:rPr>
          <w:rFonts w:ascii="Baskerville Old Face" w:hAnsi="Baskerville Old Face"/>
          <w:i/>
          <w:iCs/>
        </w:rPr>
        <w:br/>
        <w:t>reflection;</w:t>
      </w:r>
      <w:r w:rsidRPr="00B479AE">
        <w:rPr>
          <w:rFonts w:ascii="Baskerville Old Face" w:hAnsi="Baskerville Old Face"/>
          <w:i/>
          <w:iCs/>
        </w:rPr>
        <w:br/>
        <w:t>documentation;</w:t>
      </w:r>
      <w:r w:rsidRPr="00B479AE">
        <w:rPr>
          <w:rFonts w:ascii="Baskerville Old Face" w:hAnsi="Baskerville Old Face"/>
          <w:i/>
          <w:iCs/>
        </w:rPr>
        <w:br/>
        <w:t>adaptation;</w:t>
      </w:r>
      <w:r w:rsidRPr="00B479AE">
        <w:rPr>
          <w:rFonts w:ascii="Baskerville Old Face" w:hAnsi="Baskerville Old Face"/>
          <w:i/>
          <w:iCs/>
        </w:rPr>
        <w:br/>
        <w:t>new practice.</w:t>
      </w:r>
    </w:p>
    <w:p w14:paraId="71C6B461" w14:textId="77777777" w:rsidR="00543279" w:rsidRDefault="00543279" w:rsidP="00A84C22">
      <w:pPr>
        <w:spacing w:line="360" w:lineRule="auto"/>
        <w:rPr>
          <w:rFonts w:ascii="Baskerville Old Face" w:hAnsi="Baskerville Old Face"/>
          <w:b/>
          <w:bCs/>
          <w:i/>
          <w:iCs/>
        </w:rPr>
      </w:pPr>
    </w:p>
    <w:p w14:paraId="7F590E79" w14:textId="6DEE808E"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lastRenderedPageBreak/>
        <w:t>12. Ritual as Governance Infrastructure</w:t>
      </w:r>
    </w:p>
    <w:p w14:paraId="168D37B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Ritual is governance made visible.</w:t>
      </w:r>
    </w:p>
    <w:p w14:paraId="429F0F6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structures attention, transition, belonging, commitment, memory, grief, celebration, and renewal.</w:t>
      </w:r>
    </w:p>
    <w:p w14:paraId="6B1F4E97" w14:textId="3CF31245" w:rsidR="00A84C22" w:rsidRDefault="00A84C22" w:rsidP="00A84C22">
      <w:pPr>
        <w:spacing w:line="360" w:lineRule="auto"/>
        <w:rPr>
          <w:rFonts w:ascii="Baskerville Old Face" w:hAnsi="Baskerville Old Face"/>
          <w:i/>
          <w:iCs/>
        </w:rPr>
      </w:pPr>
      <w:r w:rsidRPr="00B479AE">
        <w:rPr>
          <w:rFonts w:ascii="Baskerville Old Face" w:hAnsi="Baskerville Old Face"/>
          <w:i/>
          <w:iCs/>
        </w:rPr>
        <w:t>Prometheus communities may use simple, repeatable rituals.</w:t>
      </w:r>
      <w:r w:rsidR="007C5DB8" w:rsidRPr="00B479AE">
        <w:rPr>
          <w:rFonts w:ascii="Baskerville Old Face" w:hAnsi="Baskerville Old Face"/>
          <w:i/>
          <w:iCs/>
        </w:rPr>
        <w:t xml:space="preserve"> </w:t>
      </w:r>
      <w:r w:rsidR="00152B2F">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2"/>
        <w:gridCol w:w="4849"/>
        <w:gridCol w:w="2847"/>
      </w:tblGrid>
      <w:tr w:rsidR="00A84C22" w:rsidRPr="00B479AE" w14:paraId="4ABC001F" w14:textId="77777777" w:rsidTr="007C5DB8">
        <w:trPr>
          <w:tblHeader/>
          <w:tblCellSpacing w:w="15" w:type="dxa"/>
        </w:trPr>
        <w:tc>
          <w:tcPr>
            <w:tcW w:w="0" w:type="auto"/>
            <w:vAlign w:val="center"/>
            <w:hideMark/>
          </w:tcPr>
          <w:p w14:paraId="2B16E514"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Ritual</w:t>
            </w:r>
          </w:p>
        </w:tc>
        <w:tc>
          <w:tcPr>
            <w:tcW w:w="0" w:type="auto"/>
            <w:vAlign w:val="center"/>
            <w:hideMark/>
          </w:tcPr>
          <w:p w14:paraId="285EEB3C"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Question</w:t>
            </w:r>
          </w:p>
        </w:tc>
        <w:tc>
          <w:tcPr>
            <w:tcW w:w="0" w:type="auto"/>
            <w:vAlign w:val="center"/>
            <w:hideMark/>
          </w:tcPr>
          <w:p w14:paraId="5C7334C3"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Governance function</w:t>
            </w:r>
          </w:p>
        </w:tc>
      </w:tr>
      <w:tr w:rsidR="00A84C22" w:rsidRPr="00B479AE" w14:paraId="03F2B540" w14:textId="77777777" w:rsidTr="007C5DB8">
        <w:trPr>
          <w:tblCellSpacing w:w="15" w:type="dxa"/>
        </w:trPr>
        <w:tc>
          <w:tcPr>
            <w:tcW w:w="0" w:type="auto"/>
            <w:vAlign w:val="center"/>
            <w:hideMark/>
          </w:tcPr>
          <w:p w14:paraId="295D729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Opening check-in</w:t>
            </w:r>
          </w:p>
        </w:tc>
        <w:tc>
          <w:tcPr>
            <w:tcW w:w="0" w:type="auto"/>
            <w:vAlign w:val="center"/>
            <w:hideMark/>
          </w:tcPr>
          <w:p w14:paraId="0101CFB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With what energy do I enter today?</w:t>
            </w:r>
          </w:p>
        </w:tc>
        <w:tc>
          <w:tcPr>
            <w:tcW w:w="0" w:type="auto"/>
            <w:vAlign w:val="center"/>
            <w:hideMark/>
          </w:tcPr>
          <w:p w14:paraId="3D8A768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Makes the relational field visible.</w:t>
            </w:r>
          </w:p>
        </w:tc>
      </w:tr>
      <w:tr w:rsidR="00A84C22" w:rsidRPr="00B479AE" w14:paraId="5136C167" w14:textId="77777777" w:rsidTr="007C5DB8">
        <w:trPr>
          <w:tblCellSpacing w:w="15" w:type="dxa"/>
        </w:trPr>
        <w:tc>
          <w:tcPr>
            <w:tcW w:w="0" w:type="auto"/>
            <w:vAlign w:val="center"/>
            <w:hideMark/>
          </w:tcPr>
          <w:p w14:paraId="112015C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Purpose reminder</w:t>
            </w:r>
          </w:p>
        </w:tc>
        <w:tc>
          <w:tcPr>
            <w:tcW w:w="0" w:type="auto"/>
            <w:vAlign w:val="center"/>
            <w:hideMark/>
          </w:tcPr>
          <w:p w14:paraId="16EFDEE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Why are we gathered?</w:t>
            </w:r>
          </w:p>
        </w:tc>
        <w:tc>
          <w:tcPr>
            <w:tcW w:w="0" w:type="auto"/>
            <w:vAlign w:val="center"/>
            <w:hideMark/>
          </w:tcPr>
          <w:p w14:paraId="0B478144"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Aligns attention before action.</w:t>
            </w:r>
          </w:p>
        </w:tc>
      </w:tr>
      <w:tr w:rsidR="00A84C22" w:rsidRPr="00B479AE" w14:paraId="16640D5D" w14:textId="77777777" w:rsidTr="007C5DB8">
        <w:trPr>
          <w:tblCellSpacing w:w="15" w:type="dxa"/>
        </w:trPr>
        <w:tc>
          <w:tcPr>
            <w:tcW w:w="0" w:type="auto"/>
            <w:vAlign w:val="center"/>
            <w:hideMark/>
          </w:tcPr>
          <w:p w14:paraId="3CA672F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Consent round</w:t>
            </w:r>
          </w:p>
        </w:tc>
        <w:tc>
          <w:tcPr>
            <w:tcW w:w="0" w:type="auto"/>
            <w:vAlign w:val="center"/>
            <w:hideMark/>
          </w:tcPr>
          <w:p w14:paraId="58966DA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Is there a reasoned objection?</w:t>
            </w:r>
          </w:p>
        </w:tc>
        <w:tc>
          <w:tcPr>
            <w:tcW w:w="0" w:type="auto"/>
            <w:vAlign w:val="center"/>
            <w:hideMark/>
          </w:tcPr>
          <w:p w14:paraId="1DF9E21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Converts dissent into intelligence.</w:t>
            </w:r>
          </w:p>
        </w:tc>
      </w:tr>
      <w:tr w:rsidR="00A84C22" w:rsidRPr="00B479AE" w14:paraId="388DC3C0" w14:textId="77777777" w:rsidTr="007C5DB8">
        <w:trPr>
          <w:tblCellSpacing w:w="15" w:type="dxa"/>
        </w:trPr>
        <w:tc>
          <w:tcPr>
            <w:tcW w:w="0" w:type="auto"/>
            <w:vAlign w:val="center"/>
            <w:hideMark/>
          </w:tcPr>
          <w:p w14:paraId="17615D5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Commitment round</w:t>
            </w:r>
          </w:p>
        </w:tc>
        <w:tc>
          <w:tcPr>
            <w:tcW w:w="0" w:type="auto"/>
            <w:vAlign w:val="center"/>
            <w:hideMark/>
          </w:tcPr>
          <w:p w14:paraId="0D458634"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Who does what by when?</w:t>
            </w:r>
          </w:p>
        </w:tc>
        <w:tc>
          <w:tcPr>
            <w:tcW w:w="0" w:type="auto"/>
            <w:vAlign w:val="center"/>
            <w:hideMark/>
          </w:tcPr>
          <w:p w14:paraId="3F3A3EF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Converts talk into accountability.</w:t>
            </w:r>
          </w:p>
        </w:tc>
      </w:tr>
      <w:tr w:rsidR="00A84C22" w:rsidRPr="00B479AE" w14:paraId="47C0E0D3" w14:textId="77777777" w:rsidTr="007C5DB8">
        <w:trPr>
          <w:tblCellSpacing w:w="15" w:type="dxa"/>
        </w:trPr>
        <w:tc>
          <w:tcPr>
            <w:tcW w:w="0" w:type="auto"/>
            <w:vAlign w:val="center"/>
            <w:hideMark/>
          </w:tcPr>
          <w:p w14:paraId="319B5D9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 xml:space="preserve">Evidence </w:t>
            </w:r>
            <w:proofErr w:type="gramStart"/>
            <w:r w:rsidRPr="00B479AE">
              <w:rPr>
                <w:rFonts w:ascii="Baskerville Old Face" w:hAnsi="Baskerville Old Face"/>
                <w:b/>
                <w:bCs/>
                <w:i/>
                <w:iCs/>
                <w:sz w:val="22"/>
                <w:szCs w:val="22"/>
              </w:rPr>
              <w:t>check</w:t>
            </w:r>
            <w:proofErr w:type="gramEnd"/>
          </w:p>
        </w:tc>
        <w:tc>
          <w:tcPr>
            <w:tcW w:w="0" w:type="auto"/>
            <w:vAlign w:val="center"/>
            <w:hideMark/>
          </w:tcPr>
          <w:p w14:paraId="30613BB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What do we know, assume, and still need to verify?</w:t>
            </w:r>
          </w:p>
        </w:tc>
        <w:tc>
          <w:tcPr>
            <w:tcW w:w="0" w:type="auto"/>
            <w:vAlign w:val="center"/>
            <w:hideMark/>
          </w:tcPr>
          <w:p w14:paraId="1D3CFCF4"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Protects evidence-before-value.</w:t>
            </w:r>
          </w:p>
        </w:tc>
      </w:tr>
      <w:tr w:rsidR="00A84C22" w:rsidRPr="00B479AE" w14:paraId="7155E48C" w14:textId="77777777" w:rsidTr="007C5DB8">
        <w:trPr>
          <w:tblCellSpacing w:w="15" w:type="dxa"/>
        </w:trPr>
        <w:tc>
          <w:tcPr>
            <w:tcW w:w="0" w:type="auto"/>
            <w:vAlign w:val="center"/>
            <w:hideMark/>
          </w:tcPr>
          <w:p w14:paraId="4D7DE3B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Closing reflection</w:t>
            </w:r>
          </w:p>
        </w:tc>
        <w:tc>
          <w:tcPr>
            <w:tcW w:w="0" w:type="auto"/>
            <w:vAlign w:val="center"/>
            <w:hideMark/>
          </w:tcPr>
          <w:p w14:paraId="7196580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What do I take, and what do I return?</w:t>
            </w:r>
          </w:p>
        </w:tc>
        <w:tc>
          <w:tcPr>
            <w:tcW w:w="0" w:type="auto"/>
            <w:vAlign w:val="center"/>
            <w:hideMark/>
          </w:tcPr>
          <w:p w14:paraId="2FBC996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Completes the social exchange.</w:t>
            </w:r>
          </w:p>
        </w:tc>
      </w:tr>
      <w:tr w:rsidR="00A84C22" w:rsidRPr="00B479AE" w14:paraId="566ECF5B" w14:textId="77777777" w:rsidTr="007C5DB8">
        <w:trPr>
          <w:tblCellSpacing w:w="15" w:type="dxa"/>
        </w:trPr>
        <w:tc>
          <w:tcPr>
            <w:tcW w:w="0" w:type="auto"/>
            <w:vAlign w:val="center"/>
            <w:hideMark/>
          </w:tcPr>
          <w:p w14:paraId="072DD0C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Monthly retrospective</w:t>
            </w:r>
          </w:p>
        </w:tc>
        <w:tc>
          <w:tcPr>
            <w:tcW w:w="0" w:type="auto"/>
            <w:vAlign w:val="center"/>
            <w:hideMark/>
          </w:tcPr>
          <w:p w14:paraId="03AF87A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What gave energy, what drained energy, what must change?</w:t>
            </w:r>
          </w:p>
        </w:tc>
        <w:tc>
          <w:tcPr>
            <w:tcW w:w="0" w:type="auto"/>
            <w:vAlign w:val="center"/>
            <w:hideMark/>
          </w:tcPr>
          <w:p w14:paraId="7FF433A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adaptation.</w:t>
            </w:r>
          </w:p>
        </w:tc>
      </w:tr>
      <w:tr w:rsidR="00A84C22" w:rsidRPr="00B479AE" w14:paraId="63767376" w14:textId="77777777" w:rsidTr="007C5DB8">
        <w:trPr>
          <w:tblCellSpacing w:w="15" w:type="dxa"/>
        </w:trPr>
        <w:tc>
          <w:tcPr>
            <w:tcW w:w="0" w:type="auto"/>
            <w:vAlign w:val="center"/>
            <w:hideMark/>
          </w:tcPr>
          <w:p w14:paraId="7415C4B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Seasonal review</w:t>
            </w:r>
          </w:p>
        </w:tc>
        <w:tc>
          <w:tcPr>
            <w:tcW w:w="0" w:type="auto"/>
            <w:vAlign w:val="center"/>
            <w:hideMark/>
          </w:tcPr>
          <w:p w14:paraId="0228F84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What should continue, stop, compost, or regenerate?</w:t>
            </w:r>
          </w:p>
        </w:tc>
        <w:tc>
          <w:tcPr>
            <w:tcW w:w="0" w:type="auto"/>
            <w:vAlign w:val="center"/>
            <w:hideMark/>
          </w:tcPr>
          <w:p w14:paraId="78C9741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stagnation.</w:t>
            </w:r>
          </w:p>
        </w:tc>
      </w:tr>
      <w:tr w:rsidR="00A84C22" w:rsidRPr="00B479AE" w14:paraId="54D5DC59" w14:textId="77777777" w:rsidTr="007C5DB8">
        <w:trPr>
          <w:tblCellSpacing w:w="15" w:type="dxa"/>
        </w:trPr>
        <w:tc>
          <w:tcPr>
            <w:tcW w:w="0" w:type="auto"/>
            <w:vAlign w:val="center"/>
            <w:hideMark/>
          </w:tcPr>
          <w:p w14:paraId="52386B2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Annual renewal</w:t>
            </w:r>
          </w:p>
        </w:tc>
        <w:tc>
          <w:tcPr>
            <w:tcW w:w="0" w:type="auto"/>
            <w:vAlign w:val="center"/>
            <w:hideMark/>
          </w:tcPr>
          <w:p w14:paraId="5972B51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we still serving the purpose?</w:t>
            </w:r>
          </w:p>
        </w:tc>
        <w:tc>
          <w:tcPr>
            <w:tcW w:w="0" w:type="auto"/>
            <w:vAlign w:val="center"/>
            <w:hideMark/>
          </w:tcPr>
          <w:p w14:paraId="209A26F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Tests existential relevance.</w:t>
            </w:r>
          </w:p>
        </w:tc>
      </w:tr>
    </w:tbl>
    <w:p w14:paraId="2B731D8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Ritual without responsibility becomes theater.</w:t>
      </w:r>
    </w:p>
    <w:p w14:paraId="7A40535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Responsibility without ritual becomes dry administration.</w:t>
      </w:r>
    </w:p>
    <w:p w14:paraId="10C9997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requires both.</w:t>
      </w:r>
    </w:p>
    <w:p w14:paraId="1C760723"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13. Tribal Health Scorecard</w:t>
      </w:r>
    </w:p>
    <w:p w14:paraId="76FC77F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Each Tribe or circle should maintain a lightweight health scorecard.</w:t>
      </w:r>
    </w:p>
    <w:p w14:paraId="4E925B8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This is not surveillance.</w:t>
      </w:r>
    </w:p>
    <w:p w14:paraId="5FCE110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a mirror.</w:t>
      </w:r>
    </w:p>
    <w:p w14:paraId="7F6F075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helps the community see its own field.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5917"/>
      </w:tblGrid>
      <w:tr w:rsidR="00A84C22" w:rsidRPr="00B479AE" w14:paraId="5EFE6716" w14:textId="77777777" w:rsidTr="007C5DB8">
        <w:trPr>
          <w:tblHeader/>
          <w:tblCellSpacing w:w="15" w:type="dxa"/>
        </w:trPr>
        <w:tc>
          <w:tcPr>
            <w:tcW w:w="0" w:type="auto"/>
            <w:vAlign w:val="center"/>
            <w:hideMark/>
          </w:tcPr>
          <w:p w14:paraId="617A56DF"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Indicator</w:t>
            </w:r>
          </w:p>
        </w:tc>
        <w:tc>
          <w:tcPr>
            <w:tcW w:w="0" w:type="auto"/>
            <w:vAlign w:val="center"/>
            <w:hideMark/>
          </w:tcPr>
          <w:p w14:paraId="2D638BFE"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Guiding question</w:t>
            </w:r>
          </w:p>
        </w:tc>
      </w:tr>
      <w:tr w:rsidR="00A84C22" w:rsidRPr="00B479AE" w14:paraId="191E7BB2" w14:textId="77777777" w:rsidTr="007C5DB8">
        <w:trPr>
          <w:tblCellSpacing w:w="15" w:type="dxa"/>
        </w:trPr>
        <w:tc>
          <w:tcPr>
            <w:tcW w:w="0" w:type="auto"/>
            <w:vAlign w:val="center"/>
            <w:hideMark/>
          </w:tcPr>
          <w:p w14:paraId="60C5B2B2"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Purpose clarity</w:t>
            </w:r>
          </w:p>
        </w:tc>
        <w:tc>
          <w:tcPr>
            <w:tcW w:w="0" w:type="auto"/>
            <w:vAlign w:val="center"/>
            <w:hideMark/>
          </w:tcPr>
          <w:p w14:paraId="1B65529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Do we know why this community exists?</w:t>
            </w:r>
          </w:p>
        </w:tc>
      </w:tr>
      <w:tr w:rsidR="00A84C22" w:rsidRPr="00B479AE" w14:paraId="64F397E8" w14:textId="77777777" w:rsidTr="007C5DB8">
        <w:trPr>
          <w:tblCellSpacing w:w="15" w:type="dxa"/>
        </w:trPr>
        <w:tc>
          <w:tcPr>
            <w:tcW w:w="0" w:type="auto"/>
            <w:vAlign w:val="center"/>
            <w:hideMark/>
          </w:tcPr>
          <w:p w14:paraId="417C136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Field quality</w:t>
            </w:r>
          </w:p>
        </w:tc>
        <w:tc>
          <w:tcPr>
            <w:tcW w:w="0" w:type="auto"/>
            <w:vAlign w:val="center"/>
            <w:hideMark/>
          </w:tcPr>
          <w:p w14:paraId="50018261"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Can people speak honestly and respectfully?</w:t>
            </w:r>
          </w:p>
        </w:tc>
      </w:tr>
      <w:tr w:rsidR="00A84C22" w:rsidRPr="00B479AE" w14:paraId="25914F00" w14:textId="77777777" w:rsidTr="007C5DB8">
        <w:trPr>
          <w:tblCellSpacing w:w="15" w:type="dxa"/>
        </w:trPr>
        <w:tc>
          <w:tcPr>
            <w:tcW w:w="0" w:type="auto"/>
            <w:vAlign w:val="center"/>
            <w:hideMark/>
          </w:tcPr>
          <w:p w14:paraId="701782D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Rhythm</w:t>
            </w:r>
          </w:p>
        </w:tc>
        <w:tc>
          <w:tcPr>
            <w:tcW w:w="0" w:type="auto"/>
            <w:vAlign w:val="center"/>
            <w:hideMark/>
          </w:tcPr>
          <w:p w14:paraId="51041B1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Do we meet and follow up consistently?</w:t>
            </w:r>
          </w:p>
        </w:tc>
      </w:tr>
      <w:tr w:rsidR="00A84C22" w:rsidRPr="00B479AE" w14:paraId="5609D48A" w14:textId="77777777" w:rsidTr="007C5DB8">
        <w:trPr>
          <w:tblCellSpacing w:w="15" w:type="dxa"/>
        </w:trPr>
        <w:tc>
          <w:tcPr>
            <w:tcW w:w="0" w:type="auto"/>
            <w:vAlign w:val="center"/>
            <w:hideMark/>
          </w:tcPr>
          <w:p w14:paraId="52908B9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Participation</w:t>
            </w:r>
          </w:p>
        </w:tc>
        <w:tc>
          <w:tcPr>
            <w:tcW w:w="0" w:type="auto"/>
            <w:vAlign w:val="center"/>
            <w:hideMark/>
          </w:tcPr>
          <w:p w14:paraId="0E4707F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members contributing meaningfully?</w:t>
            </w:r>
          </w:p>
        </w:tc>
      </w:tr>
      <w:tr w:rsidR="00A84C22" w:rsidRPr="00B479AE" w14:paraId="76F3CAA3" w14:textId="77777777" w:rsidTr="007C5DB8">
        <w:trPr>
          <w:tblCellSpacing w:w="15" w:type="dxa"/>
        </w:trPr>
        <w:tc>
          <w:tcPr>
            <w:tcW w:w="0" w:type="auto"/>
            <w:vAlign w:val="center"/>
            <w:hideMark/>
          </w:tcPr>
          <w:p w14:paraId="522BA05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Trust</w:t>
            </w:r>
          </w:p>
        </w:tc>
        <w:tc>
          <w:tcPr>
            <w:tcW w:w="0" w:type="auto"/>
            <w:vAlign w:val="center"/>
            <w:hideMark/>
          </w:tcPr>
          <w:p w14:paraId="6EB37DF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Can disagreement happen without fear?</w:t>
            </w:r>
          </w:p>
        </w:tc>
      </w:tr>
      <w:tr w:rsidR="00A84C22" w:rsidRPr="00B479AE" w14:paraId="21A5C6D8" w14:textId="77777777" w:rsidTr="007C5DB8">
        <w:trPr>
          <w:tblCellSpacing w:w="15" w:type="dxa"/>
        </w:trPr>
        <w:tc>
          <w:tcPr>
            <w:tcW w:w="0" w:type="auto"/>
            <w:vAlign w:val="center"/>
            <w:hideMark/>
          </w:tcPr>
          <w:p w14:paraId="01B1B6B2"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Learning</w:t>
            </w:r>
          </w:p>
        </w:tc>
        <w:tc>
          <w:tcPr>
            <w:tcW w:w="0" w:type="auto"/>
            <w:vAlign w:val="center"/>
            <w:hideMark/>
          </w:tcPr>
          <w:p w14:paraId="19BA784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we becoming more capable together?</w:t>
            </w:r>
          </w:p>
        </w:tc>
      </w:tr>
      <w:tr w:rsidR="00A84C22" w:rsidRPr="00B479AE" w14:paraId="1A4523D1" w14:textId="77777777" w:rsidTr="007C5DB8">
        <w:trPr>
          <w:tblCellSpacing w:w="15" w:type="dxa"/>
        </w:trPr>
        <w:tc>
          <w:tcPr>
            <w:tcW w:w="0" w:type="auto"/>
            <w:vAlign w:val="center"/>
            <w:hideMark/>
          </w:tcPr>
          <w:p w14:paraId="6FC9FEA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Connection</w:t>
            </w:r>
          </w:p>
        </w:tc>
        <w:tc>
          <w:tcPr>
            <w:tcW w:w="0" w:type="auto"/>
            <w:vAlign w:val="center"/>
            <w:hideMark/>
          </w:tcPr>
          <w:p w14:paraId="333BDAC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relationships deepening and becoming useful?</w:t>
            </w:r>
          </w:p>
        </w:tc>
      </w:tr>
      <w:tr w:rsidR="00A84C22" w:rsidRPr="00B479AE" w14:paraId="50517ED6" w14:textId="77777777" w:rsidTr="007C5DB8">
        <w:trPr>
          <w:tblCellSpacing w:w="15" w:type="dxa"/>
        </w:trPr>
        <w:tc>
          <w:tcPr>
            <w:tcW w:w="0" w:type="auto"/>
            <w:vAlign w:val="center"/>
            <w:hideMark/>
          </w:tcPr>
          <w:p w14:paraId="697BD7C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Integrity</w:t>
            </w:r>
          </w:p>
        </w:tc>
        <w:tc>
          <w:tcPr>
            <w:tcW w:w="0" w:type="auto"/>
            <w:vAlign w:val="center"/>
            <w:hideMark/>
          </w:tcPr>
          <w:p w14:paraId="4F10BDE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words, decisions, and actions aligned?</w:t>
            </w:r>
          </w:p>
        </w:tc>
      </w:tr>
      <w:tr w:rsidR="00A84C22" w:rsidRPr="00B479AE" w14:paraId="52146936" w14:textId="77777777" w:rsidTr="007C5DB8">
        <w:trPr>
          <w:tblCellSpacing w:w="15" w:type="dxa"/>
        </w:trPr>
        <w:tc>
          <w:tcPr>
            <w:tcW w:w="0" w:type="auto"/>
            <w:vAlign w:val="center"/>
            <w:hideMark/>
          </w:tcPr>
          <w:p w14:paraId="617BBB9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Conflict metabolism</w:t>
            </w:r>
          </w:p>
        </w:tc>
        <w:tc>
          <w:tcPr>
            <w:tcW w:w="0" w:type="auto"/>
            <w:vAlign w:val="center"/>
            <w:hideMark/>
          </w:tcPr>
          <w:p w14:paraId="62D9A17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Do we repair tension before it becomes fracture?</w:t>
            </w:r>
          </w:p>
        </w:tc>
      </w:tr>
      <w:tr w:rsidR="00A84C22" w:rsidRPr="00B479AE" w14:paraId="6115CD7B" w14:textId="77777777" w:rsidTr="007C5DB8">
        <w:trPr>
          <w:tblCellSpacing w:w="15" w:type="dxa"/>
        </w:trPr>
        <w:tc>
          <w:tcPr>
            <w:tcW w:w="0" w:type="auto"/>
            <w:vAlign w:val="center"/>
            <w:hideMark/>
          </w:tcPr>
          <w:p w14:paraId="741516AE"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discipline</w:t>
            </w:r>
          </w:p>
        </w:tc>
        <w:tc>
          <w:tcPr>
            <w:tcW w:w="0" w:type="auto"/>
            <w:vAlign w:val="center"/>
            <w:hideMark/>
          </w:tcPr>
          <w:p w14:paraId="6813F7C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Do we distinguish claim, observation, evidence, and verified result?</w:t>
            </w:r>
          </w:p>
        </w:tc>
      </w:tr>
      <w:tr w:rsidR="00A84C22" w:rsidRPr="00B479AE" w14:paraId="2664C43F" w14:textId="77777777" w:rsidTr="007C5DB8">
        <w:trPr>
          <w:tblCellSpacing w:w="15" w:type="dxa"/>
        </w:trPr>
        <w:tc>
          <w:tcPr>
            <w:tcW w:w="0" w:type="auto"/>
            <w:vAlign w:val="center"/>
            <w:hideMark/>
          </w:tcPr>
          <w:p w14:paraId="1C78E45E"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Impact</w:t>
            </w:r>
          </w:p>
        </w:tc>
        <w:tc>
          <w:tcPr>
            <w:tcW w:w="0" w:type="auto"/>
            <w:vAlign w:val="center"/>
            <w:hideMark/>
          </w:tcPr>
          <w:p w14:paraId="64DDA73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we producing real effects beyond conversation?</w:t>
            </w:r>
          </w:p>
        </w:tc>
      </w:tr>
      <w:tr w:rsidR="00A84C22" w:rsidRPr="00B479AE" w14:paraId="78190D8E" w14:textId="77777777" w:rsidTr="007C5DB8">
        <w:trPr>
          <w:tblCellSpacing w:w="15" w:type="dxa"/>
        </w:trPr>
        <w:tc>
          <w:tcPr>
            <w:tcW w:w="0" w:type="auto"/>
            <w:vAlign w:val="center"/>
            <w:hideMark/>
          </w:tcPr>
          <w:p w14:paraId="02C96182"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Regeneration</w:t>
            </w:r>
          </w:p>
        </w:tc>
        <w:tc>
          <w:tcPr>
            <w:tcW w:w="0" w:type="auto"/>
            <w:vAlign w:val="center"/>
            <w:hideMark/>
          </w:tcPr>
          <w:p w14:paraId="02AE69A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Are people and living systems more alive after participation?</w:t>
            </w:r>
          </w:p>
        </w:tc>
      </w:tr>
    </w:tbl>
    <w:p w14:paraId="7429ED2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simple scale may be used:</w:t>
      </w:r>
    </w:p>
    <w:p w14:paraId="077BCB0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1 — fragile;</w:t>
      </w:r>
      <w:r w:rsidRPr="00B479AE">
        <w:rPr>
          <w:rFonts w:ascii="Baskerville Old Face" w:hAnsi="Baskerville Old Face"/>
          <w:i/>
          <w:iCs/>
        </w:rPr>
        <w:br/>
        <w:t>2 — weak;</w:t>
      </w:r>
      <w:r w:rsidRPr="00B479AE">
        <w:rPr>
          <w:rFonts w:ascii="Baskerville Old Face" w:hAnsi="Baskerville Old Face"/>
          <w:i/>
          <w:iCs/>
        </w:rPr>
        <w:br/>
        <w:t>3 — functional;</w:t>
      </w:r>
      <w:r w:rsidRPr="00B479AE">
        <w:rPr>
          <w:rFonts w:ascii="Baskerville Old Face" w:hAnsi="Baskerville Old Face"/>
          <w:i/>
          <w:iCs/>
        </w:rPr>
        <w:br/>
        <w:t>4 — healthy;</w:t>
      </w:r>
      <w:r w:rsidRPr="00B479AE">
        <w:rPr>
          <w:rFonts w:ascii="Baskerville Old Face" w:hAnsi="Baskerville Old Face"/>
          <w:i/>
          <w:iCs/>
        </w:rPr>
        <w:br/>
        <w:t>5 — generative.</w:t>
      </w:r>
    </w:p>
    <w:p w14:paraId="3327DD7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If a community scores below 3 in the same dimension for two consecutive cycles, it should enter assisted regeneration.</w:t>
      </w:r>
    </w:p>
    <w:p w14:paraId="1B684B5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Assisted regeneration may include facilitation, role reset, conflict review, purpose clarification, rhythm redesign, evidence review, or temporary pause.</w:t>
      </w:r>
    </w:p>
    <w:p w14:paraId="0B1E2C8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This is maintenance of the social organism.</w:t>
      </w:r>
    </w:p>
    <w:p w14:paraId="1F9F298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Not failure.</w:t>
      </w:r>
    </w:p>
    <w:p w14:paraId="544BBE59" w14:textId="67E6CBAD"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14. Membership and Participation Pathway</w:t>
      </w:r>
    </w:p>
    <w:p w14:paraId="78D232B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Participation should develop through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2"/>
        <w:gridCol w:w="4250"/>
        <w:gridCol w:w="4046"/>
      </w:tblGrid>
      <w:tr w:rsidR="00A84C22" w:rsidRPr="00B479AE" w14:paraId="225789A6" w14:textId="77777777" w:rsidTr="007C5DB8">
        <w:trPr>
          <w:tblHeader/>
          <w:tblCellSpacing w:w="15" w:type="dxa"/>
        </w:trPr>
        <w:tc>
          <w:tcPr>
            <w:tcW w:w="0" w:type="auto"/>
            <w:vAlign w:val="center"/>
            <w:hideMark/>
          </w:tcPr>
          <w:p w14:paraId="32F0CD9B"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Stage</w:t>
            </w:r>
          </w:p>
        </w:tc>
        <w:tc>
          <w:tcPr>
            <w:tcW w:w="0" w:type="auto"/>
            <w:vAlign w:val="center"/>
            <w:hideMark/>
          </w:tcPr>
          <w:p w14:paraId="5B0C8A73"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0B284123"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Rights and limits</w:t>
            </w:r>
          </w:p>
        </w:tc>
      </w:tr>
      <w:tr w:rsidR="00A84C22" w:rsidRPr="00B479AE" w14:paraId="108EAB66" w14:textId="77777777" w:rsidTr="007C5DB8">
        <w:trPr>
          <w:tblCellSpacing w:w="15" w:type="dxa"/>
        </w:trPr>
        <w:tc>
          <w:tcPr>
            <w:tcW w:w="0" w:type="auto"/>
            <w:vAlign w:val="center"/>
            <w:hideMark/>
          </w:tcPr>
          <w:p w14:paraId="1348660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Observer</w:t>
            </w:r>
          </w:p>
        </w:tc>
        <w:tc>
          <w:tcPr>
            <w:tcW w:w="0" w:type="auto"/>
            <w:vAlign w:val="center"/>
            <w:hideMark/>
          </w:tcPr>
          <w:p w14:paraId="5B7F8B7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Learns the culture and attends selected spaces.</w:t>
            </w:r>
          </w:p>
        </w:tc>
        <w:tc>
          <w:tcPr>
            <w:tcW w:w="0" w:type="auto"/>
            <w:vAlign w:val="center"/>
            <w:hideMark/>
          </w:tcPr>
          <w:p w14:paraId="4715208D"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No decision authority.</w:t>
            </w:r>
          </w:p>
        </w:tc>
      </w:tr>
      <w:tr w:rsidR="00A84C22" w:rsidRPr="00B479AE" w14:paraId="141BBD34" w14:textId="77777777" w:rsidTr="007C5DB8">
        <w:trPr>
          <w:tblCellSpacing w:w="15" w:type="dxa"/>
        </w:trPr>
        <w:tc>
          <w:tcPr>
            <w:tcW w:w="0" w:type="auto"/>
            <w:vAlign w:val="center"/>
            <w:hideMark/>
          </w:tcPr>
          <w:p w14:paraId="4C522A4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Participant</w:t>
            </w:r>
          </w:p>
        </w:tc>
        <w:tc>
          <w:tcPr>
            <w:tcW w:w="0" w:type="auto"/>
            <w:vAlign w:val="center"/>
            <w:hideMark/>
          </w:tcPr>
          <w:p w14:paraId="072D489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Contributes to activities and rituals.</w:t>
            </w:r>
          </w:p>
        </w:tc>
        <w:tc>
          <w:tcPr>
            <w:tcW w:w="0" w:type="auto"/>
            <w:vAlign w:val="center"/>
            <w:hideMark/>
          </w:tcPr>
          <w:p w14:paraId="6F470F1D"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Limited voice; no full governance authority.</w:t>
            </w:r>
          </w:p>
        </w:tc>
      </w:tr>
      <w:tr w:rsidR="00A84C22" w:rsidRPr="00B479AE" w14:paraId="4587C99E" w14:textId="77777777" w:rsidTr="007C5DB8">
        <w:trPr>
          <w:tblCellSpacing w:w="15" w:type="dxa"/>
        </w:trPr>
        <w:tc>
          <w:tcPr>
            <w:tcW w:w="0" w:type="auto"/>
            <w:vAlign w:val="center"/>
            <w:hideMark/>
          </w:tcPr>
          <w:p w14:paraId="07363C8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Member</w:t>
            </w:r>
          </w:p>
        </w:tc>
        <w:tc>
          <w:tcPr>
            <w:tcW w:w="0" w:type="auto"/>
            <w:vAlign w:val="center"/>
            <w:hideMark/>
          </w:tcPr>
          <w:p w14:paraId="46BBAE5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Accepts the Access Covenant and role responsibilities.</w:t>
            </w:r>
          </w:p>
        </w:tc>
        <w:tc>
          <w:tcPr>
            <w:tcW w:w="0" w:type="auto"/>
            <w:vAlign w:val="center"/>
            <w:hideMark/>
          </w:tcPr>
          <w:p w14:paraId="291C80D9"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May participate in ordinary governance.</w:t>
            </w:r>
          </w:p>
        </w:tc>
      </w:tr>
      <w:tr w:rsidR="00A84C22" w:rsidRPr="00B479AE" w14:paraId="13CBE66F" w14:textId="77777777" w:rsidTr="007C5DB8">
        <w:trPr>
          <w:tblCellSpacing w:w="15" w:type="dxa"/>
        </w:trPr>
        <w:tc>
          <w:tcPr>
            <w:tcW w:w="0" w:type="auto"/>
            <w:vAlign w:val="center"/>
            <w:hideMark/>
          </w:tcPr>
          <w:p w14:paraId="054E828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Role holder</w:t>
            </w:r>
          </w:p>
        </w:tc>
        <w:tc>
          <w:tcPr>
            <w:tcW w:w="0" w:type="auto"/>
            <w:vAlign w:val="center"/>
            <w:hideMark/>
          </w:tcPr>
          <w:p w14:paraId="2FF122A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Holds a temporary elected or assigned role.</w:t>
            </w:r>
          </w:p>
        </w:tc>
        <w:tc>
          <w:tcPr>
            <w:tcW w:w="0" w:type="auto"/>
            <w:vAlign w:val="center"/>
            <w:hideMark/>
          </w:tcPr>
          <w:p w14:paraId="50CAEBF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Has specific mandate and accountability.</w:t>
            </w:r>
          </w:p>
        </w:tc>
      </w:tr>
      <w:tr w:rsidR="00A84C22" w:rsidRPr="00B479AE" w14:paraId="4C32B168" w14:textId="77777777" w:rsidTr="007C5DB8">
        <w:trPr>
          <w:tblCellSpacing w:w="15" w:type="dxa"/>
        </w:trPr>
        <w:tc>
          <w:tcPr>
            <w:tcW w:w="0" w:type="auto"/>
            <w:vAlign w:val="center"/>
            <w:hideMark/>
          </w:tcPr>
          <w:p w14:paraId="1053F98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Custodian</w:t>
            </w:r>
          </w:p>
        </w:tc>
        <w:tc>
          <w:tcPr>
            <w:tcW w:w="0" w:type="auto"/>
            <w:vAlign w:val="center"/>
            <w:hideMark/>
          </w:tcPr>
          <w:p w14:paraId="00989BA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Protects purpose, memory, integrity, or learning.</w:t>
            </w:r>
          </w:p>
        </w:tc>
        <w:tc>
          <w:tcPr>
            <w:tcW w:w="0" w:type="auto"/>
            <w:vAlign w:val="center"/>
            <w:hideMark/>
          </w:tcPr>
          <w:p w14:paraId="7997B61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Service role; no ownership.</w:t>
            </w:r>
          </w:p>
        </w:tc>
      </w:tr>
      <w:tr w:rsidR="00A84C22" w:rsidRPr="00B479AE" w14:paraId="53484339" w14:textId="77777777" w:rsidTr="007C5DB8">
        <w:trPr>
          <w:tblCellSpacing w:w="15" w:type="dxa"/>
        </w:trPr>
        <w:tc>
          <w:tcPr>
            <w:tcW w:w="0" w:type="auto"/>
            <w:vAlign w:val="center"/>
            <w:hideMark/>
          </w:tcPr>
          <w:p w14:paraId="4FCCC89C"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Elder / mentor</w:t>
            </w:r>
          </w:p>
        </w:tc>
        <w:tc>
          <w:tcPr>
            <w:tcW w:w="0" w:type="auto"/>
            <w:vAlign w:val="center"/>
            <w:hideMark/>
          </w:tcPr>
          <w:p w14:paraId="7E38DCBD"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continuity through experience.</w:t>
            </w:r>
          </w:p>
        </w:tc>
        <w:tc>
          <w:tcPr>
            <w:tcW w:w="0" w:type="auto"/>
            <w:vAlign w:val="center"/>
            <w:hideMark/>
          </w:tcPr>
          <w:p w14:paraId="6679373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Advisory authority only unless otherwise mandated.</w:t>
            </w:r>
          </w:p>
        </w:tc>
      </w:tr>
    </w:tbl>
    <w:p w14:paraId="1647C06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Belonging matures through participation.</w:t>
      </w:r>
    </w:p>
    <w:p w14:paraId="59AD932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Authority matures through demonstrated responsibility.</w:t>
      </w:r>
    </w:p>
    <w:p w14:paraId="72F20CB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No person should receive structural authority merely because they are charismatic, wealthy, technical, early, loud, socially central, token-rich, or close to founders.</w:t>
      </w:r>
    </w:p>
    <w:p w14:paraId="5CE06ADE" w14:textId="77777777" w:rsidR="00543279" w:rsidRDefault="00543279" w:rsidP="00A84C22">
      <w:pPr>
        <w:spacing w:line="360" w:lineRule="auto"/>
        <w:rPr>
          <w:rFonts w:ascii="Baskerville Old Face" w:hAnsi="Baskerville Old Face"/>
          <w:b/>
          <w:bCs/>
          <w:i/>
          <w:iCs/>
        </w:rPr>
      </w:pPr>
    </w:p>
    <w:p w14:paraId="33B06F0E" w14:textId="6F02E38C"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lastRenderedPageBreak/>
        <w:t>15. Anti-Capture and Power-Separation Safeguards</w:t>
      </w:r>
    </w:p>
    <w:p w14:paraId="12A1426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Prometheus-compatible community should protect itself from capture.</w:t>
      </w:r>
    </w:p>
    <w:p w14:paraId="4F7D4CD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Capture may arise through founder dominance, charisma, capital, technical access, token concentration, control of memory, control of conflict processes, control of onboarding, spiritual pressure, ideological pressure, or social dependency.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9"/>
        <w:gridCol w:w="7724"/>
      </w:tblGrid>
      <w:tr w:rsidR="00A84C22" w:rsidRPr="00B479AE" w14:paraId="6DB935D7" w14:textId="77777777" w:rsidTr="007C5DB8">
        <w:trPr>
          <w:tblHeader/>
          <w:tblCellSpacing w:w="15" w:type="dxa"/>
        </w:trPr>
        <w:tc>
          <w:tcPr>
            <w:tcW w:w="0" w:type="auto"/>
            <w:vAlign w:val="center"/>
            <w:hideMark/>
          </w:tcPr>
          <w:p w14:paraId="14F9FC19"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Capture risk</w:t>
            </w:r>
          </w:p>
        </w:tc>
        <w:tc>
          <w:tcPr>
            <w:tcW w:w="0" w:type="auto"/>
            <w:vAlign w:val="center"/>
            <w:hideMark/>
          </w:tcPr>
          <w:p w14:paraId="554907B3" w14:textId="77777777" w:rsidR="00A84C22" w:rsidRPr="00B479AE" w:rsidRDefault="00A84C22" w:rsidP="00A84C2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Safeguard</w:t>
            </w:r>
          </w:p>
        </w:tc>
      </w:tr>
      <w:tr w:rsidR="00A84C22" w:rsidRPr="00B479AE" w14:paraId="49612D68" w14:textId="77777777" w:rsidTr="007C5DB8">
        <w:trPr>
          <w:tblCellSpacing w:w="15" w:type="dxa"/>
        </w:trPr>
        <w:tc>
          <w:tcPr>
            <w:tcW w:w="0" w:type="auto"/>
            <w:vAlign w:val="center"/>
            <w:hideMark/>
          </w:tcPr>
          <w:p w14:paraId="755374CF"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Founder dominance</w:t>
            </w:r>
          </w:p>
        </w:tc>
        <w:tc>
          <w:tcPr>
            <w:tcW w:w="0" w:type="auto"/>
            <w:vAlign w:val="center"/>
            <w:hideMark/>
          </w:tcPr>
          <w:p w14:paraId="1DB5253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Role rotation, consent governance, documented mandates.</w:t>
            </w:r>
          </w:p>
        </w:tc>
      </w:tr>
      <w:tr w:rsidR="00A84C22" w:rsidRPr="00B479AE" w14:paraId="5D60C053" w14:textId="77777777" w:rsidTr="007C5DB8">
        <w:trPr>
          <w:tblCellSpacing w:w="15" w:type="dxa"/>
        </w:trPr>
        <w:tc>
          <w:tcPr>
            <w:tcW w:w="0" w:type="auto"/>
            <w:vAlign w:val="center"/>
            <w:hideMark/>
          </w:tcPr>
          <w:p w14:paraId="3017CFBD"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Charismatic control</w:t>
            </w:r>
          </w:p>
        </w:tc>
        <w:tc>
          <w:tcPr>
            <w:tcW w:w="0" w:type="auto"/>
            <w:vAlign w:val="center"/>
            <w:hideMark/>
          </w:tcPr>
          <w:p w14:paraId="1C896126"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Separation between purpose, conflict, memory, and access roles.</w:t>
            </w:r>
          </w:p>
        </w:tc>
      </w:tr>
      <w:tr w:rsidR="00A84C22" w:rsidRPr="00B479AE" w14:paraId="73BA4850" w14:textId="77777777" w:rsidTr="007C5DB8">
        <w:trPr>
          <w:tblCellSpacing w:w="15" w:type="dxa"/>
        </w:trPr>
        <w:tc>
          <w:tcPr>
            <w:tcW w:w="0" w:type="auto"/>
            <w:vAlign w:val="center"/>
            <w:hideMark/>
          </w:tcPr>
          <w:p w14:paraId="63BF21F7"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 capture</w:t>
            </w:r>
          </w:p>
        </w:tc>
        <w:tc>
          <w:tcPr>
            <w:tcW w:w="0" w:type="auto"/>
            <w:vAlign w:val="center"/>
            <w:hideMark/>
          </w:tcPr>
          <w:p w14:paraId="3686FD90"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Separation between capital, governance, PRU value, and constitutional authority.</w:t>
            </w:r>
          </w:p>
        </w:tc>
      </w:tr>
      <w:tr w:rsidR="00A84C22" w:rsidRPr="00B479AE" w14:paraId="49065F37" w14:textId="77777777" w:rsidTr="007C5DB8">
        <w:trPr>
          <w:tblCellSpacing w:w="15" w:type="dxa"/>
        </w:trPr>
        <w:tc>
          <w:tcPr>
            <w:tcW w:w="0" w:type="auto"/>
            <w:vAlign w:val="center"/>
            <w:hideMark/>
          </w:tcPr>
          <w:p w14:paraId="4C751E72"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capture</w:t>
            </w:r>
          </w:p>
        </w:tc>
        <w:tc>
          <w:tcPr>
            <w:tcW w:w="0" w:type="auto"/>
            <w:vAlign w:val="center"/>
            <w:hideMark/>
          </w:tcPr>
          <w:p w14:paraId="441DDF25"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controls, audit logs, shared infrastructure knowledge, replaceable components.</w:t>
            </w:r>
          </w:p>
        </w:tc>
      </w:tr>
      <w:tr w:rsidR="00A84C22" w:rsidRPr="00B479AE" w14:paraId="090B9C7A" w14:textId="77777777" w:rsidTr="007C5DB8">
        <w:trPr>
          <w:tblCellSpacing w:w="15" w:type="dxa"/>
        </w:trPr>
        <w:tc>
          <w:tcPr>
            <w:tcW w:w="0" w:type="auto"/>
            <w:vAlign w:val="center"/>
            <w:hideMark/>
          </w:tcPr>
          <w:p w14:paraId="147F937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Clique formation</w:t>
            </w:r>
          </w:p>
        </w:tc>
        <w:tc>
          <w:tcPr>
            <w:tcW w:w="0" w:type="auto"/>
            <w:vAlign w:val="center"/>
            <w:hideMark/>
          </w:tcPr>
          <w:p w14:paraId="7D4988A2"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Transparent onboarding, relationship weaving, protected dissent.</w:t>
            </w:r>
          </w:p>
        </w:tc>
      </w:tr>
      <w:tr w:rsidR="00A84C22" w:rsidRPr="00B479AE" w14:paraId="510D4E7A" w14:textId="77777777" w:rsidTr="007C5DB8">
        <w:trPr>
          <w:tblCellSpacing w:w="15" w:type="dxa"/>
        </w:trPr>
        <w:tc>
          <w:tcPr>
            <w:tcW w:w="0" w:type="auto"/>
            <w:vAlign w:val="center"/>
            <w:hideMark/>
          </w:tcPr>
          <w:p w14:paraId="1D7E9DE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Memory capture</w:t>
            </w:r>
          </w:p>
        </w:tc>
        <w:tc>
          <w:tcPr>
            <w:tcW w:w="0" w:type="auto"/>
            <w:vAlign w:val="center"/>
            <w:hideMark/>
          </w:tcPr>
          <w:p w14:paraId="1D7C9FD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Decision log, rotating scribe, reviewable archive.</w:t>
            </w:r>
          </w:p>
        </w:tc>
      </w:tr>
      <w:tr w:rsidR="00A84C22" w:rsidRPr="00B479AE" w14:paraId="32C49D37" w14:textId="77777777" w:rsidTr="007C5DB8">
        <w:trPr>
          <w:tblCellSpacing w:w="15" w:type="dxa"/>
        </w:trPr>
        <w:tc>
          <w:tcPr>
            <w:tcW w:w="0" w:type="auto"/>
            <w:vAlign w:val="center"/>
            <w:hideMark/>
          </w:tcPr>
          <w:p w14:paraId="068887D3"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Conflict suppression</w:t>
            </w:r>
          </w:p>
        </w:tc>
        <w:tc>
          <w:tcPr>
            <w:tcW w:w="0" w:type="auto"/>
            <w:vAlign w:val="center"/>
            <w:hideMark/>
          </w:tcPr>
          <w:p w14:paraId="3ECF538A"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Formal conflict protocol and protected dissent.</w:t>
            </w:r>
          </w:p>
        </w:tc>
      </w:tr>
      <w:tr w:rsidR="00A84C22" w:rsidRPr="00B479AE" w14:paraId="524BEE68" w14:textId="77777777" w:rsidTr="007C5DB8">
        <w:trPr>
          <w:tblCellSpacing w:w="15" w:type="dxa"/>
        </w:trPr>
        <w:tc>
          <w:tcPr>
            <w:tcW w:w="0" w:type="auto"/>
            <w:vAlign w:val="center"/>
            <w:hideMark/>
          </w:tcPr>
          <w:p w14:paraId="3BD016C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 capture</w:t>
            </w:r>
          </w:p>
        </w:tc>
        <w:tc>
          <w:tcPr>
            <w:tcW w:w="0" w:type="auto"/>
            <w:vAlign w:val="center"/>
            <w:hideMark/>
          </w:tcPr>
          <w:p w14:paraId="3906BB4B"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Scope-limited governance rights and anti-whale controls where applicable.</w:t>
            </w:r>
          </w:p>
        </w:tc>
      </w:tr>
      <w:tr w:rsidR="00A84C22" w:rsidRPr="00B479AE" w14:paraId="505989F4" w14:textId="77777777" w:rsidTr="007C5DB8">
        <w:trPr>
          <w:tblCellSpacing w:w="15" w:type="dxa"/>
        </w:trPr>
        <w:tc>
          <w:tcPr>
            <w:tcW w:w="0" w:type="auto"/>
            <w:vAlign w:val="center"/>
            <w:hideMark/>
          </w:tcPr>
          <w:p w14:paraId="4605F488"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authority drift</w:t>
            </w:r>
          </w:p>
        </w:tc>
        <w:tc>
          <w:tcPr>
            <w:tcW w:w="0" w:type="auto"/>
            <w:vAlign w:val="center"/>
            <w:hideMark/>
          </w:tcPr>
          <w:p w14:paraId="6D82DCB2" w14:textId="77777777" w:rsidR="00A84C22" w:rsidRPr="00B479AE" w:rsidRDefault="00A84C22" w:rsidP="00A84C22">
            <w:pPr>
              <w:spacing w:line="360" w:lineRule="auto"/>
              <w:rPr>
                <w:rFonts w:ascii="Baskerville Old Face" w:hAnsi="Baskerville Old Face"/>
                <w:i/>
                <w:iCs/>
                <w:sz w:val="22"/>
                <w:szCs w:val="22"/>
              </w:rPr>
            </w:pPr>
            <w:r w:rsidRPr="00B479AE">
              <w:rPr>
                <w:rFonts w:ascii="Baskerville Old Face" w:hAnsi="Baskerville Old Face"/>
                <w:i/>
                <w:iCs/>
                <w:sz w:val="22"/>
                <w:szCs w:val="22"/>
              </w:rPr>
              <w:t>Explicit distinction between AI support, recommendation, authorization, and execution.</w:t>
            </w:r>
          </w:p>
        </w:tc>
      </w:tr>
    </w:tbl>
    <w:p w14:paraId="160E480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xml:space="preserve">A community is healthy when no person or faction </w:t>
      </w:r>
      <w:proofErr w:type="gramStart"/>
      <w:r w:rsidRPr="00B479AE">
        <w:rPr>
          <w:rFonts w:ascii="Baskerville Old Face" w:hAnsi="Baskerville Old Face"/>
          <w:i/>
          <w:iCs/>
        </w:rPr>
        <w:t>controls</w:t>
      </w:r>
      <w:proofErr w:type="gramEnd"/>
      <w:r w:rsidRPr="00B479AE">
        <w:rPr>
          <w:rFonts w:ascii="Baskerville Old Face" w:hAnsi="Baskerville Old Face"/>
          <w:i/>
          <w:iCs/>
        </w:rPr>
        <w:t xml:space="preserve"> purpose, memory, conflict, access, capital, and technical infrastructure at the same time.</w:t>
      </w:r>
    </w:p>
    <w:p w14:paraId="3CEF28F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That concentration is the red flag.</w:t>
      </w:r>
    </w:p>
    <w:p w14:paraId="79B40382"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16. Relationship with Prometheus Constitution</w:t>
      </w:r>
    </w:p>
    <w:p w14:paraId="09F7802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Tribe, circle, or community may govern its own operations.</w:t>
      </w:r>
    </w:p>
    <w:p w14:paraId="76FBF743"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amend the Prometheus constitution unless it enters the constitutional amendment pathway.</w:t>
      </w:r>
    </w:p>
    <w:p w14:paraId="3B49ADC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A community may interpret its own purpose.</w:t>
      </w:r>
    </w:p>
    <w:p w14:paraId="149D005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redefine PRU, RAP, MRV, TRBK, HSI, tokenization, or Access Covenant outside canonical definitions.</w:t>
      </w:r>
    </w:p>
    <w:p w14:paraId="6621E66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may create rituals.</w:t>
      </w:r>
    </w:p>
    <w:p w14:paraId="3D9132D2"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create coercive belonging.</w:t>
      </w:r>
    </w:p>
    <w:p w14:paraId="0657729E"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may coordinate resources.</w:t>
      </w:r>
    </w:p>
    <w:p w14:paraId="63D4C01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convert participation into financial entitlement without legal structure.</w:t>
      </w:r>
    </w:p>
    <w:p w14:paraId="73D9D7A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may use AI tools.</w:t>
      </w:r>
    </w:p>
    <w:p w14:paraId="0733A67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allow AI output to become governance authority.</w:t>
      </w:r>
    </w:p>
    <w:p w14:paraId="638714D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may welcome capital.</w:t>
      </w:r>
    </w:p>
    <w:p w14:paraId="5037CA4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allow capital to command life.</w:t>
      </w:r>
    </w:p>
    <w:p w14:paraId="07590DB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A community may evolve.</w:t>
      </w:r>
    </w:p>
    <w:p w14:paraId="7E711214"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may not drift away from the foundational articles and Eternity Clauses when acting inside Prometheus.</w:t>
      </w:r>
    </w:p>
    <w:p w14:paraId="7E105B64"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 xml:space="preserve">17. Specific Interoperability with </w:t>
      </w:r>
      <w:proofErr w:type="spellStart"/>
      <w:r w:rsidRPr="00B479AE">
        <w:rPr>
          <w:rFonts w:ascii="Baskerville Old Face" w:hAnsi="Baskerville Old Face"/>
          <w:b/>
          <w:bCs/>
          <w:i/>
          <w:iCs/>
        </w:rPr>
        <w:t>Tribeke</w:t>
      </w:r>
      <w:proofErr w:type="spellEnd"/>
    </w:p>
    <w:p w14:paraId="548EFF9E" w14:textId="77777777" w:rsidR="00A84C22" w:rsidRPr="00B479AE" w:rsidRDefault="00A84C22" w:rsidP="00A84C22">
      <w:pPr>
        <w:spacing w:line="360" w:lineRule="auto"/>
        <w:rPr>
          <w:rFonts w:ascii="Baskerville Old Face" w:hAnsi="Baskerville Old Face"/>
          <w:i/>
          <w:iCs/>
        </w:rPr>
      </w:pP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may be treated as one specific expression of the broader Prometheus human-governance interoperability model.</w:t>
      </w:r>
    </w:p>
    <w:p w14:paraId="0CF126A5" w14:textId="77777777" w:rsidR="00A84C22" w:rsidRPr="00B479AE" w:rsidRDefault="00A84C22" w:rsidP="00A84C22">
      <w:pPr>
        <w:spacing w:line="360" w:lineRule="auto"/>
        <w:rPr>
          <w:rFonts w:ascii="Baskerville Old Face" w:hAnsi="Baskerville Old Face"/>
          <w:i/>
          <w:iCs/>
        </w:rPr>
      </w:pP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contributes the language of Tribe, freedom, belonging, training, community activation, relationship energy, and tokenized utility.</w:t>
      </w:r>
    </w:p>
    <w:p w14:paraId="1A643E0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contributes constitutional kernel discipline, MRV, PRU/RAP architecture, evidence-before-value, capital-readiness boundaries, ecological verification, and institutional trust.</w:t>
      </w:r>
    </w:p>
    <w:p w14:paraId="12ACE50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relationship should follow sovereign alignment.</w:t>
      </w:r>
    </w:p>
    <w:p w14:paraId="0DDAAD1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 xml:space="preserve">TRBK remains </w:t>
      </w:r>
      <w:proofErr w:type="spellStart"/>
      <w:r w:rsidRPr="00B479AE">
        <w:rPr>
          <w:rFonts w:ascii="Baskerville Old Face" w:hAnsi="Baskerville Old Face"/>
          <w:i/>
          <w:iCs/>
        </w:rPr>
        <w:t>Tribeke’s</w:t>
      </w:r>
      <w:proofErr w:type="spellEnd"/>
      <w:r w:rsidRPr="00B479AE">
        <w:rPr>
          <w:rFonts w:ascii="Baskerville Old Face" w:hAnsi="Baskerville Old Face"/>
          <w:i/>
          <w:iCs/>
        </w:rPr>
        <w:t xml:space="preserve"> token layer.</w:t>
      </w:r>
    </w:p>
    <w:p w14:paraId="192DF3C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PRU remains Prometheus’ verified regenerative performance layer.</w:t>
      </w:r>
    </w:p>
    <w:p w14:paraId="12EE4FF9"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RAP remains Prometheus’ portfolio aggregation layer.</w:t>
      </w:r>
    </w:p>
    <w:p w14:paraId="5B7EB0C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MRV remains Prometheus’ evidence discipline.</w:t>
      </w:r>
    </w:p>
    <w:p w14:paraId="26510B1A"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Access Covenant remains Prometheus’ entry condition.</w:t>
      </w:r>
    </w:p>
    <w:p w14:paraId="0E23B67F" w14:textId="77777777" w:rsidR="00A84C22" w:rsidRPr="00B479AE" w:rsidRDefault="00A84C22" w:rsidP="00A84C22">
      <w:pPr>
        <w:spacing w:line="360" w:lineRule="auto"/>
        <w:rPr>
          <w:rFonts w:ascii="Baskerville Old Face" w:hAnsi="Baskerville Old Face"/>
          <w:i/>
          <w:iCs/>
        </w:rPr>
      </w:pP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governance remains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governance.</w:t>
      </w:r>
    </w:p>
    <w:p w14:paraId="0B1CD5A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governance remains Prometheus governance.</w:t>
      </w:r>
    </w:p>
    <w:p w14:paraId="6C3CD48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Where the two systems collaborate, they may create a powerful shared field.</w:t>
      </w:r>
    </w:p>
    <w:p w14:paraId="74B365E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Where they diverge, they should restore boundaries respectfully and continue without confusion.</w:t>
      </w:r>
    </w:p>
    <w:p w14:paraId="215A88E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strongest partnership is federation, not fusion.</w:t>
      </w:r>
    </w:p>
    <w:p w14:paraId="1F6DBD2F" w14:textId="77777777" w:rsidR="00A84C22" w:rsidRPr="00B479AE" w:rsidRDefault="00A84C22" w:rsidP="00A84C22">
      <w:pPr>
        <w:spacing w:line="360" w:lineRule="auto"/>
        <w:rPr>
          <w:rFonts w:ascii="Baskerville Old Face" w:hAnsi="Baskerville Old Face"/>
          <w:b/>
          <w:bCs/>
          <w:i/>
          <w:iCs/>
        </w:rPr>
      </w:pPr>
      <w:r w:rsidRPr="00B479AE">
        <w:rPr>
          <w:rFonts w:ascii="Baskerville Old Face" w:hAnsi="Baskerville Old Face"/>
          <w:b/>
          <w:bCs/>
          <w:i/>
          <w:iCs/>
        </w:rPr>
        <w:t>18. Final Principle</w:t>
      </w:r>
    </w:p>
    <w:p w14:paraId="4FFF7A48"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final principle of Prometheus human governance is:</w:t>
      </w:r>
    </w:p>
    <w:p w14:paraId="1702FD9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no one governs alone, and no one disappears into the group.</w:t>
      </w:r>
    </w:p>
    <w:p w14:paraId="68C65C3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individual remains visible.</w:t>
      </w:r>
    </w:p>
    <w:p w14:paraId="1CCDBC0C"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circle remains responsible.</w:t>
      </w:r>
    </w:p>
    <w:p w14:paraId="1BB3E61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community remains sovereign.</w:t>
      </w:r>
    </w:p>
    <w:p w14:paraId="5F8DB526"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constitution remains upstream.</w:t>
      </w:r>
    </w:p>
    <w:p w14:paraId="5A6B5BA1"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Evidence remains the discipline.</w:t>
      </w:r>
    </w:p>
    <w:p w14:paraId="63A70DB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The living system remains the source.</w:t>
      </w:r>
    </w:p>
    <w:p w14:paraId="1AC7458F"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Prometheus does not build one community to dominate others.</w:t>
      </w:r>
    </w:p>
    <w:p w14:paraId="69C44B60"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builds an architecture through which many communities can meet, resonate, decide, learn, repair, differentiate, and regenerate without losing their soul.</w:t>
      </w:r>
    </w:p>
    <w:p w14:paraId="2A8C8635"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lastRenderedPageBreak/>
        <w:t>This is the functional synthesis of tribe, sociocracy, commons governance, community learning, psychological safety, self-determination, evolutionary purpose, and Prometheus constitutional discipline.</w:t>
      </w:r>
    </w:p>
    <w:p w14:paraId="6C055B0B" w14:textId="77777777" w:rsidR="00A84C22" w:rsidRPr="00B479AE" w:rsidRDefault="00A84C22" w:rsidP="00A84C22">
      <w:pPr>
        <w:spacing w:line="360" w:lineRule="auto"/>
        <w:rPr>
          <w:rFonts w:ascii="Baskerville Old Face" w:hAnsi="Baskerville Old Face"/>
          <w:i/>
          <w:iCs/>
        </w:rPr>
      </w:pPr>
      <w:r w:rsidRPr="00B479AE">
        <w:rPr>
          <w:rFonts w:ascii="Baskerville Old Face" w:hAnsi="Baskerville Old Face"/>
          <w:i/>
          <w:iCs/>
        </w:rPr>
        <w:t>It is human governance with sovereign alignment.</w:t>
      </w:r>
    </w:p>
    <w:p w14:paraId="26252DE5" w14:textId="77777777" w:rsidR="00A84C22" w:rsidRPr="00B479AE" w:rsidRDefault="00A84C22" w:rsidP="00994463">
      <w:pPr>
        <w:spacing w:line="360" w:lineRule="auto"/>
        <w:rPr>
          <w:rFonts w:ascii="Baskerville Old Face" w:hAnsi="Baskerville Old Face"/>
          <w:i/>
          <w:iCs/>
        </w:rPr>
      </w:pPr>
    </w:p>
    <w:p w14:paraId="36032E0B"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 The Access Covenant — Conditions for Entry</w:t>
      </w:r>
    </w:p>
    <w:p w14:paraId="330A19F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Before any entity — whether an individual, community, company, foundation, trust, investment fund, bioregional network, public agency, digital agent, infrastructure provider, or future institutional participant — may access, participate in, govern, finance, extend, automate, or benefit from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ecosystem, it must enter into the Access Covenant.</w:t>
      </w:r>
    </w:p>
    <w:p w14:paraId="2592D48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is the constitutional entry protocol of Prometheus.</w:t>
      </w:r>
    </w:p>
    <w:p w14:paraId="0CEFF09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is not a mere click-through agreement.</w:t>
      </w:r>
    </w:p>
    <w:p w14:paraId="6BECED5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is not branding language.</w:t>
      </w:r>
    </w:p>
    <w:p w14:paraId="7B5A672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is not symbolic consent.</w:t>
      </w:r>
    </w:p>
    <w:p w14:paraId="5633BB0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is the threshold through which participation becomes constitutionally legible.</w:t>
      </w:r>
    </w:p>
    <w:p w14:paraId="1999D0A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establishes that every Prometheus-facing relationship must remain aligned with:</w:t>
      </w:r>
    </w:p>
    <w:p w14:paraId="3CE5A45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the foundational articles;</w:t>
      </w:r>
      <w:r w:rsidRPr="00B479AE">
        <w:rPr>
          <w:rFonts w:ascii="Baskerville Old Face" w:hAnsi="Baskerville Old Face"/>
          <w:i/>
          <w:iCs/>
        </w:rPr>
        <w:br/>
        <w:t>• the Eternity Clauses;</w:t>
      </w:r>
      <w:r w:rsidRPr="00B479AE">
        <w:rPr>
          <w:rFonts w:ascii="Baskerville Old Face" w:hAnsi="Baskerville Old Face"/>
          <w:i/>
          <w:iCs/>
        </w:rPr>
        <w:br/>
        <w:t>• the universal human interoperability model;</w:t>
      </w:r>
      <w:r w:rsidRPr="00B479AE">
        <w:rPr>
          <w:rFonts w:ascii="Baskerville Old Face" w:hAnsi="Baskerville Old Face"/>
          <w:i/>
          <w:iCs/>
        </w:rPr>
        <w:br/>
        <w:t>• the living-field principle;</w:t>
      </w:r>
      <w:r w:rsidRPr="00B479AE">
        <w:rPr>
          <w:rFonts w:ascii="Baskerville Old Face" w:hAnsi="Baskerville Old Face"/>
          <w:i/>
          <w:iCs/>
        </w:rPr>
        <w:br/>
        <w:t>• evidence-before-value discipline;</w:t>
      </w:r>
      <w:r w:rsidRPr="00B479AE">
        <w:rPr>
          <w:rFonts w:ascii="Baskerville Old Face" w:hAnsi="Baskerville Old Face"/>
          <w:i/>
          <w:iCs/>
        </w:rPr>
        <w:br/>
        <w:t>• human dignity;</w:t>
      </w:r>
      <w:r w:rsidRPr="00B479AE">
        <w:rPr>
          <w:rFonts w:ascii="Baskerville Old Face" w:hAnsi="Baskerville Old Face"/>
          <w:i/>
          <w:iCs/>
        </w:rPr>
        <w:br/>
        <w:t>• ecological integrity;</w:t>
      </w:r>
      <w:r w:rsidRPr="00B479AE">
        <w:rPr>
          <w:rFonts w:ascii="Baskerville Old Face" w:hAnsi="Baskerville Old Face"/>
          <w:i/>
          <w:iCs/>
        </w:rPr>
        <w:br/>
        <w:t>• voluntary participation;</w:t>
      </w:r>
      <w:r w:rsidRPr="00B479AE">
        <w:rPr>
          <w:rFonts w:ascii="Baskerville Old Face" w:hAnsi="Baskerville Old Face"/>
          <w:i/>
          <w:iCs/>
        </w:rPr>
        <w:br/>
        <w:t>• governance accountability;</w:t>
      </w:r>
      <w:r w:rsidRPr="00B479AE">
        <w:rPr>
          <w:rFonts w:ascii="Baskerville Old Face" w:hAnsi="Baskerville Old Face"/>
          <w:i/>
          <w:iCs/>
        </w:rPr>
        <w:br/>
        <w:t>•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r w:rsidRPr="00B479AE">
        <w:rPr>
          <w:rFonts w:ascii="Baskerville Old Face" w:hAnsi="Baskerville Old Face"/>
          <w:i/>
          <w:iCs/>
        </w:rPr>
        <w:br/>
        <w:t>• regenerative fidelity.</w:t>
      </w:r>
    </w:p>
    <w:p w14:paraId="50DDFD5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Access is conditional.</w:t>
      </w:r>
    </w:p>
    <w:p w14:paraId="6F4BB4E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Participation is conditional.</w:t>
      </w:r>
    </w:p>
    <w:p w14:paraId="4667459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Governance is conditional.</w:t>
      </w:r>
    </w:p>
    <w:p w14:paraId="02E5F66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Capital access is conditional.</w:t>
      </w:r>
    </w:p>
    <w:p w14:paraId="4B2A452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Token-mediated participation, where legally and technically available, is conditional.</w:t>
      </w:r>
    </w:p>
    <w:p w14:paraId="2FACA9F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entity enters Prometheus merely because it holds capital, technical capacity, governance influence, institutional status, token exposure, data access, community status, religious authority, cultural authority, scientific authority, or model capability.</w:t>
      </w:r>
    </w:p>
    <w:p w14:paraId="0E003DD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Every participant enters through covenant.</w:t>
      </w:r>
    </w:p>
    <w:p w14:paraId="3A506EC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defines the threshold between outside interest and inside participation.</w:t>
      </w:r>
    </w:p>
    <w:p w14:paraId="3AB6280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Its purpose is to ensure that every actor understands the basic constitutional truth of Prometheus:</w:t>
      </w:r>
    </w:p>
    <w:p w14:paraId="792956D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ecosystem exists to serve life, evidence, dignity, governance, ecological integrity, and regenerative coherence.</w:t>
      </w:r>
    </w:p>
    <w:p w14:paraId="41F4B9C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It does not exist to provide a new interface for extraction, domination, greenwashing, speculative value inflation,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confusion, or institutional capture.</w:t>
      </w:r>
    </w:p>
    <w:p w14:paraId="64884BD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is therefore the first operational expression of Prometheus’ constitutional architecture.</w:t>
      </w:r>
    </w:p>
    <w:p w14:paraId="5BD1EED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translates meaning into entry.</w:t>
      </w:r>
    </w:p>
    <w:p w14:paraId="1FC56EE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translates entry into responsibility.</w:t>
      </w:r>
    </w:p>
    <w:p w14:paraId="743B520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translates responsibility into reviewable participation.</w:t>
      </w:r>
    </w:p>
    <w:p w14:paraId="186C8455"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6.1 The Three Irrevocable Affirmations</w:t>
      </w:r>
    </w:p>
    <w:p w14:paraId="161D606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is grounded in three affirmations.</w:t>
      </w:r>
    </w:p>
    <w:p w14:paraId="00076F9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These affirmations do not create the Eternity Clauses.</w:t>
      </w:r>
    </w:p>
    <w:p w14:paraId="38509B1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recognize them.</w:t>
      </w:r>
    </w:p>
    <w:p w14:paraId="075BAEA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They establish that any participant entering Prometheus accepts that the constitutional source layer precedes ordinary governance, token logic, investor demand, operational convenience, community pressure, model output, institutional status, or market opportunity.</w:t>
      </w:r>
    </w:p>
    <w:p w14:paraId="6347511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affirmations should be presented in full before acceptance.</w:t>
      </w:r>
    </w:p>
    <w:p w14:paraId="41FDFFA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Acceptance should be recorded through the appropriate pathway for the participant type: digital, legal, governance-based, or combined.</w:t>
      </w:r>
    </w:p>
    <w:p w14:paraId="4846450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For individuals and ordinary ecosystem participants, this may involve a signed digital acknowledgment.</w:t>
      </w:r>
    </w:p>
    <w:p w14:paraId="4AD3B5D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For legal entities, funds, public agencies, foundations, trusts, companies, capital-market participants, or infrastructure providers, this should involve both digital acknowledgment and an enforceable legal access agreement, where appropriate.</w:t>
      </w:r>
    </w:p>
    <w:p w14:paraId="36F4338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Three Affirmations are the constitutional minimum.</w:t>
      </w:r>
    </w:p>
    <w:p w14:paraId="516998E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are not optional language.</w:t>
      </w:r>
    </w:p>
    <w:p w14:paraId="5B1B03F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are the human, institutional, and technical doorway into Prometheus.</w:t>
      </w:r>
    </w:p>
    <w:p w14:paraId="7E5F4EE6" w14:textId="6B6A118F"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6.1.1 First Affirmation — Recognition of</w:t>
      </w:r>
      <w:r w:rsidR="000E2E08" w:rsidRPr="00B479AE">
        <w:rPr>
          <w:rFonts w:ascii="Baskerville Old Face" w:hAnsi="Baskerville Old Face"/>
          <w:b/>
          <w:bCs/>
          <w:i/>
          <w:iCs/>
        </w:rPr>
        <w:t xml:space="preserve"> living-system reality</w:t>
      </w:r>
    </w:p>
    <w:p w14:paraId="2962D97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“I recognize that the principles encoded in the Eternity Clauses of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constitution are not inventions of human agreement, market preference, token logic, governance majority, institutional power, community pressure, or model output.</w:t>
      </w:r>
    </w:p>
    <w:p w14:paraId="503CC90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are codifications of living-system constraints that pre-exist any human institution.</w:t>
      </w:r>
    </w:p>
    <w:p w14:paraId="46F9BB0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are discovered, not created.</w:t>
      </w:r>
    </w:p>
    <w:p w14:paraId="758819E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are observed, not voted into existence.</w:t>
      </w:r>
    </w:p>
    <w:p w14:paraId="0156E5D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They are honored by governance, not subordinated to it.</w:t>
      </w:r>
    </w:p>
    <w:p w14:paraId="7DBC866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 recognize that soil, water, biodiversity, climate, planetary boundaries, human dignity, ecological integrity, and the regenerative capacity of life form the living foundation of any durable economy.”</w:t>
      </w:r>
    </w:p>
    <w:p w14:paraId="05CF15CF" w14:textId="77777777" w:rsidR="00543279" w:rsidRDefault="00543279" w:rsidP="00B90855">
      <w:pPr>
        <w:spacing w:line="360" w:lineRule="auto"/>
        <w:rPr>
          <w:rFonts w:ascii="Baskerville Old Face" w:hAnsi="Baskerville Old Face"/>
          <w:b/>
          <w:bCs/>
          <w:i/>
          <w:iCs/>
        </w:rPr>
      </w:pPr>
    </w:p>
    <w:p w14:paraId="682C1804" w14:textId="2870ADFA"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lastRenderedPageBreak/>
        <w:t>6.1.2 Second Affirmation — Voluntary Submission</w:t>
      </w:r>
    </w:p>
    <w:p w14:paraId="7EA23CE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 voluntarily submit my participation in Prometheus to these principles as non-negotiable conditions of access.</w:t>
      </w:r>
    </w:p>
    <w:p w14:paraId="31072F8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 understand that no action I take, no vote I cast, no consensus I join, no power I accumulate, no capital I deploy, no token I hold, no model I operate, no community role I receive, and no governance position I occupy can legitimate any violation of these principles.</w:t>
      </w:r>
    </w:p>
    <w:p w14:paraId="7BB71E23" w14:textId="6CCF3B7F"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Any attempt to bypass, weaken, invert, dilute, obscure, or violate the foundational articles, the Eternity Clauses, the Access Covenant, or the constitutional source layer is </w:t>
      </w:r>
      <w:r w:rsidR="004B68FF" w:rsidRPr="00B479AE">
        <w:rPr>
          <w:rFonts w:ascii="Baskerville Old Face" w:hAnsi="Baskerville Old Face"/>
          <w:i/>
          <w:iCs/>
        </w:rPr>
        <w:t>invalid within Prometheus protected pathways</w:t>
      </w:r>
      <w:r w:rsidRPr="00B479AE">
        <w:rPr>
          <w:rFonts w:ascii="Baskerville Old Face" w:hAnsi="Baskerville Old Face"/>
          <w:i/>
          <w:iCs/>
        </w:rPr>
        <w:t>.</w:t>
      </w:r>
    </w:p>
    <w:p w14:paraId="3B0C2B9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is outside the valid Prometheus pathway.”</w:t>
      </w:r>
    </w:p>
    <w:p w14:paraId="226ED8A8"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6.1.3 Third Affirmation — Stewardship Commitment</w:t>
      </w:r>
    </w:p>
    <w:p w14:paraId="117A6E3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 accept stewardship responsibility for the principles I have recognized and to which I have voluntarily submitted.</w:t>
      </w:r>
    </w:p>
    <w:p w14:paraId="20E3DF6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This includes the duty to preserve constitutional meaning, resist semantic erosion, avoid extraction under regenerative language, respect evidence discipline, protect human dignity, preserve ecological integrity, and transmit these principles intact to future participants.</w:t>
      </w:r>
    </w:p>
    <w:p w14:paraId="60FDF93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 understand that access to Prometheus is conditioned on faithful participation.</w:t>
      </w:r>
    </w:p>
    <w:p w14:paraId="0A4F60F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violation of this Covenant may result in review, limitation, remediation, suspension, exclusion, quarantine, loss of privileges, or other proportionate responses according to the applicable governance, legal, technical, and constitutional procedures.”</w:t>
      </w:r>
    </w:p>
    <w:p w14:paraId="12D3283A"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6.2 Covenant Acceptance and Record Architecture</w:t>
      </w:r>
    </w:p>
    <w:p w14:paraId="49BAF9B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Acceptance of the Access Covenant should be recorded in a manner appropriate to the participant type and implementation stage.</w:t>
      </w:r>
    </w:p>
    <w:p w14:paraId="250B71C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objective is not theatrical immutability.</w:t>
      </w:r>
    </w:p>
    <w:p w14:paraId="43186F8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objective is verifiable constitutional traceability.</w:t>
      </w:r>
    </w:p>
    <w:p w14:paraId="1B7C5E0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mature implementation may include:</w:t>
      </w:r>
    </w:p>
    <w:p w14:paraId="0D2FD1F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 canonical Covenant text version;</w:t>
      </w:r>
      <w:r w:rsidRPr="00B479AE">
        <w:rPr>
          <w:rFonts w:ascii="Baskerville Old Face" w:hAnsi="Baskerville Old Face"/>
          <w:i/>
          <w:iCs/>
        </w:rPr>
        <w:br/>
        <w:t>• hash of the canonical Covenant text;</w:t>
      </w:r>
      <w:r w:rsidRPr="00B479AE">
        <w:rPr>
          <w:rFonts w:ascii="Baskerville Old Face" w:hAnsi="Baskerville Old Face"/>
          <w:i/>
          <w:iCs/>
        </w:rPr>
        <w:br/>
        <w:t>• timestamp of acceptance;</w:t>
      </w:r>
      <w:r w:rsidRPr="00B479AE">
        <w:rPr>
          <w:rFonts w:ascii="Baskerville Old Face" w:hAnsi="Baskerville Old Face"/>
          <w:i/>
          <w:iCs/>
        </w:rPr>
        <w:br/>
        <w:t>• participant identity or entity identity;</w:t>
      </w:r>
      <w:r w:rsidRPr="00B479AE">
        <w:rPr>
          <w:rFonts w:ascii="Baskerville Old Face" w:hAnsi="Baskerville Old Face"/>
          <w:i/>
          <w:iCs/>
        </w:rPr>
        <w:br/>
        <w:t>• authority of the signer, where relevant;</w:t>
      </w:r>
      <w:r w:rsidRPr="00B479AE">
        <w:rPr>
          <w:rFonts w:ascii="Baskerville Old Face" w:hAnsi="Baskerville Old Face"/>
          <w:i/>
          <w:iCs/>
        </w:rPr>
        <w:br/>
        <w:t>• the full text or reference version of the Three Affirmations;</w:t>
      </w:r>
      <w:r w:rsidRPr="00B479AE">
        <w:rPr>
          <w:rFonts w:ascii="Baskerville Old Face" w:hAnsi="Baskerville Old Face"/>
          <w:i/>
          <w:iCs/>
        </w:rPr>
        <w:br/>
        <w:t>• digital signature or equivalent authentication;</w:t>
      </w:r>
      <w:r w:rsidRPr="00B479AE">
        <w:rPr>
          <w:rFonts w:ascii="Baskerville Old Face" w:hAnsi="Baskerville Old Face"/>
          <w:i/>
          <w:iCs/>
        </w:rPr>
        <w:br/>
        <w:t>• legal agreement reference, where applicable;</w:t>
      </w:r>
      <w:r w:rsidRPr="00B479AE">
        <w:rPr>
          <w:rFonts w:ascii="Baskerville Old Face" w:hAnsi="Baskerville Old Face"/>
          <w:i/>
          <w:iCs/>
        </w:rPr>
        <w:br/>
        <w:t>• applicable jurisdiction, where applicable;</w:t>
      </w:r>
      <w:r w:rsidRPr="00B479AE">
        <w:rPr>
          <w:rFonts w:ascii="Baskerville Old Face" w:hAnsi="Baskerville Old Face"/>
          <w:i/>
          <w:iCs/>
        </w:rPr>
        <w:br/>
        <w:t>• participant category;</w:t>
      </w:r>
      <w:r w:rsidRPr="00B479AE">
        <w:rPr>
          <w:rFonts w:ascii="Baskerville Old Face" w:hAnsi="Baskerville Old Face"/>
          <w:i/>
          <w:iCs/>
        </w:rPr>
        <w:br/>
        <w:t>• scope of access granted;</w:t>
      </w:r>
      <w:r w:rsidRPr="00B479AE">
        <w:rPr>
          <w:rFonts w:ascii="Baskerville Old Face" w:hAnsi="Baskerville Old Face"/>
          <w:i/>
          <w:iCs/>
        </w:rPr>
        <w:br/>
        <w:t>• governance rights, if any;</w:t>
      </w:r>
      <w:r w:rsidRPr="00B479AE">
        <w:rPr>
          <w:rFonts w:ascii="Baskerville Old Face" w:hAnsi="Baskerville Old Face"/>
          <w:i/>
          <w:iCs/>
        </w:rPr>
        <w:br/>
        <w:t>• financial rights, if any;</w:t>
      </w:r>
      <w:r w:rsidRPr="00B479AE">
        <w:rPr>
          <w:rFonts w:ascii="Baskerville Old Face" w:hAnsi="Baskerville Old Face"/>
          <w:i/>
          <w:iCs/>
        </w:rPr>
        <w:br/>
        <w:t>• data-access permissions, if any;</w:t>
      </w:r>
      <w:r w:rsidRPr="00B479AE">
        <w:rPr>
          <w:rFonts w:ascii="Baskerville Old Face" w:hAnsi="Baskerville Old Face"/>
          <w:i/>
          <w:iCs/>
        </w:rPr>
        <w:br/>
        <w:t>• renewal status;</w:t>
      </w:r>
      <w:r w:rsidRPr="00B479AE">
        <w:rPr>
          <w:rFonts w:ascii="Baskerville Old Face" w:hAnsi="Baskerville Old Face"/>
          <w:i/>
          <w:iCs/>
        </w:rPr>
        <w:br/>
        <w:t>• review status;</w:t>
      </w:r>
      <w:r w:rsidRPr="00B479AE">
        <w:rPr>
          <w:rFonts w:ascii="Baskerville Old Face" w:hAnsi="Baskerville Old Face"/>
          <w:i/>
          <w:iCs/>
        </w:rPr>
        <w:br/>
        <w:t>• revocation, suspension, restriction, or limitation status, where applicable.</w:t>
      </w:r>
    </w:p>
    <w:p w14:paraId="7E95C22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Where Prometheus is implemented through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the acceptance event may be recorded as a signed entry on the participant’s source chain.</w:t>
      </w:r>
    </w:p>
    <w:p w14:paraId="5245FD1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A reference, hash, or availability record may be published to the appropriate distributed layer according to the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design, privacy rules, and validation logic.</w:t>
      </w:r>
    </w:p>
    <w:p w14:paraId="620BAB6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system should preserve the distinction between:</w:t>
      </w:r>
    </w:p>
    <w:p w14:paraId="74BC84C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constitutional meaning;</w:t>
      </w:r>
      <w:r w:rsidRPr="00B479AE">
        <w:rPr>
          <w:rFonts w:ascii="Baskerville Old Face" w:hAnsi="Baskerville Old Face"/>
          <w:i/>
          <w:iCs/>
        </w:rPr>
        <w:br/>
        <w:t>• technical record;</w:t>
      </w:r>
      <w:r w:rsidRPr="00B479AE">
        <w:rPr>
          <w:rFonts w:ascii="Baskerville Old Face" w:hAnsi="Baskerville Old Face"/>
          <w:i/>
          <w:iCs/>
        </w:rPr>
        <w:br/>
        <w:t>• legal agreement;</w:t>
      </w:r>
      <w:r w:rsidRPr="00B479AE">
        <w:rPr>
          <w:rFonts w:ascii="Baskerville Old Face" w:hAnsi="Baskerville Old Face"/>
          <w:i/>
          <w:iCs/>
        </w:rPr>
        <w:br/>
        <w:t>• governance status;</w:t>
      </w:r>
      <w:r w:rsidRPr="00B479AE">
        <w:rPr>
          <w:rFonts w:ascii="Baskerville Old Face" w:hAnsi="Baskerville Old Face"/>
          <w:i/>
          <w:iCs/>
        </w:rPr>
        <w:br/>
        <w:t>• operational permission;</w:t>
      </w:r>
      <w:r w:rsidRPr="00B479AE">
        <w:rPr>
          <w:rFonts w:ascii="Baskerville Old Face" w:hAnsi="Baskerville Old Face"/>
          <w:i/>
          <w:iCs/>
        </w:rPr>
        <w:br/>
        <w:t>• token or credential status;</w:t>
      </w:r>
      <w:r w:rsidRPr="00B479AE">
        <w:rPr>
          <w:rFonts w:ascii="Baskerville Old Face" w:hAnsi="Baskerville Old Face"/>
          <w:i/>
          <w:iCs/>
        </w:rPr>
        <w:br/>
        <w:t>• investor-facing status;</w:t>
      </w:r>
      <w:r w:rsidRPr="00B479AE">
        <w:rPr>
          <w:rFonts w:ascii="Baskerville Old Face" w:hAnsi="Baskerville Old Face"/>
          <w:i/>
          <w:iCs/>
        </w:rPr>
        <w:br/>
        <w:t>• MRV admissibility status.</w:t>
      </w:r>
    </w:p>
    <w:p w14:paraId="7F3DF298"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These layers may interoperate.</w:t>
      </w:r>
    </w:p>
    <w:p w14:paraId="0690B59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They must not be collapsed.</w:t>
      </w:r>
    </w:p>
    <w:p w14:paraId="789446B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digital record does not replace legal documentation where legal rights are involved.</w:t>
      </w:r>
    </w:p>
    <w:p w14:paraId="6B6AA06B"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legal document does not replace constitutional alignment.</w:t>
      </w:r>
    </w:p>
    <w:p w14:paraId="7499081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governance status does not create PRU value.</w:t>
      </w:r>
    </w:p>
    <w:p w14:paraId="2DD8C88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token credential does not create investor entitlement.</w:t>
      </w:r>
    </w:p>
    <w:p w14:paraId="7092B3D8"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community role does not create Prometheus authority unless the relevant Prometheus pathway explicitly grants it.</w:t>
      </w:r>
    </w:p>
    <w:p w14:paraId="470A518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record architecture exists to make participation traceable without confusing the meaning of participation.</w:t>
      </w:r>
    </w:p>
    <w:p w14:paraId="216AD813"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6.3 Cryptographic and Technical Enforcement</w:t>
      </w:r>
    </w:p>
    <w:p w14:paraId="1AF0255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should be supported by cryptographic and technical controls where feasible.</w:t>
      </w:r>
    </w:p>
    <w:p w14:paraId="09D5960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These controls may include:</w:t>
      </w:r>
    </w:p>
    <w:p w14:paraId="61E899E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signed acceptance events;</w:t>
      </w:r>
      <w:r w:rsidRPr="00B479AE">
        <w:rPr>
          <w:rFonts w:ascii="Baskerville Old Face" w:hAnsi="Baskerville Old Face"/>
          <w:i/>
          <w:iCs/>
        </w:rPr>
        <w:br/>
        <w:t>• canonical text hashing;</w:t>
      </w:r>
      <w:r w:rsidRPr="00B479AE">
        <w:rPr>
          <w:rFonts w:ascii="Baskerville Old Face" w:hAnsi="Baskerville Old Face"/>
          <w:i/>
          <w:iCs/>
        </w:rPr>
        <w:br/>
        <w:t>• source-chain records;</w:t>
      </w:r>
      <w:r w:rsidRPr="00B479AE">
        <w:rPr>
          <w:rFonts w:ascii="Baskerville Old Face" w:hAnsi="Baskerville Old Face"/>
          <w:i/>
          <w:iCs/>
        </w:rPr>
        <w:br/>
        <w:t>• DHT publication where appropriate;</w:t>
      </w:r>
      <w:r w:rsidRPr="00B479AE">
        <w:rPr>
          <w:rFonts w:ascii="Baskerville Old Face" w:hAnsi="Baskerville Old Face"/>
          <w:i/>
          <w:iCs/>
        </w:rPr>
        <w:br/>
        <w:t>• versioned Covenant references;</w:t>
      </w:r>
      <w:r w:rsidRPr="00B479AE">
        <w:rPr>
          <w:rFonts w:ascii="Baskerville Old Face" w:hAnsi="Baskerville Old Face"/>
          <w:i/>
          <w:iCs/>
        </w:rPr>
        <w:br/>
        <w:t>• validation checks;</w:t>
      </w:r>
      <w:r w:rsidRPr="00B479AE">
        <w:rPr>
          <w:rFonts w:ascii="Baskerville Old Face" w:hAnsi="Baskerville Old Face"/>
          <w:i/>
          <w:iCs/>
        </w:rPr>
        <w:br/>
        <w:t>• permission gates;</w:t>
      </w:r>
      <w:r w:rsidRPr="00B479AE">
        <w:rPr>
          <w:rFonts w:ascii="Baskerville Old Face" w:hAnsi="Baskerville Old Face"/>
          <w:i/>
          <w:iCs/>
        </w:rPr>
        <w:br/>
        <w:t>• access-control lists;</w:t>
      </w:r>
      <w:r w:rsidRPr="00B479AE">
        <w:rPr>
          <w:rFonts w:ascii="Baskerville Old Face" w:hAnsi="Baskerville Old Face"/>
          <w:i/>
          <w:iCs/>
        </w:rPr>
        <w:br/>
        <w:t>• role-based authorization;</w:t>
      </w:r>
      <w:r w:rsidRPr="00B479AE">
        <w:rPr>
          <w:rFonts w:ascii="Baskerville Old Face" w:hAnsi="Baskerville Old Face"/>
          <w:i/>
          <w:iCs/>
        </w:rPr>
        <w:br/>
        <w:t>• revocation or suspension records;</w:t>
      </w:r>
      <w:r w:rsidRPr="00B479AE">
        <w:rPr>
          <w:rFonts w:ascii="Baskerville Old Face" w:hAnsi="Baskerville Old Face"/>
          <w:i/>
          <w:iCs/>
        </w:rPr>
        <w:br/>
        <w:t>• audit logs;</w:t>
      </w:r>
      <w:r w:rsidRPr="00B479AE">
        <w:rPr>
          <w:rFonts w:ascii="Baskerville Old Face" w:hAnsi="Baskerville Old Face"/>
          <w:i/>
          <w:iCs/>
        </w:rPr>
        <w:br/>
        <w:t>• governance-review flags;</w:t>
      </w:r>
      <w:r w:rsidRPr="00B479AE">
        <w:rPr>
          <w:rFonts w:ascii="Baskerville Old Face" w:hAnsi="Baskerville Old Face"/>
          <w:i/>
          <w:iCs/>
        </w:rPr>
        <w:br/>
        <w:t>• policy-engine constraints;</w:t>
      </w:r>
      <w:r w:rsidRPr="00B479AE">
        <w:rPr>
          <w:rFonts w:ascii="Baskerville Old Face" w:hAnsi="Baskerville Old Face"/>
          <w:i/>
          <w:iCs/>
        </w:rPr>
        <w:br/>
        <w:t>• test suites for Covenant-dependent operations;</w:t>
      </w:r>
      <w:r w:rsidRPr="00B479AE">
        <w:rPr>
          <w:rFonts w:ascii="Baskerville Old Face" w:hAnsi="Baskerville Old Face"/>
          <w:i/>
          <w:iCs/>
        </w:rPr>
        <w:br/>
        <w:t>• canonical release manifests;</w:t>
      </w:r>
      <w:r w:rsidRPr="00B479AE">
        <w:rPr>
          <w:rFonts w:ascii="Baskerville Old Face" w:hAnsi="Baskerville Old Face"/>
          <w:i/>
          <w:iCs/>
        </w:rPr>
        <w:br/>
        <w:t>• emergency-pause procedures for high-impact pathways.</w:t>
      </w:r>
    </w:p>
    <w:p w14:paraId="3365F2B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 xml:space="preserve">In a mature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implementation, sensitive operations may check whether a participant has a valid Covenant status before permitting access to:</w:t>
      </w:r>
    </w:p>
    <w:p w14:paraId="691D133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governance actions;</w:t>
      </w:r>
      <w:r w:rsidRPr="00B479AE">
        <w:rPr>
          <w:rFonts w:ascii="Baskerville Old Face" w:hAnsi="Baskerville Old Face"/>
          <w:i/>
          <w:iCs/>
        </w:rPr>
        <w:br/>
        <w:t>• role-specific operations;</w:t>
      </w:r>
      <w:r w:rsidRPr="00B479AE">
        <w:rPr>
          <w:rFonts w:ascii="Baskerville Old Face" w:hAnsi="Baskerville Old Face"/>
          <w:i/>
          <w:iCs/>
        </w:rPr>
        <w:br/>
        <w:t>• PRU-related workflows;</w:t>
      </w:r>
      <w:r w:rsidRPr="00B479AE">
        <w:rPr>
          <w:rFonts w:ascii="Baskerville Old Face" w:hAnsi="Baskerville Old Face"/>
          <w:i/>
          <w:iCs/>
        </w:rPr>
        <w:br/>
        <w:t>• RAP-related workflows;</w:t>
      </w:r>
      <w:r w:rsidRPr="00B479AE">
        <w:rPr>
          <w:rFonts w:ascii="Baskerville Old Face" w:hAnsi="Baskerville Old Face"/>
          <w:i/>
          <w:iCs/>
        </w:rPr>
        <w:br/>
        <w:t>• MRV submission or validation;</w:t>
      </w:r>
      <w:r w:rsidRPr="00B479AE">
        <w:rPr>
          <w:rFonts w:ascii="Baskerville Old Face" w:hAnsi="Baskerville Old Face"/>
          <w:i/>
          <w:iCs/>
        </w:rPr>
        <w:br/>
        <w:t>• investor-facing data rooms;</w:t>
      </w:r>
      <w:r w:rsidRPr="00B479AE">
        <w:rPr>
          <w:rFonts w:ascii="Baskerville Old Face" w:hAnsi="Baskerville Old Face"/>
          <w:i/>
          <w:iCs/>
        </w:rPr>
        <w:br/>
        <w:t>• token-mediated participation;</w:t>
      </w:r>
      <w:r w:rsidRPr="00B479AE">
        <w:rPr>
          <w:rFonts w:ascii="Baskerville Old Face" w:hAnsi="Baskerville Old Face"/>
          <w:i/>
          <w:iCs/>
        </w:rPr>
        <w:br/>
        <w:t>• protected APIs;</w:t>
      </w:r>
      <w:r w:rsidRPr="00B479AE">
        <w:rPr>
          <w:rFonts w:ascii="Baskerville Old Face" w:hAnsi="Baskerville Old Face"/>
          <w:i/>
          <w:iCs/>
        </w:rPr>
        <w:br/>
        <w:t>• institutional dashboards;</w:t>
      </w:r>
      <w:r w:rsidRPr="00B479AE">
        <w:rPr>
          <w:rFonts w:ascii="Baskerville Old Face" w:hAnsi="Baskerville Old Face"/>
          <w:i/>
          <w:iCs/>
        </w:rPr>
        <w:br/>
        <w:t>• capital-readiness workflows;</w:t>
      </w:r>
      <w:r w:rsidRPr="00B479AE">
        <w:rPr>
          <w:rFonts w:ascii="Baskerville Old Face" w:hAnsi="Baskerville Old Face"/>
          <w:i/>
          <w:iCs/>
        </w:rPr>
        <w:br/>
        <w:t>• other protected functions.</w:t>
      </w:r>
    </w:p>
    <w:p w14:paraId="1B783DA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However, technical enforcement should be described with implementation discipline.</w:t>
      </w:r>
    </w:p>
    <w:p w14:paraId="6EE189A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Prometheus should not claim that every enforcement mechanism is automatic until it is actually implemented, tested, audited, and governed.</w:t>
      </w:r>
    </w:p>
    <w:p w14:paraId="5D6BAE8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correct principle is:</w:t>
      </w:r>
    </w:p>
    <w:p w14:paraId="0713547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where implemented, Covenant-dependent operations should be technically gated;</w:t>
      </w:r>
    </w:p>
    <w:p w14:paraId="0B9C813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where not yet implemented, Covenant compliance should be governed through procedural, legal, institutional, and governance review.</w:t>
      </w:r>
    </w:p>
    <w:p w14:paraId="0E16245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This preserves credibility while keeping the constitutional architecture strong.</w:t>
      </w:r>
    </w:p>
    <w:p w14:paraId="027C5BF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is not complete merely because it is written.</w:t>
      </w:r>
    </w:p>
    <w:p w14:paraId="77E10E6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becomes operational when it is reflected in code, permissions, records, review pathways, and institutional behavior.</w:t>
      </w:r>
    </w:p>
    <w:p w14:paraId="1357232B"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6.4 Legal Integration for Institutional and Capital Participation</w:t>
      </w:r>
    </w:p>
    <w:p w14:paraId="10ECDE4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For institutions, legal entities, investment funds, foundations, trusts, public agencies, companies, SPVs, DAOs, infrastructure providers, or other formal participants, the Access Covenant should be integrated through a two-layer structure.</w:t>
      </w:r>
    </w:p>
    <w:p w14:paraId="6A17D900" w14:textId="56E120C6"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lastRenderedPageBreak/>
        <w:t>Digital layer</w:t>
      </w:r>
    </w:p>
    <w:p w14:paraId="2FECD05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xml:space="preserve">An authorized representative may digitally acknowledge the Covenant through the Prometheus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or equivalent interface.</w:t>
      </w:r>
    </w:p>
    <w:p w14:paraId="2B0125F8"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digital layer may create:</w:t>
      </w:r>
    </w:p>
    <w:p w14:paraId="661A73C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a signed record;</w:t>
      </w:r>
      <w:r w:rsidRPr="00B479AE">
        <w:rPr>
          <w:rFonts w:ascii="Baskerville Old Face" w:hAnsi="Baskerville Old Face"/>
          <w:i/>
          <w:iCs/>
        </w:rPr>
        <w:br/>
        <w:t>• hash reference;</w:t>
      </w:r>
      <w:r w:rsidRPr="00B479AE">
        <w:rPr>
          <w:rFonts w:ascii="Baskerville Old Face" w:hAnsi="Baskerville Old Face"/>
          <w:i/>
          <w:iCs/>
        </w:rPr>
        <w:br/>
        <w:t>• Covenant version reference;</w:t>
      </w:r>
      <w:r w:rsidRPr="00B479AE">
        <w:rPr>
          <w:rFonts w:ascii="Baskerville Old Face" w:hAnsi="Baskerville Old Face"/>
          <w:i/>
          <w:iCs/>
        </w:rPr>
        <w:br/>
        <w:t>• timestamp;</w:t>
      </w:r>
      <w:r w:rsidRPr="00B479AE">
        <w:rPr>
          <w:rFonts w:ascii="Baskerville Old Face" w:hAnsi="Baskerville Old Face"/>
          <w:i/>
          <w:iCs/>
        </w:rPr>
        <w:br/>
        <w:t>• access-status record;</w:t>
      </w:r>
      <w:r w:rsidRPr="00B479AE">
        <w:rPr>
          <w:rFonts w:ascii="Baskerville Old Face" w:hAnsi="Baskerville Old Face"/>
          <w:i/>
          <w:iCs/>
        </w:rPr>
        <w:br/>
        <w:t>• representative identity reference;</w:t>
      </w:r>
      <w:r w:rsidRPr="00B479AE">
        <w:rPr>
          <w:rFonts w:ascii="Baskerville Old Face" w:hAnsi="Baskerville Old Face"/>
          <w:i/>
          <w:iCs/>
        </w:rPr>
        <w:br/>
        <w:t>• role or authority reference;</w:t>
      </w:r>
      <w:r w:rsidRPr="00B479AE">
        <w:rPr>
          <w:rFonts w:ascii="Baskerville Old Face" w:hAnsi="Baskerville Old Face"/>
          <w:i/>
          <w:iCs/>
        </w:rPr>
        <w:br/>
        <w:t>• technical permission state.</w:t>
      </w:r>
    </w:p>
    <w:p w14:paraId="1FD9A870"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Legal layer</w:t>
      </w:r>
    </w:p>
    <w:p w14:paraId="6390893A" w14:textId="61D491B4"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entity should also execute a separate Access Agreement, participation agreement, governance agreement, fund-side letter, subscription document, operating agreement, partnership agreement, data-sharing agreement, service agreement, or other legally appropriate instrument that incorporates the Access Covenant by reference. The legal instrument should clarify:</w:t>
      </w:r>
    </w:p>
    <w:p w14:paraId="3AED505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authority of the signer;</w:t>
      </w:r>
      <w:r w:rsidRPr="00B479AE">
        <w:rPr>
          <w:rFonts w:ascii="Baskerville Old Face" w:hAnsi="Baskerville Old Face"/>
          <w:i/>
          <w:iCs/>
        </w:rPr>
        <w:br/>
        <w:t>• applicable jurisdiction;</w:t>
      </w:r>
      <w:r w:rsidRPr="00B479AE">
        <w:rPr>
          <w:rFonts w:ascii="Baskerville Old Face" w:hAnsi="Baskerville Old Face"/>
          <w:i/>
          <w:iCs/>
        </w:rPr>
        <w:br/>
        <w:t>• participant category;</w:t>
      </w:r>
      <w:r w:rsidRPr="00B479AE">
        <w:rPr>
          <w:rFonts w:ascii="Baskerville Old Face" w:hAnsi="Baskerville Old Face"/>
          <w:i/>
          <w:iCs/>
        </w:rPr>
        <w:br/>
        <w:t>• scope of permitted participation;</w:t>
      </w:r>
      <w:r w:rsidRPr="00B479AE">
        <w:rPr>
          <w:rFonts w:ascii="Baskerville Old Face" w:hAnsi="Baskerville Old Face"/>
          <w:i/>
          <w:iCs/>
        </w:rPr>
        <w:br/>
        <w:t>• governance rights, if any;</w:t>
      </w:r>
      <w:r w:rsidRPr="00B479AE">
        <w:rPr>
          <w:rFonts w:ascii="Baskerville Old Face" w:hAnsi="Baskerville Old Face"/>
          <w:i/>
          <w:iCs/>
        </w:rPr>
        <w:br/>
        <w:t>• financial rights, if any;</w:t>
      </w:r>
      <w:r w:rsidRPr="00B479AE">
        <w:rPr>
          <w:rFonts w:ascii="Baskerville Old Face" w:hAnsi="Baskerville Old Face"/>
          <w:i/>
          <w:iCs/>
        </w:rPr>
        <w:br/>
        <w:t>• data access, if any;</w:t>
      </w:r>
      <w:r w:rsidRPr="00B479AE">
        <w:rPr>
          <w:rFonts w:ascii="Baskerville Old Face" w:hAnsi="Baskerville Old Face"/>
          <w:i/>
          <w:iCs/>
        </w:rPr>
        <w:br/>
        <w:t>• confidentiality obligations;</w:t>
      </w:r>
      <w:r w:rsidRPr="00B479AE">
        <w:rPr>
          <w:rFonts w:ascii="Baskerville Old Face" w:hAnsi="Baskerville Old Face"/>
          <w:i/>
          <w:iCs/>
        </w:rPr>
        <w:br/>
        <w:t>• Covenant obligations;</w:t>
      </w:r>
      <w:r w:rsidRPr="00B479AE">
        <w:rPr>
          <w:rFonts w:ascii="Baskerville Old Face" w:hAnsi="Baskerville Old Face"/>
          <w:i/>
          <w:iCs/>
        </w:rPr>
        <w:br/>
        <w:t>• consequences of breach;</w:t>
      </w:r>
      <w:r w:rsidRPr="00B479AE">
        <w:rPr>
          <w:rFonts w:ascii="Baskerville Old Face" w:hAnsi="Baskerville Old Face"/>
          <w:i/>
          <w:iCs/>
        </w:rPr>
        <w:br/>
        <w:t>• dispute-resolution pathway;</w:t>
      </w:r>
      <w:r w:rsidRPr="00B479AE">
        <w:rPr>
          <w:rFonts w:ascii="Baskerville Old Face" w:hAnsi="Baskerville Old Face"/>
          <w:i/>
          <w:iCs/>
        </w:rPr>
        <w:br/>
        <w:t>• limitation, suspension, or termination conditions;</w:t>
      </w:r>
      <w:r w:rsidRPr="00B479AE">
        <w:rPr>
          <w:rFonts w:ascii="Baskerville Old Face" w:hAnsi="Baskerville Old Face"/>
          <w:i/>
          <w:iCs/>
        </w:rPr>
        <w:br/>
        <w:t>• relationship between digital records and legal instruments;</w:t>
      </w:r>
      <w:r w:rsidRPr="00B479AE">
        <w:rPr>
          <w:rFonts w:ascii="Baskerville Old Face" w:hAnsi="Baskerville Old Face"/>
          <w:i/>
          <w:iCs/>
        </w:rPr>
        <w:br/>
      </w:r>
      <w:r w:rsidRPr="00B479AE">
        <w:rPr>
          <w:rFonts w:ascii="Baskerville Old Face" w:hAnsi="Baskerville Old Face"/>
          <w:i/>
          <w:iCs/>
        </w:rPr>
        <w:lastRenderedPageBreak/>
        <w:t>• relationship between participation and any token, credential, PRU, RAP, MRV, or investor-facing status.</w:t>
      </w:r>
    </w:p>
    <w:p w14:paraId="3D30AE8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This is especially important for capital-market actors.</w:t>
      </w:r>
    </w:p>
    <w:p w14:paraId="0FA4CB2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investor, fund, noteholder, token participant, philanthropic vehicle, family office, institutional counterparty, or public-sector partner should rely on the Access Covenant alone as a substitute for enforceable legal documentation.</w:t>
      </w:r>
    </w:p>
    <w:p w14:paraId="4012B45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is constitutional infrastructure.</w:t>
      </w:r>
    </w:p>
    <w:p w14:paraId="289E572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Legal instruments create enforceable rights and obligations in specific jurisdictions.</w:t>
      </w:r>
    </w:p>
    <w:p w14:paraId="5D819D2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Both layers are needed.</w:t>
      </w:r>
    </w:p>
    <w:p w14:paraId="5076A6E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digital layer creates traceability.</w:t>
      </w:r>
    </w:p>
    <w:p w14:paraId="72EEB00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legal layer creates enforceability.</w:t>
      </w:r>
    </w:p>
    <w:p w14:paraId="49E500B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constitutional layer defines meaning.</w:t>
      </w:r>
    </w:p>
    <w:p w14:paraId="715A7C5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governance layer preserves alignment.</w:t>
      </w:r>
    </w:p>
    <w:p w14:paraId="4D30ECD2"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6.5 User Interface and Acceptance Flow</w:t>
      </w:r>
    </w:p>
    <w:p w14:paraId="68FA123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Prometheus interface should make Covenant acceptance deliberate, explicit, and reviewable.</w:t>
      </w:r>
    </w:p>
    <w:p w14:paraId="5C9AF28C" w14:textId="243AFE41" w:rsidR="00B90855" w:rsidRDefault="00B90855" w:rsidP="00B90855">
      <w:pPr>
        <w:spacing w:line="360" w:lineRule="auto"/>
        <w:rPr>
          <w:rFonts w:ascii="Baskerville Old Face" w:hAnsi="Baskerville Old Face"/>
          <w:i/>
          <w:iCs/>
        </w:rPr>
      </w:pPr>
      <w:r w:rsidRPr="00B479AE">
        <w:rPr>
          <w:rFonts w:ascii="Baskerville Old Face" w:hAnsi="Baskerville Old Face"/>
          <w:i/>
          <w:iCs/>
        </w:rPr>
        <w:t>A valid acceptance flow may include:</w:t>
      </w:r>
      <w:r w:rsidR="00192AA9" w:rsidRPr="00B479AE">
        <w:rPr>
          <w:rFonts w:ascii="Baskerville Old Face" w:hAnsi="Baskerville Old Face"/>
          <w:i/>
          <w:iCs/>
        </w:rPr>
        <w:t xml:space="preserve"> </w:t>
      </w:r>
    </w:p>
    <w:p w14:paraId="3138CD07" w14:textId="77777777" w:rsidR="00152B2F" w:rsidRDefault="00152B2F" w:rsidP="00B90855">
      <w:pPr>
        <w:spacing w:line="360" w:lineRule="auto"/>
        <w:rPr>
          <w:rFonts w:ascii="Baskerville Old Face" w:hAnsi="Baskerville Old Face"/>
          <w:i/>
          <w:iCs/>
        </w:rPr>
      </w:pPr>
    </w:p>
    <w:p w14:paraId="07B3DEFA" w14:textId="77777777" w:rsidR="00152B2F" w:rsidRDefault="00152B2F" w:rsidP="00B90855">
      <w:pPr>
        <w:spacing w:line="360" w:lineRule="auto"/>
        <w:rPr>
          <w:rFonts w:ascii="Baskerville Old Face" w:hAnsi="Baskerville Old Face"/>
          <w:i/>
          <w:iCs/>
        </w:rPr>
      </w:pPr>
    </w:p>
    <w:p w14:paraId="654B60B2" w14:textId="77777777" w:rsidR="00152B2F" w:rsidRDefault="00152B2F" w:rsidP="00B90855">
      <w:pPr>
        <w:spacing w:line="360" w:lineRule="auto"/>
        <w:rPr>
          <w:rFonts w:ascii="Baskerville Old Face" w:hAnsi="Baskerville Old Face"/>
          <w:i/>
          <w:iCs/>
        </w:rPr>
      </w:pPr>
    </w:p>
    <w:p w14:paraId="28CF421A" w14:textId="77777777" w:rsidR="00152B2F" w:rsidRDefault="00152B2F" w:rsidP="00B90855">
      <w:pPr>
        <w:spacing w:line="360" w:lineRule="auto"/>
        <w:rPr>
          <w:rFonts w:ascii="Baskerville Old Face" w:hAnsi="Baskerville Old Face"/>
          <w:i/>
          <w:iCs/>
        </w:rPr>
      </w:pPr>
    </w:p>
    <w:p w14:paraId="33C63333" w14:textId="77777777" w:rsidR="00152B2F" w:rsidRDefault="00152B2F" w:rsidP="00B90855">
      <w:pPr>
        <w:spacing w:line="360" w:lineRule="auto"/>
        <w:rPr>
          <w:rFonts w:ascii="Baskerville Old Face" w:hAnsi="Baskerville Old Face"/>
          <w:i/>
          <w:iCs/>
        </w:rPr>
      </w:pPr>
    </w:p>
    <w:p w14:paraId="028E83F2" w14:textId="77777777" w:rsidR="00152B2F" w:rsidRPr="00B479AE" w:rsidRDefault="00152B2F" w:rsidP="00B9085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8"/>
        <w:gridCol w:w="5006"/>
        <w:gridCol w:w="2664"/>
      </w:tblGrid>
      <w:tr w:rsidR="00B90855" w:rsidRPr="00B479AE" w14:paraId="38A1A569" w14:textId="77777777" w:rsidTr="00B90855">
        <w:trPr>
          <w:tblHeader/>
          <w:tblCellSpacing w:w="15" w:type="dxa"/>
        </w:trPr>
        <w:tc>
          <w:tcPr>
            <w:tcW w:w="0" w:type="auto"/>
            <w:vAlign w:val="center"/>
            <w:hideMark/>
          </w:tcPr>
          <w:p w14:paraId="3F57C1C5" w14:textId="77777777" w:rsidR="00B90855" w:rsidRPr="00B479AE" w:rsidRDefault="00B90855" w:rsidP="00B908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Step</w:t>
            </w:r>
          </w:p>
        </w:tc>
        <w:tc>
          <w:tcPr>
            <w:tcW w:w="0" w:type="auto"/>
            <w:vAlign w:val="center"/>
            <w:hideMark/>
          </w:tcPr>
          <w:p w14:paraId="24B18566" w14:textId="77777777" w:rsidR="00B90855" w:rsidRPr="00B479AE" w:rsidRDefault="00B90855" w:rsidP="00B908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w:t>
            </w:r>
          </w:p>
        </w:tc>
        <w:tc>
          <w:tcPr>
            <w:tcW w:w="0" w:type="auto"/>
            <w:vAlign w:val="center"/>
            <w:hideMark/>
          </w:tcPr>
          <w:p w14:paraId="495763EF" w14:textId="77777777" w:rsidR="00B90855" w:rsidRPr="00B479AE" w:rsidRDefault="00B90855" w:rsidP="00B908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Control purpose</w:t>
            </w:r>
          </w:p>
        </w:tc>
      </w:tr>
      <w:tr w:rsidR="00B90855" w:rsidRPr="00B479AE" w14:paraId="29FEC0F0" w14:textId="77777777" w:rsidTr="00B90855">
        <w:trPr>
          <w:tblCellSpacing w:w="15" w:type="dxa"/>
        </w:trPr>
        <w:tc>
          <w:tcPr>
            <w:tcW w:w="0" w:type="auto"/>
            <w:vAlign w:val="center"/>
            <w:hideMark/>
          </w:tcPr>
          <w:p w14:paraId="2C5381F7"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Covenant presentation</w:t>
            </w:r>
          </w:p>
        </w:tc>
        <w:tc>
          <w:tcPr>
            <w:tcW w:w="0" w:type="auto"/>
            <w:vAlign w:val="center"/>
            <w:hideMark/>
          </w:tcPr>
          <w:p w14:paraId="1AADABE3"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is shown the current canonical Covenant text.</w:t>
            </w:r>
          </w:p>
        </w:tc>
        <w:tc>
          <w:tcPr>
            <w:tcW w:w="0" w:type="auto"/>
            <w:vAlign w:val="center"/>
            <w:hideMark/>
          </w:tcPr>
          <w:p w14:paraId="13A7DE10"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hidden or implied acceptance.</w:t>
            </w:r>
          </w:p>
        </w:tc>
      </w:tr>
      <w:tr w:rsidR="00B90855" w:rsidRPr="00B479AE" w14:paraId="7857C23A" w14:textId="77777777" w:rsidTr="00B90855">
        <w:trPr>
          <w:tblCellSpacing w:w="15" w:type="dxa"/>
        </w:trPr>
        <w:tc>
          <w:tcPr>
            <w:tcW w:w="0" w:type="auto"/>
            <w:vAlign w:val="center"/>
            <w:hideMark/>
          </w:tcPr>
          <w:p w14:paraId="2D3C88B6"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Version disclosure</w:t>
            </w:r>
          </w:p>
        </w:tc>
        <w:tc>
          <w:tcPr>
            <w:tcW w:w="0" w:type="auto"/>
            <w:vAlign w:val="center"/>
            <w:hideMark/>
          </w:tcPr>
          <w:p w14:paraId="06557993"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The applicable Covenant version and hash are displayed.</w:t>
            </w:r>
          </w:p>
        </w:tc>
        <w:tc>
          <w:tcPr>
            <w:tcW w:w="0" w:type="auto"/>
            <w:vAlign w:val="center"/>
            <w:hideMark/>
          </w:tcPr>
          <w:p w14:paraId="1825AC82"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canonical traceability.</w:t>
            </w:r>
          </w:p>
        </w:tc>
      </w:tr>
      <w:tr w:rsidR="00B90855" w:rsidRPr="00B479AE" w14:paraId="575D4184" w14:textId="77777777" w:rsidTr="00B90855">
        <w:trPr>
          <w:tblCellSpacing w:w="15" w:type="dxa"/>
        </w:trPr>
        <w:tc>
          <w:tcPr>
            <w:tcW w:w="0" w:type="auto"/>
            <w:vAlign w:val="center"/>
            <w:hideMark/>
          </w:tcPr>
          <w:p w14:paraId="59C32474"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Three Affirmations</w:t>
            </w:r>
          </w:p>
        </w:tc>
        <w:tc>
          <w:tcPr>
            <w:tcW w:w="0" w:type="auto"/>
            <w:vAlign w:val="center"/>
            <w:hideMark/>
          </w:tcPr>
          <w:p w14:paraId="2E5A59DF"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Each affirmation is presented separately and accepted actively.</w:t>
            </w:r>
          </w:p>
        </w:tc>
        <w:tc>
          <w:tcPr>
            <w:tcW w:w="0" w:type="auto"/>
            <w:vAlign w:val="center"/>
            <w:hideMark/>
          </w:tcPr>
          <w:p w14:paraId="5B3690C8"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passive consent.</w:t>
            </w:r>
          </w:p>
        </w:tc>
      </w:tr>
      <w:tr w:rsidR="00B90855" w:rsidRPr="00B479AE" w14:paraId="1BBADC26" w14:textId="77777777" w:rsidTr="00B90855">
        <w:trPr>
          <w:tblCellSpacing w:w="15" w:type="dxa"/>
        </w:trPr>
        <w:tc>
          <w:tcPr>
            <w:tcW w:w="0" w:type="auto"/>
            <w:vAlign w:val="center"/>
            <w:hideMark/>
          </w:tcPr>
          <w:p w14:paraId="2FA73E45"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Scope disclosure</w:t>
            </w:r>
          </w:p>
        </w:tc>
        <w:tc>
          <w:tcPr>
            <w:tcW w:w="0" w:type="auto"/>
            <w:vAlign w:val="center"/>
            <w:hideMark/>
          </w:tcPr>
          <w:p w14:paraId="3E0CA453"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sees what access, rights, roles, limits, or restrictions apply.</w:t>
            </w:r>
          </w:p>
        </w:tc>
        <w:tc>
          <w:tcPr>
            <w:tcW w:w="0" w:type="auto"/>
            <w:vAlign w:val="center"/>
            <w:hideMark/>
          </w:tcPr>
          <w:p w14:paraId="0608D408"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misunderstanding of participation status.</w:t>
            </w:r>
          </w:p>
        </w:tc>
      </w:tr>
      <w:tr w:rsidR="00B90855" w:rsidRPr="00B479AE" w14:paraId="3A1B3E99" w14:textId="77777777" w:rsidTr="00B90855">
        <w:trPr>
          <w:tblCellSpacing w:w="15" w:type="dxa"/>
        </w:trPr>
        <w:tc>
          <w:tcPr>
            <w:tcW w:w="0" w:type="auto"/>
            <w:vAlign w:val="center"/>
            <w:hideMark/>
          </w:tcPr>
          <w:p w14:paraId="6A9C5BD8"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Boundary notice</w:t>
            </w:r>
          </w:p>
        </w:tc>
        <w:tc>
          <w:tcPr>
            <w:tcW w:w="0" w:type="auto"/>
            <w:vAlign w:val="center"/>
            <w:hideMark/>
          </w:tcPr>
          <w:p w14:paraId="0B7C5699"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is informed that the Covenant does not create PRU value, land rights, investor rights, or token entitlement by itself.</w:t>
            </w:r>
          </w:p>
        </w:tc>
        <w:tc>
          <w:tcPr>
            <w:tcW w:w="0" w:type="auto"/>
            <w:vAlign w:val="center"/>
            <w:hideMark/>
          </w:tcPr>
          <w:p w14:paraId="3C12D8FD"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category collapse.</w:t>
            </w:r>
          </w:p>
        </w:tc>
      </w:tr>
      <w:tr w:rsidR="00B90855" w:rsidRPr="00B479AE" w14:paraId="597A4E78" w14:textId="77777777" w:rsidTr="00B90855">
        <w:trPr>
          <w:tblCellSpacing w:w="15" w:type="dxa"/>
        </w:trPr>
        <w:tc>
          <w:tcPr>
            <w:tcW w:w="0" w:type="auto"/>
            <w:vAlign w:val="center"/>
            <w:hideMark/>
          </w:tcPr>
          <w:p w14:paraId="423D4182"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Risk and review notice</w:t>
            </w:r>
          </w:p>
        </w:tc>
        <w:tc>
          <w:tcPr>
            <w:tcW w:w="0" w:type="auto"/>
            <w:vAlign w:val="center"/>
            <w:hideMark/>
          </w:tcPr>
          <w:p w14:paraId="4306EE78"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understands that sensitive actions may require governance, MRV, legal, compliance, or technical review.</w:t>
            </w:r>
          </w:p>
        </w:tc>
        <w:tc>
          <w:tcPr>
            <w:tcW w:w="0" w:type="auto"/>
            <w:vAlign w:val="center"/>
            <w:hideMark/>
          </w:tcPr>
          <w:p w14:paraId="7BF74E0D"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review discipline.</w:t>
            </w:r>
          </w:p>
        </w:tc>
      </w:tr>
      <w:tr w:rsidR="00B90855" w:rsidRPr="00B479AE" w14:paraId="1A6BC4B2" w14:textId="77777777" w:rsidTr="00B90855">
        <w:trPr>
          <w:tblCellSpacing w:w="15" w:type="dxa"/>
        </w:trPr>
        <w:tc>
          <w:tcPr>
            <w:tcW w:w="0" w:type="auto"/>
            <w:vAlign w:val="center"/>
            <w:hideMark/>
          </w:tcPr>
          <w:p w14:paraId="44213446"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Digital signature or authentication</w:t>
            </w:r>
          </w:p>
        </w:tc>
        <w:tc>
          <w:tcPr>
            <w:tcW w:w="0" w:type="auto"/>
            <w:vAlign w:val="center"/>
            <w:hideMark/>
          </w:tcPr>
          <w:p w14:paraId="48DF43BC"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confirms acceptance through appropriate identity or authorization mechanism.</w:t>
            </w:r>
          </w:p>
        </w:tc>
        <w:tc>
          <w:tcPr>
            <w:tcW w:w="0" w:type="auto"/>
            <w:vAlign w:val="center"/>
            <w:hideMark/>
          </w:tcPr>
          <w:p w14:paraId="38366920"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Creates verifiable acceptance.</w:t>
            </w:r>
          </w:p>
        </w:tc>
      </w:tr>
      <w:tr w:rsidR="00B90855" w:rsidRPr="00B479AE" w14:paraId="44C9B370" w14:textId="77777777" w:rsidTr="00B90855">
        <w:trPr>
          <w:tblCellSpacing w:w="15" w:type="dxa"/>
        </w:trPr>
        <w:tc>
          <w:tcPr>
            <w:tcW w:w="0" w:type="auto"/>
            <w:vAlign w:val="center"/>
            <w:hideMark/>
          </w:tcPr>
          <w:p w14:paraId="3365B2DD"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agreement, if applicable</w:t>
            </w:r>
          </w:p>
        </w:tc>
        <w:tc>
          <w:tcPr>
            <w:tcW w:w="0" w:type="auto"/>
            <w:vAlign w:val="center"/>
            <w:hideMark/>
          </w:tcPr>
          <w:p w14:paraId="5F8B85BA"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Legal entities execute additional legal documentation.</w:t>
            </w:r>
          </w:p>
        </w:tc>
        <w:tc>
          <w:tcPr>
            <w:tcW w:w="0" w:type="auto"/>
            <w:vAlign w:val="center"/>
            <w:hideMark/>
          </w:tcPr>
          <w:p w14:paraId="06960851"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Creates jurisdiction-specific enforceability.</w:t>
            </w:r>
          </w:p>
        </w:tc>
      </w:tr>
      <w:tr w:rsidR="00B90855" w:rsidRPr="00B479AE" w14:paraId="771762D4" w14:textId="77777777" w:rsidTr="00B90855">
        <w:trPr>
          <w:tblCellSpacing w:w="15" w:type="dxa"/>
        </w:trPr>
        <w:tc>
          <w:tcPr>
            <w:tcW w:w="0" w:type="auto"/>
            <w:vAlign w:val="center"/>
            <w:hideMark/>
          </w:tcPr>
          <w:p w14:paraId="08F5A961"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Receipt and record</w:t>
            </w:r>
          </w:p>
        </w:tc>
        <w:tc>
          <w:tcPr>
            <w:tcW w:w="0" w:type="auto"/>
            <w:vAlign w:val="center"/>
            <w:hideMark/>
          </w:tcPr>
          <w:p w14:paraId="536FB1F9"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receives a receipt or record reference.</w:t>
            </w:r>
          </w:p>
        </w:tc>
        <w:tc>
          <w:tcPr>
            <w:tcW w:w="0" w:type="auto"/>
            <w:vAlign w:val="center"/>
            <w:hideMark/>
          </w:tcPr>
          <w:p w14:paraId="7F0B7F16"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auditability and future review.</w:t>
            </w:r>
          </w:p>
        </w:tc>
      </w:tr>
    </w:tbl>
    <w:p w14:paraId="5737585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interface should avoid manipulative design.</w:t>
      </w:r>
    </w:p>
    <w:p w14:paraId="014444F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Participants should not be rushed into constitutional acceptance through dark patterns, default consent, hidden terms, emotional pressure, misleading access claims, scarcity tactics, or symbolic belonging pressure.</w:t>
      </w:r>
    </w:p>
    <w:p w14:paraId="331779C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must be entered consciously.</w:t>
      </w:r>
    </w:p>
    <w:p w14:paraId="26A76EE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A system that protects dignity must make its threshold dignified.</w:t>
      </w:r>
    </w:p>
    <w:p w14:paraId="393643F9"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6.6 Periodic Reaffirmation and Renewal</w:t>
      </w:r>
    </w:p>
    <w:p w14:paraId="71DA87A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should not be treated as a one-time ritual that becomes meaningless over time.</w:t>
      </w:r>
    </w:p>
    <w:p w14:paraId="679205B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Participants may be required to periodically reaffirm the Covenant.</w:t>
      </w:r>
    </w:p>
    <w:p w14:paraId="67F1988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Periodic reaffirmation serves several purposes:</w:t>
      </w:r>
    </w:p>
    <w:p w14:paraId="3A75D148"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maintaining constitutional awareness;</w:t>
      </w:r>
      <w:r w:rsidRPr="00B479AE">
        <w:rPr>
          <w:rFonts w:ascii="Baskerville Old Face" w:hAnsi="Baskerville Old Face"/>
          <w:i/>
          <w:iCs/>
        </w:rPr>
        <w:br/>
        <w:t>• confirming continuing alignment;</w:t>
      </w:r>
      <w:r w:rsidRPr="00B479AE">
        <w:rPr>
          <w:rFonts w:ascii="Baskerville Old Face" w:hAnsi="Baskerville Old Face"/>
          <w:i/>
          <w:iCs/>
        </w:rPr>
        <w:br/>
        <w:t>• updating participants to canonical text changes;</w:t>
      </w:r>
      <w:r w:rsidRPr="00B479AE">
        <w:rPr>
          <w:rFonts w:ascii="Baskerville Old Face" w:hAnsi="Baskerville Old Face"/>
          <w:i/>
          <w:iCs/>
        </w:rPr>
        <w:br/>
        <w:t>• confirming authority of institutional representatives;</w:t>
      </w:r>
      <w:r w:rsidRPr="00B479AE">
        <w:rPr>
          <w:rFonts w:ascii="Baskerville Old Face" w:hAnsi="Baskerville Old Face"/>
          <w:i/>
          <w:iCs/>
        </w:rPr>
        <w:br/>
        <w:t>• identifying dormant accounts;</w:t>
      </w:r>
      <w:r w:rsidRPr="00B479AE">
        <w:rPr>
          <w:rFonts w:ascii="Baskerville Old Face" w:hAnsi="Baskerville Old Face"/>
          <w:i/>
          <w:iCs/>
        </w:rPr>
        <w:br/>
        <w:t>• reviewing scope of access;</w:t>
      </w:r>
      <w:r w:rsidRPr="00B479AE">
        <w:rPr>
          <w:rFonts w:ascii="Baskerville Old Face" w:hAnsi="Baskerville Old Face"/>
          <w:i/>
          <w:iCs/>
        </w:rPr>
        <w:br/>
        <w:t>• preventing stale privileges;</w:t>
      </w:r>
      <w:r w:rsidRPr="00B479AE">
        <w:rPr>
          <w:rFonts w:ascii="Baskerville Old Face" w:hAnsi="Baskerville Old Face"/>
          <w:i/>
          <w:iCs/>
        </w:rPr>
        <w:br/>
        <w:t>• refreshing governance hygiene;</w:t>
      </w:r>
      <w:r w:rsidRPr="00B479AE">
        <w:rPr>
          <w:rFonts w:ascii="Baskerville Old Face" w:hAnsi="Baskerville Old Face"/>
          <w:i/>
          <w:iCs/>
        </w:rPr>
        <w:br/>
        <w:t>• preserving the link between participation and responsibility.</w:t>
      </w:r>
    </w:p>
    <w:p w14:paraId="54EA874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mature implementation may require annual reaffirmation, or another interval defined by governance.</w:t>
      </w:r>
    </w:p>
    <w:p w14:paraId="588BE24D" w14:textId="1FBA897B"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High-impact participants may require more frequent review. Examples include:</w:t>
      </w:r>
    </w:p>
    <w:p w14:paraId="09758E3A"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capital allocators;</w:t>
      </w:r>
      <w:r w:rsidRPr="00B479AE">
        <w:rPr>
          <w:rFonts w:ascii="Baskerville Old Face" w:hAnsi="Baskerville Old Face"/>
          <w:i/>
          <w:iCs/>
        </w:rPr>
        <w:br/>
        <w:t>• institutional partners;</w:t>
      </w:r>
      <w:r w:rsidRPr="00B479AE">
        <w:rPr>
          <w:rFonts w:ascii="Baskerville Old Face" w:hAnsi="Baskerville Old Face"/>
          <w:i/>
          <w:iCs/>
        </w:rPr>
        <w:br/>
        <w:t>• governance-role holders;</w:t>
      </w:r>
      <w:r w:rsidRPr="00B479AE">
        <w:rPr>
          <w:rFonts w:ascii="Baskerville Old Face" w:hAnsi="Baskerville Old Face"/>
          <w:i/>
          <w:iCs/>
        </w:rPr>
        <w:br/>
        <w:t>• MRV validators;</w:t>
      </w:r>
      <w:r w:rsidRPr="00B479AE">
        <w:rPr>
          <w:rFonts w:ascii="Baskerville Old Face" w:hAnsi="Baskerville Old Face"/>
          <w:i/>
          <w:iCs/>
        </w:rPr>
        <w:br/>
        <w:t>• data-room users;</w:t>
      </w:r>
      <w:r w:rsidRPr="00B479AE">
        <w:rPr>
          <w:rFonts w:ascii="Baskerville Old Face" w:hAnsi="Baskerville Old Face"/>
          <w:i/>
          <w:iCs/>
        </w:rPr>
        <w:br/>
        <w:t>• token-mediated governance participants;</w:t>
      </w:r>
      <w:r w:rsidRPr="00B479AE">
        <w:rPr>
          <w:rFonts w:ascii="Baskerville Old Face" w:hAnsi="Baskerville Old Face"/>
          <w:i/>
          <w:iCs/>
        </w:rPr>
        <w:br/>
        <w:t>• infrastructure providers;</w:t>
      </w:r>
      <w:r w:rsidRPr="00B479AE">
        <w:rPr>
          <w:rFonts w:ascii="Baskerville Old Face" w:hAnsi="Baskerville Old Face"/>
          <w:i/>
          <w:iCs/>
        </w:rPr>
        <w:br/>
        <w:t>• technical administrators;</w:t>
      </w:r>
      <w:r w:rsidRPr="00B479AE">
        <w:rPr>
          <w:rFonts w:ascii="Baskerville Old Face" w:hAnsi="Baskerville Old Face"/>
          <w:i/>
          <w:iCs/>
        </w:rPr>
        <w:br/>
        <w:t>• public-facing representatives.</w:t>
      </w:r>
    </w:p>
    <w:p w14:paraId="7DDDE9E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Failure to reaffirm within a defined grace period should not automatically become punitive unless the relevant governance and technical rules so provide.</w:t>
      </w:r>
    </w:p>
    <w:p w14:paraId="45637B3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The default response should be proportionate:</w:t>
      </w:r>
    </w:p>
    <w:p w14:paraId="147BCD12"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reminder;</w:t>
      </w:r>
      <w:r w:rsidRPr="00B479AE">
        <w:rPr>
          <w:rFonts w:ascii="Baskerville Old Face" w:hAnsi="Baskerville Old Face"/>
          <w:i/>
          <w:iCs/>
        </w:rPr>
        <w:br/>
        <w:t>• request for reaffirmation;</w:t>
      </w:r>
      <w:r w:rsidRPr="00B479AE">
        <w:rPr>
          <w:rFonts w:ascii="Baskerville Old Face" w:hAnsi="Baskerville Old Face"/>
          <w:i/>
          <w:iCs/>
        </w:rPr>
        <w:br/>
        <w:t>• temporary limitation of certain rights;</w:t>
      </w:r>
      <w:r w:rsidRPr="00B479AE">
        <w:rPr>
          <w:rFonts w:ascii="Baskerville Old Face" w:hAnsi="Baskerville Old Face"/>
          <w:i/>
          <w:iCs/>
        </w:rPr>
        <w:br/>
        <w:t>• restricted governance participation;</w:t>
      </w:r>
      <w:r w:rsidRPr="00B479AE">
        <w:rPr>
          <w:rFonts w:ascii="Baskerville Old Face" w:hAnsi="Baskerville Old Face"/>
          <w:i/>
          <w:iCs/>
        </w:rPr>
        <w:br/>
        <w:t>• review-required status;</w:t>
      </w:r>
      <w:r w:rsidRPr="00B479AE">
        <w:rPr>
          <w:rFonts w:ascii="Baskerville Old Face" w:hAnsi="Baskerville Old Face"/>
          <w:i/>
          <w:iCs/>
        </w:rPr>
        <w:br/>
        <w:t>• suspension of sensitive operations until reaffirmation;</w:t>
      </w:r>
      <w:r w:rsidRPr="00B479AE">
        <w:rPr>
          <w:rFonts w:ascii="Baskerville Old Face" w:hAnsi="Baskerville Old Face"/>
          <w:i/>
          <w:iCs/>
        </w:rPr>
        <w:br/>
        <w:t>• escalation if combined with other risk indicators.</w:t>
      </w:r>
    </w:p>
    <w:p w14:paraId="6C76F35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Reaffirmation preserves constitutional continuity without turning governance into a trapdoor.</w:t>
      </w:r>
    </w:p>
    <w:p w14:paraId="2A616B1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purpose is not punishment.</w:t>
      </w:r>
    </w:p>
    <w:p w14:paraId="7655B37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purpose is coherence over time.</w:t>
      </w:r>
    </w:p>
    <w:p w14:paraId="362563DA"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6.7 Covenant Immutability and Version Discipline</w:t>
      </w:r>
    </w:p>
    <w:p w14:paraId="53747F8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is constitutionally protected.</w:t>
      </w:r>
    </w:p>
    <w:p w14:paraId="374E50D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Its substance must remain aligned with the foundational articles and the Eternity Clauses.</w:t>
      </w:r>
    </w:p>
    <w:p w14:paraId="528105C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cannot be amended, repealed, weakened, inverted, diluted, obscured, or bypassed through ordinary governance, token vote, investor demand, emergency procedure, legal wrapper, model output, autonomous agent action, community pressure, or operational convenience.</w:t>
      </w:r>
    </w:p>
    <w:p w14:paraId="357CBB64" w14:textId="70614F84"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However, implementation language may evolve. The Covenant may require:</w:t>
      </w:r>
    </w:p>
    <w:p w14:paraId="0D2DADF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clarifying language;</w:t>
      </w:r>
      <w:r w:rsidRPr="00B479AE">
        <w:rPr>
          <w:rFonts w:ascii="Baskerville Old Face" w:hAnsi="Baskerville Old Face"/>
          <w:i/>
          <w:iCs/>
        </w:rPr>
        <w:br/>
        <w:t>• translation;</w:t>
      </w:r>
      <w:r w:rsidRPr="00B479AE">
        <w:rPr>
          <w:rFonts w:ascii="Baskerville Old Face" w:hAnsi="Baskerville Old Face"/>
          <w:i/>
          <w:iCs/>
        </w:rPr>
        <w:br/>
        <w:t>• jurisdiction-specific legal adaptation;</w:t>
      </w:r>
      <w:r w:rsidRPr="00B479AE">
        <w:rPr>
          <w:rFonts w:ascii="Baskerville Old Face" w:hAnsi="Baskerville Old Face"/>
          <w:i/>
          <w:iCs/>
        </w:rPr>
        <w:br/>
        <w:t>• accessibility improvements;</w:t>
      </w:r>
      <w:r w:rsidRPr="00B479AE">
        <w:rPr>
          <w:rFonts w:ascii="Baskerville Old Face" w:hAnsi="Baskerville Old Face"/>
          <w:i/>
          <w:iCs/>
        </w:rPr>
        <w:br/>
        <w:t>• interface improvements;</w:t>
      </w:r>
      <w:r w:rsidRPr="00B479AE">
        <w:rPr>
          <w:rFonts w:ascii="Baskerville Old Face" w:hAnsi="Baskerville Old Face"/>
          <w:i/>
          <w:iCs/>
        </w:rPr>
        <w:br/>
        <w:t>• technical implementation updates;</w:t>
      </w:r>
      <w:r w:rsidRPr="00B479AE">
        <w:rPr>
          <w:rFonts w:ascii="Baskerville Old Face" w:hAnsi="Baskerville Old Face"/>
          <w:i/>
          <w:iCs/>
        </w:rPr>
        <w:br/>
        <w:t>• versioning;</w:t>
      </w:r>
      <w:r w:rsidRPr="00B479AE">
        <w:rPr>
          <w:rFonts w:ascii="Baskerville Old Face" w:hAnsi="Baskerville Old Face"/>
          <w:i/>
          <w:iCs/>
        </w:rPr>
        <w:br/>
        <w:t>• canonical release management;</w:t>
      </w:r>
      <w:r w:rsidRPr="00B479AE">
        <w:rPr>
          <w:rFonts w:ascii="Baskerville Old Face" w:hAnsi="Baskerville Old Face"/>
          <w:i/>
          <w:iCs/>
        </w:rPr>
        <w:br/>
        <w:t>• cryptographic anchoring;</w:t>
      </w:r>
      <w:r w:rsidRPr="00B479AE">
        <w:rPr>
          <w:rFonts w:ascii="Baskerville Old Face" w:hAnsi="Baskerville Old Face"/>
          <w:i/>
          <w:iCs/>
        </w:rPr>
        <w:br/>
        <w:t>• audit trail;</w:t>
      </w:r>
      <w:r w:rsidRPr="00B479AE">
        <w:rPr>
          <w:rFonts w:ascii="Baskerville Old Face" w:hAnsi="Baskerville Old Face"/>
          <w:i/>
          <w:iCs/>
        </w:rPr>
        <w:br/>
      </w:r>
      <w:r w:rsidRPr="00B479AE">
        <w:rPr>
          <w:rFonts w:ascii="Baskerville Old Face" w:hAnsi="Baskerville Old Face"/>
          <w:i/>
          <w:iCs/>
        </w:rPr>
        <w:lastRenderedPageBreak/>
        <w:t>• legal review;</w:t>
      </w:r>
      <w:r w:rsidRPr="00B479AE">
        <w:rPr>
          <w:rFonts w:ascii="Baskerville Old Face" w:hAnsi="Baskerville Old Face"/>
          <w:i/>
          <w:iCs/>
        </w:rPr>
        <w:br/>
        <w:t>• governance review;</w:t>
      </w:r>
      <w:r w:rsidRPr="00B479AE">
        <w:rPr>
          <w:rFonts w:ascii="Baskerville Old Face" w:hAnsi="Baskerville Old Face"/>
          <w:i/>
          <w:iCs/>
        </w:rPr>
        <w:br/>
        <w:t>• public explanatory notes.</w:t>
      </w:r>
    </w:p>
    <w:p w14:paraId="2C76BC6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This distinction is essential.</w:t>
      </w:r>
    </w:p>
    <w:p w14:paraId="6225E08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constitutional substance is protected.</w:t>
      </w:r>
    </w:p>
    <w:p w14:paraId="62238E9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implementation form may evolve.</w:t>
      </w:r>
    </w:p>
    <w:p w14:paraId="0921C76B"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translation may change words without changing meaning.</w:t>
      </w:r>
    </w:p>
    <w:p w14:paraId="6FEC0CD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jurisdictional adaptation may adjust legal form without weakening the Covenant.</w:t>
      </w:r>
    </w:p>
    <w:p w14:paraId="4DB4899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technical implementation may improve enforcement without altering constitutional substance.</w:t>
      </w:r>
    </w:p>
    <w:p w14:paraId="220E38D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An accessibility improvement may make the Covenant easier to understand without making it less binding.</w:t>
      </w:r>
    </w:p>
    <w:p w14:paraId="16A7A70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Any material change must pass through constitutional review, versioned approval, canonical release discipline, and, where appropriate, legal review.</w:t>
      </w:r>
    </w:p>
    <w:p w14:paraId="38BEF13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change is valid if it weakens the Access Covenant’s function as a source-layer entry condition.</w:t>
      </w:r>
    </w:p>
    <w:p w14:paraId="103782C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may become clearer.</w:t>
      </w:r>
    </w:p>
    <w:p w14:paraId="3CA0B29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may not become weaker.</w:t>
      </w:r>
    </w:p>
    <w:p w14:paraId="7BEFD0F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may become more accessible.</w:t>
      </w:r>
    </w:p>
    <w:p w14:paraId="3A31C2CB"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may not become more capturable.</w:t>
      </w:r>
    </w:p>
    <w:p w14:paraId="220ABED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may evolve in form.</w:t>
      </w:r>
    </w:p>
    <w:p w14:paraId="1147F07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may not betray its source.</w:t>
      </w:r>
    </w:p>
    <w:p w14:paraId="35B70781"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6.8 Covenant Violation Status</w:t>
      </w:r>
    </w:p>
    <w:p w14:paraId="49A7A878"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A violation or attempted bypass of the Access Covenant must be handled through a proportionate and reviewable pathway.</w:t>
      </w:r>
    </w:p>
    <w:p w14:paraId="3FF6DDC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The purpose is to preserve constitutional integrity while avoiding arbitrary punishment.</w:t>
      </w:r>
    </w:p>
    <w:p w14:paraId="7CA81C5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Depending on severity, intent, evidence, repetition, harm, role, legal context, and applicable governance rules, the status may 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3"/>
        <w:gridCol w:w="7805"/>
      </w:tblGrid>
      <w:tr w:rsidR="00B90855" w:rsidRPr="00B479AE" w14:paraId="1A80B3E8" w14:textId="77777777" w:rsidTr="00B90855">
        <w:trPr>
          <w:tblHeader/>
          <w:tblCellSpacing w:w="15" w:type="dxa"/>
        </w:trPr>
        <w:tc>
          <w:tcPr>
            <w:tcW w:w="0" w:type="auto"/>
            <w:vAlign w:val="center"/>
            <w:hideMark/>
          </w:tcPr>
          <w:p w14:paraId="58546D7A" w14:textId="77777777" w:rsidR="00B90855" w:rsidRPr="00B479AE" w:rsidRDefault="00B90855" w:rsidP="00B908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Status</w:t>
            </w:r>
          </w:p>
        </w:tc>
        <w:tc>
          <w:tcPr>
            <w:tcW w:w="0" w:type="auto"/>
            <w:vAlign w:val="center"/>
            <w:hideMark/>
          </w:tcPr>
          <w:p w14:paraId="39F8D7EF" w14:textId="77777777" w:rsidR="00B90855" w:rsidRPr="00B479AE" w:rsidRDefault="00B90855" w:rsidP="00B908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B90855" w:rsidRPr="00B479AE" w14:paraId="4A95A7DD" w14:textId="77777777" w:rsidTr="00B90855">
        <w:trPr>
          <w:tblCellSpacing w:w="15" w:type="dxa"/>
        </w:trPr>
        <w:tc>
          <w:tcPr>
            <w:tcW w:w="0" w:type="auto"/>
            <w:vAlign w:val="center"/>
            <w:hideMark/>
          </w:tcPr>
          <w:p w14:paraId="56829B14"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Review required</w:t>
            </w:r>
          </w:p>
        </w:tc>
        <w:tc>
          <w:tcPr>
            <w:tcW w:w="0" w:type="auto"/>
            <w:vAlign w:val="center"/>
            <w:hideMark/>
          </w:tcPr>
          <w:p w14:paraId="6B843943"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A potential issue requires governance, legal, technical, ecological, MRV, or constitutional review.</w:t>
            </w:r>
          </w:p>
        </w:tc>
      </w:tr>
      <w:tr w:rsidR="00B90855" w:rsidRPr="00B479AE" w14:paraId="0862FB23" w14:textId="77777777" w:rsidTr="00B90855">
        <w:trPr>
          <w:tblCellSpacing w:w="15" w:type="dxa"/>
        </w:trPr>
        <w:tc>
          <w:tcPr>
            <w:tcW w:w="0" w:type="auto"/>
            <w:vAlign w:val="center"/>
            <w:hideMark/>
          </w:tcPr>
          <w:p w14:paraId="6A55B21C"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Warning / remediation</w:t>
            </w:r>
          </w:p>
        </w:tc>
        <w:tc>
          <w:tcPr>
            <w:tcW w:w="0" w:type="auto"/>
            <w:vAlign w:val="center"/>
            <w:hideMark/>
          </w:tcPr>
          <w:p w14:paraId="749EBA6E"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Minor or inadvertent breach can be corrected through education, clarification, or corrective action.</w:t>
            </w:r>
          </w:p>
        </w:tc>
      </w:tr>
      <w:tr w:rsidR="00B90855" w:rsidRPr="00B479AE" w14:paraId="305A28CF" w14:textId="77777777" w:rsidTr="00B90855">
        <w:trPr>
          <w:tblCellSpacing w:w="15" w:type="dxa"/>
        </w:trPr>
        <w:tc>
          <w:tcPr>
            <w:tcW w:w="0" w:type="auto"/>
            <w:vAlign w:val="center"/>
            <w:hideMark/>
          </w:tcPr>
          <w:p w14:paraId="584913DA"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 status</w:t>
            </w:r>
          </w:p>
        </w:tc>
        <w:tc>
          <w:tcPr>
            <w:tcW w:w="0" w:type="auto"/>
            <w:vAlign w:val="center"/>
            <w:hideMark/>
          </w:tcPr>
          <w:p w14:paraId="068B7D7F"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Certain rights, roles, accesses, or operations are temporarily limited.</w:t>
            </w:r>
          </w:p>
        </w:tc>
      </w:tr>
      <w:tr w:rsidR="00B90855" w:rsidRPr="00B479AE" w14:paraId="76A32605" w14:textId="77777777" w:rsidTr="00B90855">
        <w:trPr>
          <w:tblCellSpacing w:w="15" w:type="dxa"/>
        </w:trPr>
        <w:tc>
          <w:tcPr>
            <w:tcW w:w="0" w:type="auto"/>
            <w:vAlign w:val="center"/>
            <w:hideMark/>
          </w:tcPr>
          <w:p w14:paraId="0DDC6578"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Suspended status</w:t>
            </w:r>
          </w:p>
        </w:tc>
        <w:tc>
          <w:tcPr>
            <w:tcW w:w="0" w:type="auto"/>
            <w:vAlign w:val="center"/>
            <w:hideMark/>
          </w:tcPr>
          <w:p w14:paraId="5B2D5F05"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Sensitive access is paused pending review, remediation, or decision.</w:t>
            </w:r>
          </w:p>
        </w:tc>
      </w:tr>
      <w:tr w:rsidR="00B90855" w:rsidRPr="00B479AE" w14:paraId="307E142D" w14:textId="77777777" w:rsidTr="00B90855">
        <w:trPr>
          <w:tblCellSpacing w:w="15" w:type="dxa"/>
        </w:trPr>
        <w:tc>
          <w:tcPr>
            <w:tcW w:w="0" w:type="auto"/>
            <w:vAlign w:val="center"/>
            <w:hideMark/>
          </w:tcPr>
          <w:p w14:paraId="6BF67A89"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Non-admissible status</w:t>
            </w:r>
          </w:p>
        </w:tc>
        <w:tc>
          <w:tcPr>
            <w:tcW w:w="0" w:type="auto"/>
            <w:vAlign w:val="center"/>
            <w:hideMark/>
          </w:tcPr>
          <w:p w14:paraId="69C7C930"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The participant’s output, claim, or action cannot enter PRU, RAP, governance, token, investor-facing, or public-reporting pathways.</w:t>
            </w:r>
          </w:p>
        </w:tc>
      </w:tr>
      <w:tr w:rsidR="00B90855" w:rsidRPr="00B479AE" w14:paraId="2F604F9B" w14:textId="77777777" w:rsidTr="00B90855">
        <w:trPr>
          <w:tblCellSpacing w:w="15" w:type="dxa"/>
        </w:trPr>
        <w:tc>
          <w:tcPr>
            <w:tcW w:w="0" w:type="auto"/>
            <w:vAlign w:val="center"/>
            <w:hideMark/>
          </w:tcPr>
          <w:p w14:paraId="6FD8BEBD"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 status</w:t>
            </w:r>
          </w:p>
        </w:tc>
        <w:tc>
          <w:tcPr>
            <w:tcW w:w="0" w:type="auto"/>
            <w:vAlign w:val="center"/>
            <w:hideMark/>
          </w:tcPr>
          <w:p w14:paraId="691A41EF"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The pathway is isolated due to serious risk, capture attempt, manipulation, legal exposure, ecological harm, or constitutional breach.</w:t>
            </w:r>
          </w:p>
        </w:tc>
      </w:tr>
      <w:tr w:rsidR="00B90855" w:rsidRPr="00B479AE" w14:paraId="61C2A769" w14:textId="77777777" w:rsidTr="00B90855">
        <w:trPr>
          <w:tblCellSpacing w:w="15" w:type="dxa"/>
        </w:trPr>
        <w:tc>
          <w:tcPr>
            <w:tcW w:w="0" w:type="auto"/>
            <w:vAlign w:val="center"/>
            <w:hideMark/>
          </w:tcPr>
          <w:p w14:paraId="1CDAC8B9"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Excluded status</w:t>
            </w:r>
          </w:p>
        </w:tc>
        <w:tc>
          <w:tcPr>
            <w:tcW w:w="0" w:type="auto"/>
            <w:vAlign w:val="center"/>
            <w:hideMark/>
          </w:tcPr>
          <w:p w14:paraId="10532BC4"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The participant is removed from defined forms of participation according to governance and legal procedures.</w:t>
            </w:r>
          </w:p>
        </w:tc>
      </w:tr>
      <w:tr w:rsidR="00B90855" w:rsidRPr="00B479AE" w14:paraId="305DB839" w14:textId="77777777" w:rsidTr="00B90855">
        <w:trPr>
          <w:tblCellSpacing w:w="15" w:type="dxa"/>
        </w:trPr>
        <w:tc>
          <w:tcPr>
            <w:tcW w:w="0" w:type="auto"/>
            <w:vAlign w:val="center"/>
            <w:hideMark/>
          </w:tcPr>
          <w:p w14:paraId="039D639B"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External legal escalation</w:t>
            </w:r>
          </w:p>
        </w:tc>
        <w:tc>
          <w:tcPr>
            <w:tcW w:w="0" w:type="auto"/>
            <w:vAlign w:val="center"/>
            <w:hideMark/>
          </w:tcPr>
          <w:p w14:paraId="4802D978" w14:textId="77777777" w:rsidR="00B90855" w:rsidRPr="00B479AE" w:rsidRDefault="00B90855" w:rsidP="00B90855">
            <w:pPr>
              <w:spacing w:line="360" w:lineRule="auto"/>
              <w:rPr>
                <w:rFonts w:ascii="Baskerville Old Face" w:hAnsi="Baskerville Old Face"/>
                <w:i/>
                <w:iCs/>
                <w:sz w:val="22"/>
                <w:szCs w:val="22"/>
              </w:rPr>
            </w:pPr>
            <w:r w:rsidRPr="00B479AE">
              <w:rPr>
                <w:rFonts w:ascii="Baskerville Old Face" w:hAnsi="Baskerville Old Face"/>
                <w:i/>
                <w:iCs/>
                <w:sz w:val="22"/>
                <w:szCs w:val="22"/>
              </w:rPr>
              <w:t>Serious misconduct may require referral to competent legal, regulatory, fiduciary, or enforcement authorities.</w:t>
            </w:r>
          </w:p>
        </w:tc>
      </w:tr>
    </w:tbl>
    <w:p w14:paraId="16711E34"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Violation handling should follow core principles:</w:t>
      </w:r>
    </w:p>
    <w:p w14:paraId="0CA06CE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 proportionality;</w:t>
      </w:r>
      <w:r w:rsidRPr="00B479AE">
        <w:rPr>
          <w:rFonts w:ascii="Baskerville Old Face" w:hAnsi="Baskerville Old Face"/>
          <w:i/>
          <w:iCs/>
        </w:rPr>
        <w:br/>
        <w:t>• evidence;</w:t>
      </w:r>
      <w:r w:rsidRPr="00B479AE">
        <w:rPr>
          <w:rFonts w:ascii="Baskerville Old Face" w:hAnsi="Baskerville Old Face"/>
          <w:i/>
          <w:iCs/>
        </w:rPr>
        <w:br/>
        <w:t>• reviewability;</w:t>
      </w:r>
      <w:r w:rsidRPr="00B479AE">
        <w:rPr>
          <w:rFonts w:ascii="Baskerville Old Face" w:hAnsi="Baskerville Old Face"/>
          <w:i/>
          <w:iCs/>
        </w:rPr>
        <w:br/>
        <w:t>• right to respond where appropriate;</w:t>
      </w:r>
      <w:r w:rsidRPr="00B479AE">
        <w:rPr>
          <w:rFonts w:ascii="Baskerville Old Face" w:hAnsi="Baskerville Old Face"/>
          <w:i/>
          <w:iCs/>
        </w:rPr>
        <w:br/>
        <w:t>• protection of the community field;</w:t>
      </w:r>
      <w:r w:rsidRPr="00B479AE">
        <w:rPr>
          <w:rFonts w:ascii="Baskerville Old Face" w:hAnsi="Baskerville Old Face"/>
          <w:i/>
          <w:iCs/>
        </w:rPr>
        <w:br/>
        <w:t>• protection of the constitutional source layer;</w:t>
      </w:r>
      <w:r w:rsidRPr="00B479AE">
        <w:rPr>
          <w:rFonts w:ascii="Baskerville Old Face" w:hAnsi="Baskerville Old Face"/>
          <w:i/>
          <w:iCs/>
        </w:rPr>
        <w:br/>
        <w:t>• protection of vulnerable participants;</w:t>
      </w:r>
      <w:r w:rsidRPr="00B479AE">
        <w:rPr>
          <w:rFonts w:ascii="Baskerville Old Face" w:hAnsi="Baskerville Old Face"/>
          <w:i/>
          <w:iCs/>
        </w:rPr>
        <w:br/>
      </w:r>
      <w:r w:rsidRPr="00B479AE">
        <w:rPr>
          <w:rFonts w:ascii="Baskerville Old Face" w:hAnsi="Baskerville Old Face"/>
          <w:i/>
          <w:iCs/>
        </w:rPr>
        <w:lastRenderedPageBreak/>
        <w:t>• protection of ecological and investor-facing integrity;</w:t>
      </w:r>
      <w:r w:rsidRPr="00B479AE">
        <w:rPr>
          <w:rFonts w:ascii="Baskerville Old Face" w:hAnsi="Baskerville Old Face"/>
          <w:i/>
          <w:iCs/>
        </w:rPr>
        <w:br/>
        <w:t>• preservation of due process.</w:t>
      </w:r>
    </w:p>
    <w:p w14:paraId="76ED6A6D" w14:textId="182FB316" w:rsidR="001E2174" w:rsidRPr="00B479AE" w:rsidRDefault="001E2174" w:rsidP="00B90855">
      <w:pPr>
        <w:spacing w:line="360" w:lineRule="auto"/>
        <w:rPr>
          <w:rFonts w:ascii="Baskerville Old Face" w:hAnsi="Baskerville Old Face"/>
          <w:i/>
          <w:iCs/>
        </w:rPr>
      </w:pPr>
      <w:r w:rsidRPr="00B479AE">
        <w:rPr>
          <w:rFonts w:ascii="Baskerville Old Face" w:hAnsi="Baskerville Old Face"/>
          <w:i/>
          <w:iCs/>
        </w:rPr>
        <w:t>Prometheus may use automated monitoring, anomaly detection, routing, and review triggers where implemented. However, enforcement depends on the applicable governance, legal, MRV, technical, or constitutional review pathway. No automatic enforcement should be implied unless a reviewed technical and legal mechanism expressly exists.</w:t>
      </w:r>
      <w:r w:rsidR="00A245A4" w:rsidRPr="00B479AE">
        <w:rPr>
          <w:rFonts w:ascii="Baskerville Old Face" w:hAnsi="Baskerville Old Face"/>
          <w:i/>
          <w:iCs/>
        </w:rPr>
        <w:t xml:space="preserve"> </w:t>
      </w:r>
    </w:p>
    <w:p w14:paraId="3FA89063" w14:textId="77777777" w:rsidR="00A245A4" w:rsidRPr="00B479AE" w:rsidRDefault="00A245A4" w:rsidP="00A245A4">
      <w:pPr>
        <w:spacing w:line="360" w:lineRule="auto"/>
        <w:rPr>
          <w:rFonts w:ascii="Baskerville Old Face" w:hAnsi="Baskerville Old Face"/>
          <w:i/>
          <w:iCs/>
        </w:rPr>
      </w:pPr>
      <w:r w:rsidRPr="00B479AE">
        <w:rPr>
          <w:rFonts w:ascii="Baskerville Old Face" w:hAnsi="Baskerville Old Face"/>
          <w:i/>
          <w:iCs/>
        </w:rPr>
        <w:t>This structure preserves the immune function of Prometheus without overclaiming automatic enforcement.</w:t>
      </w:r>
    </w:p>
    <w:p w14:paraId="7D59E836" w14:textId="0D18D4F5"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system should be firm where the constitution is threatened and precise where proportionality is required.</w:t>
      </w:r>
    </w:p>
    <w:p w14:paraId="7D2E588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is a gate, but it is also a teacher.</w:t>
      </w:r>
    </w:p>
    <w:p w14:paraId="7608050B"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must protect the system without becoming arbitrary.</w:t>
      </w:r>
    </w:p>
    <w:p w14:paraId="6B7B5A24" w14:textId="77777777" w:rsidR="00B90855" w:rsidRPr="00B479AE" w:rsidRDefault="00B90855" w:rsidP="00B90855">
      <w:pPr>
        <w:spacing w:line="360" w:lineRule="auto"/>
        <w:rPr>
          <w:rFonts w:ascii="Baskerville Old Face" w:hAnsi="Baskerville Old Face"/>
          <w:b/>
          <w:bCs/>
          <w:i/>
          <w:iCs/>
        </w:rPr>
      </w:pPr>
      <w:r w:rsidRPr="00B479AE">
        <w:rPr>
          <w:rFonts w:ascii="Baskerville Old Face" w:hAnsi="Baskerville Old Face"/>
          <w:b/>
          <w:bCs/>
          <w:i/>
          <w:iCs/>
        </w:rPr>
        <w:t>6.9 Final Covenant Principle</w:t>
      </w:r>
    </w:p>
    <w:p w14:paraId="763DF556"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Access Covenant exists to ensure that Prometheus remains open without becoming capturable.</w:t>
      </w:r>
    </w:p>
    <w:p w14:paraId="41F9D19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participation, but not extraction.</w:t>
      </w:r>
    </w:p>
    <w:p w14:paraId="27E95BC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governance, but not constitutional inversion.</w:t>
      </w:r>
    </w:p>
    <w:p w14:paraId="3E71B7CE"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capital, but not sovereignty over life.</w:t>
      </w:r>
    </w:p>
    <w:p w14:paraId="2BA5389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intelligence, but not authority without evidence and review.</w:t>
      </w:r>
    </w:p>
    <w:p w14:paraId="7C79FCFB"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community, but not coercive belonging.</w:t>
      </w:r>
    </w:p>
    <w:p w14:paraId="6EEB257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pluralism, but not harm disguised as culture.</w:t>
      </w:r>
    </w:p>
    <w:p w14:paraId="4E0A137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tokens, where appropriate, but not semantic confusion between access, value, governance, ownership, or investor rights.</w:t>
      </w:r>
    </w:p>
    <w:p w14:paraId="7398803C"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allows evolution, but not drift.</w:t>
      </w:r>
    </w:p>
    <w:p w14:paraId="3C7C61C0"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is therefore the threshold guardian of Prometheus.</w:t>
      </w:r>
    </w:p>
    <w:p w14:paraId="0ABEE89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lastRenderedPageBreak/>
        <w:t>It does not ask participants to worship the system.</w:t>
      </w:r>
    </w:p>
    <w:p w14:paraId="58ED49D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asks them to recognize the living foundation that the system exists to protect.</w:t>
      </w:r>
    </w:p>
    <w:p w14:paraId="223668F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actor is above the Covenant.</w:t>
      </w:r>
    </w:p>
    <w:p w14:paraId="1C64A2FF"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token is above the Covenant.</w:t>
      </w:r>
    </w:p>
    <w:p w14:paraId="5BCDC20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capital structure is above the Covenant.</w:t>
      </w:r>
    </w:p>
    <w:p w14:paraId="7F98E1D3"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AI model is above the Covenant.</w:t>
      </w:r>
    </w:p>
    <w:p w14:paraId="271C5BB5"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governance majority is above the Covenant.</w:t>
      </w:r>
    </w:p>
    <w:p w14:paraId="05F6F291"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community status is above the Covenant.</w:t>
      </w:r>
    </w:p>
    <w:p w14:paraId="6DC466E9"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No institutional power is above the Covenant.</w:t>
      </w:r>
    </w:p>
    <w:p w14:paraId="22ACE85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The Covenant is the gate through which participation becomes legitimate.</w:t>
      </w:r>
    </w:p>
    <w:p w14:paraId="5E5B0B07"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It is the first promise of Prometheus:</w:t>
      </w:r>
    </w:p>
    <w:p w14:paraId="65C3042D" w14:textId="77777777" w:rsidR="00B90855" w:rsidRPr="00B479AE" w:rsidRDefault="00B90855" w:rsidP="00B90855">
      <w:pPr>
        <w:spacing w:line="360" w:lineRule="auto"/>
        <w:rPr>
          <w:rFonts w:ascii="Baskerville Old Face" w:hAnsi="Baskerville Old Face"/>
          <w:i/>
          <w:iCs/>
        </w:rPr>
      </w:pPr>
      <w:r w:rsidRPr="00B479AE">
        <w:rPr>
          <w:rFonts w:ascii="Baskerville Old Face" w:hAnsi="Baskerville Old Face"/>
          <w:i/>
          <w:iCs/>
        </w:rPr>
        <w:t>to remain open to life,</w:t>
      </w:r>
      <w:r w:rsidRPr="00B479AE">
        <w:rPr>
          <w:rFonts w:ascii="Baskerville Old Face" w:hAnsi="Baskerville Old Face"/>
          <w:i/>
          <w:iCs/>
        </w:rPr>
        <w:br/>
        <w:t>disciplined by evidence,</w:t>
      </w:r>
      <w:r w:rsidRPr="00B479AE">
        <w:rPr>
          <w:rFonts w:ascii="Baskerville Old Face" w:hAnsi="Baskerville Old Face"/>
          <w:i/>
          <w:iCs/>
        </w:rPr>
        <w:br/>
        <w:t>grounded in dignity,</w:t>
      </w:r>
      <w:r w:rsidRPr="00B479AE">
        <w:rPr>
          <w:rFonts w:ascii="Baskerville Old Face" w:hAnsi="Baskerville Old Face"/>
          <w:i/>
          <w:iCs/>
        </w:rPr>
        <w:br/>
        <w:t>protected by governance,</w:t>
      </w:r>
      <w:r w:rsidRPr="00B479AE">
        <w:rPr>
          <w:rFonts w:ascii="Baskerville Old Face" w:hAnsi="Baskerville Old Face"/>
          <w:i/>
          <w:iCs/>
        </w:rPr>
        <w:br/>
        <w:t>and faithful to the living field from which all value arises.</w:t>
      </w:r>
    </w:p>
    <w:p w14:paraId="12F79F54"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 Eligibility Criteria by Entity Type</w:t>
      </w:r>
    </w:p>
    <w:p w14:paraId="40A812C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Access Covenant applies to every participant.</w:t>
      </w:r>
    </w:p>
    <w:p w14:paraId="0AE493F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However, different entity types create different responsibilities, risk profiles, evidence requirements, legal considerations, and governance implications.</w:t>
      </w:r>
    </w:p>
    <w:p w14:paraId="7E0E1FE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For this reason, Prometheus defines eligibility criteria by entity type.</w:t>
      </w:r>
    </w:p>
    <w:p w14:paraId="7EEA0C2C"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These criteria do not exist to create exclusionary gatekeeping.</w:t>
      </w:r>
    </w:p>
    <w:p w14:paraId="73E1E38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They exist to ensure that each participant enters the ecosystem through an appropriate pathway, with a clear scope of access, a defined responsibility profile, and a reviewable relationship to the constitutional source layer.</w:t>
      </w:r>
    </w:p>
    <w:p w14:paraId="3BE383E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is therefore not a social rank.</w:t>
      </w:r>
    </w:p>
    <w:p w14:paraId="2247C2C8"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is a governed participation status.</w:t>
      </w:r>
    </w:p>
    <w:p w14:paraId="36083D4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participant may be welcomed into Prometheus only when its role, rights, responsibilities, evidence obligations, governance boundaries, and risk exposure are sufficiently clear.</w:t>
      </w:r>
    </w:p>
    <w:p w14:paraId="7523F00F"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should be assessed through a combination of:</w:t>
      </w:r>
    </w:p>
    <w:p w14:paraId="7EBD67C8"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Access Covenant acceptance;</w:t>
      </w:r>
      <w:r w:rsidRPr="00B479AE">
        <w:rPr>
          <w:rFonts w:ascii="Baskerville Old Face" w:hAnsi="Baskerville Old Face"/>
          <w:i/>
          <w:iCs/>
        </w:rPr>
        <w:br/>
        <w:t>• identity or authority verification, where appropriate;</w:t>
      </w:r>
      <w:r w:rsidRPr="00B479AE">
        <w:rPr>
          <w:rFonts w:ascii="Baskerville Old Face" w:hAnsi="Baskerville Old Face"/>
          <w:i/>
          <w:iCs/>
        </w:rPr>
        <w:br/>
        <w:t>• legal documentation, where relevant;</w:t>
      </w:r>
      <w:r w:rsidRPr="00B479AE">
        <w:rPr>
          <w:rFonts w:ascii="Baskerville Old Face" w:hAnsi="Baskerville Old Face"/>
          <w:i/>
          <w:iCs/>
        </w:rPr>
        <w:br/>
        <w:t>• governance review;</w:t>
      </w:r>
      <w:r w:rsidRPr="00B479AE">
        <w:rPr>
          <w:rFonts w:ascii="Baskerville Old Face" w:hAnsi="Baskerville Old Face"/>
          <w:i/>
          <w:iCs/>
        </w:rPr>
        <w:br/>
        <w:t>• technical onboarding;</w:t>
      </w:r>
      <w:r w:rsidRPr="00B479AE">
        <w:rPr>
          <w:rFonts w:ascii="Baskerville Old Face" w:hAnsi="Baskerville Old Face"/>
          <w:i/>
          <w:iCs/>
        </w:rPr>
        <w:br/>
        <w:t>• evidence of alignment;</w:t>
      </w:r>
      <w:r w:rsidRPr="00B479AE">
        <w:rPr>
          <w:rFonts w:ascii="Baskerville Old Face" w:hAnsi="Baskerville Old Face"/>
          <w:i/>
          <w:iCs/>
        </w:rPr>
        <w:br/>
        <w:t>• risk classification;</w:t>
      </w:r>
      <w:r w:rsidRPr="00B479AE">
        <w:rPr>
          <w:rFonts w:ascii="Baskerville Old Face" w:hAnsi="Baskerville Old Face"/>
          <w:i/>
          <w:iCs/>
        </w:rPr>
        <w:br/>
        <w:t>• scope definition;</w:t>
      </w:r>
      <w:r w:rsidRPr="00B479AE">
        <w:rPr>
          <w:rFonts w:ascii="Baskerville Old Face" w:hAnsi="Baskerville Old Face"/>
          <w:i/>
          <w:iCs/>
        </w:rPr>
        <w:br/>
        <w:t>• periodic review.</w:t>
      </w:r>
    </w:p>
    <w:p w14:paraId="4343591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Verification may use digital records, signed source-chain entries, hash references, legal documents, governance records, off-chain documentation, public registries, or other appropriate evidence depending on implementation stage and participant type.</w:t>
      </w:r>
    </w:p>
    <w:p w14:paraId="09BCD34C"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should not claim that every eligibility condition is automatically enforced on-chain unless the relevant technical infrastructure has been implemented, tested, audited, and governed.</w:t>
      </w:r>
    </w:p>
    <w:p w14:paraId="2C02B03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correct principle is:</w:t>
      </w:r>
    </w:p>
    <w:p w14:paraId="7E2F5B9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must be reviewable, proportionate, source-linked, and constitutionally aligned.</w:t>
      </w:r>
    </w:p>
    <w:p w14:paraId="28B82C85"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7.1 Individuals</w:t>
      </w:r>
    </w:p>
    <w:p w14:paraId="3C90B578"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Individuals may participate as learners, stewards, contributors, governance participants, technical contributors, community members, researchers, operators, mentors, role holders, or other approved participants.</w:t>
      </w:r>
    </w:p>
    <w:p w14:paraId="168E9D8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Minimum criteria may include:</w:t>
      </w:r>
    </w:p>
    <w:p w14:paraId="783F05B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legal capacity or age of majority in the relevant jurisdiction, where legally required;</w:t>
      </w:r>
      <w:r w:rsidRPr="00B479AE">
        <w:rPr>
          <w:rFonts w:ascii="Baskerville Old Face" w:hAnsi="Baskerville Old Face"/>
          <w:i/>
          <w:iCs/>
        </w:rPr>
        <w:br/>
        <w:t>• acknowledgment of the Access Covenant;</w:t>
      </w:r>
      <w:r w:rsidRPr="00B479AE">
        <w:rPr>
          <w:rFonts w:ascii="Baskerville Old Face" w:hAnsi="Baskerville Old Face"/>
          <w:i/>
          <w:iCs/>
        </w:rPr>
        <w:br/>
        <w:t>• completion of an orientation module or equivalent onboarding process;</w:t>
      </w:r>
      <w:r w:rsidRPr="00B479AE">
        <w:rPr>
          <w:rFonts w:ascii="Baskerville Old Face" w:hAnsi="Baskerville Old Face"/>
          <w:i/>
          <w:iCs/>
        </w:rPr>
        <w:br/>
        <w:t>• acceptance of the relevant role boundaries;</w:t>
      </w:r>
      <w:r w:rsidRPr="00B479AE">
        <w:rPr>
          <w:rFonts w:ascii="Baskerville Old Face" w:hAnsi="Baskerville Old Face"/>
          <w:i/>
          <w:iCs/>
        </w:rPr>
        <w:br/>
        <w:t>• understanding that participation does not create financial entitlement, land rights, PRU value, investor rights, or governance authority beyond the applicable scope;</w:t>
      </w:r>
      <w:r w:rsidRPr="00B479AE">
        <w:rPr>
          <w:rFonts w:ascii="Baskerville Old Face" w:hAnsi="Baskerville Old Face"/>
          <w:i/>
          <w:iCs/>
        </w:rPr>
        <w:br/>
        <w:t>• no unresolved exclusion, suspension, serious Covenant breach, or governance restriction preventing participation under current rules.</w:t>
      </w:r>
    </w:p>
    <w:p w14:paraId="24CAE8A4"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Individual onboarding should be educational before it is restrictive.</w:t>
      </w:r>
    </w:p>
    <w:p w14:paraId="174BA70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objective is to help participants understand Prometheus, not to create unnecessary barriers.</w:t>
      </w:r>
    </w:p>
    <w:p w14:paraId="4C53B46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Where a participant is a minor, vulnerable person, student, or dependent participant, participation should follow appropriate safeguarding, consent, parental or guardian authorization, educational, privacy, and legal requirements.</w:t>
      </w:r>
    </w:p>
    <w:p w14:paraId="423B91E1"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must protect the dignity of every individual participant.</w:t>
      </w:r>
    </w:p>
    <w:p w14:paraId="025837C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person enters the ecosystem as a human being, not as a wallet, score, data point, productivity unit, or governance weight.</w:t>
      </w:r>
    </w:p>
    <w:p w14:paraId="34B54F08"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7.2 Communities, Unincorporated Groups, Bioregional Networks, and Cooperatives</w:t>
      </w:r>
    </w:p>
    <w:p w14:paraId="2AA5A90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Communities may participate when they can demonstrate a meaningful collective relationship to regeneration, stewardship, territory, education, food systems, ecological restoration, cultural continuity, mutual aid, or governance learning.</w:t>
      </w:r>
    </w:p>
    <w:p w14:paraId="3052DB3F"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Minimum criteria may include:</w:t>
      </w:r>
    </w:p>
    <w:p w14:paraId="75B1C7F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identification of the community or group;</w:t>
      </w:r>
      <w:r w:rsidRPr="00B479AE">
        <w:rPr>
          <w:rFonts w:ascii="Baskerville Old Face" w:hAnsi="Baskerville Old Face"/>
          <w:i/>
          <w:iCs/>
        </w:rPr>
        <w:br/>
        <w:t>• at least one designated contact or representative;</w:t>
      </w:r>
      <w:r w:rsidRPr="00B479AE">
        <w:rPr>
          <w:rFonts w:ascii="Baskerville Old Face" w:hAnsi="Baskerville Old Face"/>
          <w:i/>
          <w:iCs/>
        </w:rPr>
        <w:br/>
        <w:t>• a description of purpose, territory, membership, or shared activity;</w:t>
      </w:r>
      <w:r w:rsidRPr="00B479AE">
        <w:rPr>
          <w:rFonts w:ascii="Baskerville Old Face" w:hAnsi="Baskerville Old Face"/>
          <w:i/>
          <w:iCs/>
        </w:rPr>
        <w:br/>
        <w:t>• acknowledgment of the Access Covenant by representatives and, where appropriate, by individual members;</w:t>
      </w:r>
      <w:r w:rsidRPr="00B479AE">
        <w:rPr>
          <w:rFonts w:ascii="Baskerville Old Face" w:hAnsi="Baskerville Old Face"/>
          <w:i/>
          <w:iCs/>
        </w:rPr>
        <w:br/>
        <w:t>• basic governance description;</w:t>
      </w:r>
      <w:r w:rsidRPr="00B479AE">
        <w:rPr>
          <w:rFonts w:ascii="Baskerville Old Face" w:hAnsi="Baskerville Old Face"/>
          <w:i/>
          <w:iCs/>
        </w:rPr>
        <w:br/>
      </w:r>
      <w:r w:rsidRPr="00B479AE">
        <w:rPr>
          <w:rFonts w:ascii="Baskerville Old Face" w:hAnsi="Baskerville Old Face"/>
          <w:i/>
          <w:iCs/>
        </w:rPr>
        <w:lastRenderedPageBreak/>
        <w:t>• internal dispute-resolution pathway;</w:t>
      </w:r>
      <w:r w:rsidRPr="00B479AE">
        <w:rPr>
          <w:rFonts w:ascii="Baskerville Old Face" w:hAnsi="Baskerville Old Face"/>
          <w:i/>
          <w:iCs/>
        </w:rPr>
        <w:br/>
        <w:t>• commitment to human dignity, voluntary participation, non-coercion, and regenerative alignment;</w:t>
      </w:r>
      <w:r w:rsidRPr="00B479AE">
        <w:rPr>
          <w:rFonts w:ascii="Baskerville Old Face" w:hAnsi="Baskerville Old Face"/>
          <w:i/>
          <w:iCs/>
        </w:rPr>
        <w:br/>
        <w:t>• commitment to avoid using community status as a shield for extraction, exclusion, domination, or governance capture.</w:t>
      </w:r>
    </w:p>
    <w:p w14:paraId="405144E5" w14:textId="77777777" w:rsidR="00BB351D" w:rsidRPr="00B479AE" w:rsidRDefault="00BB351D" w:rsidP="00BB351D">
      <w:pPr>
        <w:spacing w:line="360" w:lineRule="auto"/>
        <w:rPr>
          <w:rFonts w:ascii="Baskerville Old Face" w:hAnsi="Baskerville Old Face"/>
          <w:i/>
          <w:iCs/>
        </w:rPr>
      </w:pPr>
      <w:proofErr w:type="spellStart"/>
      <w:r w:rsidRPr="00B479AE">
        <w:rPr>
          <w:rFonts w:ascii="Baskerville Old Face" w:hAnsi="Baskerville Old Face"/>
          <w:i/>
          <w:iCs/>
        </w:rPr>
        <w:t>Sociocratic</w:t>
      </w:r>
      <w:proofErr w:type="spellEnd"/>
      <w:r w:rsidRPr="00B479AE">
        <w:rPr>
          <w:rFonts w:ascii="Baskerville Old Face" w:hAnsi="Baskerville Old Face"/>
          <w:i/>
          <w:iCs/>
        </w:rPr>
        <w:t>, consent-based, cooperative, customary, indigenous, bioregional, religious, spiritual, civic, educational, or other governance forms may be recognized when compatible with the Access Covenant and applicable law.</w:t>
      </w:r>
    </w:p>
    <w:p w14:paraId="08CCC9E8"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should respect local governance diversity while preserving constitutional boundaries.</w:t>
      </w:r>
    </w:p>
    <w:p w14:paraId="336A6C0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Community participation does not create automatic ownership, token entitlement, land rights, PRU claims, investor rights, or veto power unless separately and legally structured.</w:t>
      </w:r>
    </w:p>
    <w:p w14:paraId="14BFECF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community may remain itself while becoming interoperable with Prometheus.</w:t>
      </w:r>
    </w:p>
    <w:p w14:paraId="21F37D94"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That is the purpose of sovereign alignment.</w:t>
      </w:r>
    </w:p>
    <w:p w14:paraId="559A9BCB"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7.3 Companies and Business Entities</w:t>
      </w:r>
    </w:p>
    <w:p w14:paraId="2757A47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Companies and business entities may participate when their activities, governance, products, services, or capital deployment remain compatible with the Prometheus constitutional architecture.</w:t>
      </w:r>
    </w:p>
    <w:p w14:paraId="684D74BF"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7E84A57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legal identity and registration documentation;</w:t>
      </w:r>
      <w:r w:rsidRPr="00B479AE">
        <w:rPr>
          <w:rFonts w:ascii="Baskerville Old Face" w:hAnsi="Baskerville Old Face"/>
          <w:i/>
          <w:iCs/>
        </w:rPr>
        <w:br/>
        <w:t>• authority of the representative entering the Access Covenant;</w:t>
      </w:r>
      <w:r w:rsidRPr="00B479AE">
        <w:rPr>
          <w:rFonts w:ascii="Baskerville Old Face" w:hAnsi="Baskerville Old Face"/>
          <w:i/>
          <w:iCs/>
        </w:rPr>
        <w:br/>
        <w:t>• business model review;</w:t>
      </w:r>
      <w:r w:rsidRPr="00B479AE">
        <w:rPr>
          <w:rFonts w:ascii="Baskerville Old Face" w:hAnsi="Baskerville Old Face"/>
          <w:i/>
          <w:iCs/>
        </w:rPr>
        <w:br/>
        <w:t>• ownership or control disclosure where relevant;</w:t>
      </w:r>
      <w:r w:rsidRPr="00B479AE">
        <w:rPr>
          <w:rFonts w:ascii="Baskerville Old Face" w:hAnsi="Baskerville Old Face"/>
          <w:i/>
          <w:iCs/>
        </w:rPr>
        <w:br/>
        <w:t>• conflict-of-interest disclosure;</w:t>
      </w:r>
      <w:r w:rsidRPr="00B479AE">
        <w:rPr>
          <w:rFonts w:ascii="Baskerville Old Face" w:hAnsi="Baskerville Old Face"/>
          <w:i/>
          <w:iCs/>
        </w:rPr>
        <w:br/>
        <w:t>• governance and compliance contact;</w:t>
      </w:r>
      <w:r w:rsidRPr="00B479AE">
        <w:rPr>
          <w:rFonts w:ascii="Baskerville Old Face" w:hAnsi="Baskerville Old Face"/>
          <w:i/>
          <w:iCs/>
        </w:rPr>
        <w:br/>
        <w:t>• commitment to avoid extractive practices inconsistent with the Access Covenant;</w:t>
      </w:r>
      <w:r w:rsidRPr="00B479AE">
        <w:rPr>
          <w:rFonts w:ascii="Baskerville Old Face" w:hAnsi="Baskerville Old Face"/>
          <w:i/>
          <w:iCs/>
        </w:rPr>
        <w:br/>
        <w:t xml:space="preserve">• commitment to avoid misleading environmental, regenerative, financial, </w:t>
      </w:r>
      <w:proofErr w:type="spellStart"/>
      <w:r w:rsidRPr="00B479AE">
        <w:rPr>
          <w:rFonts w:ascii="Baskerville Old Face" w:hAnsi="Baskerville Old Face"/>
          <w:i/>
          <w:iCs/>
        </w:rPr>
        <w:t>tokenomic</w:t>
      </w:r>
      <w:proofErr w:type="spellEnd"/>
      <w:r w:rsidRPr="00B479AE">
        <w:rPr>
          <w:rFonts w:ascii="Baskerville Old Face" w:hAnsi="Baskerville Old Face"/>
          <w:i/>
          <w:iCs/>
        </w:rPr>
        <w:t>, or health-related claims;</w:t>
      </w:r>
      <w:r w:rsidRPr="00B479AE">
        <w:rPr>
          <w:rFonts w:ascii="Baskerville Old Face" w:hAnsi="Baskerville Old Face"/>
          <w:i/>
          <w:iCs/>
        </w:rPr>
        <w:br/>
        <w:t>• agreement that participation does not authorize PRU value, investor claims, token issuance, securities offering, or public impact claims without evidence and review.</w:t>
      </w:r>
    </w:p>
    <w:p w14:paraId="41CCBD84"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Where technically implemented, documents may be hashed, referenced, or linked to source-chain records for traceability.</w:t>
      </w:r>
    </w:p>
    <w:p w14:paraId="668F516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However, document hashing is an integrity-support mechanism.</w:t>
      </w:r>
    </w:p>
    <w:p w14:paraId="2332140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is not a substitute for legal review, governance review, or substantive alignment.</w:t>
      </w:r>
    </w:p>
    <w:p w14:paraId="53378BA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company may be eligible for limited participation before full institutional participation, depending on scope, risk profile, evidence quality, legal clarity, and governance maturity.</w:t>
      </w:r>
    </w:p>
    <w:p w14:paraId="14F4DB6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may therefore distinguish between:</w:t>
      </w:r>
    </w:p>
    <w:p w14:paraId="109213E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observer participation;</w:t>
      </w:r>
      <w:r w:rsidRPr="00B479AE">
        <w:rPr>
          <w:rFonts w:ascii="Baskerville Old Face" w:hAnsi="Baskerville Old Face"/>
          <w:i/>
          <w:iCs/>
        </w:rPr>
        <w:br/>
        <w:t>• pilot-specific participation;</w:t>
      </w:r>
      <w:r w:rsidRPr="00B479AE">
        <w:rPr>
          <w:rFonts w:ascii="Baskerville Old Face" w:hAnsi="Baskerville Old Face"/>
          <w:i/>
          <w:iCs/>
        </w:rPr>
        <w:br/>
        <w:t>• service-provider participation;</w:t>
      </w:r>
      <w:r w:rsidRPr="00B479AE">
        <w:rPr>
          <w:rFonts w:ascii="Baskerville Old Face" w:hAnsi="Baskerville Old Face"/>
          <w:i/>
          <w:iCs/>
        </w:rPr>
        <w:br/>
        <w:t>• operational participation;</w:t>
      </w:r>
      <w:r w:rsidRPr="00B479AE">
        <w:rPr>
          <w:rFonts w:ascii="Baskerville Old Face" w:hAnsi="Baskerville Old Face"/>
          <w:i/>
          <w:iCs/>
        </w:rPr>
        <w:br/>
        <w:t>• governance participation;</w:t>
      </w:r>
      <w:r w:rsidRPr="00B479AE">
        <w:rPr>
          <w:rFonts w:ascii="Baskerville Old Face" w:hAnsi="Baskerville Old Face"/>
          <w:i/>
          <w:iCs/>
        </w:rPr>
        <w:br/>
        <w:t>• capital-facing participation;</w:t>
      </w:r>
      <w:r w:rsidRPr="00B479AE">
        <w:rPr>
          <w:rFonts w:ascii="Baskerville Old Face" w:hAnsi="Baskerville Old Face"/>
          <w:i/>
          <w:iCs/>
        </w:rPr>
        <w:br/>
        <w:t>• institutional participation.</w:t>
      </w:r>
    </w:p>
    <w:p w14:paraId="4F1246B4"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Each category should be explicitly scoped.</w:t>
      </w:r>
    </w:p>
    <w:p w14:paraId="31A9664B"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7.4 Foundations, Trusts, Philanthropic Entities, and Mission-Aligned Institutions</w:t>
      </w:r>
    </w:p>
    <w:p w14:paraId="4AC6144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Foundations, trusts, philanthropic entities, and mission-aligned institutions may support research, pilots, ecological restoration, education, community programs, MRV development, public-interest deployment, food-system resilience, public-health research, or catalytic capital.</w:t>
      </w:r>
    </w:p>
    <w:p w14:paraId="2C05ABA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709641A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legal identity and governing documents;</w:t>
      </w:r>
      <w:r w:rsidRPr="00B479AE">
        <w:rPr>
          <w:rFonts w:ascii="Baskerville Old Face" w:hAnsi="Baskerville Old Face"/>
          <w:i/>
          <w:iCs/>
        </w:rPr>
        <w:br/>
        <w:t>• authority of representative;</w:t>
      </w:r>
      <w:r w:rsidRPr="00B479AE">
        <w:rPr>
          <w:rFonts w:ascii="Baskerville Old Face" w:hAnsi="Baskerville Old Face"/>
          <w:i/>
          <w:iCs/>
        </w:rPr>
        <w:br/>
        <w:t>• mission and purpose alignment;</w:t>
      </w:r>
      <w:r w:rsidRPr="00B479AE">
        <w:rPr>
          <w:rFonts w:ascii="Baskerville Old Face" w:hAnsi="Baskerville Old Face"/>
          <w:i/>
          <w:iCs/>
        </w:rPr>
        <w:br/>
        <w:t>• grantmaking or investment-policy alignment where relevant;</w:t>
      </w:r>
      <w:r w:rsidRPr="00B479AE">
        <w:rPr>
          <w:rFonts w:ascii="Baskerville Old Face" w:hAnsi="Baskerville Old Face"/>
          <w:i/>
          <w:iCs/>
        </w:rPr>
        <w:br/>
        <w:t>• conflict-of-interest disclosure;</w:t>
      </w:r>
      <w:r w:rsidRPr="00B479AE">
        <w:rPr>
          <w:rFonts w:ascii="Baskerville Old Face" w:hAnsi="Baskerville Old Face"/>
          <w:i/>
          <w:iCs/>
        </w:rPr>
        <w:br/>
        <w:t>• commitment to avoid funding activities that violate the Access Covenant;</w:t>
      </w:r>
      <w:r w:rsidRPr="00B479AE">
        <w:rPr>
          <w:rFonts w:ascii="Baskerville Old Face" w:hAnsi="Baskerville Old Face"/>
          <w:i/>
          <w:iCs/>
        </w:rPr>
        <w:br/>
        <w:t>• respect for local autonomy and community consent;</w:t>
      </w:r>
      <w:r w:rsidRPr="00B479AE">
        <w:rPr>
          <w:rFonts w:ascii="Baskerville Old Face" w:hAnsi="Baskerville Old Face"/>
          <w:i/>
          <w:iCs/>
        </w:rPr>
        <w:br/>
      </w:r>
      <w:r w:rsidRPr="00B479AE">
        <w:rPr>
          <w:rFonts w:ascii="Baskerville Old Face" w:hAnsi="Baskerville Old Face"/>
          <w:i/>
          <w:iCs/>
        </w:rPr>
        <w:lastRenderedPageBreak/>
        <w:t>• reporting expectations appropriate to the participant’s role;</w:t>
      </w:r>
      <w:r w:rsidRPr="00B479AE">
        <w:rPr>
          <w:rFonts w:ascii="Baskerville Old Face" w:hAnsi="Baskerville Old Face"/>
          <w:i/>
          <w:iCs/>
        </w:rPr>
        <w:br/>
        <w:t>• periodic review when the relationship is material or long-term.</w:t>
      </w:r>
    </w:p>
    <w:p w14:paraId="4F60F79C"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Philanthropic participation should not become hidden control.</w:t>
      </w:r>
    </w:p>
    <w:p w14:paraId="5607FD01"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Mission alignment does not exempt any entity from the Access Covenant.</w:t>
      </w:r>
    </w:p>
    <w:p w14:paraId="0B81E75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Trust or foundation structures may support Prometheus only when they preserve the separation between mission, governance, legal rights, financial rights, ecological evidence, and community sovereignty.</w:t>
      </w:r>
    </w:p>
    <w:p w14:paraId="119464CC"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philanthropic actor may fund regeneration.</w:t>
      </w:r>
    </w:p>
    <w:p w14:paraId="04EBB37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may not own the meaning of regeneration.</w:t>
      </w:r>
    </w:p>
    <w:p w14:paraId="450295ED"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7.5 Investment Funds, Asset Managers, Family Offices, and Capital Allocators</w:t>
      </w:r>
    </w:p>
    <w:p w14:paraId="0F3E817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Capital allocators require enhanced review because capital can support regeneration, but it can also distort, accelerate, capture, or prematurely financialize the system.</w:t>
      </w:r>
    </w:p>
    <w:p w14:paraId="6BFA4A7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7C07779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legal identity and regulatory status;</w:t>
      </w:r>
      <w:r w:rsidRPr="00B479AE">
        <w:rPr>
          <w:rFonts w:ascii="Baskerville Old Face" w:hAnsi="Baskerville Old Face"/>
          <w:i/>
          <w:iCs/>
        </w:rPr>
        <w:br/>
        <w:t>• authority of representative;</w:t>
      </w:r>
      <w:r w:rsidRPr="00B479AE">
        <w:rPr>
          <w:rFonts w:ascii="Baskerville Old Face" w:hAnsi="Baskerville Old Face"/>
          <w:i/>
          <w:iCs/>
        </w:rPr>
        <w:br/>
        <w:t>• investment strategy;</w:t>
      </w:r>
      <w:r w:rsidRPr="00B479AE">
        <w:rPr>
          <w:rFonts w:ascii="Baskerville Old Face" w:hAnsi="Baskerville Old Face"/>
          <w:i/>
          <w:iCs/>
        </w:rPr>
        <w:br/>
        <w:t>• mandate alignment;</w:t>
      </w:r>
      <w:r w:rsidRPr="00B479AE">
        <w:rPr>
          <w:rFonts w:ascii="Baskerville Old Face" w:hAnsi="Baskerville Old Face"/>
          <w:i/>
          <w:iCs/>
        </w:rPr>
        <w:br/>
        <w:t>• source-of-funds review where appropriate;</w:t>
      </w:r>
      <w:r w:rsidRPr="00B479AE">
        <w:rPr>
          <w:rFonts w:ascii="Baskerville Old Face" w:hAnsi="Baskerville Old Face"/>
          <w:i/>
          <w:iCs/>
        </w:rPr>
        <w:br/>
        <w:t>• conflict-of-interest disclosure;</w:t>
      </w:r>
      <w:r w:rsidRPr="00B479AE">
        <w:rPr>
          <w:rFonts w:ascii="Baskerville Old Face" w:hAnsi="Baskerville Old Face"/>
          <w:i/>
          <w:iCs/>
        </w:rPr>
        <w:br/>
        <w:t>• relevant portfolio or exposure disclosure, subject to confidentiality;</w:t>
      </w:r>
      <w:r w:rsidRPr="00B479AE">
        <w:rPr>
          <w:rFonts w:ascii="Baskerville Old Face" w:hAnsi="Baskerville Old Face"/>
          <w:i/>
          <w:iCs/>
        </w:rPr>
        <w:br/>
        <w:t>• time horizon;</w:t>
      </w:r>
      <w:r w:rsidRPr="00B479AE">
        <w:rPr>
          <w:rFonts w:ascii="Baskerville Old Face" w:hAnsi="Baskerville Old Face"/>
          <w:i/>
          <w:iCs/>
        </w:rPr>
        <w:br/>
        <w:t>• liquidity expectations;</w:t>
      </w:r>
      <w:r w:rsidRPr="00B479AE">
        <w:rPr>
          <w:rFonts w:ascii="Baskerville Old Face" w:hAnsi="Baskerville Old Face"/>
          <w:i/>
          <w:iCs/>
        </w:rPr>
        <w:br/>
        <w:t>• exit strategy;</w:t>
      </w:r>
      <w:r w:rsidRPr="00B479AE">
        <w:rPr>
          <w:rFonts w:ascii="Baskerville Old Face" w:hAnsi="Baskerville Old Face"/>
          <w:i/>
          <w:iCs/>
        </w:rPr>
        <w:br/>
        <w:t>• leverage profile;</w:t>
      </w:r>
      <w:r w:rsidRPr="00B479AE">
        <w:rPr>
          <w:rFonts w:ascii="Baskerville Old Face" w:hAnsi="Baskerville Old Face"/>
          <w:i/>
          <w:iCs/>
        </w:rPr>
        <w:br/>
        <w:t>• investor disclosure discipline;</w:t>
      </w:r>
      <w:r w:rsidRPr="00B479AE">
        <w:rPr>
          <w:rFonts w:ascii="Baskerville Old Face" w:hAnsi="Baskerville Old Face"/>
          <w:i/>
          <w:iCs/>
        </w:rPr>
        <w:br/>
        <w:t>• acceptance that PRU, RAP, tokenization, and investor-facing claims require evidence, legal structure, and compliance review.</w:t>
      </w:r>
    </w:p>
    <w:p w14:paraId="4583DD4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Prometheus should avoid universal fixed thresholds such as a mandatory percentage of aligned invested capital unless such thresholds are formally adopted by governance for a specific program.</w:t>
      </w:r>
    </w:p>
    <w:p w14:paraId="6ECBFB2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Instead, Prometheus should use a risk-based alignment review.</w:t>
      </w:r>
    </w:p>
    <w:p w14:paraId="226DE5C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participant’s capital strategy may be classified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6"/>
        <w:gridCol w:w="5288"/>
        <w:gridCol w:w="2804"/>
      </w:tblGrid>
      <w:tr w:rsidR="00BB351D" w:rsidRPr="00B479AE" w14:paraId="609B5B3C" w14:textId="77777777" w:rsidTr="00BB351D">
        <w:trPr>
          <w:tblHeader/>
          <w:tblCellSpacing w:w="15" w:type="dxa"/>
        </w:trPr>
        <w:tc>
          <w:tcPr>
            <w:tcW w:w="0" w:type="auto"/>
            <w:vAlign w:val="center"/>
            <w:hideMark/>
          </w:tcPr>
          <w:p w14:paraId="6D14AD2D"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Alignment status</w:t>
            </w:r>
          </w:p>
        </w:tc>
        <w:tc>
          <w:tcPr>
            <w:tcW w:w="0" w:type="auto"/>
            <w:vAlign w:val="center"/>
            <w:hideMark/>
          </w:tcPr>
          <w:p w14:paraId="4D4485CB"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58CD8CB2"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Access implication</w:t>
            </w:r>
          </w:p>
        </w:tc>
      </w:tr>
      <w:tr w:rsidR="00BB351D" w:rsidRPr="00B479AE" w14:paraId="29800639" w14:textId="77777777" w:rsidTr="00BB351D">
        <w:trPr>
          <w:tblCellSpacing w:w="15" w:type="dxa"/>
        </w:trPr>
        <w:tc>
          <w:tcPr>
            <w:tcW w:w="0" w:type="auto"/>
            <w:vAlign w:val="center"/>
            <w:hideMark/>
          </w:tcPr>
          <w:p w14:paraId="4307ED14"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Aligned</w:t>
            </w:r>
          </w:p>
        </w:tc>
        <w:tc>
          <w:tcPr>
            <w:tcW w:w="0" w:type="auto"/>
            <w:vAlign w:val="center"/>
            <w:hideMark/>
          </w:tcPr>
          <w:p w14:paraId="221F01C4"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Strategy is substantially compatible with regenerative infrastructure, evidence discipline, and constitutional constraints.</w:t>
            </w:r>
          </w:p>
        </w:tc>
        <w:tc>
          <w:tcPr>
            <w:tcW w:w="0" w:type="auto"/>
            <w:vAlign w:val="center"/>
            <w:hideMark/>
          </w:tcPr>
          <w:p w14:paraId="1A938C74"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Eligible for ordinary capital-participation review.</w:t>
            </w:r>
          </w:p>
        </w:tc>
      </w:tr>
      <w:tr w:rsidR="00BB351D" w:rsidRPr="00B479AE" w14:paraId="6D867D29" w14:textId="77777777" w:rsidTr="00BB351D">
        <w:trPr>
          <w:tblCellSpacing w:w="15" w:type="dxa"/>
        </w:trPr>
        <w:tc>
          <w:tcPr>
            <w:tcW w:w="0" w:type="auto"/>
            <w:vAlign w:val="center"/>
            <w:hideMark/>
          </w:tcPr>
          <w:p w14:paraId="2F7B8882"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Conditionally aligned</w:t>
            </w:r>
          </w:p>
        </w:tc>
        <w:tc>
          <w:tcPr>
            <w:tcW w:w="0" w:type="auto"/>
            <w:vAlign w:val="center"/>
            <w:hideMark/>
          </w:tcPr>
          <w:p w14:paraId="3130A7DD"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Strategy may become compatible if specific exclusions, disclosures, limitations, or review conditions are accepted.</w:t>
            </w:r>
          </w:p>
        </w:tc>
        <w:tc>
          <w:tcPr>
            <w:tcW w:w="0" w:type="auto"/>
            <w:vAlign w:val="center"/>
            <w:hideMark/>
          </w:tcPr>
          <w:p w14:paraId="32A48B73"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Eligible only with conditions.</w:t>
            </w:r>
          </w:p>
        </w:tc>
      </w:tr>
      <w:tr w:rsidR="00BB351D" w:rsidRPr="00B479AE" w14:paraId="375E4D16" w14:textId="77777777" w:rsidTr="00BB351D">
        <w:trPr>
          <w:tblCellSpacing w:w="15" w:type="dxa"/>
        </w:trPr>
        <w:tc>
          <w:tcPr>
            <w:tcW w:w="0" w:type="auto"/>
            <w:vAlign w:val="center"/>
            <w:hideMark/>
          </w:tcPr>
          <w:p w14:paraId="5B7C8B8C"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Transitional</w:t>
            </w:r>
          </w:p>
        </w:tc>
        <w:tc>
          <w:tcPr>
            <w:tcW w:w="0" w:type="auto"/>
            <w:vAlign w:val="center"/>
            <w:hideMark/>
          </w:tcPr>
          <w:p w14:paraId="54026B3A"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Entity is moving from conventional or mixed exposure toward regenerative alignment.</w:t>
            </w:r>
          </w:p>
        </w:tc>
        <w:tc>
          <w:tcPr>
            <w:tcW w:w="0" w:type="auto"/>
            <w:vAlign w:val="center"/>
            <w:hideMark/>
          </w:tcPr>
          <w:p w14:paraId="7BD86316"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Eligible for limited, observed, or pilot-specific participation.</w:t>
            </w:r>
          </w:p>
        </w:tc>
      </w:tr>
      <w:tr w:rsidR="00BB351D" w:rsidRPr="00B479AE" w14:paraId="5ECDA56D" w14:textId="77777777" w:rsidTr="00BB351D">
        <w:trPr>
          <w:tblCellSpacing w:w="15" w:type="dxa"/>
        </w:trPr>
        <w:tc>
          <w:tcPr>
            <w:tcW w:w="0" w:type="auto"/>
            <w:vAlign w:val="center"/>
            <w:hideMark/>
          </w:tcPr>
          <w:p w14:paraId="37C015D7"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High-risk</w:t>
            </w:r>
          </w:p>
        </w:tc>
        <w:tc>
          <w:tcPr>
            <w:tcW w:w="0" w:type="auto"/>
            <w:vAlign w:val="center"/>
            <w:hideMark/>
          </w:tcPr>
          <w:p w14:paraId="5F12B29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Strategy includes leverage, extraction, greenwashing, speculative tokenization, short-term exit pressure, or conflict with the Covenant.</w:t>
            </w:r>
          </w:p>
        </w:tc>
        <w:tc>
          <w:tcPr>
            <w:tcW w:w="0" w:type="auto"/>
            <w:vAlign w:val="center"/>
            <w:hideMark/>
          </w:tcPr>
          <w:p w14:paraId="6B59603B"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enhanced review, restriction, or rejection.</w:t>
            </w:r>
          </w:p>
        </w:tc>
      </w:tr>
      <w:tr w:rsidR="00BB351D" w:rsidRPr="00B479AE" w14:paraId="0E5D611C" w14:textId="77777777" w:rsidTr="00BB351D">
        <w:trPr>
          <w:tblCellSpacing w:w="15" w:type="dxa"/>
        </w:trPr>
        <w:tc>
          <w:tcPr>
            <w:tcW w:w="0" w:type="auto"/>
            <w:vAlign w:val="center"/>
            <w:hideMark/>
          </w:tcPr>
          <w:p w14:paraId="1250395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Incompatible</w:t>
            </w:r>
          </w:p>
        </w:tc>
        <w:tc>
          <w:tcPr>
            <w:tcW w:w="0" w:type="auto"/>
            <w:vAlign w:val="center"/>
            <w:hideMark/>
          </w:tcPr>
          <w:p w14:paraId="2AB38F6D"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Strategy materially violates foundational articles, Eternity Clauses, or Access Covenant.</w:t>
            </w:r>
          </w:p>
        </w:tc>
        <w:tc>
          <w:tcPr>
            <w:tcW w:w="0" w:type="auto"/>
            <w:vAlign w:val="center"/>
            <w:hideMark/>
          </w:tcPr>
          <w:p w14:paraId="45920883"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Not eligible unless strategy changes.</w:t>
            </w:r>
          </w:p>
        </w:tc>
      </w:tr>
    </w:tbl>
    <w:p w14:paraId="2F6328A5" w14:textId="41C32515"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Capital allocators may be subject to enhanced scrutiny, additional documentation, staged access, reporting requirements, observation periods, or legal review.</w:t>
      </w:r>
    </w:p>
    <w:p w14:paraId="0A1B01A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Any observation period should be defined by governance according to risk, not imposed as a universal fixed duration.</w:t>
      </w:r>
    </w:p>
    <w:p w14:paraId="491A667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No capital allocator may use Prometheus participation to imply investment approval, PRU entitlement, token rights, public offering, guaranteed return, or preferential access to future financial instruments.</w:t>
      </w:r>
    </w:p>
    <w:p w14:paraId="14D9A911"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Capital may enter Prometheus only as disciplined support for verified regeneration.</w:t>
      </w:r>
    </w:p>
    <w:p w14:paraId="7D37AFB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It may not become sovereignty over life.</w:t>
      </w:r>
    </w:p>
    <w:p w14:paraId="176256F7"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7.6 Governments and Public Agencies</w:t>
      </w:r>
    </w:p>
    <w:p w14:paraId="32AF089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Governments and public agencies may participate in public-interest, territorial, ecological, educational, procurement, research, food-system, health, climate-adaptation, resilience, or infrastructure roles.</w:t>
      </w:r>
    </w:p>
    <w:p w14:paraId="7FEA426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5903562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legal authority to participate;</w:t>
      </w:r>
      <w:r w:rsidRPr="00B479AE">
        <w:rPr>
          <w:rFonts w:ascii="Baskerville Old Face" w:hAnsi="Baskerville Old Face"/>
          <w:i/>
          <w:iCs/>
        </w:rPr>
        <w:br/>
        <w:t>• identification of responsible office or representative;</w:t>
      </w:r>
      <w:r w:rsidRPr="00B479AE">
        <w:rPr>
          <w:rFonts w:ascii="Baskerville Old Face" w:hAnsi="Baskerville Old Face"/>
          <w:i/>
          <w:iCs/>
        </w:rPr>
        <w:br/>
        <w:t>• scope of participation;</w:t>
      </w:r>
      <w:r w:rsidRPr="00B479AE">
        <w:rPr>
          <w:rFonts w:ascii="Baskerville Old Face" w:hAnsi="Baskerville Old Face"/>
          <w:i/>
          <w:iCs/>
        </w:rPr>
        <w:br/>
        <w:t>• public-interest alignment;</w:t>
      </w:r>
      <w:r w:rsidRPr="00B479AE">
        <w:rPr>
          <w:rFonts w:ascii="Baskerville Old Face" w:hAnsi="Baskerville Old Face"/>
          <w:i/>
          <w:iCs/>
        </w:rPr>
        <w:br/>
        <w:t>• data-governance requirements;</w:t>
      </w:r>
      <w:r w:rsidRPr="00B479AE">
        <w:rPr>
          <w:rFonts w:ascii="Baskerville Old Face" w:hAnsi="Baskerville Old Face"/>
          <w:i/>
          <w:iCs/>
        </w:rPr>
        <w:br/>
        <w:t>• procurement or funding rules;</w:t>
      </w:r>
      <w:r w:rsidRPr="00B479AE">
        <w:rPr>
          <w:rFonts w:ascii="Baskerville Old Face" w:hAnsi="Baskerville Old Face"/>
          <w:i/>
          <w:iCs/>
        </w:rPr>
        <w:br/>
        <w:t>• respect for community participation and local autonomy;</w:t>
      </w:r>
      <w:r w:rsidRPr="00B479AE">
        <w:rPr>
          <w:rFonts w:ascii="Baskerville Old Face" w:hAnsi="Baskerville Old Face"/>
          <w:i/>
          <w:iCs/>
        </w:rPr>
        <w:br/>
        <w:t>• avoidance of coercive deployment;</w:t>
      </w:r>
      <w:r w:rsidRPr="00B479AE">
        <w:rPr>
          <w:rFonts w:ascii="Baskerville Old Face" w:hAnsi="Baskerville Old Face"/>
          <w:i/>
          <w:iCs/>
        </w:rPr>
        <w:br/>
        <w:t>• commitment to transparency, proportionality, and due process;</w:t>
      </w:r>
      <w:r w:rsidRPr="00B479AE">
        <w:rPr>
          <w:rFonts w:ascii="Baskerville Old Face" w:hAnsi="Baskerville Old Face"/>
          <w:i/>
          <w:iCs/>
        </w:rPr>
        <w:br/>
        <w:t>• legal review of any conflict between public-law obligations and Prometheus governance.</w:t>
      </w:r>
    </w:p>
    <w:p w14:paraId="700D922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relationship with public agencies must be handled carefully.</w:t>
      </w:r>
    </w:p>
    <w:p w14:paraId="53ACB68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cannot erase sovereign, statutory, administrative, procurement, or public-law obligations by private covenant language.</w:t>
      </w:r>
    </w:p>
    <w:p w14:paraId="23E393F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public agency may be bound by the Access Covenant within the scope of its participation, but the consequences of breach must be handled through legally appropriate instruments, agreements, remedies, governance pathways, and applicable law.</w:t>
      </w:r>
    </w:p>
    <w:p w14:paraId="6CB1322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correct principle is not that sovereign immunity “does not exist.”</w:t>
      </w:r>
    </w:p>
    <w:p w14:paraId="64DE6C9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correct principle is:</w:t>
      </w:r>
    </w:p>
    <w:p w14:paraId="43F9D0E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public authority does not grant permission to violate the Prometheus constitutional source layer within the Prometheus ecosystem.</w:t>
      </w:r>
    </w:p>
    <w:p w14:paraId="61CEF54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Where legal doctrines limit remedies, Prometheus may still restrict ecosystem access, classify actions as non-admissible, refuse participation pathways, require review, suspend specific interfaces, or terminate participation according to the applicable agreement and law.</w:t>
      </w:r>
    </w:p>
    <w:p w14:paraId="5BA528D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respects public authority.</w:t>
      </w:r>
    </w:p>
    <w:p w14:paraId="6A1DB8B1"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also preserves its own constitutional boundary.</w:t>
      </w:r>
    </w:p>
    <w:p w14:paraId="60201173"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7.7 Token Communities, DAOs, Digital Networks, and Token Projects</w:t>
      </w:r>
    </w:p>
    <w:p w14:paraId="494A455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Token communities, DAOs, digital networks, and token projects may participate only if they respect the strict separation between governance, participation, access, token representation, financial rights, PRU value, land rights, investor exposure, and ecological verification.</w:t>
      </w:r>
    </w:p>
    <w:p w14:paraId="4151F46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001A64FF"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public governance process or equivalent governance disclosure;</w:t>
      </w:r>
      <w:r w:rsidRPr="00B479AE">
        <w:rPr>
          <w:rFonts w:ascii="Baskerville Old Face" w:hAnsi="Baskerville Old Face"/>
          <w:i/>
          <w:iCs/>
        </w:rPr>
        <w:br/>
        <w:t xml:space="preserve">• </w:t>
      </w:r>
      <w:proofErr w:type="spellStart"/>
      <w:r w:rsidRPr="00B479AE">
        <w:rPr>
          <w:rFonts w:ascii="Baskerville Old Face" w:hAnsi="Baskerville Old Face"/>
          <w:i/>
          <w:iCs/>
        </w:rPr>
        <w:t>tokenomics</w:t>
      </w:r>
      <w:proofErr w:type="spellEnd"/>
      <w:r w:rsidRPr="00B479AE">
        <w:rPr>
          <w:rFonts w:ascii="Baskerville Old Face" w:hAnsi="Baskerville Old Face"/>
          <w:i/>
          <w:iCs/>
        </w:rPr>
        <w:t xml:space="preserve"> review where relevant;</w:t>
      </w:r>
      <w:r w:rsidRPr="00B479AE">
        <w:rPr>
          <w:rFonts w:ascii="Baskerville Old Face" w:hAnsi="Baskerville Old Face"/>
          <w:i/>
          <w:iCs/>
        </w:rPr>
        <w:br/>
        <w:t>• legal classification review;</w:t>
      </w:r>
      <w:r w:rsidRPr="00B479AE">
        <w:rPr>
          <w:rFonts w:ascii="Baskerville Old Face" w:hAnsi="Baskerville Old Face"/>
          <w:i/>
          <w:iCs/>
        </w:rPr>
        <w:br/>
        <w:t>• rights and claims associated with the token;</w:t>
      </w:r>
      <w:r w:rsidRPr="00B479AE">
        <w:rPr>
          <w:rFonts w:ascii="Baskerville Old Face" w:hAnsi="Baskerville Old Face"/>
          <w:i/>
          <w:iCs/>
        </w:rPr>
        <w:br/>
        <w:t>• treasury policy;</w:t>
      </w:r>
      <w:r w:rsidRPr="00B479AE">
        <w:rPr>
          <w:rFonts w:ascii="Baskerville Old Face" w:hAnsi="Baskerville Old Face"/>
          <w:i/>
          <w:iCs/>
        </w:rPr>
        <w:br/>
        <w:t>• voting mechanism;</w:t>
      </w:r>
      <w:r w:rsidRPr="00B479AE">
        <w:rPr>
          <w:rFonts w:ascii="Baskerville Old Face" w:hAnsi="Baskerville Old Face"/>
          <w:i/>
          <w:iCs/>
        </w:rPr>
        <w:br/>
        <w:t>• concentration and whale-risk analysis;</w:t>
      </w:r>
      <w:r w:rsidRPr="00B479AE">
        <w:rPr>
          <w:rFonts w:ascii="Baskerville Old Face" w:hAnsi="Baskerville Old Face"/>
          <w:i/>
          <w:iCs/>
        </w:rPr>
        <w:br/>
        <w:t>• bridge or interoperability risks;</w:t>
      </w:r>
      <w:r w:rsidRPr="00B479AE">
        <w:rPr>
          <w:rFonts w:ascii="Baskerville Old Face" w:hAnsi="Baskerville Old Face"/>
          <w:i/>
          <w:iCs/>
        </w:rPr>
        <w:br/>
        <w:t>• compliance with the Access Covenant;</w:t>
      </w:r>
      <w:r w:rsidRPr="00B479AE">
        <w:rPr>
          <w:rFonts w:ascii="Baskerville Old Face" w:hAnsi="Baskerville Old Face"/>
          <w:i/>
          <w:iCs/>
        </w:rPr>
        <w:br/>
        <w:t>• avoidance of false claims about regeneration, PRU, land, yield, ownership, liquidity, or investor entitlement.</w:t>
      </w:r>
    </w:p>
    <w:p w14:paraId="0FA13FF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Token projects must not be admitted merely because they use regenerative language.</w:t>
      </w:r>
    </w:p>
    <w:p w14:paraId="38208CF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They must demonstrate that their token logic does not convert narrative into value, governance into entitlement, or speculation into ecological performance.</w:t>
      </w:r>
    </w:p>
    <w:p w14:paraId="53CD204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Potential access statuses may include:</w:t>
      </w:r>
    </w:p>
    <w:p w14:paraId="44073BE5" w14:textId="77777777" w:rsidR="002E24FF" w:rsidRPr="00B479AE" w:rsidRDefault="002E24FF" w:rsidP="00BB351D">
      <w:pPr>
        <w:spacing w:line="360" w:lineRule="auto"/>
        <w:rPr>
          <w:rFonts w:ascii="Baskerville Old Face" w:hAnsi="Baskerville Old Face"/>
          <w:i/>
          <w:iCs/>
        </w:rPr>
      </w:pPr>
    </w:p>
    <w:p w14:paraId="3FB8231F" w14:textId="77777777" w:rsidR="002E24FF" w:rsidRPr="00B479AE" w:rsidRDefault="002E24FF" w:rsidP="00BB351D">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5"/>
        <w:gridCol w:w="7333"/>
      </w:tblGrid>
      <w:tr w:rsidR="00BB351D" w:rsidRPr="00B479AE" w14:paraId="59ECF7F1" w14:textId="77777777" w:rsidTr="002E24FF">
        <w:trPr>
          <w:tblHeader/>
          <w:tblCellSpacing w:w="15" w:type="dxa"/>
        </w:trPr>
        <w:tc>
          <w:tcPr>
            <w:tcW w:w="0" w:type="auto"/>
            <w:vAlign w:val="center"/>
            <w:hideMark/>
          </w:tcPr>
          <w:p w14:paraId="7F5C1E74"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Status</w:t>
            </w:r>
          </w:p>
        </w:tc>
        <w:tc>
          <w:tcPr>
            <w:tcW w:w="0" w:type="auto"/>
            <w:vAlign w:val="center"/>
            <w:hideMark/>
          </w:tcPr>
          <w:p w14:paraId="0C09401B"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BB351D" w:rsidRPr="00B479AE" w14:paraId="51338C3B" w14:textId="77777777" w:rsidTr="002E24FF">
        <w:trPr>
          <w:tblCellSpacing w:w="15" w:type="dxa"/>
        </w:trPr>
        <w:tc>
          <w:tcPr>
            <w:tcW w:w="0" w:type="auto"/>
            <w:vAlign w:val="center"/>
            <w:hideMark/>
          </w:tcPr>
          <w:p w14:paraId="72F0B1DD"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Observer status</w:t>
            </w:r>
          </w:p>
        </w:tc>
        <w:tc>
          <w:tcPr>
            <w:tcW w:w="0" w:type="auto"/>
            <w:vAlign w:val="center"/>
            <w:hideMark/>
          </w:tcPr>
          <w:p w14:paraId="16E458E8"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May learn, participate in non-sensitive forums, or explore compatibility.</w:t>
            </w:r>
          </w:p>
        </w:tc>
      </w:tr>
      <w:tr w:rsidR="00BB351D" w:rsidRPr="00B479AE" w14:paraId="35AB0771" w14:textId="77777777" w:rsidTr="002E24FF">
        <w:trPr>
          <w:tblCellSpacing w:w="15" w:type="dxa"/>
        </w:trPr>
        <w:tc>
          <w:tcPr>
            <w:tcW w:w="0" w:type="auto"/>
            <w:vAlign w:val="center"/>
            <w:hideMark/>
          </w:tcPr>
          <w:p w14:paraId="4197860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Research / sandbox status</w:t>
            </w:r>
          </w:p>
        </w:tc>
        <w:tc>
          <w:tcPr>
            <w:tcW w:w="0" w:type="auto"/>
            <w:vAlign w:val="center"/>
            <w:hideMark/>
          </w:tcPr>
          <w:p w14:paraId="6CFCB4A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May test interoperability under restricted conditions.</w:t>
            </w:r>
          </w:p>
        </w:tc>
      </w:tr>
      <w:tr w:rsidR="00BB351D" w:rsidRPr="00B479AE" w14:paraId="3F3DCD09" w14:textId="77777777" w:rsidTr="002E24FF">
        <w:trPr>
          <w:tblCellSpacing w:w="15" w:type="dxa"/>
        </w:trPr>
        <w:tc>
          <w:tcPr>
            <w:tcW w:w="0" w:type="auto"/>
            <w:vAlign w:val="center"/>
            <w:hideMark/>
          </w:tcPr>
          <w:p w14:paraId="7D494A4C"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Limited participation</w:t>
            </w:r>
          </w:p>
        </w:tc>
        <w:tc>
          <w:tcPr>
            <w:tcW w:w="0" w:type="auto"/>
            <w:vAlign w:val="center"/>
            <w:hideMark/>
          </w:tcPr>
          <w:p w14:paraId="7FB4340D"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May access specific functions under defined boundaries.</w:t>
            </w:r>
          </w:p>
        </w:tc>
      </w:tr>
      <w:tr w:rsidR="00BB351D" w:rsidRPr="00B479AE" w14:paraId="5E8FA55A" w14:textId="77777777" w:rsidTr="002E24FF">
        <w:trPr>
          <w:tblCellSpacing w:w="15" w:type="dxa"/>
        </w:trPr>
        <w:tc>
          <w:tcPr>
            <w:tcW w:w="0" w:type="auto"/>
            <w:vAlign w:val="center"/>
            <w:hideMark/>
          </w:tcPr>
          <w:p w14:paraId="40EFA4EA"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participation</w:t>
            </w:r>
          </w:p>
        </w:tc>
        <w:tc>
          <w:tcPr>
            <w:tcW w:w="0" w:type="auto"/>
            <w:vAlign w:val="center"/>
            <w:hideMark/>
          </w:tcPr>
          <w:p w14:paraId="44968C42"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May participate in governance only within approved scope and legal boundaries.</w:t>
            </w:r>
          </w:p>
        </w:tc>
      </w:tr>
      <w:tr w:rsidR="00BB351D" w:rsidRPr="00B479AE" w14:paraId="6E51C3E8" w14:textId="77777777" w:rsidTr="002E24FF">
        <w:trPr>
          <w:tblCellSpacing w:w="15" w:type="dxa"/>
        </w:trPr>
        <w:tc>
          <w:tcPr>
            <w:tcW w:w="0" w:type="auto"/>
            <w:vAlign w:val="center"/>
            <w:hideMark/>
          </w:tcPr>
          <w:p w14:paraId="47C764AE"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Rejected / incompatible</w:t>
            </w:r>
          </w:p>
        </w:tc>
        <w:tc>
          <w:tcPr>
            <w:tcW w:w="0" w:type="auto"/>
            <w:vAlign w:val="center"/>
            <w:hideMark/>
          </w:tcPr>
          <w:p w14:paraId="476E5222"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Not eligible due to </w:t>
            </w:r>
            <w:proofErr w:type="spellStart"/>
            <w:r w:rsidRPr="00B479AE">
              <w:rPr>
                <w:rFonts w:ascii="Baskerville Old Face" w:hAnsi="Baskerville Old Face"/>
                <w:i/>
                <w:iCs/>
                <w:sz w:val="22"/>
                <w:szCs w:val="22"/>
              </w:rPr>
              <w:t>tokenomic</w:t>
            </w:r>
            <w:proofErr w:type="spellEnd"/>
            <w:r w:rsidRPr="00B479AE">
              <w:rPr>
                <w:rFonts w:ascii="Baskerville Old Face" w:hAnsi="Baskerville Old Face"/>
                <w:i/>
                <w:iCs/>
                <w:sz w:val="22"/>
                <w:szCs w:val="22"/>
              </w:rPr>
              <w:t>, legal, governance, ecological, or constitutional conflict.</w:t>
            </w:r>
          </w:p>
        </w:tc>
      </w:tr>
    </w:tbl>
    <w:p w14:paraId="51D5882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Any observation period should be risk-based and governance-defined.</w:t>
      </w:r>
    </w:p>
    <w:p w14:paraId="07D5172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fixed six-month minimum may be used as a policy option, but it should not be presented as a universal constitutional requirement unless formally adopted.</w:t>
      </w:r>
    </w:p>
    <w:p w14:paraId="14E65551"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Where a token ecosystem has its own governance, treasury, token logic, role structure, and community identity, Prometheus should interact through sovereign alignment and interoperability, not absorption.</w:t>
      </w:r>
    </w:p>
    <w:p w14:paraId="03FA65F0"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7.8 Digital Agents, AI Systems, Infrastructure Providers, and Technical Operators</w:t>
      </w:r>
    </w:p>
    <w:p w14:paraId="3825604F"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Digital agents, AI systems, infrastructure providers, model operators, connector providers, data-service providers, and technical maintainers may participate only through strict role boundaries.</w:t>
      </w:r>
    </w:p>
    <w:p w14:paraId="0CEC926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6AB9AC9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operator identity;</w:t>
      </w:r>
      <w:r w:rsidRPr="00B479AE">
        <w:rPr>
          <w:rFonts w:ascii="Baskerville Old Face" w:hAnsi="Baskerville Old Face"/>
          <w:i/>
          <w:iCs/>
        </w:rPr>
        <w:br/>
        <w:t>• technical function;</w:t>
      </w:r>
      <w:r w:rsidRPr="00B479AE">
        <w:rPr>
          <w:rFonts w:ascii="Baskerville Old Face" w:hAnsi="Baskerville Old Face"/>
          <w:i/>
          <w:iCs/>
        </w:rPr>
        <w:br/>
        <w:t>• access scope;</w:t>
      </w:r>
      <w:r w:rsidRPr="00B479AE">
        <w:rPr>
          <w:rFonts w:ascii="Baskerville Old Face" w:hAnsi="Baskerville Old Face"/>
          <w:i/>
          <w:iCs/>
        </w:rPr>
        <w:br/>
        <w:t>• data permissions;</w:t>
      </w:r>
      <w:r w:rsidRPr="00B479AE">
        <w:rPr>
          <w:rFonts w:ascii="Baskerville Old Face" w:hAnsi="Baskerville Old Face"/>
          <w:i/>
          <w:iCs/>
        </w:rPr>
        <w:br/>
        <w:t>• model or system description where relevant;</w:t>
      </w:r>
      <w:r w:rsidRPr="00B479AE">
        <w:rPr>
          <w:rFonts w:ascii="Baskerville Old Face" w:hAnsi="Baskerville Old Face"/>
          <w:i/>
          <w:iCs/>
        </w:rPr>
        <w:br/>
        <w:t>• security posture;</w:t>
      </w:r>
      <w:r w:rsidRPr="00B479AE">
        <w:rPr>
          <w:rFonts w:ascii="Baskerville Old Face" w:hAnsi="Baskerville Old Face"/>
          <w:i/>
          <w:iCs/>
        </w:rPr>
        <w:br/>
        <w:t>• auditability;</w:t>
      </w:r>
      <w:r w:rsidRPr="00B479AE">
        <w:rPr>
          <w:rFonts w:ascii="Baskerville Old Face" w:hAnsi="Baskerville Old Face"/>
          <w:i/>
          <w:iCs/>
        </w:rPr>
        <w:br/>
      </w:r>
      <w:r w:rsidRPr="00B479AE">
        <w:rPr>
          <w:rFonts w:ascii="Baskerville Old Face" w:hAnsi="Baskerville Old Face"/>
          <w:i/>
          <w:iCs/>
        </w:rPr>
        <w:lastRenderedPageBreak/>
        <w:t>• logging requirements;</w:t>
      </w:r>
      <w:r w:rsidRPr="00B479AE">
        <w:rPr>
          <w:rFonts w:ascii="Baskerville Old Face" w:hAnsi="Baskerville Old Face"/>
          <w:i/>
          <w:iCs/>
        </w:rPr>
        <w:br/>
        <w:t>• incident-response procedure;</w:t>
      </w:r>
      <w:r w:rsidRPr="00B479AE">
        <w:rPr>
          <w:rFonts w:ascii="Baskerville Old Face" w:hAnsi="Baskerville Old Face"/>
          <w:i/>
          <w:iCs/>
        </w:rPr>
        <w:br/>
        <w:t>• model-risk review where applicable;</w:t>
      </w:r>
      <w:r w:rsidRPr="00B479AE">
        <w:rPr>
          <w:rFonts w:ascii="Baskerville Old Face" w:hAnsi="Baskerville Old Face"/>
          <w:i/>
          <w:iCs/>
        </w:rPr>
        <w:br/>
        <w:t>• compliance with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xml:space="preserve"> constraints;</w:t>
      </w:r>
      <w:r w:rsidRPr="00B479AE">
        <w:rPr>
          <w:rFonts w:ascii="Baskerville Old Face" w:hAnsi="Baskerville Old Face"/>
          <w:i/>
          <w:iCs/>
        </w:rPr>
        <w:br/>
        <w:t>• prohibition on autonomous execution without authorization.</w:t>
      </w:r>
    </w:p>
    <w:p w14:paraId="701E427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No AI system, autonomous agent, dashboard, connector, API, or technical provider may independently authorize:</w:t>
      </w:r>
    </w:p>
    <w:p w14:paraId="53E9B35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PRU value;</w:t>
      </w:r>
      <w:r w:rsidRPr="00B479AE">
        <w:rPr>
          <w:rFonts w:ascii="Baskerville Old Face" w:hAnsi="Baskerville Old Face"/>
          <w:i/>
          <w:iCs/>
        </w:rPr>
        <w:br/>
        <w:t>• RAP inclusion;</w:t>
      </w:r>
      <w:r w:rsidRPr="00B479AE">
        <w:rPr>
          <w:rFonts w:ascii="Baskerville Old Face" w:hAnsi="Baskerville Old Face"/>
          <w:i/>
          <w:iCs/>
        </w:rPr>
        <w:br/>
        <w:t>• investor-facing claims;</w:t>
      </w:r>
      <w:r w:rsidRPr="00B479AE">
        <w:rPr>
          <w:rFonts w:ascii="Baskerville Old Face" w:hAnsi="Baskerville Old Face"/>
          <w:i/>
          <w:iCs/>
        </w:rPr>
        <w:br/>
        <w:t>• token issuance;</w:t>
      </w:r>
      <w:r w:rsidRPr="00B479AE">
        <w:rPr>
          <w:rFonts w:ascii="Baskerville Old Face" w:hAnsi="Baskerville Old Face"/>
          <w:i/>
          <w:iCs/>
        </w:rPr>
        <w:br/>
        <w:t>• ecological interventions;</w:t>
      </w:r>
      <w:r w:rsidRPr="00B479AE">
        <w:rPr>
          <w:rFonts w:ascii="Baskerville Old Face" w:hAnsi="Baskerville Old Face"/>
          <w:i/>
          <w:iCs/>
        </w:rPr>
        <w:br/>
        <w:t>• legal rights;</w:t>
      </w:r>
      <w:r w:rsidRPr="00B479AE">
        <w:rPr>
          <w:rFonts w:ascii="Baskerville Old Face" w:hAnsi="Baskerville Old Face"/>
          <w:i/>
          <w:iCs/>
        </w:rPr>
        <w:br/>
        <w:t>• governance decisions;</w:t>
      </w:r>
      <w:r w:rsidRPr="00B479AE">
        <w:rPr>
          <w:rFonts w:ascii="Baskerville Old Face" w:hAnsi="Baskerville Old Face"/>
          <w:i/>
          <w:iCs/>
        </w:rPr>
        <w:br/>
        <w:t>• capital deployment.</w:t>
      </w:r>
    </w:p>
    <w:p w14:paraId="4792DDA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Technical systems may assist.</w:t>
      </w:r>
    </w:p>
    <w:p w14:paraId="684E854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They may observe, route, calculate, compare, flag, recommend, and explain.</w:t>
      </w:r>
    </w:p>
    <w:p w14:paraId="275C737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They may not become constitutional authority.</w:t>
      </w:r>
    </w:p>
    <w:p w14:paraId="20C6D20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uses intelligence.</w:t>
      </w:r>
    </w:p>
    <w:p w14:paraId="06736388"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does not surrender sovereignty to intelligence.</w:t>
      </w:r>
    </w:p>
    <w:p w14:paraId="7DE602BE"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7.9 Auditors, Verifiers, Researchers, and Methodology Contributors</w:t>
      </w:r>
    </w:p>
    <w:p w14:paraId="7C04332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Auditors, verifiers, researchers, universities, laboratories, and methodology contributors may participate when their role strengthens evidence quality, verification discipline, scientific integrity, or methodology development.</w:t>
      </w:r>
    </w:p>
    <w:p w14:paraId="482B2A0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3AF7ED5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professional identity or institutional affiliation;</w:t>
      </w:r>
      <w:r w:rsidRPr="00B479AE">
        <w:rPr>
          <w:rFonts w:ascii="Baskerville Old Face" w:hAnsi="Baskerville Old Face"/>
          <w:i/>
          <w:iCs/>
        </w:rPr>
        <w:br/>
        <w:t>• relevant expertise;</w:t>
      </w:r>
      <w:r w:rsidRPr="00B479AE">
        <w:rPr>
          <w:rFonts w:ascii="Baskerville Old Face" w:hAnsi="Baskerville Old Face"/>
          <w:i/>
          <w:iCs/>
        </w:rPr>
        <w:br/>
        <w:t>• conflict-of-interest disclosure;</w:t>
      </w:r>
      <w:r w:rsidRPr="00B479AE">
        <w:rPr>
          <w:rFonts w:ascii="Baskerville Old Face" w:hAnsi="Baskerville Old Face"/>
          <w:i/>
          <w:iCs/>
        </w:rPr>
        <w:br/>
      </w:r>
      <w:r w:rsidRPr="00B479AE">
        <w:rPr>
          <w:rFonts w:ascii="Baskerville Old Face" w:hAnsi="Baskerville Old Face"/>
          <w:i/>
          <w:iCs/>
        </w:rPr>
        <w:lastRenderedPageBreak/>
        <w:t>• methodology transparency;</w:t>
      </w:r>
      <w:r w:rsidRPr="00B479AE">
        <w:rPr>
          <w:rFonts w:ascii="Baskerville Old Face" w:hAnsi="Baskerville Old Face"/>
          <w:i/>
          <w:iCs/>
        </w:rPr>
        <w:br/>
        <w:t>• data-access boundaries;</w:t>
      </w:r>
      <w:r w:rsidRPr="00B479AE">
        <w:rPr>
          <w:rFonts w:ascii="Baskerville Old Face" w:hAnsi="Baskerville Old Face"/>
          <w:i/>
          <w:iCs/>
        </w:rPr>
        <w:br/>
        <w:t>• confidentiality obligations;</w:t>
      </w:r>
      <w:r w:rsidRPr="00B479AE">
        <w:rPr>
          <w:rFonts w:ascii="Baskerville Old Face" w:hAnsi="Baskerville Old Face"/>
          <w:i/>
          <w:iCs/>
        </w:rPr>
        <w:br/>
        <w:t>• publication or reporting rules;</w:t>
      </w:r>
      <w:r w:rsidRPr="00B479AE">
        <w:rPr>
          <w:rFonts w:ascii="Baskerville Old Face" w:hAnsi="Baskerville Old Face"/>
          <w:i/>
          <w:iCs/>
        </w:rPr>
        <w:br/>
        <w:t>• independence requirements where relevant;</w:t>
      </w:r>
      <w:r w:rsidRPr="00B479AE">
        <w:rPr>
          <w:rFonts w:ascii="Baskerville Old Face" w:hAnsi="Baskerville Old Face"/>
          <w:i/>
          <w:iCs/>
        </w:rPr>
        <w:br/>
        <w:t>• evidence-handling procedures;</w:t>
      </w:r>
      <w:r w:rsidRPr="00B479AE">
        <w:rPr>
          <w:rFonts w:ascii="Baskerville Old Face" w:hAnsi="Baskerville Old Face"/>
          <w:i/>
          <w:iCs/>
        </w:rPr>
        <w:br/>
        <w:t>• agreement not to overstate findings beyond data quality and methodology.</w:t>
      </w:r>
    </w:p>
    <w:p w14:paraId="5458EF2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Researchers may explore frontier hypotheses.</w:t>
      </w:r>
    </w:p>
    <w:p w14:paraId="72DCA9F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Auditors and verifiers must preserve institutional credibility.</w:t>
      </w:r>
    </w:p>
    <w:p w14:paraId="1671B5B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research hypothesis is not PRU value.</w:t>
      </w:r>
    </w:p>
    <w:p w14:paraId="2355C5F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laboratory result is not automatically admissible value.</w:t>
      </w:r>
    </w:p>
    <w:p w14:paraId="2C975D7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model output is not verification unless methodology and review conditions are satisfied.</w:t>
      </w:r>
    </w:p>
    <w:p w14:paraId="45E9201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Scientific curiosity is welcome.</w:t>
      </w:r>
    </w:p>
    <w:p w14:paraId="1B81740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Financial admissibility requires evidence discipline.</w:t>
      </w:r>
    </w:p>
    <w:p w14:paraId="4868D5E7"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7.10 Religious, Spiritual, Cultural, and Ancestral Communities</w:t>
      </w:r>
    </w:p>
    <w:p w14:paraId="78E2E83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may collaborate with religious, spiritual, cultural, and ancestral communities when such collaboration supports dignity, stewardship, ecological care, education, community resilience, food systems, land restoration, intergenerational continuity, or human coherence.</w:t>
      </w:r>
    </w:p>
    <w:p w14:paraId="33F2818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review may include:</w:t>
      </w:r>
    </w:p>
    <w:p w14:paraId="795F2CA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 identification of the community or institution;</w:t>
      </w:r>
      <w:r w:rsidRPr="00B479AE">
        <w:rPr>
          <w:rFonts w:ascii="Baskerville Old Face" w:hAnsi="Baskerville Old Face"/>
          <w:i/>
          <w:iCs/>
        </w:rPr>
        <w:br/>
        <w:t>• representative authority where relevant;</w:t>
      </w:r>
      <w:r w:rsidRPr="00B479AE">
        <w:rPr>
          <w:rFonts w:ascii="Baskerville Old Face" w:hAnsi="Baskerville Old Face"/>
          <w:i/>
          <w:iCs/>
        </w:rPr>
        <w:br/>
        <w:t>• scope of collaboration;</w:t>
      </w:r>
      <w:r w:rsidRPr="00B479AE">
        <w:rPr>
          <w:rFonts w:ascii="Baskerville Old Face" w:hAnsi="Baskerville Old Face"/>
          <w:i/>
          <w:iCs/>
        </w:rPr>
        <w:br/>
        <w:t>• internal governance or leadership structure;</w:t>
      </w:r>
      <w:r w:rsidRPr="00B479AE">
        <w:rPr>
          <w:rFonts w:ascii="Baskerville Old Face" w:hAnsi="Baskerville Old Face"/>
          <w:i/>
          <w:iCs/>
        </w:rPr>
        <w:br/>
        <w:t>• safeguarding and consent policies where needed;</w:t>
      </w:r>
      <w:r w:rsidRPr="00B479AE">
        <w:rPr>
          <w:rFonts w:ascii="Baskerville Old Face" w:hAnsi="Baskerville Old Face"/>
          <w:i/>
          <w:iCs/>
        </w:rPr>
        <w:br/>
        <w:t>• respect for voluntary participation and freedom of conscience;</w:t>
      </w:r>
      <w:r w:rsidRPr="00B479AE">
        <w:rPr>
          <w:rFonts w:ascii="Baskerville Old Face" w:hAnsi="Baskerville Old Face"/>
          <w:i/>
          <w:iCs/>
        </w:rPr>
        <w:br/>
        <w:t>• clear distinction between spiritual meaning and Prometheus evidence;</w:t>
      </w:r>
      <w:r w:rsidRPr="00B479AE">
        <w:rPr>
          <w:rFonts w:ascii="Baskerville Old Face" w:hAnsi="Baskerville Old Face"/>
          <w:i/>
          <w:iCs/>
        </w:rPr>
        <w:br/>
        <w:t>• clear distinction between ritual, testimony, observation, and verified indicators;</w:t>
      </w:r>
      <w:r w:rsidRPr="00B479AE">
        <w:rPr>
          <w:rFonts w:ascii="Baskerville Old Face" w:hAnsi="Baskerville Old Face"/>
          <w:i/>
          <w:iCs/>
        </w:rPr>
        <w:br/>
      </w:r>
      <w:r w:rsidRPr="00B479AE">
        <w:rPr>
          <w:rFonts w:ascii="Baskerville Old Face" w:hAnsi="Baskerville Old Face"/>
          <w:i/>
          <w:iCs/>
        </w:rPr>
        <w:lastRenderedPageBreak/>
        <w:t>• commitment not to use Prometheus participation for coercion, exclusion, manipulation, or financial overclaiming.</w:t>
      </w:r>
    </w:p>
    <w:p w14:paraId="53419129"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recognizes that communities may speak different languages of meaning.</w:t>
      </w:r>
    </w:p>
    <w:p w14:paraId="156AA13F"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Some may speak of Creation.</w:t>
      </w:r>
    </w:p>
    <w:p w14:paraId="36B8AF1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Some may speak of Nature.</w:t>
      </w:r>
    </w:p>
    <w:p w14:paraId="662146CA"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Some may speak of Earth.</w:t>
      </w:r>
    </w:p>
    <w:p w14:paraId="25A599E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Some may speak of God, Spirit, ancestry, science, ecology, or interdependence.</w:t>
      </w:r>
    </w:p>
    <w:p w14:paraId="5D0D5F8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does not impose one sacred language.</w:t>
      </w:r>
    </w:p>
    <w:p w14:paraId="65166B2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protects the living foundation behind many languages.</w:t>
      </w:r>
    </w:p>
    <w:p w14:paraId="281977FC"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 spiritual or cultural community may contribute meaning, care, ritual, memory, stewardship, and human coherence.</w:t>
      </w:r>
    </w:p>
    <w:p w14:paraId="741CB69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However, spiritual or cultural legitimacy does not automatically create MRV evidence, PRU value, governance authority, investor rights, or legal entitlement.</w:t>
      </w:r>
    </w:p>
    <w:p w14:paraId="0C95B9F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This boundary protects both the community and Prometheus.</w:t>
      </w:r>
    </w:p>
    <w:p w14:paraId="670BFCFD"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Meaning is honored.</w:t>
      </w:r>
    </w:p>
    <w:p w14:paraId="51F561F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Evidence is verified.</w:t>
      </w:r>
    </w:p>
    <w:p w14:paraId="38676E0E"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7.11 General Eligibility Outcomes</w:t>
      </w:r>
    </w:p>
    <w:p w14:paraId="72F5EB9F" w14:textId="79C50836"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After review, an entity may receive one of several eligibility outcomes.</w:t>
      </w:r>
      <w:r w:rsidR="007A502C" w:rsidRPr="00B479AE">
        <w:rPr>
          <w:rFonts w:ascii="Baskerville Old Face" w:hAnsi="Baskerville Old Face"/>
          <w:i/>
          <w:iCs/>
        </w:rPr>
        <w:t xml:space="preserve"> </w:t>
      </w:r>
    </w:p>
    <w:p w14:paraId="1F451CBE" w14:textId="77777777" w:rsidR="007A502C" w:rsidRPr="00B479AE" w:rsidRDefault="007A502C" w:rsidP="00BB351D">
      <w:pPr>
        <w:spacing w:line="360" w:lineRule="auto"/>
        <w:rPr>
          <w:rFonts w:ascii="Baskerville Old Face" w:hAnsi="Baskerville Old Face"/>
          <w:i/>
          <w:iCs/>
        </w:rPr>
      </w:pPr>
    </w:p>
    <w:p w14:paraId="10322E25" w14:textId="77777777" w:rsidR="007A502C" w:rsidRPr="00B479AE" w:rsidRDefault="007A502C" w:rsidP="00BB351D">
      <w:pPr>
        <w:spacing w:line="360" w:lineRule="auto"/>
        <w:rPr>
          <w:rFonts w:ascii="Baskerville Old Face" w:hAnsi="Baskerville Old Face"/>
          <w:i/>
          <w:iCs/>
        </w:rPr>
      </w:pPr>
    </w:p>
    <w:p w14:paraId="3BD0C800" w14:textId="77777777" w:rsidR="007A502C" w:rsidRPr="00B479AE" w:rsidRDefault="007A502C" w:rsidP="00BB351D">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7584"/>
      </w:tblGrid>
      <w:tr w:rsidR="00BB351D" w:rsidRPr="00B479AE" w14:paraId="410BF745" w14:textId="77777777" w:rsidTr="002E24FF">
        <w:trPr>
          <w:tblHeader/>
          <w:tblCellSpacing w:w="15" w:type="dxa"/>
        </w:trPr>
        <w:tc>
          <w:tcPr>
            <w:tcW w:w="0" w:type="auto"/>
            <w:vAlign w:val="center"/>
            <w:hideMark/>
          </w:tcPr>
          <w:p w14:paraId="5F5D191D"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Eligibility outcome</w:t>
            </w:r>
          </w:p>
        </w:tc>
        <w:tc>
          <w:tcPr>
            <w:tcW w:w="0" w:type="auto"/>
            <w:vAlign w:val="center"/>
            <w:hideMark/>
          </w:tcPr>
          <w:p w14:paraId="11994C2C"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BB351D" w:rsidRPr="00B479AE" w14:paraId="6E650BB0" w14:textId="77777777" w:rsidTr="002E24FF">
        <w:trPr>
          <w:tblCellSpacing w:w="15" w:type="dxa"/>
        </w:trPr>
        <w:tc>
          <w:tcPr>
            <w:tcW w:w="0" w:type="auto"/>
            <w:vAlign w:val="center"/>
            <w:hideMark/>
          </w:tcPr>
          <w:p w14:paraId="0319F04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Eligible</w:t>
            </w:r>
          </w:p>
        </w:tc>
        <w:tc>
          <w:tcPr>
            <w:tcW w:w="0" w:type="auto"/>
            <w:vAlign w:val="center"/>
            <w:hideMark/>
          </w:tcPr>
          <w:p w14:paraId="1522AD7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enter within the approved scope.</w:t>
            </w:r>
          </w:p>
        </w:tc>
      </w:tr>
      <w:tr w:rsidR="00BB351D" w:rsidRPr="00B479AE" w14:paraId="2AE8BFAA" w14:textId="77777777" w:rsidTr="002E24FF">
        <w:trPr>
          <w:tblCellSpacing w:w="15" w:type="dxa"/>
        </w:trPr>
        <w:tc>
          <w:tcPr>
            <w:tcW w:w="0" w:type="auto"/>
            <w:vAlign w:val="center"/>
            <w:hideMark/>
          </w:tcPr>
          <w:p w14:paraId="357E59E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Eligible with conditions</w:t>
            </w:r>
          </w:p>
        </w:tc>
        <w:tc>
          <w:tcPr>
            <w:tcW w:w="0" w:type="auto"/>
            <w:vAlign w:val="center"/>
            <w:hideMark/>
          </w:tcPr>
          <w:p w14:paraId="4B4B82E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enter subject to defined limitations, disclosures, review, or controls.</w:t>
            </w:r>
          </w:p>
        </w:tc>
      </w:tr>
      <w:tr w:rsidR="00BB351D" w:rsidRPr="00B479AE" w14:paraId="3A5B0540" w14:textId="77777777" w:rsidTr="002E24FF">
        <w:trPr>
          <w:tblCellSpacing w:w="15" w:type="dxa"/>
        </w:trPr>
        <w:tc>
          <w:tcPr>
            <w:tcW w:w="0" w:type="auto"/>
            <w:vAlign w:val="center"/>
            <w:hideMark/>
          </w:tcPr>
          <w:p w14:paraId="3E0DB30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Limited / sandbox access</w:t>
            </w:r>
          </w:p>
        </w:tc>
        <w:tc>
          <w:tcPr>
            <w:tcW w:w="0" w:type="auto"/>
            <w:vAlign w:val="center"/>
            <w:hideMark/>
          </w:tcPr>
          <w:p w14:paraId="2E98E377"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test compatibility without full participation rights.</w:t>
            </w:r>
          </w:p>
        </w:tc>
      </w:tr>
      <w:tr w:rsidR="00BB351D" w:rsidRPr="00B479AE" w14:paraId="43F7D124" w14:textId="77777777" w:rsidTr="002E24FF">
        <w:trPr>
          <w:tblCellSpacing w:w="15" w:type="dxa"/>
        </w:trPr>
        <w:tc>
          <w:tcPr>
            <w:tcW w:w="0" w:type="auto"/>
            <w:vAlign w:val="center"/>
            <w:hideMark/>
          </w:tcPr>
          <w:p w14:paraId="50E54ADB"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Observer status</w:t>
            </w:r>
          </w:p>
        </w:tc>
        <w:tc>
          <w:tcPr>
            <w:tcW w:w="0" w:type="auto"/>
            <w:vAlign w:val="center"/>
            <w:hideMark/>
          </w:tcPr>
          <w:p w14:paraId="07758EE6"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learn or engage without governance, capital, or operational authority.</w:t>
            </w:r>
          </w:p>
        </w:tc>
      </w:tr>
      <w:tr w:rsidR="00BB351D" w:rsidRPr="00B479AE" w14:paraId="77819C59" w14:textId="77777777" w:rsidTr="002E24FF">
        <w:trPr>
          <w:tblCellSpacing w:w="15" w:type="dxa"/>
        </w:trPr>
        <w:tc>
          <w:tcPr>
            <w:tcW w:w="0" w:type="auto"/>
            <w:vAlign w:val="center"/>
            <w:hideMark/>
          </w:tcPr>
          <w:p w14:paraId="151F25C7"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Review required</w:t>
            </w:r>
          </w:p>
        </w:tc>
        <w:tc>
          <w:tcPr>
            <w:tcW w:w="0" w:type="auto"/>
            <w:vAlign w:val="center"/>
            <w:hideMark/>
          </w:tcPr>
          <w:p w14:paraId="66F8F2A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Additional evidence, legal review, governance review, or documentation is required.</w:t>
            </w:r>
          </w:p>
        </w:tc>
      </w:tr>
      <w:tr w:rsidR="00BB351D" w:rsidRPr="00B479AE" w14:paraId="237682FA" w14:textId="77777777" w:rsidTr="002E24FF">
        <w:trPr>
          <w:tblCellSpacing w:w="15" w:type="dxa"/>
        </w:trPr>
        <w:tc>
          <w:tcPr>
            <w:tcW w:w="0" w:type="auto"/>
            <w:vAlign w:val="center"/>
            <w:hideMark/>
          </w:tcPr>
          <w:p w14:paraId="4257FE9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w:t>
            </w:r>
          </w:p>
        </w:tc>
        <w:tc>
          <w:tcPr>
            <w:tcW w:w="0" w:type="auto"/>
            <w:vAlign w:val="center"/>
            <w:hideMark/>
          </w:tcPr>
          <w:p w14:paraId="44CDBA72"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access only narrow functions due to risk profile.</w:t>
            </w:r>
          </w:p>
        </w:tc>
      </w:tr>
      <w:tr w:rsidR="00BB351D" w:rsidRPr="00B479AE" w14:paraId="7CE6BE88" w14:textId="77777777" w:rsidTr="002E24FF">
        <w:trPr>
          <w:tblCellSpacing w:w="15" w:type="dxa"/>
        </w:trPr>
        <w:tc>
          <w:tcPr>
            <w:tcW w:w="0" w:type="auto"/>
            <w:vAlign w:val="center"/>
            <w:hideMark/>
          </w:tcPr>
          <w:p w14:paraId="148B895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Suspended</w:t>
            </w:r>
          </w:p>
        </w:tc>
        <w:tc>
          <w:tcPr>
            <w:tcW w:w="0" w:type="auto"/>
            <w:vAlign w:val="center"/>
            <w:hideMark/>
          </w:tcPr>
          <w:p w14:paraId="481F896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Existing participation is paused pending review or remediation.</w:t>
            </w:r>
          </w:p>
        </w:tc>
      </w:tr>
      <w:tr w:rsidR="00BB351D" w:rsidRPr="00B479AE" w14:paraId="6D127AE2" w14:textId="77777777" w:rsidTr="002E24FF">
        <w:trPr>
          <w:tblCellSpacing w:w="15" w:type="dxa"/>
        </w:trPr>
        <w:tc>
          <w:tcPr>
            <w:tcW w:w="0" w:type="auto"/>
            <w:vAlign w:val="center"/>
            <w:hideMark/>
          </w:tcPr>
          <w:p w14:paraId="3B28554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Rejected</w:t>
            </w:r>
          </w:p>
        </w:tc>
        <w:tc>
          <w:tcPr>
            <w:tcW w:w="0" w:type="auto"/>
            <w:vAlign w:val="center"/>
            <w:hideMark/>
          </w:tcPr>
          <w:p w14:paraId="155B5D2E"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is not eligible under current facts or constitutional constraints.</w:t>
            </w:r>
          </w:p>
        </w:tc>
      </w:tr>
      <w:tr w:rsidR="00BB351D" w:rsidRPr="00B479AE" w14:paraId="1948F709" w14:textId="77777777" w:rsidTr="002E24FF">
        <w:trPr>
          <w:tblCellSpacing w:w="15" w:type="dxa"/>
        </w:trPr>
        <w:tc>
          <w:tcPr>
            <w:tcW w:w="0" w:type="auto"/>
            <w:vAlign w:val="center"/>
            <w:hideMark/>
          </w:tcPr>
          <w:p w14:paraId="790133BF"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w:t>
            </w:r>
          </w:p>
        </w:tc>
        <w:tc>
          <w:tcPr>
            <w:tcW w:w="0" w:type="auto"/>
            <w:vAlign w:val="center"/>
            <w:hideMark/>
          </w:tcPr>
          <w:p w14:paraId="3E2B2C22"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Participant or pathway presents serious capture, legal, ecological, financial, </w:t>
            </w:r>
            <w:proofErr w:type="spellStart"/>
            <w:r w:rsidRPr="00B479AE">
              <w:rPr>
                <w:rFonts w:ascii="Baskerville Old Face" w:hAnsi="Baskerville Old Face"/>
                <w:i/>
                <w:iCs/>
                <w:sz w:val="22"/>
                <w:szCs w:val="22"/>
              </w:rPr>
              <w:t>tokenomic</w:t>
            </w:r>
            <w:proofErr w:type="spellEnd"/>
            <w:r w:rsidRPr="00B479AE">
              <w:rPr>
                <w:rFonts w:ascii="Baskerville Old Face" w:hAnsi="Baskerville Old Face"/>
                <w:i/>
                <w:iCs/>
                <w:sz w:val="22"/>
                <w:szCs w:val="22"/>
              </w:rPr>
              <w:t>, or governance risk.</w:t>
            </w:r>
          </w:p>
        </w:tc>
      </w:tr>
    </w:tbl>
    <w:p w14:paraId="1F39D03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is not a permanent badge.</w:t>
      </w:r>
    </w:p>
    <w:p w14:paraId="07F58D7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is a governed status.</w:t>
      </w:r>
    </w:p>
    <w:p w14:paraId="7240227B"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may evolve as evidence, conduct, legal status, governance maturity, risk profile, Covenant compliance, community-field health, or technical implementation changes.</w:t>
      </w:r>
    </w:p>
    <w:p w14:paraId="0A3D4B68"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7.12 Eligibility Review Matrix</w:t>
      </w:r>
    </w:p>
    <w:p w14:paraId="6C828D20"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may use an eligibility review matrix to make onboarding more transparent.</w:t>
      </w:r>
    </w:p>
    <w:p w14:paraId="7B5923E3" w14:textId="77777777" w:rsidR="002E24FF" w:rsidRPr="00B479AE" w:rsidRDefault="002E24FF" w:rsidP="00BB351D">
      <w:pPr>
        <w:spacing w:line="360" w:lineRule="auto"/>
        <w:rPr>
          <w:rFonts w:ascii="Baskerville Old Face" w:hAnsi="Baskerville Old Face"/>
          <w:i/>
          <w:iCs/>
        </w:rPr>
      </w:pPr>
    </w:p>
    <w:p w14:paraId="05DDF918" w14:textId="77777777" w:rsidR="00315BCB" w:rsidRPr="00B479AE" w:rsidRDefault="00315BCB" w:rsidP="00BB351D">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7302"/>
      </w:tblGrid>
      <w:tr w:rsidR="00BB351D" w:rsidRPr="00B479AE" w14:paraId="2BF6B1F1" w14:textId="77777777" w:rsidTr="002E24FF">
        <w:trPr>
          <w:tblHeader/>
          <w:tblCellSpacing w:w="15" w:type="dxa"/>
        </w:trPr>
        <w:tc>
          <w:tcPr>
            <w:tcW w:w="0" w:type="auto"/>
            <w:vAlign w:val="center"/>
            <w:hideMark/>
          </w:tcPr>
          <w:p w14:paraId="676CF53D"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Review dimension</w:t>
            </w:r>
          </w:p>
        </w:tc>
        <w:tc>
          <w:tcPr>
            <w:tcW w:w="0" w:type="auto"/>
            <w:vAlign w:val="center"/>
            <w:hideMark/>
          </w:tcPr>
          <w:p w14:paraId="5A0925A9" w14:textId="77777777" w:rsidR="00BB351D" w:rsidRPr="00B479AE" w:rsidRDefault="00BB351D" w:rsidP="00BB351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Key question</w:t>
            </w:r>
          </w:p>
        </w:tc>
      </w:tr>
      <w:tr w:rsidR="00BB351D" w:rsidRPr="00B479AE" w14:paraId="7C779819" w14:textId="77777777" w:rsidTr="002E24FF">
        <w:trPr>
          <w:tblCellSpacing w:w="15" w:type="dxa"/>
        </w:trPr>
        <w:tc>
          <w:tcPr>
            <w:tcW w:w="0" w:type="auto"/>
            <w:vAlign w:val="center"/>
            <w:hideMark/>
          </w:tcPr>
          <w:p w14:paraId="3215337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Identity / authority</w:t>
            </w:r>
          </w:p>
        </w:tc>
        <w:tc>
          <w:tcPr>
            <w:tcW w:w="0" w:type="auto"/>
            <w:vAlign w:val="center"/>
            <w:hideMark/>
          </w:tcPr>
          <w:p w14:paraId="7263DF3A"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Who is entering, and who has authority to bind the entity?</w:t>
            </w:r>
          </w:p>
        </w:tc>
      </w:tr>
      <w:tr w:rsidR="00BB351D" w:rsidRPr="00B479AE" w14:paraId="3D3FEE7D" w14:textId="77777777" w:rsidTr="002E24FF">
        <w:trPr>
          <w:tblCellSpacing w:w="15" w:type="dxa"/>
        </w:trPr>
        <w:tc>
          <w:tcPr>
            <w:tcW w:w="0" w:type="auto"/>
            <w:vAlign w:val="center"/>
            <w:hideMark/>
          </w:tcPr>
          <w:p w14:paraId="1312E3CE"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Purpose alignment</w:t>
            </w:r>
          </w:p>
        </w:tc>
        <w:tc>
          <w:tcPr>
            <w:tcW w:w="0" w:type="auto"/>
            <w:vAlign w:val="center"/>
            <w:hideMark/>
          </w:tcPr>
          <w:p w14:paraId="56BA1EE4"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Why does the participant want to enter Prometheus?</w:t>
            </w:r>
          </w:p>
        </w:tc>
      </w:tr>
      <w:tr w:rsidR="00BB351D" w:rsidRPr="00B479AE" w14:paraId="0EE76349" w14:textId="77777777" w:rsidTr="002E24FF">
        <w:trPr>
          <w:tblCellSpacing w:w="15" w:type="dxa"/>
        </w:trPr>
        <w:tc>
          <w:tcPr>
            <w:tcW w:w="0" w:type="auto"/>
            <w:vAlign w:val="center"/>
            <w:hideMark/>
          </w:tcPr>
          <w:p w14:paraId="58AD0D32"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compatibility</w:t>
            </w:r>
          </w:p>
        </w:tc>
        <w:tc>
          <w:tcPr>
            <w:tcW w:w="0" w:type="auto"/>
            <w:vAlign w:val="center"/>
            <w:hideMark/>
          </w:tcPr>
          <w:p w14:paraId="01E0249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Does participation align with foundational articles, Eternity Clauses, and the Access Covenant?</w:t>
            </w:r>
          </w:p>
        </w:tc>
      </w:tr>
      <w:tr w:rsidR="00BB351D" w:rsidRPr="00B479AE" w14:paraId="4D27A31E" w14:textId="77777777" w:rsidTr="002E24FF">
        <w:trPr>
          <w:tblCellSpacing w:w="15" w:type="dxa"/>
        </w:trPr>
        <w:tc>
          <w:tcPr>
            <w:tcW w:w="0" w:type="auto"/>
            <w:vAlign w:val="center"/>
            <w:hideMark/>
          </w:tcPr>
          <w:p w14:paraId="5DD8991F"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Role clarity</w:t>
            </w:r>
          </w:p>
        </w:tc>
        <w:tc>
          <w:tcPr>
            <w:tcW w:w="0" w:type="auto"/>
            <w:vAlign w:val="center"/>
            <w:hideMark/>
          </w:tcPr>
          <w:p w14:paraId="5977348B"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What function will the participant perform?</w:t>
            </w:r>
          </w:p>
        </w:tc>
      </w:tr>
      <w:tr w:rsidR="00BB351D" w:rsidRPr="00B479AE" w14:paraId="49EE74B3" w14:textId="77777777" w:rsidTr="002E24FF">
        <w:trPr>
          <w:tblCellSpacing w:w="15" w:type="dxa"/>
        </w:trPr>
        <w:tc>
          <w:tcPr>
            <w:tcW w:w="0" w:type="auto"/>
            <w:vAlign w:val="center"/>
            <w:hideMark/>
          </w:tcPr>
          <w:p w14:paraId="04A9A1F3"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responsibility</w:t>
            </w:r>
          </w:p>
        </w:tc>
        <w:tc>
          <w:tcPr>
            <w:tcW w:w="0" w:type="auto"/>
            <w:vAlign w:val="center"/>
            <w:hideMark/>
          </w:tcPr>
          <w:p w14:paraId="7AB697E7"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Will the participant generate, handle, verify, or rely on evidence?</w:t>
            </w:r>
          </w:p>
        </w:tc>
      </w:tr>
      <w:tr w:rsidR="00BB351D" w:rsidRPr="00B479AE" w14:paraId="1C6C553F" w14:textId="77777777" w:rsidTr="002E24FF">
        <w:trPr>
          <w:tblCellSpacing w:w="15" w:type="dxa"/>
        </w:trPr>
        <w:tc>
          <w:tcPr>
            <w:tcW w:w="0" w:type="auto"/>
            <w:vAlign w:val="center"/>
            <w:hideMark/>
          </w:tcPr>
          <w:p w14:paraId="5BFFD39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scope</w:t>
            </w:r>
          </w:p>
        </w:tc>
        <w:tc>
          <w:tcPr>
            <w:tcW w:w="0" w:type="auto"/>
            <w:vAlign w:val="center"/>
            <w:hideMark/>
          </w:tcPr>
          <w:p w14:paraId="006421AB"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What decisions, if any, can the participant influence?</w:t>
            </w:r>
          </w:p>
        </w:tc>
      </w:tr>
      <w:tr w:rsidR="00BB351D" w:rsidRPr="00B479AE" w14:paraId="6C00AA54" w14:textId="77777777" w:rsidTr="002E24FF">
        <w:trPr>
          <w:tblCellSpacing w:w="15" w:type="dxa"/>
        </w:trPr>
        <w:tc>
          <w:tcPr>
            <w:tcW w:w="0" w:type="auto"/>
            <w:vAlign w:val="center"/>
            <w:hideMark/>
          </w:tcPr>
          <w:p w14:paraId="030F073E"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boundary</w:t>
            </w:r>
          </w:p>
        </w:tc>
        <w:tc>
          <w:tcPr>
            <w:tcW w:w="0" w:type="auto"/>
            <w:vAlign w:val="center"/>
            <w:hideMark/>
          </w:tcPr>
          <w:p w14:paraId="72957D9B"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Does participation create or imply financial rights?</w:t>
            </w:r>
          </w:p>
        </w:tc>
      </w:tr>
      <w:tr w:rsidR="00BB351D" w:rsidRPr="00B479AE" w14:paraId="33C28DE2" w14:textId="77777777" w:rsidTr="002E24FF">
        <w:trPr>
          <w:tblCellSpacing w:w="15" w:type="dxa"/>
        </w:trPr>
        <w:tc>
          <w:tcPr>
            <w:tcW w:w="0" w:type="auto"/>
            <w:vAlign w:val="center"/>
            <w:hideMark/>
          </w:tcPr>
          <w:p w14:paraId="7093559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 boundary</w:t>
            </w:r>
          </w:p>
        </w:tc>
        <w:tc>
          <w:tcPr>
            <w:tcW w:w="0" w:type="auto"/>
            <w:vAlign w:val="center"/>
            <w:hideMark/>
          </w:tcPr>
          <w:p w14:paraId="5F46A205"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Is any token involved, and what does it represent or not represent?</w:t>
            </w:r>
          </w:p>
        </w:tc>
      </w:tr>
      <w:tr w:rsidR="00BB351D" w:rsidRPr="00B479AE" w14:paraId="792264D9" w14:textId="77777777" w:rsidTr="002E24FF">
        <w:trPr>
          <w:tblCellSpacing w:w="15" w:type="dxa"/>
        </w:trPr>
        <w:tc>
          <w:tcPr>
            <w:tcW w:w="0" w:type="auto"/>
            <w:vAlign w:val="center"/>
            <w:hideMark/>
          </w:tcPr>
          <w:p w14:paraId="49C9D870"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boundary</w:t>
            </w:r>
          </w:p>
        </w:tc>
        <w:tc>
          <w:tcPr>
            <w:tcW w:w="0" w:type="auto"/>
            <w:vAlign w:val="center"/>
            <w:hideMark/>
          </w:tcPr>
          <w:p w14:paraId="5F812983"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Does the relationship require legal documentation or jurisdictional review?</w:t>
            </w:r>
          </w:p>
        </w:tc>
      </w:tr>
      <w:tr w:rsidR="00BB351D" w:rsidRPr="00B479AE" w14:paraId="74726994" w14:textId="77777777" w:rsidTr="002E24FF">
        <w:trPr>
          <w:tblCellSpacing w:w="15" w:type="dxa"/>
        </w:trPr>
        <w:tc>
          <w:tcPr>
            <w:tcW w:w="0" w:type="auto"/>
            <w:vAlign w:val="center"/>
            <w:hideMark/>
          </w:tcPr>
          <w:p w14:paraId="3783C601"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Risk classification</w:t>
            </w:r>
          </w:p>
        </w:tc>
        <w:tc>
          <w:tcPr>
            <w:tcW w:w="0" w:type="auto"/>
            <w:vAlign w:val="center"/>
            <w:hideMark/>
          </w:tcPr>
          <w:p w14:paraId="554FE0DD"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What risks does this participant introduce or reduce?</w:t>
            </w:r>
          </w:p>
        </w:tc>
      </w:tr>
      <w:tr w:rsidR="00BB351D" w:rsidRPr="00B479AE" w14:paraId="1419D358" w14:textId="77777777" w:rsidTr="002E24FF">
        <w:trPr>
          <w:tblCellSpacing w:w="15" w:type="dxa"/>
        </w:trPr>
        <w:tc>
          <w:tcPr>
            <w:tcW w:w="0" w:type="auto"/>
            <w:vAlign w:val="center"/>
            <w:hideMark/>
          </w:tcPr>
          <w:p w14:paraId="64495729"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Review cycle</w:t>
            </w:r>
          </w:p>
        </w:tc>
        <w:tc>
          <w:tcPr>
            <w:tcW w:w="0" w:type="auto"/>
            <w:vAlign w:val="center"/>
            <w:hideMark/>
          </w:tcPr>
          <w:p w14:paraId="6CA1BE99" w14:textId="77777777" w:rsidR="00BB351D" w:rsidRPr="00B479AE" w:rsidRDefault="00BB351D" w:rsidP="00BB351D">
            <w:pPr>
              <w:spacing w:line="360" w:lineRule="auto"/>
              <w:rPr>
                <w:rFonts w:ascii="Baskerville Old Face" w:hAnsi="Baskerville Old Face"/>
                <w:i/>
                <w:iCs/>
                <w:sz w:val="22"/>
                <w:szCs w:val="22"/>
              </w:rPr>
            </w:pPr>
            <w:r w:rsidRPr="00B479AE">
              <w:rPr>
                <w:rFonts w:ascii="Baskerville Old Face" w:hAnsi="Baskerville Old Face"/>
                <w:i/>
                <w:iCs/>
                <w:sz w:val="22"/>
                <w:szCs w:val="22"/>
              </w:rPr>
              <w:t>When should eligibility be reviewed again?</w:t>
            </w:r>
          </w:p>
        </w:tc>
      </w:tr>
    </w:tbl>
    <w:p w14:paraId="3DCD8FD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This matrix helps Prometheus remain open without becoming vague.</w:t>
      </w:r>
    </w:p>
    <w:p w14:paraId="1213FFC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It gives the onboarding process a spine.</w:t>
      </w:r>
    </w:p>
    <w:p w14:paraId="00C68E6E" w14:textId="77777777" w:rsidR="00BB351D" w:rsidRPr="00B479AE" w:rsidRDefault="00BB351D" w:rsidP="00BB351D">
      <w:pPr>
        <w:spacing w:line="360" w:lineRule="auto"/>
        <w:rPr>
          <w:rFonts w:ascii="Baskerville Old Face" w:hAnsi="Baskerville Old Face"/>
          <w:b/>
          <w:bCs/>
          <w:i/>
          <w:iCs/>
        </w:rPr>
      </w:pPr>
      <w:r w:rsidRPr="00B479AE">
        <w:rPr>
          <w:rFonts w:ascii="Baskerville Old Face" w:hAnsi="Baskerville Old Face"/>
          <w:b/>
          <w:bCs/>
          <w:i/>
          <w:iCs/>
        </w:rPr>
        <w:t>7.13 Final Eligibility Principle</w:t>
      </w:r>
    </w:p>
    <w:p w14:paraId="5C52C65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Eligibility exists to protect openness from capture.</w:t>
      </w:r>
    </w:p>
    <w:p w14:paraId="6E8FA9CE"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Prometheus should be open to persons, communities, institutions, capital, technology, research, governance innovation, cultural wisdom, spiritual traditions, and future human coordination forms.</w:t>
      </w:r>
    </w:p>
    <w:p w14:paraId="187243F7"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But openness without constitutional discipline becomes vulnerability.</w:t>
      </w:r>
    </w:p>
    <w:p w14:paraId="72A6259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The eligibility layer therefore asks one question before all others:</w:t>
      </w:r>
    </w:p>
    <w:p w14:paraId="6AFCB09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lastRenderedPageBreak/>
        <w:t>can this participant enter without weakening the living foundation, evidence discipline, governance integrity, legal clarity, human dignity, or regenerative fidelity of Prometheus?</w:t>
      </w:r>
    </w:p>
    <w:p w14:paraId="7B0EE385"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If yes, access may be granted within the correct scope.</w:t>
      </w:r>
    </w:p>
    <w:p w14:paraId="053B69B8"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If not, access must be conditioned, limited, deferred, or refused.</w:t>
      </w:r>
    </w:p>
    <w:p w14:paraId="535369D2"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Participation is welcome.</w:t>
      </w:r>
    </w:p>
    <w:p w14:paraId="420F7D0C"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Contribution is welcome.</w:t>
      </w:r>
    </w:p>
    <w:p w14:paraId="673D1471"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Difference is welcome.</w:t>
      </w:r>
    </w:p>
    <w:p w14:paraId="2D462026"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Plurality is welcome.</w:t>
      </w:r>
    </w:p>
    <w:p w14:paraId="764C1743" w14:textId="77777777" w:rsidR="00BB351D" w:rsidRPr="00B479AE" w:rsidRDefault="00BB351D" w:rsidP="00BB351D">
      <w:pPr>
        <w:spacing w:line="360" w:lineRule="auto"/>
        <w:rPr>
          <w:rFonts w:ascii="Baskerville Old Face" w:hAnsi="Baskerville Old Face"/>
          <w:i/>
          <w:iCs/>
        </w:rPr>
      </w:pPr>
      <w:r w:rsidRPr="00B479AE">
        <w:rPr>
          <w:rFonts w:ascii="Baskerville Old Face" w:hAnsi="Baskerville Old Face"/>
          <w:i/>
          <w:iCs/>
        </w:rPr>
        <w:t>Capture is not.</w:t>
      </w:r>
    </w:p>
    <w:p w14:paraId="0913F97B" w14:textId="3F574EC1"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 Procedures for Gaining Access</w:t>
      </w:r>
    </w:p>
    <w:p w14:paraId="5E56A3A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to Prometheus is not granted through assumption, proximity, enthusiasm, capital, technical capacity, community status, token exposure, or institutional prestige.</w:t>
      </w:r>
    </w:p>
    <w:p w14:paraId="3CD1DBF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is granted through a reviewable procedure.</w:t>
      </w:r>
    </w:p>
    <w:p w14:paraId="59F094CE"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purpose of the access procedure is to translate the Access Covenant and the eligibility criteria into a clear operational pathway.</w:t>
      </w:r>
    </w:p>
    <w:p w14:paraId="7D898942"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procedure must remain:</w:t>
      </w:r>
    </w:p>
    <w:p w14:paraId="2063B4C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proportional;</w:t>
      </w:r>
      <w:r w:rsidRPr="00B479AE">
        <w:rPr>
          <w:rFonts w:ascii="Baskerville Old Face" w:hAnsi="Baskerville Old Face"/>
          <w:i/>
          <w:iCs/>
        </w:rPr>
        <w:br/>
        <w:t>• documented;</w:t>
      </w:r>
      <w:r w:rsidRPr="00B479AE">
        <w:rPr>
          <w:rFonts w:ascii="Baskerville Old Face" w:hAnsi="Baskerville Old Face"/>
          <w:i/>
          <w:iCs/>
        </w:rPr>
        <w:br/>
        <w:t>• reviewable;</w:t>
      </w:r>
      <w:r w:rsidRPr="00B479AE">
        <w:rPr>
          <w:rFonts w:ascii="Baskerville Old Face" w:hAnsi="Baskerville Old Face"/>
          <w:i/>
          <w:iCs/>
        </w:rPr>
        <w:br/>
        <w:t>• role-specific;</w:t>
      </w:r>
      <w:r w:rsidRPr="00B479AE">
        <w:rPr>
          <w:rFonts w:ascii="Baskerville Old Face" w:hAnsi="Baskerville Old Face"/>
          <w:i/>
          <w:iCs/>
        </w:rPr>
        <w:br/>
        <w:t>• evidence-aware;</w:t>
      </w:r>
      <w:r w:rsidRPr="00B479AE">
        <w:rPr>
          <w:rFonts w:ascii="Baskerville Old Face" w:hAnsi="Baskerville Old Face"/>
          <w:i/>
          <w:iCs/>
        </w:rPr>
        <w:br/>
        <w:t>• legally appropriate;</w:t>
      </w:r>
      <w:r w:rsidRPr="00B479AE">
        <w:rPr>
          <w:rFonts w:ascii="Baskerville Old Face" w:hAnsi="Baskerville Old Face"/>
          <w:i/>
          <w:iCs/>
        </w:rPr>
        <w:br/>
        <w:t>• technically grounded where implemented;</w:t>
      </w:r>
      <w:r w:rsidRPr="00B479AE">
        <w:rPr>
          <w:rFonts w:ascii="Baskerville Old Face" w:hAnsi="Baskerville Old Face"/>
          <w:i/>
          <w:iCs/>
        </w:rPr>
        <w:br/>
        <w:t>• respectful of human dignity;</w:t>
      </w:r>
      <w:r w:rsidRPr="00B479AE">
        <w:rPr>
          <w:rFonts w:ascii="Baskerville Old Face" w:hAnsi="Baskerville Old Face"/>
          <w:i/>
          <w:iCs/>
        </w:rPr>
        <w:br/>
        <w:t>• aligned with the constitutional source layer.</w:t>
      </w:r>
    </w:p>
    <w:p w14:paraId="2C1BA77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access procedure is not designed to create unnecessary bureaucracy.</w:t>
      </w:r>
    </w:p>
    <w:p w14:paraId="3BF534C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lastRenderedPageBreak/>
        <w:t>It is designed to prevent ambiguity.</w:t>
      </w:r>
    </w:p>
    <w:p w14:paraId="48F6DCB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participant should know:</w:t>
      </w:r>
    </w:p>
    <w:p w14:paraId="417DF5D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what they are applying for;</w:t>
      </w:r>
      <w:r w:rsidRPr="00B479AE">
        <w:rPr>
          <w:rFonts w:ascii="Baskerville Old Face" w:hAnsi="Baskerville Old Face"/>
          <w:i/>
          <w:iCs/>
        </w:rPr>
        <w:br/>
        <w:t>• which role or access scope is being requested;</w:t>
      </w:r>
      <w:r w:rsidRPr="00B479AE">
        <w:rPr>
          <w:rFonts w:ascii="Baskerville Old Face" w:hAnsi="Baskerville Old Face"/>
          <w:i/>
          <w:iCs/>
        </w:rPr>
        <w:br/>
        <w:t>• which documents or declarations are required;</w:t>
      </w:r>
      <w:r w:rsidRPr="00B479AE">
        <w:rPr>
          <w:rFonts w:ascii="Baskerville Old Face" w:hAnsi="Baskerville Old Face"/>
          <w:i/>
          <w:iCs/>
        </w:rPr>
        <w:br/>
        <w:t>• which governance body or process reviews the request;</w:t>
      </w:r>
      <w:r w:rsidRPr="00B479AE">
        <w:rPr>
          <w:rFonts w:ascii="Baskerville Old Face" w:hAnsi="Baskerville Old Face"/>
          <w:i/>
          <w:iCs/>
        </w:rPr>
        <w:br/>
        <w:t>• which risks are being evaluated;</w:t>
      </w:r>
      <w:r w:rsidRPr="00B479AE">
        <w:rPr>
          <w:rFonts w:ascii="Baskerville Old Face" w:hAnsi="Baskerville Old Face"/>
          <w:i/>
          <w:iCs/>
        </w:rPr>
        <w:br/>
        <w:t>• which rights are granted;</w:t>
      </w:r>
      <w:r w:rsidRPr="00B479AE">
        <w:rPr>
          <w:rFonts w:ascii="Baskerville Old Face" w:hAnsi="Baskerville Old Face"/>
          <w:i/>
          <w:iCs/>
        </w:rPr>
        <w:br/>
        <w:t>• which rights are not granted;</w:t>
      </w:r>
      <w:r w:rsidRPr="00B479AE">
        <w:rPr>
          <w:rFonts w:ascii="Baskerville Old Face" w:hAnsi="Baskerville Old Face"/>
          <w:i/>
          <w:iCs/>
        </w:rPr>
        <w:br/>
        <w:t>• which renewal or review duties apply;</w:t>
      </w:r>
      <w:r w:rsidRPr="00B479AE">
        <w:rPr>
          <w:rFonts w:ascii="Baskerville Old Face" w:hAnsi="Baskerville Old Face"/>
          <w:i/>
          <w:iCs/>
        </w:rPr>
        <w:br/>
        <w:t>• which consequences may follow from breach, misrepresentation, or drift.</w:t>
      </w:r>
    </w:p>
    <w:p w14:paraId="184D8DD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must remain open enough to welcome real contribution and disciplined enough to protect the living field from capture.</w:t>
      </w:r>
    </w:p>
    <w:p w14:paraId="7246CB7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access procedure is the bridge between openness and institutional integrity.</w:t>
      </w:r>
    </w:p>
    <w:p w14:paraId="1CD376F1"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8.1 Application</w:t>
      </w:r>
    </w:p>
    <w:p w14:paraId="7786B94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An application for access should identify the participant, the requested access scope, the intended role, and the relevant eligibility pathway.</w:t>
      </w:r>
    </w:p>
    <w:p w14:paraId="067F3F8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xml:space="preserve">Depending on the participant type, the application may be submitted through a Prometheus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interface, governance portal, legal intake process, institutional onboarding workflow, written application, signed agreement, or </w:t>
      </w:r>
      <w:proofErr w:type="gramStart"/>
      <w:r w:rsidRPr="00B479AE">
        <w:rPr>
          <w:rFonts w:ascii="Baskerville Old Face" w:hAnsi="Baskerville Old Face"/>
          <w:i/>
          <w:iCs/>
        </w:rPr>
        <w:t>other</w:t>
      </w:r>
      <w:proofErr w:type="gramEnd"/>
      <w:r w:rsidRPr="00B479AE">
        <w:rPr>
          <w:rFonts w:ascii="Baskerville Old Face" w:hAnsi="Baskerville Old Face"/>
          <w:i/>
          <w:iCs/>
        </w:rPr>
        <w:t xml:space="preserve"> approved pathway.</w:t>
      </w:r>
    </w:p>
    <w:p w14:paraId="5AB3CF7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should not assume that all access procedures are already fully automated.</w:t>
      </w:r>
    </w:p>
    <w:p w14:paraId="3F2AEA6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Where digital infrastructure is implemented, the application may generate a signed digital record, source-chain entry, hash reference, or access-status record.</w:t>
      </w:r>
    </w:p>
    <w:p w14:paraId="6C6EAFD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Where digital infrastructure is not yet implemented, the application may be processed through documented governance, legal, operational, or institutional procedures.</w:t>
      </w:r>
    </w:p>
    <w:p w14:paraId="6D5D40DE"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application may include:</w:t>
      </w:r>
    </w:p>
    <w:p w14:paraId="2D8E7C7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lastRenderedPageBreak/>
        <w:t>• participant type;</w:t>
      </w:r>
      <w:r w:rsidRPr="00B479AE">
        <w:rPr>
          <w:rFonts w:ascii="Baskerville Old Face" w:hAnsi="Baskerville Old Face"/>
          <w:i/>
          <w:iCs/>
        </w:rPr>
        <w:br/>
        <w:t>• basic identifying information;</w:t>
      </w:r>
      <w:r w:rsidRPr="00B479AE">
        <w:rPr>
          <w:rFonts w:ascii="Baskerville Old Face" w:hAnsi="Baskerville Old Face"/>
          <w:i/>
          <w:iCs/>
        </w:rPr>
        <w:br/>
        <w:t>• requested access scope;</w:t>
      </w:r>
      <w:r w:rsidRPr="00B479AE">
        <w:rPr>
          <w:rFonts w:ascii="Baskerville Old Face" w:hAnsi="Baskerville Old Face"/>
          <w:i/>
          <w:iCs/>
        </w:rPr>
        <w:br/>
        <w:t>• intended role or function;</w:t>
      </w:r>
      <w:r w:rsidRPr="00B479AE">
        <w:rPr>
          <w:rFonts w:ascii="Baskerville Old Face" w:hAnsi="Baskerville Old Face"/>
          <w:i/>
          <w:iCs/>
        </w:rPr>
        <w:br/>
        <w:t>• contact or representative details;</w:t>
      </w:r>
      <w:r w:rsidRPr="00B479AE">
        <w:rPr>
          <w:rFonts w:ascii="Baskerville Old Face" w:hAnsi="Baskerville Old Face"/>
          <w:i/>
          <w:iCs/>
        </w:rPr>
        <w:br/>
        <w:t>• authority of representative, where applicable;</w:t>
      </w:r>
      <w:r w:rsidRPr="00B479AE">
        <w:rPr>
          <w:rFonts w:ascii="Baskerville Old Face" w:hAnsi="Baskerville Old Face"/>
          <w:i/>
          <w:iCs/>
        </w:rPr>
        <w:br/>
        <w:t>• Access Covenant acknowledgment;</w:t>
      </w:r>
      <w:r w:rsidRPr="00B479AE">
        <w:rPr>
          <w:rFonts w:ascii="Baskerville Old Face" w:hAnsi="Baskerville Old Face"/>
          <w:i/>
          <w:iCs/>
        </w:rPr>
        <w:br/>
        <w:t>• eligibility documentation required under Section 7;</w:t>
      </w:r>
      <w:r w:rsidRPr="00B479AE">
        <w:rPr>
          <w:rFonts w:ascii="Baskerville Old Face" w:hAnsi="Baskerville Old Face"/>
          <w:i/>
          <w:iCs/>
        </w:rPr>
        <w:br/>
        <w:t>• legal documentation, where relevant;</w:t>
      </w:r>
      <w:r w:rsidRPr="00B479AE">
        <w:rPr>
          <w:rFonts w:ascii="Baskerville Old Face" w:hAnsi="Baskerville Old Face"/>
          <w:i/>
          <w:iCs/>
        </w:rPr>
        <w:br/>
        <w:t>• governance disclosures, where relevant;</w:t>
      </w:r>
      <w:r w:rsidRPr="00B479AE">
        <w:rPr>
          <w:rFonts w:ascii="Baskerville Old Face" w:hAnsi="Baskerville Old Face"/>
          <w:i/>
          <w:iCs/>
        </w:rPr>
        <w:br/>
        <w:t>• token, treasury, or financial-rights disclosures, where relevant;</w:t>
      </w:r>
      <w:r w:rsidRPr="00B479AE">
        <w:rPr>
          <w:rFonts w:ascii="Baskerville Old Face" w:hAnsi="Baskerville Old Face"/>
          <w:i/>
          <w:iCs/>
        </w:rPr>
        <w:br/>
        <w:t>• data-access or technical-access requests, where relevant;</w:t>
      </w:r>
      <w:r w:rsidRPr="00B479AE">
        <w:rPr>
          <w:rFonts w:ascii="Baskerville Old Face" w:hAnsi="Baskerville Old Face"/>
          <w:i/>
          <w:iCs/>
        </w:rPr>
        <w:br/>
        <w:t>• conflict-of-interest disclosures;</w:t>
      </w:r>
      <w:r w:rsidRPr="00B479AE">
        <w:rPr>
          <w:rFonts w:ascii="Baskerville Old Face" w:hAnsi="Baskerville Old Face"/>
          <w:i/>
          <w:iCs/>
        </w:rPr>
        <w:br/>
        <w:t>• risk disclosures;</w:t>
      </w:r>
      <w:r w:rsidRPr="00B479AE">
        <w:rPr>
          <w:rFonts w:ascii="Baskerville Old Face" w:hAnsi="Baskerville Old Face"/>
          <w:i/>
          <w:iCs/>
        </w:rPr>
        <w:br/>
        <w:t>• any other information reasonably required by the reviewing body.</w:t>
      </w:r>
    </w:p>
    <w:p w14:paraId="4E497F6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application must distinguish between:</w:t>
      </w:r>
    </w:p>
    <w:p w14:paraId="74AA5A2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ordinary participation;</w:t>
      </w:r>
      <w:r w:rsidRPr="00B479AE">
        <w:rPr>
          <w:rFonts w:ascii="Baskerville Old Face" w:hAnsi="Baskerville Old Face"/>
          <w:i/>
          <w:iCs/>
        </w:rPr>
        <w:br/>
        <w:t>• community participation;</w:t>
      </w:r>
      <w:r w:rsidRPr="00B479AE">
        <w:rPr>
          <w:rFonts w:ascii="Baskerville Old Face" w:hAnsi="Baskerville Old Face"/>
          <w:i/>
          <w:iCs/>
        </w:rPr>
        <w:br/>
        <w:t>• governance participation;</w:t>
      </w:r>
      <w:r w:rsidRPr="00B479AE">
        <w:rPr>
          <w:rFonts w:ascii="Baskerville Old Face" w:hAnsi="Baskerville Old Face"/>
          <w:i/>
          <w:iCs/>
        </w:rPr>
        <w:br/>
        <w:t>• operational participation;</w:t>
      </w:r>
      <w:r w:rsidRPr="00B479AE">
        <w:rPr>
          <w:rFonts w:ascii="Baskerville Old Face" w:hAnsi="Baskerville Old Face"/>
          <w:i/>
          <w:iCs/>
        </w:rPr>
        <w:br/>
        <w:t>• technical participation;</w:t>
      </w:r>
      <w:r w:rsidRPr="00B479AE">
        <w:rPr>
          <w:rFonts w:ascii="Baskerville Old Face" w:hAnsi="Baskerville Old Face"/>
          <w:i/>
          <w:iCs/>
        </w:rPr>
        <w:br/>
        <w:t>• MRV participation;</w:t>
      </w:r>
      <w:r w:rsidRPr="00B479AE">
        <w:rPr>
          <w:rFonts w:ascii="Baskerville Old Face" w:hAnsi="Baskerville Old Face"/>
          <w:i/>
          <w:iCs/>
        </w:rPr>
        <w:br/>
        <w:t>• capital-facing participation;</w:t>
      </w:r>
      <w:r w:rsidRPr="00B479AE">
        <w:rPr>
          <w:rFonts w:ascii="Baskerville Old Face" w:hAnsi="Baskerville Old Face"/>
          <w:i/>
          <w:iCs/>
        </w:rPr>
        <w:br/>
        <w:t>• institutional participation;</w:t>
      </w:r>
      <w:r w:rsidRPr="00B479AE">
        <w:rPr>
          <w:rFonts w:ascii="Baskerville Old Face" w:hAnsi="Baskerville Old Face"/>
          <w:i/>
          <w:iCs/>
        </w:rPr>
        <w:br/>
        <w:t>• legal or financial participation.</w:t>
      </w:r>
    </w:p>
    <w:p w14:paraId="4651770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This distinction is essential.</w:t>
      </w:r>
    </w:p>
    <w:p w14:paraId="3E5091A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participant may be eligible for one form of access and not another.</w:t>
      </w:r>
    </w:p>
    <w:p w14:paraId="33EF7C8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community may be eligible for educational participation but not PRU-related claims.</w:t>
      </w:r>
    </w:p>
    <w:p w14:paraId="0589BD0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technical provider may be eligible for infrastructure support but not governance authority.</w:t>
      </w:r>
    </w:p>
    <w:p w14:paraId="1025C24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capital allocator may be eligible for exploratory dialogue but not investor-facing participation.</w:t>
      </w:r>
    </w:p>
    <w:p w14:paraId="139A3C7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lastRenderedPageBreak/>
        <w:t>A token community may be eligible for sandbox interoperability but not Prometheus governance rights.</w:t>
      </w:r>
    </w:p>
    <w:p w14:paraId="1F0E569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must be scoped before it is granted.</w:t>
      </w:r>
    </w:p>
    <w:p w14:paraId="4D8A0741"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8.2 Intake and Completeness Review</w:t>
      </w:r>
    </w:p>
    <w:p w14:paraId="4345203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Before substantive review, the application should undergo an intake and completeness check.</w:t>
      </w:r>
    </w:p>
    <w:p w14:paraId="4DF151B1"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purpose of this step is to determine whether the application contains enough information to be evaluated.</w:t>
      </w:r>
    </w:p>
    <w:p w14:paraId="3DD7D53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intake process may verify:</w:t>
      </w:r>
    </w:p>
    <w:p w14:paraId="1C1C21C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identity or entity information;</w:t>
      </w:r>
      <w:r w:rsidRPr="00B479AE">
        <w:rPr>
          <w:rFonts w:ascii="Baskerville Old Face" w:hAnsi="Baskerville Old Face"/>
          <w:i/>
          <w:iCs/>
        </w:rPr>
        <w:br/>
        <w:t>• representative authority;</w:t>
      </w:r>
      <w:r w:rsidRPr="00B479AE">
        <w:rPr>
          <w:rFonts w:ascii="Baskerville Old Face" w:hAnsi="Baskerville Old Face"/>
          <w:i/>
          <w:iCs/>
        </w:rPr>
        <w:br/>
        <w:t>• requested access scope;</w:t>
      </w:r>
      <w:r w:rsidRPr="00B479AE">
        <w:rPr>
          <w:rFonts w:ascii="Baskerville Old Face" w:hAnsi="Baskerville Old Face"/>
          <w:i/>
          <w:iCs/>
        </w:rPr>
        <w:br/>
        <w:t>• required documentation;</w:t>
      </w:r>
      <w:r w:rsidRPr="00B479AE">
        <w:rPr>
          <w:rFonts w:ascii="Baskerville Old Face" w:hAnsi="Baskerville Old Face"/>
          <w:i/>
          <w:iCs/>
        </w:rPr>
        <w:br/>
        <w:t>• Access Covenant acknowledgment;</w:t>
      </w:r>
      <w:r w:rsidRPr="00B479AE">
        <w:rPr>
          <w:rFonts w:ascii="Baskerville Old Face" w:hAnsi="Baskerville Old Face"/>
          <w:i/>
          <w:iCs/>
        </w:rPr>
        <w:br/>
        <w:t>• eligibility pathway;</w:t>
      </w:r>
      <w:r w:rsidRPr="00B479AE">
        <w:rPr>
          <w:rFonts w:ascii="Baskerville Old Face" w:hAnsi="Baskerville Old Face"/>
          <w:i/>
          <w:iCs/>
        </w:rPr>
        <w:br/>
        <w:t>• obvious conflicts;</w:t>
      </w:r>
      <w:r w:rsidRPr="00B479AE">
        <w:rPr>
          <w:rFonts w:ascii="Baskerville Old Face" w:hAnsi="Baskerville Old Face"/>
          <w:i/>
          <w:iCs/>
        </w:rPr>
        <w:br/>
        <w:t>• missing information;</w:t>
      </w:r>
      <w:r w:rsidRPr="00B479AE">
        <w:rPr>
          <w:rFonts w:ascii="Baskerville Old Face" w:hAnsi="Baskerville Old Face"/>
          <w:i/>
          <w:iCs/>
        </w:rPr>
        <w:br/>
        <w:t>• need for legal review;</w:t>
      </w:r>
      <w:r w:rsidRPr="00B479AE">
        <w:rPr>
          <w:rFonts w:ascii="Baskerville Old Face" w:hAnsi="Baskerville Old Face"/>
          <w:i/>
          <w:iCs/>
        </w:rPr>
        <w:br/>
        <w:t>• need for technical review;</w:t>
      </w:r>
      <w:r w:rsidRPr="00B479AE">
        <w:rPr>
          <w:rFonts w:ascii="Baskerville Old Face" w:hAnsi="Baskerville Old Face"/>
          <w:i/>
          <w:iCs/>
        </w:rPr>
        <w:br/>
        <w:t>• need for MRV review;</w:t>
      </w:r>
      <w:r w:rsidRPr="00B479AE">
        <w:rPr>
          <w:rFonts w:ascii="Baskerville Old Face" w:hAnsi="Baskerville Old Face"/>
          <w:i/>
          <w:iCs/>
        </w:rPr>
        <w:br/>
        <w:t>• need for community consultation;</w:t>
      </w:r>
      <w:r w:rsidRPr="00B479AE">
        <w:rPr>
          <w:rFonts w:ascii="Baskerville Old Face" w:hAnsi="Baskerville Old Face"/>
          <w:i/>
          <w:iCs/>
        </w:rPr>
        <w:br/>
        <w:t>• need for enhanced risk classification.</w:t>
      </w:r>
    </w:p>
    <w:p w14:paraId="7E48DE5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If the application is incomplete, the reviewing body should request additional information.</w:t>
      </w:r>
    </w:p>
    <w:p w14:paraId="4C86333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An incomplete application should not be treated as denial unless the participant refuses to provide required information, provides materially false information, or presents a clear constitutional, legal, ecological, financial, technical, or governance risk.</w:t>
      </w:r>
    </w:p>
    <w:p w14:paraId="536720F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correct outcome for an incomplete but potentially valid application is:</w:t>
      </w:r>
    </w:p>
    <w:p w14:paraId="3667893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review pending.</w:t>
      </w:r>
    </w:p>
    <w:p w14:paraId="3D086171"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This preserves openness without weakening diligence.</w:t>
      </w:r>
    </w:p>
    <w:p w14:paraId="5C8E1A3B"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lastRenderedPageBreak/>
        <w:t>8.3 Substantive Review</w:t>
      </w:r>
    </w:p>
    <w:p w14:paraId="5291229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After intake, the application enters substantive review.</w:t>
      </w:r>
    </w:p>
    <w:p w14:paraId="24E9274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reviewing body may be a Stewardship Circle, onboarding circle, governance circle, protocol-stewardship body, institutional review body, legal reviewer, technical reviewer, MRV reviewer, or other approved process depending on the access type.</w:t>
      </w:r>
    </w:p>
    <w:p w14:paraId="1F9433D2"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review should evaluate:</w:t>
      </w:r>
    </w:p>
    <w:p w14:paraId="1394CA2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constitutional compatibility;</w:t>
      </w:r>
      <w:r w:rsidRPr="00B479AE">
        <w:rPr>
          <w:rFonts w:ascii="Baskerville Old Face" w:hAnsi="Baskerville Old Face"/>
          <w:i/>
          <w:iCs/>
        </w:rPr>
        <w:br/>
        <w:t>• Access Covenant alignment;</w:t>
      </w:r>
      <w:r w:rsidRPr="00B479AE">
        <w:rPr>
          <w:rFonts w:ascii="Baskerville Old Face" w:hAnsi="Baskerville Old Face"/>
          <w:i/>
          <w:iCs/>
        </w:rPr>
        <w:br/>
        <w:t>• eligibility under Section 7;</w:t>
      </w:r>
      <w:r w:rsidRPr="00B479AE">
        <w:rPr>
          <w:rFonts w:ascii="Baskerville Old Face" w:hAnsi="Baskerville Old Face"/>
          <w:i/>
          <w:iCs/>
        </w:rPr>
        <w:br/>
        <w:t>• role clarity;</w:t>
      </w:r>
      <w:r w:rsidRPr="00B479AE">
        <w:rPr>
          <w:rFonts w:ascii="Baskerville Old Face" w:hAnsi="Baskerville Old Face"/>
          <w:i/>
          <w:iCs/>
        </w:rPr>
        <w:br/>
        <w:t>• risk profile;</w:t>
      </w:r>
      <w:r w:rsidRPr="00B479AE">
        <w:rPr>
          <w:rFonts w:ascii="Baskerville Old Face" w:hAnsi="Baskerville Old Face"/>
          <w:i/>
          <w:iCs/>
        </w:rPr>
        <w:br/>
        <w:t>• legal requirements;</w:t>
      </w:r>
      <w:r w:rsidRPr="00B479AE">
        <w:rPr>
          <w:rFonts w:ascii="Baskerville Old Face" w:hAnsi="Baskerville Old Face"/>
          <w:i/>
          <w:iCs/>
        </w:rPr>
        <w:br/>
        <w:t>• governance implications;</w:t>
      </w:r>
      <w:r w:rsidRPr="00B479AE">
        <w:rPr>
          <w:rFonts w:ascii="Baskerville Old Face" w:hAnsi="Baskerville Old Face"/>
          <w:i/>
          <w:iCs/>
        </w:rPr>
        <w:br/>
        <w:t>• technical implications;</w:t>
      </w:r>
      <w:r w:rsidRPr="00B479AE">
        <w:rPr>
          <w:rFonts w:ascii="Baskerville Old Face" w:hAnsi="Baskerville Old Face"/>
          <w:i/>
          <w:iCs/>
        </w:rPr>
        <w:br/>
        <w:t>• MRV implications;</w:t>
      </w:r>
      <w:r w:rsidRPr="00B479AE">
        <w:rPr>
          <w:rFonts w:ascii="Baskerville Old Face" w:hAnsi="Baskerville Old Face"/>
          <w:i/>
          <w:iCs/>
        </w:rPr>
        <w:br/>
        <w:t xml:space="preserve">• financial or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implications;</w:t>
      </w:r>
      <w:r w:rsidRPr="00B479AE">
        <w:rPr>
          <w:rFonts w:ascii="Baskerville Old Face" w:hAnsi="Baskerville Old Face"/>
          <w:i/>
          <w:iCs/>
        </w:rPr>
        <w:br/>
        <w:t>• community-field implications;</w:t>
      </w:r>
      <w:r w:rsidRPr="00B479AE">
        <w:rPr>
          <w:rFonts w:ascii="Baskerville Old Face" w:hAnsi="Baskerville Old Face"/>
          <w:i/>
          <w:iCs/>
        </w:rPr>
        <w:br/>
        <w:t>• conflict-of-interest issues;</w:t>
      </w:r>
      <w:r w:rsidRPr="00B479AE">
        <w:rPr>
          <w:rFonts w:ascii="Baskerville Old Face" w:hAnsi="Baskerville Old Face"/>
          <w:i/>
          <w:iCs/>
        </w:rPr>
        <w:br/>
        <w:t>• public-communication risks;</w:t>
      </w:r>
      <w:r w:rsidRPr="00B479AE">
        <w:rPr>
          <w:rFonts w:ascii="Baskerville Old Face" w:hAnsi="Baskerville Old Face"/>
          <w:i/>
          <w:iCs/>
        </w:rPr>
        <w:br/>
        <w:t>• potential for capture, drift, overclaiming, or category collapse.</w:t>
      </w:r>
    </w:p>
    <w:p w14:paraId="4E1BB28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review should not rely on one signal alone.</w:t>
      </w:r>
    </w:p>
    <w:p w14:paraId="179CAAA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strong application may require convergence across documents, declarations, governance records, public information, operational evidence, legal instruments, technical review, community consultation, or institutional due diligence.</w:t>
      </w:r>
    </w:p>
    <w:p w14:paraId="704B98B0" w14:textId="2FA9C9D0"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Where appropriate, the reviewing body may classify the application according to risk:</w:t>
      </w:r>
      <w:r w:rsidR="00315BCB" w:rsidRPr="00B479AE">
        <w:rPr>
          <w:rFonts w:ascii="Baskerville Old Face" w:hAnsi="Baskerville Old Face"/>
          <w:i/>
          <w:iCs/>
        </w:rPr>
        <w:t xml:space="preserve"> </w:t>
      </w:r>
    </w:p>
    <w:p w14:paraId="3DAEB88F" w14:textId="77777777" w:rsidR="00315BCB" w:rsidRPr="00B479AE" w:rsidRDefault="00315BCB" w:rsidP="00B13B31">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5551"/>
        <w:gridCol w:w="2986"/>
      </w:tblGrid>
      <w:tr w:rsidR="00B13B31" w:rsidRPr="00B479AE" w14:paraId="07AE7D63" w14:textId="77777777" w:rsidTr="00B13B31">
        <w:trPr>
          <w:tblHeader/>
          <w:tblCellSpacing w:w="15" w:type="dxa"/>
        </w:trPr>
        <w:tc>
          <w:tcPr>
            <w:tcW w:w="0" w:type="auto"/>
            <w:vAlign w:val="center"/>
            <w:hideMark/>
          </w:tcPr>
          <w:p w14:paraId="1F2D97D8" w14:textId="77777777" w:rsidR="00B13B31" w:rsidRPr="00B479AE" w:rsidRDefault="00B13B31" w:rsidP="00B13B3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Risk class</w:t>
            </w:r>
          </w:p>
        </w:tc>
        <w:tc>
          <w:tcPr>
            <w:tcW w:w="0" w:type="auto"/>
            <w:vAlign w:val="center"/>
            <w:hideMark/>
          </w:tcPr>
          <w:p w14:paraId="3326EF58" w14:textId="77777777" w:rsidR="00B13B31" w:rsidRPr="00B479AE" w:rsidRDefault="00B13B31" w:rsidP="00B13B3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77B8CD72" w14:textId="77777777" w:rsidR="00B13B31" w:rsidRPr="00B479AE" w:rsidRDefault="00B13B31" w:rsidP="00B13B3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Review intensity</w:t>
            </w:r>
          </w:p>
        </w:tc>
      </w:tr>
      <w:tr w:rsidR="00B13B31" w:rsidRPr="00B479AE" w14:paraId="22C32107" w14:textId="77777777" w:rsidTr="00B13B31">
        <w:trPr>
          <w:tblCellSpacing w:w="15" w:type="dxa"/>
        </w:trPr>
        <w:tc>
          <w:tcPr>
            <w:tcW w:w="0" w:type="auto"/>
            <w:vAlign w:val="center"/>
            <w:hideMark/>
          </w:tcPr>
          <w:p w14:paraId="4C0CF2E4"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Low risk</w:t>
            </w:r>
          </w:p>
        </w:tc>
        <w:tc>
          <w:tcPr>
            <w:tcW w:w="0" w:type="auto"/>
            <w:vAlign w:val="center"/>
            <w:hideMark/>
          </w:tcPr>
          <w:p w14:paraId="27CEE9F3"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Ordinary participation with limited access and no sensitive claims.</w:t>
            </w:r>
          </w:p>
        </w:tc>
        <w:tc>
          <w:tcPr>
            <w:tcW w:w="0" w:type="auto"/>
            <w:vAlign w:val="center"/>
            <w:hideMark/>
          </w:tcPr>
          <w:p w14:paraId="47F1CFF1"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Standard review.</w:t>
            </w:r>
          </w:p>
        </w:tc>
      </w:tr>
      <w:tr w:rsidR="00B13B31" w:rsidRPr="00B479AE" w14:paraId="29AEFD4A" w14:textId="77777777" w:rsidTr="00B13B31">
        <w:trPr>
          <w:tblCellSpacing w:w="15" w:type="dxa"/>
        </w:trPr>
        <w:tc>
          <w:tcPr>
            <w:tcW w:w="0" w:type="auto"/>
            <w:vAlign w:val="center"/>
            <w:hideMark/>
          </w:tcPr>
          <w:p w14:paraId="32D6C02B"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Moderate risk</w:t>
            </w:r>
          </w:p>
        </w:tc>
        <w:tc>
          <w:tcPr>
            <w:tcW w:w="0" w:type="auto"/>
            <w:vAlign w:val="center"/>
            <w:hideMark/>
          </w:tcPr>
          <w:p w14:paraId="7396F50E"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Participation affects community, governance, operations, data, or public representation.</w:t>
            </w:r>
          </w:p>
        </w:tc>
        <w:tc>
          <w:tcPr>
            <w:tcW w:w="0" w:type="auto"/>
            <w:vAlign w:val="center"/>
            <w:hideMark/>
          </w:tcPr>
          <w:p w14:paraId="01440636"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Enhanced review.</w:t>
            </w:r>
          </w:p>
        </w:tc>
      </w:tr>
      <w:tr w:rsidR="00B13B31" w:rsidRPr="00B479AE" w14:paraId="0FCF5E1C" w14:textId="77777777" w:rsidTr="00B13B31">
        <w:trPr>
          <w:tblCellSpacing w:w="15" w:type="dxa"/>
        </w:trPr>
        <w:tc>
          <w:tcPr>
            <w:tcW w:w="0" w:type="auto"/>
            <w:vAlign w:val="center"/>
            <w:hideMark/>
          </w:tcPr>
          <w:p w14:paraId="3937D826"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High risk</w:t>
            </w:r>
          </w:p>
        </w:tc>
        <w:tc>
          <w:tcPr>
            <w:tcW w:w="0" w:type="auto"/>
            <w:vAlign w:val="center"/>
            <w:hideMark/>
          </w:tcPr>
          <w:p w14:paraId="2E6C0E19"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Participation affects capital, MRV, PRU, RAP, tokenization, institutional claims, legal rights, or sensitive infrastructure.</w:t>
            </w:r>
          </w:p>
        </w:tc>
        <w:tc>
          <w:tcPr>
            <w:tcW w:w="0" w:type="auto"/>
            <w:vAlign w:val="center"/>
            <w:hideMark/>
          </w:tcPr>
          <w:p w14:paraId="0265A09D"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Formal review with legal, governance, technical, or MRV input.</w:t>
            </w:r>
          </w:p>
        </w:tc>
      </w:tr>
      <w:tr w:rsidR="00B13B31" w:rsidRPr="00B479AE" w14:paraId="4C8146CB" w14:textId="77777777" w:rsidTr="00B13B31">
        <w:trPr>
          <w:tblCellSpacing w:w="15" w:type="dxa"/>
        </w:trPr>
        <w:tc>
          <w:tcPr>
            <w:tcW w:w="0" w:type="auto"/>
            <w:vAlign w:val="center"/>
            <w:hideMark/>
          </w:tcPr>
          <w:p w14:paraId="215A1F0F"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Critical risk</w:t>
            </w:r>
          </w:p>
        </w:tc>
        <w:tc>
          <w:tcPr>
            <w:tcW w:w="0" w:type="auto"/>
            <w:vAlign w:val="center"/>
            <w:hideMark/>
          </w:tcPr>
          <w:p w14:paraId="1966467D"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Participation may affect constitutional integrity, investor-facing claims, protected infrastructure, major public commitments, or systemic trust.</w:t>
            </w:r>
          </w:p>
        </w:tc>
        <w:tc>
          <w:tcPr>
            <w:tcW w:w="0" w:type="auto"/>
            <w:vAlign w:val="center"/>
            <w:hideMark/>
          </w:tcPr>
          <w:p w14:paraId="03AADA31"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legal, and multi-layer review required.</w:t>
            </w:r>
          </w:p>
        </w:tc>
      </w:tr>
    </w:tbl>
    <w:p w14:paraId="1685AE0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Risk classification does not imply hostility.</w:t>
      </w:r>
    </w:p>
    <w:p w14:paraId="21729CB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determines the level of care required.</w:t>
      </w:r>
    </w:p>
    <w:p w14:paraId="44F3AFB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should be friendly at the door and forensic at the boundary.</w:t>
      </w:r>
    </w:p>
    <w:p w14:paraId="31FF04DB"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8.4 Community and Affected-Party Consultation</w:t>
      </w:r>
    </w:p>
    <w:p w14:paraId="1F6A07C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Where an application affects an existing community, territory, bioregion, stakeholder group, Tribe, DAO, token community, land base, data community, or institutional partner, consultation may be required.</w:t>
      </w:r>
    </w:p>
    <w:p w14:paraId="41B9E67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Consultation may include:</w:t>
      </w:r>
    </w:p>
    <w:p w14:paraId="13CB366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affected community representatives;</w:t>
      </w:r>
      <w:r w:rsidRPr="00B479AE">
        <w:rPr>
          <w:rFonts w:ascii="Baskerville Old Face" w:hAnsi="Baskerville Old Face"/>
          <w:i/>
          <w:iCs/>
        </w:rPr>
        <w:br/>
        <w:t>• local stewards;</w:t>
      </w:r>
      <w:r w:rsidRPr="00B479AE">
        <w:rPr>
          <w:rFonts w:ascii="Baskerville Old Face" w:hAnsi="Baskerville Old Face"/>
          <w:i/>
          <w:iCs/>
        </w:rPr>
        <w:br/>
        <w:t>• relevant governance circles;</w:t>
      </w:r>
      <w:r w:rsidRPr="00B479AE">
        <w:rPr>
          <w:rFonts w:ascii="Baskerville Old Face" w:hAnsi="Baskerville Old Face"/>
          <w:i/>
          <w:iCs/>
        </w:rPr>
        <w:br/>
        <w:t>• technical maintainers;</w:t>
      </w:r>
      <w:r w:rsidRPr="00B479AE">
        <w:rPr>
          <w:rFonts w:ascii="Baskerville Old Face" w:hAnsi="Baskerville Old Face"/>
          <w:i/>
          <w:iCs/>
        </w:rPr>
        <w:br/>
        <w:t>• MRV validators;</w:t>
      </w:r>
      <w:r w:rsidRPr="00B479AE">
        <w:rPr>
          <w:rFonts w:ascii="Baskerville Old Face" w:hAnsi="Baskerville Old Face"/>
          <w:i/>
          <w:iCs/>
        </w:rPr>
        <w:br/>
        <w:t>• legal counterparties;</w:t>
      </w:r>
      <w:r w:rsidRPr="00B479AE">
        <w:rPr>
          <w:rFonts w:ascii="Baskerville Old Face" w:hAnsi="Baskerville Old Face"/>
          <w:i/>
          <w:iCs/>
        </w:rPr>
        <w:br/>
        <w:t>• institutional partners;</w:t>
      </w:r>
      <w:r w:rsidRPr="00B479AE">
        <w:rPr>
          <w:rFonts w:ascii="Baskerville Old Face" w:hAnsi="Baskerville Old Face"/>
          <w:i/>
          <w:iCs/>
        </w:rPr>
        <w:br/>
        <w:t>• community-interface roles;</w:t>
      </w:r>
      <w:r w:rsidRPr="00B479AE">
        <w:rPr>
          <w:rFonts w:ascii="Baskerville Old Face" w:hAnsi="Baskerville Old Face"/>
          <w:i/>
          <w:iCs/>
        </w:rPr>
        <w:br/>
      </w:r>
      <w:r w:rsidRPr="00B479AE">
        <w:rPr>
          <w:rFonts w:ascii="Baskerville Old Face" w:hAnsi="Baskerville Old Face"/>
          <w:i/>
          <w:iCs/>
        </w:rPr>
        <w:lastRenderedPageBreak/>
        <w:t>• conflict or integrity roles;</w:t>
      </w:r>
      <w:r w:rsidRPr="00B479AE">
        <w:rPr>
          <w:rFonts w:ascii="Baskerville Old Face" w:hAnsi="Baskerville Old Face"/>
          <w:i/>
          <w:iCs/>
        </w:rPr>
        <w:br/>
        <w:t>• bioregional representatives.</w:t>
      </w:r>
    </w:p>
    <w:p w14:paraId="75F2D8B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Consultation is not automatic veto.</w:t>
      </w:r>
    </w:p>
    <w:p w14:paraId="0070F9BE"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is field intelligence.</w:t>
      </w:r>
    </w:p>
    <w:p w14:paraId="09299AE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purpose is to identify context, risk, trust conditions, historical tensions, operational constraints, local knowledge, and possible hidden impacts.</w:t>
      </w:r>
    </w:p>
    <w:p w14:paraId="1C28888E"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should distinguish:</w:t>
      </w:r>
    </w:p>
    <w:p w14:paraId="5A0B7F7F"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consultation;</w:t>
      </w:r>
      <w:r w:rsidRPr="00B479AE">
        <w:rPr>
          <w:rFonts w:ascii="Baskerville Old Face" w:hAnsi="Baskerville Old Face"/>
          <w:i/>
          <w:iCs/>
        </w:rPr>
        <w:br/>
        <w:t>• consent;</w:t>
      </w:r>
      <w:r w:rsidRPr="00B479AE">
        <w:rPr>
          <w:rFonts w:ascii="Baskerville Old Face" w:hAnsi="Baskerville Old Face"/>
          <w:i/>
          <w:iCs/>
        </w:rPr>
        <w:br/>
        <w:t>• advice;</w:t>
      </w:r>
      <w:r w:rsidRPr="00B479AE">
        <w:rPr>
          <w:rFonts w:ascii="Baskerville Old Face" w:hAnsi="Baskerville Old Face"/>
          <w:i/>
          <w:iCs/>
        </w:rPr>
        <w:br/>
        <w:t>• approval;</w:t>
      </w:r>
      <w:r w:rsidRPr="00B479AE">
        <w:rPr>
          <w:rFonts w:ascii="Baskerville Old Face" w:hAnsi="Baskerville Old Face"/>
          <w:i/>
          <w:iCs/>
        </w:rPr>
        <w:br/>
        <w:t>• legal authorization;</w:t>
      </w:r>
      <w:r w:rsidRPr="00B479AE">
        <w:rPr>
          <w:rFonts w:ascii="Baskerville Old Face" w:hAnsi="Baskerville Old Face"/>
          <w:i/>
          <w:iCs/>
        </w:rPr>
        <w:br/>
        <w:t>• governance decision;</w:t>
      </w:r>
      <w:r w:rsidRPr="00B479AE">
        <w:rPr>
          <w:rFonts w:ascii="Baskerville Old Face" w:hAnsi="Baskerville Old Face"/>
          <w:i/>
          <w:iCs/>
        </w:rPr>
        <w:br/>
        <w:t>• constitutional review.</w:t>
      </w:r>
    </w:p>
    <w:p w14:paraId="06270D6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These are not the same thing.</w:t>
      </w:r>
    </w:p>
    <w:p w14:paraId="233A1DE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community may provide context without holding formal decision authority.</w:t>
      </w:r>
    </w:p>
    <w:p w14:paraId="079A1FEE"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legal entity may authorize an agreement without creating community legitimacy.</w:t>
      </w:r>
    </w:p>
    <w:p w14:paraId="3EC7AE5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governance circle may approve a scope while still requiring MRV or legal review.</w:t>
      </w:r>
    </w:p>
    <w:p w14:paraId="0D7871B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procedure must keep these layers legible.</w:t>
      </w:r>
    </w:p>
    <w:p w14:paraId="39FAF495"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8.5 Decision Outcomes</w:t>
      </w:r>
    </w:p>
    <w:p w14:paraId="6B85D9AF" w14:textId="5971AA8B"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xml:space="preserve">After review, the reviewing body may issue one of several outcomes. </w:t>
      </w:r>
    </w:p>
    <w:p w14:paraId="4026E5F4" w14:textId="77777777" w:rsidR="00315BCB" w:rsidRPr="00B479AE" w:rsidRDefault="00315BCB" w:rsidP="00B13B31">
      <w:pPr>
        <w:spacing w:line="360" w:lineRule="auto"/>
        <w:rPr>
          <w:rFonts w:ascii="Baskerville Old Face" w:hAnsi="Baskerville Old Face"/>
          <w:i/>
          <w:iCs/>
        </w:rPr>
      </w:pPr>
    </w:p>
    <w:p w14:paraId="41B197A2" w14:textId="77777777" w:rsidR="00315BCB" w:rsidRPr="00B479AE" w:rsidRDefault="00315BCB" w:rsidP="00B13B31">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5"/>
        <w:gridCol w:w="7283"/>
      </w:tblGrid>
      <w:tr w:rsidR="00B13B31" w:rsidRPr="00B479AE" w14:paraId="7EF33A32" w14:textId="77777777" w:rsidTr="00B13B31">
        <w:trPr>
          <w:tblHeader/>
          <w:tblCellSpacing w:w="15" w:type="dxa"/>
        </w:trPr>
        <w:tc>
          <w:tcPr>
            <w:tcW w:w="0" w:type="auto"/>
            <w:vAlign w:val="center"/>
            <w:hideMark/>
          </w:tcPr>
          <w:p w14:paraId="08FCFB73" w14:textId="77777777" w:rsidR="00B13B31" w:rsidRPr="00B479AE" w:rsidRDefault="00B13B31" w:rsidP="00B13B3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Decision outcome</w:t>
            </w:r>
          </w:p>
        </w:tc>
        <w:tc>
          <w:tcPr>
            <w:tcW w:w="0" w:type="auto"/>
            <w:vAlign w:val="center"/>
            <w:hideMark/>
          </w:tcPr>
          <w:p w14:paraId="6C471B67" w14:textId="77777777" w:rsidR="00B13B31" w:rsidRPr="00B479AE" w:rsidRDefault="00B13B31" w:rsidP="00B13B3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B13B31" w:rsidRPr="00B479AE" w14:paraId="2853109D" w14:textId="77777777" w:rsidTr="00B13B31">
        <w:trPr>
          <w:tblCellSpacing w:w="15" w:type="dxa"/>
        </w:trPr>
        <w:tc>
          <w:tcPr>
            <w:tcW w:w="0" w:type="auto"/>
            <w:vAlign w:val="center"/>
            <w:hideMark/>
          </w:tcPr>
          <w:p w14:paraId="540C9310"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Approved</w:t>
            </w:r>
          </w:p>
        </w:tc>
        <w:tc>
          <w:tcPr>
            <w:tcW w:w="0" w:type="auto"/>
            <w:vAlign w:val="center"/>
            <w:hideMark/>
          </w:tcPr>
          <w:p w14:paraId="0172B33E"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is granted within the defined scope.</w:t>
            </w:r>
          </w:p>
        </w:tc>
      </w:tr>
      <w:tr w:rsidR="00B13B31" w:rsidRPr="00B479AE" w14:paraId="1BA2202E" w14:textId="77777777" w:rsidTr="00B13B31">
        <w:trPr>
          <w:tblCellSpacing w:w="15" w:type="dxa"/>
        </w:trPr>
        <w:tc>
          <w:tcPr>
            <w:tcW w:w="0" w:type="auto"/>
            <w:vAlign w:val="center"/>
            <w:hideMark/>
          </w:tcPr>
          <w:p w14:paraId="15B12EA1"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Approved with conditions</w:t>
            </w:r>
          </w:p>
        </w:tc>
        <w:tc>
          <w:tcPr>
            <w:tcW w:w="0" w:type="auto"/>
            <w:vAlign w:val="center"/>
            <w:hideMark/>
          </w:tcPr>
          <w:p w14:paraId="4956A26E"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is granted subject to limitations, disclosures, review duties, remediation, time limits, or monitoring.</w:t>
            </w:r>
          </w:p>
        </w:tc>
      </w:tr>
      <w:tr w:rsidR="00B13B31" w:rsidRPr="00B479AE" w14:paraId="5F233545" w14:textId="77777777" w:rsidTr="00B13B31">
        <w:trPr>
          <w:tblCellSpacing w:w="15" w:type="dxa"/>
        </w:trPr>
        <w:tc>
          <w:tcPr>
            <w:tcW w:w="0" w:type="auto"/>
            <w:vAlign w:val="center"/>
            <w:hideMark/>
          </w:tcPr>
          <w:p w14:paraId="35B94826"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Limited / sandbox access</w:t>
            </w:r>
          </w:p>
        </w:tc>
        <w:tc>
          <w:tcPr>
            <w:tcW w:w="0" w:type="auto"/>
            <w:vAlign w:val="center"/>
            <w:hideMark/>
          </w:tcPr>
          <w:p w14:paraId="20119F91"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is granted only for testing, observation, research, learning, or restricted interoperability.</w:t>
            </w:r>
          </w:p>
        </w:tc>
      </w:tr>
      <w:tr w:rsidR="00B13B31" w:rsidRPr="00B479AE" w14:paraId="3CCDE484" w14:textId="77777777" w:rsidTr="00B13B31">
        <w:trPr>
          <w:tblCellSpacing w:w="15" w:type="dxa"/>
        </w:trPr>
        <w:tc>
          <w:tcPr>
            <w:tcW w:w="0" w:type="auto"/>
            <w:vAlign w:val="center"/>
            <w:hideMark/>
          </w:tcPr>
          <w:p w14:paraId="64BF8FBA"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Observer status</w:t>
            </w:r>
          </w:p>
        </w:tc>
        <w:tc>
          <w:tcPr>
            <w:tcW w:w="0" w:type="auto"/>
            <w:vAlign w:val="center"/>
            <w:hideMark/>
          </w:tcPr>
          <w:p w14:paraId="23F9AF7C"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may learn or engage without operational, governance, capital, or technical authority.</w:t>
            </w:r>
          </w:p>
        </w:tc>
      </w:tr>
      <w:tr w:rsidR="00B13B31" w:rsidRPr="00B479AE" w14:paraId="1CEACD8D" w14:textId="77777777" w:rsidTr="00B13B31">
        <w:trPr>
          <w:tblCellSpacing w:w="15" w:type="dxa"/>
        </w:trPr>
        <w:tc>
          <w:tcPr>
            <w:tcW w:w="0" w:type="auto"/>
            <w:vAlign w:val="center"/>
            <w:hideMark/>
          </w:tcPr>
          <w:p w14:paraId="41C465D5"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Request for additional information</w:t>
            </w:r>
          </w:p>
        </w:tc>
        <w:tc>
          <w:tcPr>
            <w:tcW w:w="0" w:type="auto"/>
            <w:vAlign w:val="center"/>
            <w:hideMark/>
          </w:tcPr>
          <w:p w14:paraId="268379F7"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Application is paused until missing information is provided.</w:t>
            </w:r>
          </w:p>
        </w:tc>
      </w:tr>
      <w:tr w:rsidR="00B13B31" w:rsidRPr="00B479AE" w14:paraId="64A26B04" w14:textId="77777777" w:rsidTr="00B13B31">
        <w:trPr>
          <w:tblCellSpacing w:w="15" w:type="dxa"/>
        </w:trPr>
        <w:tc>
          <w:tcPr>
            <w:tcW w:w="0" w:type="auto"/>
            <w:vAlign w:val="center"/>
            <w:hideMark/>
          </w:tcPr>
          <w:p w14:paraId="76DC655F"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Manual review required</w:t>
            </w:r>
          </w:p>
        </w:tc>
        <w:tc>
          <w:tcPr>
            <w:tcW w:w="0" w:type="auto"/>
            <w:vAlign w:val="center"/>
            <w:hideMark/>
          </w:tcPr>
          <w:p w14:paraId="0029F4D6"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Application requires higher-level governance, legal, technical, MRV, or constitutional review.</w:t>
            </w:r>
          </w:p>
        </w:tc>
      </w:tr>
      <w:tr w:rsidR="00B13B31" w:rsidRPr="00B479AE" w14:paraId="5A0475BA" w14:textId="77777777" w:rsidTr="00B13B31">
        <w:trPr>
          <w:tblCellSpacing w:w="15" w:type="dxa"/>
        </w:trPr>
        <w:tc>
          <w:tcPr>
            <w:tcW w:w="0" w:type="auto"/>
            <w:vAlign w:val="center"/>
            <w:hideMark/>
          </w:tcPr>
          <w:p w14:paraId="45F057EA"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Deferred</w:t>
            </w:r>
          </w:p>
        </w:tc>
        <w:tc>
          <w:tcPr>
            <w:tcW w:w="0" w:type="auto"/>
            <w:vAlign w:val="center"/>
            <w:hideMark/>
          </w:tcPr>
          <w:p w14:paraId="30697D9B"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Application may be reconsidered later after specific conditions change.</w:t>
            </w:r>
          </w:p>
        </w:tc>
      </w:tr>
      <w:tr w:rsidR="00B13B31" w:rsidRPr="00B479AE" w14:paraId="41D8596B" w14:textId="77777777" w:rsidTr="00B13B31">
        <w:trPr>
          <w:tblCellSpacing w:w="15" w:type="dxa"/>
        </w:trPr>
        <w:tc>
          <w:tcPr>
            <w:tcW w:w="0" w:type="auto"/>
            <w:vAlign w:val="center"/>
            <w:hideMark/>
          </w:tcPr>
          <w:p w14:paraId="78255947"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w:t>
            </w:r>
          </w:p>
        </w:tc>
        <w:tc>
          <w:tcPr>
            <w:tcW w:w="0" w:type="auto"/>
            <w:vAlign w:val="center"/>
            <w:hideMark/>
          </w:tcPr>
          <w:p w14:paraId="4BDEEA89"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is narrower than requested due to risk profile.</w:t>
            </w:r>
          </w:p>
        </w:tc>
      </w:tr>
      <w:tr w:rsidR="00B13B31" w:rsidRPr="00B479AE" w14:paraId="56427212" w14:textId="77777777" w:rsidTr="00B13B31">
        <w:trPr>
          <w:tblCellSpacing w:w="15" w:type="dxa"/>
        </w:trPr>
        <w:tc>
          <w:tcPr>
            <w:tcW w:w="0" w:type="auto"/>
            <w:vAlign w:val="center"/>
            <w:hideMark/>
          </w:tcPr>
          <w:p w14:paraId="23EB3AEF"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Rejected</w:t>
            </w:r>
          </w:p>
        </w:tc>
        <w:tc>
          <w:tcPr>
            <w:tcW w:w="0" w:type="auto"/>
            <w:vAlign w:val="center"/>
            <w:hideMark/>
          </w:tcPr>
          <w:p w14:paraId="1240AD3B"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is denied under current facts or constitutional constraints.</w:t>
            </w:r>
          </w:p>
        </w:tc>
      </w:tr>
      <w:tr w:rsidR="00B13B31" w:rsidRPr="00B479AE" w14:paraId="17E96D7A" w14:textId="77777777" w:rsidTr="00B13B31">
        <w:trPr>
          <w:tblCellSpacing w:w="15" w:type="dxa"/>
        </w:trPr>
        <w:tc>
          <w:tcPr>
            <w:tcW w:w="0" w:type="auto"/>
            <w:vAlign w:val="center"/>
            <w:hideMark/>
          </w:tcPr>
          <w:p w14:paraId="4E1EFAE0"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w:t>
            </w:r>
          </w:p>
        </w:tc>
        <w:tc>
          <w:tcPr>
            <w:tcW w:w="0" w:type="auto"/>
            <w:vAlign w:val="center"/>
            <w:hideMark/>
          </w:tcPr>
          <w:p w14:paraId="158B3127" w14:textId="77777777" w:rsidR="00B13B31" w:rsidRPr="00B479AE" w:rsidRDefault="00B13B31" w:rsidP="00B13B31">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The pathway presents serious capture, legal, ecological, financial, </w:t>
            </w:r>
            <w:proofErr w:type="spellStart"/>
            <w:r w:rsidRPr="00B479AE">
              <w:rPr>
                <w:rFonts w:ascii="Baskerville Old Face" w:hAnsi="Baskerville Old Face"/>
                <w:i/>
                <w:iCs/>
                <w:sz w:val="22"/>
                <w:szCs w:val="22"/>
              </w:rPr>
              <w:t>tokenomic</w:t>
            </w:r>
            <w:proofErr w:type="spellEnd"/>
            <w:r w:rsidRPr="00B479AE">
              <w:rPr>
                <w:rFonts w:ascii="Baskerville Old Face" w:hAnsi="Baskerville Old Face"/>
                <w:i/>
                <w:iCs/>
                <w:sz w:val="22"/>
                <w:szCs w:val="22"/>
              </w:rPr>
              <w:t>, technical, or governance risk and must be isolated.</w:t>
            </w:r>
          </w:p>
        </w:tc>
      </w:tr>
    </w:tbl>
    <w:p w14:paraId="71199FA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Every material decision should be documented.</w:t>
      </w:r>
    </w:p>
    <w:p w14:paraId="7F0EF50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Documentation should include:</w:t>
      </w:r>
    </w:p>
    <w:p w14:paraId="7BDAF74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participant identity or entity reference;</w:t>
      </w:r>
      <w:r w:rsidRPr="00B479AE">
        <w:rPr>
          <w:rFonts w:ascii="Baskerville Old Face" w:hAnsi="Baskerville Old Face"/>
          <w:i/>
          <w:iCs/>
        </w:rPr>
        <w:br/>
        <w:t>• requested scope;</w:t>
      </w:r>
      <w:r w:rsidRPr="00B479AE">
        <w:rPr>
          <w:rFonts w:ascii="Baskerville Old Face" w:hAnsi="Baskerville Old Face"/>
          <w:i/>
          <w:iCs/>
        </w:rPr>
        <w:br/>
        <w:t>• review pathway;</w:t>
      </w:r>
      <w:r w:rsidRPr="00B479AE">
        <w:rPr>
          <w:rFonts w:ascii="Baskerville Old Face" w:hAnsi="Baskerville Old Face"/>
          <w:i/>
          <w:iCs/>
        </w:rPr>
        <w:br/>
        <w:t>• decision outcome;</w:t>
      </w:r>
      <w:r w:rsidRPr="00B479AE">
        <w:rPr>
          <w:rFonts w:ascii="Baskerville Old Face" w:hAnsi="Baskerville Old Face"/>
          <w:i/>
          <w:iCs/>
        </w:rPr>
        <w:br/>
        <w:t>• granted scope;</w:t>
      </w:r>
      <w:r w:rsidRPr="00B479AE">
        <w:rPr>
          <w:rFonts w:ascii="Baskerville Old Face" w:hAnsi="Baskerville Old Face"/>
          <w:i/>
          <w:iCs/>
        </w:rPr>
        <w:br/>
        <w:t>• limitations or conditions;</w:t>
      </w:r>
      <w:r w:rsidRPr="00B479AE">
        <w:rPr>
          <w:rFonts w:ascii="Baskerville Old Face" w:hAnsi="Baskerville Old Face"/>
          <w:i/>
          <w:iCs/>
        </w:rPr>
        <w:br/>
      </w:r>
      <w:r w:rsidRPr="00B479AE">
        <w:rPr>
          <w:rFonts w:ascii="Baskerville Old Face" w:hAnsi="Baskerville Old Face"/>
          <w:i/>
          <w:iCs/>
        </w:rPr>
        <w:lastRenderedPageBreak/>
        <w:t>• review date;</w:t>
      </w:r>
      <w:r w:rsidRPr="00B479AE">
        <w:rPr>
          <w:rFonts w:ascii="Baskerville Old Face" w:hAnsi="Baskerville Old Face"/>
          <w:i/>
          <w:iCs/>
        </w:rPr>
        <w:br/>
        <w:t>• responsible reviewing body;</w:t>
      </w:r>
      <w:r w:rsidRPr="00B479AE">
        <w:rPr>
          <w:rFonts w:ascii="Baskerville Old Face" w:hAnsi="Baskerville Old Face"/>
          <w:i/>
          <w:iCs/>
        </w:rPr>
        <w:br/>
        <w:t>• reasoned explanation where appropriate;</w:t>
      </w:r>
      <w:r w:rsidRPr="00B479AE">
        <w:rPr>
          <w:rFonts w:ascii="Baskerville Old Face" w:hAnsi="Baskerville Old Face"/>
          <w:i/>
          <w:iCs/>
        </w:rPr>
        <w:br/>
        <w:t>• legal or technical references where relevant;</w:t>
      </w:r>
      <w:r w:rsidRPr="00B479AE">
        <w:rPr>
          <w:rFonts w:ascii="Baskerville Old Face" w:hAnsi="Baskerville Old Face"/>
          <w:i/>
          <w:iCs/>
        </w:rPr>
        <w:br/>
        <w:t>• appeal or reconsideration pathway, where applicable.</w:t>
      </w:r>
    </w:p>
    <w:p w14:paraId="1A4CD0EF"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purpose of documentation is not bureaucracy.</w:t>
      </w:r>
    </w:p>
    <w:p w14:paraId="0FF8239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is institutional memory.</w:t>
      </w:r>
    </w:p>
    <w:p w14:paraId="3D7A054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system without memory becomes capturable by charisma, urgency, capital, or confusion.</w:t>
      </w:r>
    </w:p>
    <w:p w14:paraId="6E28B277"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8.6 Access Grant and Scope Definition</w:t>
      </w:r>
    </w:p>
    <w:p w14:paraId="2A537BD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When access is approved, the scope of access must be defined.</w:t>
      </w:r>
    </w:p>
    <w:p w14:paraId="5FC29D4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may include one or more of the following:</w:t>
      </w:r>
    </w:p>
    <w:p w14:paraId="4818932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learning access;</w:t>
      </w:r>
      <w:r w:rsidRPr="00B479AE">
        <w:rPr>
          <w:rFonts w:ascii="Baskerville Old Face" w:hAnsi="Baskerville Old Face"/>
          <w:i/>
          <w:iCs/>
        </w:rPr>
        <w:br/>
        <w:t>• community access;</w:t>
      </w:r>
      <w:r w:rsidRPr="00B479AE">
        <w:rPr>
          <w:rFonts w:ascii="Baskerville Old Face" w:hAnsi="Baskerville Old Face"/>
          <w:i/>
          <w:iCs/>
        </w:rPr>
        <w:br/>
        <w:t>• governance access;</w:t>
      </w:r>
      <w:r w:rsidRPr="00B479AE">
        <w:rPr>
          <w:rFonts w:ascii="Baskerville Old Face" w:hAnsi="Baskerville Old Face"/>
          <w:i/>
          <w:iCs/>
        </w:rPr>
        <w:br/>
        <w:t>• operational access;</w:t>
      </w:r>
      <w:r w:rsidRPr="00B479AE">
        <w:rPr>
          <w:rFonts w:ascii="Baskerville Old Face" w:hAnsi="Baskerville Old Face"/>
          <w:i/>
          <w:iCs/>
        </w:rPr>
        <w:br/>
        <w:t>• technical access;</w:t>
      </w:r>
      <w:r w:rsidRPr="00B479AE">
        <w:rPr>
          <w:rFonts w:ascii="Baskerville Old Face" w:hAnsi="Baskerville Old Face"/>
          <w:i/>
          <w:iCs/>
        </w:rPr>
        <w:br/>
        <w:t>• MRV access;</w:t>
      </w:r>
      <w:r w:rsidRPr="00B479AE">
        <w:rPr>
          <w:rFonts w:ascii="Baskerville Old Face" w:hAnsi="Baskerville Old Face"/>
          <w:i/>
          <w:iCs/>
        </w:rPr>
        <w:br/>
        <w:t>• data-room access;</w:t>
      </w:r>
      <w:r w:rsidRPr="00B479AE">
        <w:rPr>
          <w:rFonts w:ascii="Baskerville Old Face" w:hAnsi="Baskerville Old Face"/>
          <w:i/>
          <w:iCs/>
        </w:rPr>
        <w:br/>
        <w:t>• research access;</w:t>
      </w:r>
      <w:r w:rsidRPr="00B479AE">
        <w:rPr>
          <w:rFonts w:ascii="Baskerville Old Face" w:hAnsi="Baskerville Old Face"/>
          <w:i/>
          <w:iCs/>
        </w:rPr>
        <w:br/>
        <w:t>• service-provider access;</w:t>
      </w:r>
      <w:r w:rsidRPr="00B479AE">
        <w:rPr>
          <w:rFonts w:ascii="Baskerville Old Face" w:hAnsi="Baskerville Old Face"/>
          <w:i/>
          <w:iCs/>
        </w:rPr>
        <w:br/>
        <w:t>• capital-facing access;</w:t>
      </w:r>
      <w:r w:rsidRPr="00B479AE">
        <w:rPr>
          <w:rFonts w:ascii="Baskerville Old Face" w:hAnsi="Baskerville Old Face"/>
          <w:i/>
          <w:iCs/>
        </w:rPr>
        <w:br/>
        <w:t>• institutional access;</w:t>
      </w:r>
      <w:r w:rsidRPr="00B479AE">
        <w:rPr>
          <w:rFonts w:ascii="Baskerville Old Face" w:hAnsi="Baskerville Old Face"/>
          <w:i/>
          <w:iCs/>
        </w:rPr>
        <w:br/>
        <w:t>• sandbox access;</w:t>
      </w:r>
      <w:r w:rsidRPr="00B479AE">
        <w:rPr>
          <w:rFonts w:ascii="Baskerville Old Face" w:hAnsi="Baskerville Old Face"/>
          <w:i/>
          <w:iCs/>
        </w:rPr>
        <w:br/>
        <w:t>• pilot-specific access.</w:t>
      </w:r>
    </w:p>
    <w:p w14:paraId="71D1D0E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Each access grant should specify:</w:t>
      </w:r>
    </w:p>
    <w:p w14:paraId="1948EFD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what the participant may do;</w:t>
      </w:r>
      <w:r w:rsidRPr="00B479AE">
        <w:rPr>
          <w:rFonts w:ascii="Baskerville Old Face" w:hAnsi="Baskerville Old Face"/>
          <w:i/>
          <w:iCs/>
        </w:rPr>
        <w:br/>
        <w:t>• what the participant may not do;</w:t>
      </w:r>
      <w:r w:rsidRPr="00B479AE">
        <w:rPr>
          <w:rFonts w:ascii="Baskerville Old Face" w:hAnsi="Baskerville Old Face"/>
          <w:i/>
          <w:iCs/>
        </w:rPr>
        <w:br/>
        <w:t>• which systems or spaces they may access;</w:t>
      </w:r>
      <w:r w:rsidRPr="00B479AE">
        <w:rPr>
          <w:rFonts w:ascii="Baskerville Old Face" w:hAnsi="Baskerville Old Face"/>
          <w:i/>
          <w:iCs/>
        </w:rPr>
        <w:br/>
        <w:t>• which data they may access;</w:t>
      </w:r>
      <w:r w:rsidRPr="00B479AE">
        <w:rPr>
          <w:rFonts w:ascii="Baskerville Old Face" w:hAnsi="Baskerville Old Face"/>
          <w:i/>
          <w:iCs/>
        </w:rPr>
        <w:br/>
      </w:r>
      <w:r w:rsidRPr="00B479AE">
        <w:rPr>
          <w:rFonts w:ascii="Baskerville Old Face" w:hAnsi="Baskerville Old Face"/>
          <w:i/>
          <w:iCs/>
        </w:rPr>
        <w:lastRenderedPageBreak/>
        <w:t>• which decisions they may influence;</w:t>
      </w:r>
      <w:r w:rsidRPr="00B479AE">
        <w:rPr>
          <w:rFonts w:ascii="Baskerville Old Face" w:hAnsi="Baskerville Old Face"/>
          <w:i/>
          <w:iCs/>
        </w:rPr>
        <w:br/>
        <w:t>• which claims they may make publicly;</w:t>
      </w:r>
      <w:r w:rsidRPr="00B479AE">
        <w:rPr>
          <w:rFonts w:ascii="Baskerville Old Face" w:hAnsi="Baskerville Old Face"/>
          <w:i/>
          <w:iCs/>
        </w:rPr>
        <w:br/>
        <w:t>• whether legal documentation is required;</w:t>
      </w:r>
      <w:r w:rsidRPr="00B479AE">
        <w:rPr>
          <w:rFonts w:ascii="Baskerville Old Face" w:hAnsi="Baskerville Old Face"/>
          <w:i/>
          <w:iCs/>
        </w:rPr>
        <w:br/>
        <w:t>• whether renewal is required;</w:t>
      </w:r>
      <w:r w:rsidRPr="00B479AE">
        <w:rPr>
          <w:rFonts w:ascii="Baskerville Old Face" w:hAnsi="Baskerville Old Face"/>
          <w:i/>
          <w:iCs/>
        </w:rPr>
        <w:br/>
        <w:t>• whether monitoring or reporting applies;</w:t>
      </w:r>
      <w:r w:rsidRPr="00B479AE">
        <w:rPr>
          <w:rFonts w:ascii="Baskerville Old Face" w:hAnsi="Baskerville Old Face"/>
          <w:i/>
          <w:iCs/>
        </w:rPr>
        <w:br/>
        <w:t>• whether access is time-bounded;</w:t>
      </w:r>
      <w:r w:rsidRPr="00B479AE">
        <w:rPr>
          <w:rFonts w:ascii="Baskerville Old Face" w:hAnsi="Baskerville Old Face"/>
          <w:i/>
          <w:iCs/>
        </w:rPr>
        <w:br/>
        <w:t>• whether access depends on continued Covenant compliance.</w:t>
      </w:r>
    </w:p>
    <w:p w14:paraId="1E24BEA1"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No participant should receive ambiguous access.</w:t>
      </w:r>
    </w:p>
    <w:p w14:paraId="02B1E59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Ambiguous access becomes future conflict.</w:t>
      </w:r>
    </w:p>
    <w:p w14:paraId="7DC1365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should therefore make the access grant precise enough that the participant, the community, governance reviewers, auditors, and future institutional counterparties can understand what was actually authorized.</w:t>
      </w:r>
    </w:p>
    <w:p w14:paraId="0FB91BEF"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8.7 Record Architecture</w:t>
      </w:r>
    </w:p>
    <w:p w14:paraId="4B7160C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Approved access should generate an appropriate record.</w:t>
      </w:r>
    </w:p>
    <w:p w14:paraId="579AEB5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record may be digital, legal, governance-based, operational, or combined depending on implementation stage and access type.</w:t>
      </w:r>
    </w:p>
    <w:p w14:paraId="6D4441A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mature record may include:</w:t>
      </w:r>
    </w:p>
    <w:p w14:paraId="6E97689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participant identity or entity reference;</w:t>
      </w:r>
      <w:r w:rsidRPr="00B479AE">
        <w:rPr>
          <w:rFonts w:ascii="Baskerville Old Face" w:hAnsi="Baskerville Old Face"/>
          <w:i/>
          <w:iCs/>
        </w:rPr>
        <w:br/>
        <w:t>• Access Covenant version;</w:t>
      </w:r>
      <w:r w:rsidRPr="00B479AE">
        <w:rPr>
          <w:rFonts w:ascii="Baskerville Old Face" w:hAnsi="Baskerville Old Face"/>
          <w:i/>
          <w:iCs/>
        </w:rPr>
        <w:br/>
        <w:t>• eligibility category;</w:t>
      </w:r>
      <w:r w:rsidRPr="00B479AE">
        <w:rPr>
          <w:rFonts w:ascii="Baskerville Old Face" w:hAnsi="Baskerville Old Face"/>
          <w:i/>
          <w:iCs/>
        </w:rPr>
        <w:br/>
        <w:t>• requested access scope;</w:t>
      </w:r>
      <w:r w:rsidRPr="00B479AE">
        <w:rPr>
          <w:rFonts w:ascii="Baskerville Old Face" w:hAnsi="Baskerville Old Face"/>
          <w:i/>
          <w:iCs/>
        </w:rPr>
        <w:br/>
        <w:t>• approved access scope;</w:t>
      </w:r>
      <w:r w:rsidRPr="00B479AE">
        <w:rPr>
          <w:rFonts w:ascii="Baskerville Old Face" w:hAnsi="Baskerville Old Face"/>
          <w:i/>
          <w:iCs/>
        </w:rPr>
        <w:br/>
        <w:t>• conditions or restrictions;</w:t>
      </w:r>
      <w:r w:rsidRPr="00B479AE">
        <w:rPr>
          <w:rFonts w:ascii="Baskerville Old Face" w:hAnsi="Baskerville Old Face"/>
          <w:i/>
          <w:iCs/>
        </w:rPr>
        <w:br/>
        <w:t>• timestamp;</w:t>
      </w:r>
      <w:r w:rsidRPr="00B479AE">
        <w:rPr>
          <w:rFonts w:ascii="Baskerville Old Face" w:hAnsi="Baskerville Old Face"/>
          <w:i/>
          <w:iCs/>
        </w:rPr>
        <w:br/>
        <w:t>• reviewer or reviewing body;</w:t>
      </w:r>
      <w:r w:rsidRPr="00B479AE">
        <w:rPr>
          <w:rFonts w:ascii="Baskerville Old Face" w:hAnsi="Baskerville Old Face"/>
          <w:i/>
          <w:iCs/>
        </w:rPr>
        <w:br/>
        <w:t>• legal agreement reference, where applicable;</w:t>
      </w:r>
      <w:r w:rsidRPr="00B479AE">
        <w:rPr>
          <w:rFonts w:ascii="Baskerville Old Face" w:hAnsi="Baskerville Old Face"/>
          <w:i/>
          <w:iCs/>
        </w:rPr>
        <w:br/>
        <w:t>• hash reference, where applicable;</w:t>
      </w:r>
      <w:r w:rsidRPr="00B479AE">
        <w:rPr>
          <w:rFonts w:ascii="Baskerville Old Face" w:hAnsi="Baskerville Old Face"/>
          <w:i/>
          <w:iCs/>
        </w:rPr>
        <w:br/>
        <w:t>• source-chain entry, where implemented;</w:t>
      </w:r>
      <w:r w:rsidRPr="00B479AE">
        <w:rPr>
          <w:rFonts w:ascii="Baskerville Old Face" w:hAnsi="Baskerville Old Face"/>
          <w:i/>
          <w:iCs/>
        </w:rPr>
        <w:br/>
        <w:t>• governance decision reference;</w:t>
      </w:r>
      <w:r w:rsidRPr="00B479AE">
        <w:rPr>
          <w:rFonts w:ascii="Baskerville Old Face" w:hAnsi="Baskerville Old Face"/>
          <w:i/>
          <w:iCs/>
        </w:rPr>
        <w:br/>
      </w:r>
      <w:r w:rsidRPr="00B479AE">
        <w:rPr>
          <w:rFonts w:ascii="Baskerville Old Face" w:hAnsi="Baskerville Old Face"/>
          <w:i/>
          <w:iCs/>
        </w:rPr>
        <w:lastRenderedPageBreak/>
        <w:t>• renewal date;</w:t>
      </w:r>
      <w:r w:rsidRPr="00B479AE">
        <w:rPr>
          <w:rFonts w:ascii="Baskerville Old Face" w:hAnsi="Baskerville Old Face"/>
          <w:i/>
          <w:iCs/>
        </w:rPr>
        <w:br/>
        <w:t>• suspension or revocation status, if any.</w:t>
      </w:r>
    </w:p>
    <w:p w14:paraId="4194B9F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xml:space="preserve">Where Prometheus uses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access records may be represented through signed entries, source-chain records, DHT-published references, or validation-controlled access states.</w:t>
      </w:r>
    </w:p>
    <w:p w14:paraId="01AFAA8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However, the document should preserve implementation discipline.</w:t>
      </w:r>
    </w:p>
    <w:p w14:paraId="4B2DB67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record may support traceability.</w:t>
      </w:r>
    </w:p>
    <w:p w14:paraId="33BCC5C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does not by itself create financial rights, PRU value, land rights, investor rights, token entitlement, or governance authority beyond the scope explicitly granted.</w:t>
      </w:r>
    </w:p>
    <w:p w14:paraId="6BFC1AA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access record is evidence of status.</w:t>
      </w:r>
    </w:p>
    <w:p w14:paraId="4197CE8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is not a blank cheque from the gods of distributed systems.</w:t>
      </w:r>
    </w:p>
    <w:p w14:paraId="0FC89FBC"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8.8 Renewal and Reaffirmation</w:t>
      </w:r>
    </w:p>
    <w:p w14:paraId="1EA4BBA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should be periodically reviewed.</w:t>
      </w:r>
    </w:p>
    <w:p w14:paraId="30BFACA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review frequency should depend on role, risk, access scope, legal context, and implementation maturity.</w:t>
      </w:r>
    </w:p>
    <w:p w14:paraId="444FDC0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Possible renewal triggers include:</w:t>
      </w:r>
    </w:p>
    <w:p w14:paraId="46B91CC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annual reaffirmation;</w:t>
      </w:r>
      <w:r w:rsidRPr="00B479AE">
        <w:rPr>
          <w:rFonts w:ascii="Baskerville Old Face" w:hAnsi="Baskerville Old Face"/>
          <w:i/>
          <w:iCs/>
        </w:rPr>
        <w:br/>
        <w:t>• expiration of access term;</w:t>
      </w:r>
      <w:r w:rsidRPr="00B479AE">
        <w:rPr>
          <w:rFonts w:ascii="Baskerville Old Face" w:hAnsi="Baskerville Old Face"/>
          <w:i/>
          <w:iCs/>
        </w:rPr>
        <w:br/>
        <w:t>• change of participant role;</w:t>
      </w:r>
      <w:r w:rsidRPr="00B479AE">
        <w:rPr>
          <w:rFonts w:ascii="Baskerville Old Face" w:hAnsi="Baskerville Old Face"/>
          <w:i/>
          <w:iCs/>
        </w:rPr>
        <w:br/>
        <w:t>• change of entity structure;</w:t>
      </w:r>
      <w:r w:rsidRPr="00B479AE">
        <w:rPr>
          <w:rFonts w:ascii="Baskerville Old Face" w:hAnsi="Baskerville Old Face"/>
          <w:i/>
          <w:iCs/>
        </w:rPr>
        <w:br/>
        <w:t>• change of control;</w:t>
      </w:r>
      <w:r w:rsidRPr="00B479AE">
        <w:rPr>
          <w:rFonts w:ascii="Baskerville Old Face" w:hAnsi="Baskerville Old Face"/>
          <w:i/>
          <w:iCs/>
        </w:rPr>
        <w:br/>
        <w:t xml:space="preserve">• change of </w:t>
      </w:r>
      <w:proofErr w:type="spellStart"/>
      <w:r w:rsidRPr="00B479AE">
        <w:rPr>
          <w:rFonts w:ascii="Baskerville Old Face" w:hAnsi="Baskerville Old Face"/>
          <w:i/>
          <w:iCs/>
        </w:rPr>
        <w:t>tokenomics</w:t>
      </w:r>
      <w:proofErr w:type="spellEnd"/>
      <w:r w:rsidRPr="00B479AE">
        <w:rPr>
          <w:rFonts w:ascii="Baskerville Old Face" w:hAnsi="Baskerville Old Face"/>
          <w:i/>
          <w:iCs/>
        </w:rPr>
        <w:t>;</w:t>
      </w:r>
      <w:r w:rsidRPr="00B479AE">
        <w:rPr>
          <w:rFonts w:ascii="Baskerville Old Face" w:hAnsi="Baskerville Old Face"/>
          <w:i/>
          <w:iCs/>
        </w:rPr>
        <w:br/>
        <w:t>• change of investment strategy;</w:t>
      </w:r>
      <w:r w:rsidRPr="00B479AE">
        <w:rPr>
          <w:rFonts w:ascii="Baskerville Old Face" w:hAnsi="Baskerville Old Face"/>
          <w:i/>
          <w:iCs/>
        </w:rPr>
        <w:br/>
        <w:t>• change of legal status;</w:t>
      </w:r>
      <w:r w:rsidRPr="00B479AE">
        <w:rPr>
          <w:rFonts w:ascii="Baskerville Old Face" w:hAnsi="Baskerville Old Face"/>
          <w:i/>
          <w:iCs/>
        </w:rPr>
        <w:br/>
        <w:t>• change of MRV role;</w:t>
      </w:r>
      <w:r w:rsidRPr="00B479AE">
        <w:rPr>
          <w:rFonts w:ascii="Baskerville Old Face" w:hAnsi="Baskerville Old Face"/>
          <w:i/>
          <w:iCs/>
        </w:rPr>
        <w:br/>
        <w:t>• change of technical permissions;</w:t>
      </w:r>
      <w:r w:rsidRPr="00B479AE">
        <w:rPr>
          <w:rFonts w:ascii="Baskerville Old Face" w:hAnsi="Baskerville Old Face"/>
          <w:i/>
          <w:iCs/>
        </w:rPr>
        <w:br/>
        <w:t>• breach or suspected breach;</w:t>
      </w:r>
      <w:r w:rsidRPr="00B479AE">
        <w:rPr>
          <w:rFonts w:ascii="Baskerville Old Face" w:hAnsi="Baskerville Old Face"/>
          <w:i/>
          <w:iCs/>
        </w:rPr>
        <w:br/>
      </w:r>
      <w:r w:rsidRPr="00B479AE">
        <w:rPr>
          <w:rFonts w:ascii="Baskerville Old Face" w:hAnsi="Baskerville Old Face"/>
          <w:i/>
          <w:iCs/>
        </w:rPr>
        <w:lastRenderedPageBreak/>
        <w:t>• material governance concern;</w:t>
      </w:r>
      <w:r w:rsidRPr="00B479AE">
        <w:rPr>
          <w:rFonts w:ascii="Baskerville Old Face" w:hAnsi="Baskerville Old Face"/>
          <w:i/>
          <w:iCs/>
        </w:rPr>
        <w:br/>
        <w:t>• material ecological, financial, technical, or reputational risk.</w:t>
      </w:r>
    </w:p>
    <w:p w14:paraId="46922AD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Reaffirmation may include:</w:t>
      </w:r>
    </w:p>
    <w:p w14:paraId="7082D33F"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renewed Access Covenant acknowledgment;</w:t>
      </w:r>
      <w:r w:rsidRPr="00B479AE">
        <w:rPr>
          <w:rFonts w:ascii="Baskerville Old Face" w:hAnsi="Baskerville Old Face"/>
          <w:i/>
          <w:iCs/>
        </w:rPr>
        <w:br/>
        <w:t>• confirmation of current role;</w:t>
      </w:r>
      <w:r w:rsidRPr="00B479AE">
        <w:rPr>
          <w:rFonts w:ascii="Baskerville Old Face" w:hAnsi="Baskerville Old Face"/>
          <w:i/>
          <w:iCs/>
        </w:rPr>
        <w:br/>
        <w:t>• confirmation of current representative authority;</w:t>
      </w:r>
      <w:r w:rsidRPr="00B479AE">
        <w:rPr>
          <w:rFonts w:ascii="Baskerville Old Face" w:hAnsi="Baskerville Old Face"/>
          <w:i/>
          <w:iCs/>
        </w:rPr>
        <w:br/>
        <w:t>• updated documentation;</w:t>
      </w:r>
      <w:r w:rsidRPr="00B479AE">
        <w:rPr>
          <w:rFonts w:ascii="Baskerville Old Face" w:hAnsi="Baskerville Old Face"/>
          <w:i/>
          <w:iCs/>
        </w:rPr>
        <w:br/>
        <w:t>• conflict-of-interest update;</w:t>
      </w:r>
      <w:r w:rsidRPr="00B479AE">
        <w:rPr>
          <w:rFonts w:ascii="Baskerville Old Face" w:hAnsi="Baskerville Old Face"/>
          <w:i/>
          <w:iCs/>
        </w:rPr>
        <w:br/>
        <w:t>• confirmation of continued eligibility;</w:t>
      </w:r>
      <w:r w:rsidRPr="00B479AE">
        <w:rPr>
          <w:rFonts w:ascii="Baskerville Old Face" w:hAnsi="Baskerville Old Face"/>
          <w:i/>
          <w:iCs/>
        </w:rPr>
        <w:br/>
        <w:t>• review of conditions or restrictions;</w:t>
      </w:r>
      <w:r w:rsidRPr="00B479AE">
        <w:rPr>
          <w:rFonts w:ascii="Baskerville Old Face" w:hAnsi="Baskerville Old Face"/>
          <w:i/>
          <w:iCs/>
        </w:rPr>
        <w:br/>
        <w:t>• update of access scope.</w:t>
      </w:r>
    </w:p>
    <w:p w14:paraId="65EF00D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Failure to renew should be handled proportionately.</w:t>
      </w:r>
    </w:p>
    <w:p w14:paraId="1D00E432"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Possible responses include:</w:t>
      </w:r>
    </w:p>
    <w:p w14:paraId="463F17B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reminder;</w:t>
      </w:r>
      <w:r w:rsidRPr="00B479AE">
        <w:rPr>
          <w:rFonts w:ascii="Baskerville Old Face" w:hAnsi="Baskerville Old Face"/>
          <w:i/>
          <w:iCs/>
        </w:rPr>
        <w:br/>
        <w:t>• grace period;</w:t>
      </w:r>
      <w:r w:rsidRPr="00B479AE">
        <w:rPr>
          <w:rFonts w:ascii="Baskerville Old Face" w:hAnsi="Baskerville Old Face"/>
          <w:i/>
          <w:iCs/>
        </w:rPr>
        <w:br/>
        <w:t>• review-required status;</w:t>
      </w:r>
      <w:r w:rsidRPr="00B479AE">
        <w:rPr>
          <w:rFonts w:ascii="Baskerville Old Face" w:hAnsi="Baskerville Old Face"/>
          <w:i/>
          <w:iCs/>
        </w:rPr>
        <w:br/>
        <w:t>• temporary limitation of sensitive access;</w:t>
      </w:r>
      <w:r w:rsidRPr="00B479AE">
        <w:rPr>
          <w:rFonts w:ascii="Baskerville Old Face" w:hAnsi="Baskerville Old Face"/>
          <w:i/>
          <w:iCs/>
        </w:rPr>
        <w:br/>
        <w:t>• suspension of governance or technical functions;</w:t>
      </w:r>
      <w:r w:rsidRPr="00B479AE">
        <w:rPr>
          <w:rFonts w:ascii="Baskerville Old Face" w:hAnsi="Baskerville Old Face"/>
          <w:i/>
          <w:iCs/>
        </w:rPr>
        <w:br/>
        <w:t>• suspension of capital-facing privileges;</w:t>
      </w:r>
      <w:r w:rsidRPr="00B479AE">
        <w:rPr>
          <w:rFonts w:ascii="Baskerville Old Face" w:hAnsi="Baskerville Old Face"/>
          <w:i/>
          <w:iCs/>
        </w:rPr>
        <w:br/>
        <w:t>• termination of access where appropriate.</w:t>
      </w:r>
    </w:p>
    <w:p w14:paraId="7D7CF71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should avoid automatic punitive escalation unless formally defined, technically implemented, legally appropriate, and governance-approved.</w:t>
      </w:r>
    </w:p>
    <w:p w14:paraId="3E1FBE4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purpose of renewal is continuity of coherence, not bureaucratic ambush.</w:t>
      </w:r>
    </w:p>
    <w:p w14:paraId="78FD6541"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8.9 Material Changes</w:t>
      </w:r>
    </w:p>
    <w:p w14:paraId="3FE55AF7" w14:textId="031CD0A3"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participant must disclose material changes that may affect eligibility, risk, access scope, or Covenant alignment.</w:t>
      </w:r>
      <w:r w:rsidR="00D078E8" w:rsidRPr="00B479AE">
        <w:rPr>
          <w:rFonts w:ascii="Baskerville Old Face" w:hAnsi="Baskerville Old Face"/>
          <w:i/>
          <w:iCs/>
        </w:rPr>
        <w:t xml:space="preserve"> </w:t>
      </w:r>
      <w:r w:rsidRPr="00B479AE">
        <w:rPr>
          <w:rFonts w:ascii="Baskerville Old Face" w:hAnsi="Baskerville Old Face"/>
          <w:i/>
          <w:iCs/>
        </w:rPr>
        <w:t>Material changes may include:</w:t>
      </w:r>
    </w:p>
    <w:p w14:paraId="5CDF98EF"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change of legal identity;</w:t>
      </w:r>
      <w:r w:rsidRPr="00B479AE">
        <w:rPr>
          <w:rFonts w:ascii="Baskerville Old Face" w:hAnsi="Baskerville Old Face"/>
          <w:i/>
          <w:iCs/>
        </w:rPr>
        <w:br/>
        <w:t>• change of ownership or control;</w:t>
      </w:r>
      <w:r w:rsidRPr="00B479AE">
        <w:rPr>
          <w:rFonts w:ascii="Baskerville Old Face" w:hAnsi="Baskerville Old Face"/>
          <w:i/>
          <w:iCs/>
        </w:rPr>
        <w:br/>
      </w:r>
      <w:r w:rsidRPr="00B479AE">
        <w:rPr>
          <w:rFonts w:ascii="Baskerville Old Face" w:hAnsi="Baskerville Old Face"/>
          <w:i/>
          <w:iCs/>
        </w:rPr>
        <w:lastRenderedPageBreak/>
        <w:t>• change of representative authority;</w:t>
      </w:r>
      <w:r w:rsidRPr="00B479AE">
        <w:rPr>
          <w:rFonts w:ascii="Baskerville Old Face" w:hAnsi="Baskerville Old Face"/>
          <w:i/>
          <w:iCs/>
        </w:rPr>
        <w:br/>
        <w:t>• change of governance structure;</w:t>
      </w:r>
      <w:r w:rsidRPr="00B479AE">
        <w:rPr>
          <w:rFonts w:ascii="Baskerville Old Face" w:hAnsi="Baskerville Old Face"/>
          <w:i/>
          <w:iCs/>
        </w:rPr>
        <w:br/>
        <w:t xml:space="preserve">• change of </w:t>
      </w:r>
      <w:proofErr w:type="spellStart"/>
      <w:r w:rsidRPr="00B479AE">
        <w:rPr>
          <w:rFonts w:ascii="Baskerville Old Face" w:hAnsi="Baskerville Old Face"/>
          <w:i/>
          <w:iCs/>
        </w:rPr>
        <w:t>tokenomics</w:t>
      </w:r>
      <w:proofErr w:type="spellEnd"/>
      <w:r w:rsidRPr="00B479AE">
        <w:rPr>
          <w:rFonts w:ascii="Baskerville Old Face" w:hAnsi="Baskerville Old Face"/>
          <w:i/>
          <w:iCs/>
        </w:rPr>
        <w:t>;</w:t>
      </w:r>
      <w:r w:rsidRPr="00B479AE">
        <w:rPr>
          <w:rFonts w:ascii="Baskerville Old Face" w:hAnsi="Baskerville Old Face"/>
          <w:i/>
          <w:iCs/>
        </w:rPr>
        <w:br/>
        <w:t>• change of treasury policy;</w:t>
      </w:r>
      <w:r w:rsidRPr="00B479AE">
        <w:rPr>
          <w:rFonts w:ascii="Baskerville Old Face" w:hAnsi="Baskerville Old Face"/>
          <w:i/>
          <w:iCs/>
        </w:rPr>
        <w:br/>
        <w:t>• change of investment strategy;</w:t>
      </w:r>
      <w:r w:rsidRPr="00B479AE">
        <w:rPr>
          <w:rFonts w:ascii="Baskerville Old Face" w:hAnsi="Baskerville Old Face"/>
          <w:i/>
          <w:iCs/>
        </w:rPr>
        <w:br/>
        <w:t>• change of regulatory status;</w:t>
      </w:r>
      <w:r w:rsidRPr="00B479AE">
        <w:rPr>
          <w:rFonts w:ascii="Baskerville Old Face" w:hAnsi="Baskerville Old Face"/>
          <w:i/>
          <w:iCs/>
        </w:rPr>
        <w:br/>
        <w:t>• change of data-processing practices;</w:t>
      </w:r>
      <w:r w:rsidRPr="00B479AE">
        <w:rPr>
          <w:rFonts w:ascii="Baskerville Old Face" w:hAnsi="Baskerville Old Face"/>
          <w:i/>
          <w:iCs/>
        </w:rPr>
        <w:br/>
        <w:t>• change of technical infrastructure;</w:t>
      </w:r>
      <w:r w:rsidRPr="00B479AE">
        <w:rPr>
          <w:rFonts w:ascii="Baskerville Old Face" w:hAnsi="Baskerville Old Face"/>
          <w:i/>
          <w:iCs/>
        </w:rPr>
        <w:br/>
        <w:t>• change of MRV methodology or role;</w:t>
      </w:r>
      <w:r w:rsidRPr="00B479AE">
        <w:rPr>
          <w:rFonts w:ascii="Baskerville Old Face" w:hAnsi="Baskerville Old Face"/>
          <w:i/>
          <w:iCs/>
        </w:rPr>
        <w:br/>
        <w:t>• change of public claims;</w:t>
      </w:r>
      <w:r w:rsidRPr="00B479AE">
        <w:rPr>
          <w:rFonts w:ascii="Baskerville Old Face" w:hAnsi="Baskerville Old Face"/>
          <w:i/>
          <w:iCs/>
        </w:rPr>
        <w:br/>
        <w:t>• change of business model;</w:t>
      </w:r>
      <w:r w:rsidRPr="00B479AE">
        <w:rPr>
          <w:rFonts w:ascii="Baskerville Old Face" w:hAnsi="Baskerville Old Face"/>
          <w:i/>
          <w:iCs/>
        </w:rPr>
        <w:br/>
        <w:t>• change of land-access arrangement;</w:t>
      </w:r>
      <w:r w:rsidRPr="00B479AE">
        <w:rPr>
          <w:rFonts w:ascii="Baskerville Old Face" w:hAnsi="Baskerville Old Face"/>
          <w:i/>
          <w:iCs/>
        </w:rPr>
        <w:br/>
        <w:t>• change of community governance;</w:t>
      </w:r>
      <w:r w:rsidRPr="00B479AE">
        <w:rPr>
          <w:rFonts w:ascii="Baskerville Old Face" w:hAnsi="Baskerville Old Face"/>
          <w:i/>
          <w:iCs/>
        </w:rPr>
        <w:br/>
        <w:t>• emergence of conflict of interest;</w:t>
      </w:r>
      <w:r w:rsidRPr="00B479AE">
        <w:rPr>
          <w:rFonts w:ascii="Baskerville Old Face" w:hAnsi="Baskerville Old Face"/>
          <w:i/>
          <w:iCs/>
        </w:rPr>
        <w:br/>
        <w:t>• litigation, enforcement, insolvency, or serious reputational event.</w:t>
      </w:r>
    </w:p>
    <w:p w14:paraId="08FAF58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Material changes do not automatically terminate access.</w:t>
      </w:r>
    </w:p>
    <w:p w14:paraId="184E42CD" w14:textId="0333F3F8"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They trigger review.</w:t>
      </w:r>
      <w:r w:rsidR="00CA4128" w:rsidRPr="00B479AE">
        <w:rPr>
          <w:rFonts w:ascii="Baskerville Old Face" w:hAnsi="Baskerville Old Face"/>
          <w:i/>
          <w:iCs/>
        </w:rPr>
        <w:t xml:space="preserve"> </w:t>
      </w:r>
      <w:r w:rsidRPr="00B479AE">
        <w:rPr>
          <w:rFonts w:ascii="Baskerville Old Face" w:hAnsi="Baskerville Old Face"/>
          <w:i/>
          <w:iCs/>
        </w:rPr>
        <w:t>The review may result in:</w:t>
      </w:r>
    </w:p>
    <w:p w14:paraId="0D656C0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no change;</w:t>
      </w:r>
      <w:r w:rsidRPr="00B479AE">
        <w:rPr>
          <w:rFonts w:ascii="Baskerville Old Face" w:hAnsi="Baskerville Old Face"/>
          <w:i/>
          <w:iCs/>
        </w:rPr>
        <w:br/>
        <w:t>• updated access scope;</w:t>
      </w:r>
      <w:r w:rsidRPr="00B479AE">
        <w:rPr>
          <w:rFonts w:ascii="Baskerville Old Face" w:hAnsi="Baskerville Old Face"/>
          <w:i/>
          <w:iCs/>
        </w:rPr>
        <w:br/>
        <w:t>• additional documentation;</w:t>
      </w:r>
      <w:r w:rsidRPr="00B479AE">
        <w:rPr>
          <w:rFonts w:ascii="Baskerville Old Face" w:hAnsi="Baskerville Old Face"/>
          <w:i/>
          <w:iCs/>
        </w:rPr>
        <w:br/>
        <w:t>• enhanced monitoring;</w:t>
      </w:r>
      <w:r w:rsidRPr="00B479AE">
        <w:rPr>
          <w:rFonts w:ascii="Baskerville Old Face" w:hAnsi="Baskerville Old Face"/>
          <w:i/>
          <w:iCs/>
        </w:rPr>
        <w:br/>
        <w:t>• temporary restriction;</w:t>
      </w:r>
      <w:r w:rsidRPr="00B479AE">
        <w:rPr>
          <w:rFonts w:ascii="Baskerville Old Face" w:hAnsi="Baskerville Old Face"/>
          <w:i/>
          <w:iCs/>
        </w:rPr>
        <w:br/>
        <w:t>• reclassification of risk;</w:t>
      </w:r>
      <w:r w:rsidRPr="00B479AE">
        <w:rPr>
          <w:rFonts w:ascii="Baskerville Old Face" w:hAnsi="Baskerville Old Face"/>
          <w:i/>
          <w:iCs/>
        </w:rPr>
        <w:br/>
        <w:t>• legal review;</w:t>
      </w:r>
      <w:r w:rsidRPr="00B479AE">
        <w:rPr>
          <w:rFonts w:ascii="Baskerville Old Face" w:hAnsi="Baskerville Old Face"/>
          <w:i/>
          <w:iCs/>
        </w:rPr>
        <w:br/>
        <w:t>• governance review;</w:t>
      </w:r>
      <w:r w:rsidRPr="00B479AE">
        <w:rPr>
          <w:rFonts w:ascii="Baskerville Old Face" w:hAnsi="Baskerville Old Face"/>
          <w:i/>
          <w:iCs/>
        </w:rPr>
        <w:br/>
        <w:t>• suspension;</w:t>
      </w:r>
      <w:r w:rsidRPr="00B479AE">
        <w:rPr>
          <w:rFonts w:ascii="Baskerville Old Face" w:hAnsi="Baskerville Old Face"/>
          <w:i/>
          <w:iCs/>
        </w:rPr>
        <w:br/>
        <w:t>• termination.</w:t>
      </w:r>
    </w:p>
    <w:p w14:paraId="6A4A80CF" w14:textId="64144B22"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principle is adaptive governance.</w:t>
      </w:r>
      <w:r w:rsidR="00D078E8" w:rsidRPr="00B479AE">
        <w:rPr>
          <w:rFonts w:ascii="Baskerville Old Face" w:hAnsi="Baskerville Old Face"/>
          <w:i/>
          <w:iCs/>
        </w:rPr>
        <w:t xml:space="preserve"> </w:t>
      </w:r>
      <w:r w:rsidRPr="00B479AE">
        <w:rPr>
          <w:rFonts w:ascii="Baskerville Old Face" w:hAnsi="Baskerville Old Face"/>
          <w:i/>
          <w:iCs/>
        </w:rPr>
        <w:t>Prometheus should respond to reality as it changes.</w:t>
      </w:r>
    </w:p>
    <w:p w14:paraId="74E573F8"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8.10 Ongoing Compliance and Monitoring</w:t>
      </w:r>
    </w:p>
    <w:p w14:paraId="219EF66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Participation in Prometheus is not a one-time event.</w:t>
      </w:r>
    </w:p>
    <w:p w14:paraId="6A5F398F"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lastRenderedPageBreak/>
        <w:t>It is a continuing relationship.</w:t>
      </w:r>
    </w:p>
    <w:p w14:paraId="62301DF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Ongoing compliance may include:</w:t>
      </w:r>
    </w:p>
    <w:p w14:paraId="6AFB09C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Covenant compliance;</w:t>
      </w:r>
      <w:r w:rsidRPr="00B479AE">
        <w:rPr>
          <w:rFonts w:ascii="Baskerville Old Face" w:hAnsi="Baskerville Old Face"/>
          <w:i/>
          <w:iCs/>
        </w:rPr>
        <w:br/>
        <w:t>• role compliance;</w:t>
      </w:r>
      <w:r w:rsidRPr="00B479AE">
        <w:rPr>
          <w:rFonts w:ascii="Baskerville Old Face" w:hAnsi="Baskerville Old Face"/>
          <w:i/>
          <w:iCs/>
        </w:rPr>
        <w:br/>
        <w:t>• reporting obligations;</w:t>
      </w:r>
      <w:r w:rsidRPr="00B479AE">
        <w:rPr>
          <w:rFonts w:ascii="Baskerville Old Face" w:hAnsi="Baskerville Old Face"/>
          <w:i/>
          <w:iCs/>
        </w:rPr>
        <w:br/>
        <w:t>• technical-access discipline;</w:t>
      </w:r>
      <w:r w:rsidRPr="00B479AE">
        <w:rPr>
          <w:rFonts w:ascii="Baskerville Old Face" w:hAnsi="Baskerville Old Face"/>
          <w:i/>
          <w:iCs/>
        </w:rPr>
        <w:br/>
        <w:t>• MRV integrity;</w:t>
      </w:r>
      <w:r w:rsidRPr="00B479AE">
        <w:rPr>
          <w:rFonts w:ascii="Baskerville Old Face" w:hAnsi="Baskerville Old Face"/>
          <w:i/>
          <w:iCs/>
        </w:rPr>
        <w:br/>
        <w:t>• governance participation rules;</w:t>
      </w:r>
      <w:r w:rsidRPr="00B479AE">
        <w:rPr>
          <w:rFonts w:ascii="Baskerville Old Face" w:hAnsi="Baskerville Old Face"/>
          <w:i/>
          <w:iCs/>
        </w:rPr>
        <w:br/>
        <w:t>• legal agreement compliance;</w:t>
      </w:r>
      <w:r w:rsidRPr="00B479AE">
        <w:rPr>
          <w:rFonts w:ascii="Baskerville Old Face" w:hAnsi="Baskerville Old Face"/>
          <w:i/>
          <w:iCs/>
        </w:rPr>
        <w:br/>
        <w:t>• public-communication discipline;</w:t>
      </w:r>
      <w:r w:rsidRPr="00B479AE">
        <w:rPr>
          <w:rFonts w:ascii="Baskerville Old Face" w:hAnsi="Baskerville Old Face"/>
          <w:i/>
          <w:iCs/>
        </w:rPr>
        <w:br/>
        <w:t>• data-protection compliance;</w:t>
      </w:r>
      <w:r w:rsidRPr="00B479AE">
        <w:rPr>
          <w:rFonts w:ascii="Baskerville Old Face" w:hAnsi="Baskerville Old Face"/>
          <w:i/>
          <w:iCs/>
        </w:rPr>
        <w:br/>
        <w:t>• conflict-of-interest updates;</w:t>
      </w:r>
      <w:r w:rsidRPr="00B479AE">
        <w:rPr>
          <w:rFonts w:ascii="Baskerville Old Face" w:hAnsi="Baskerville Old Face"/>
          <w:i/>
          <w:iCs/>
        </w:rPr>
        <w:br/>
        <w:t>• periodic review.</w:t>
      </w:r>
    </w:p>
    <w:p w14:paraId="3BB2670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Monitoring may be human, procedural, legal, technical, governance-based, or automated where implementation allows.</w:t>
      </w:r>
    </w:p>
    <w:p w14:paraId="4627C55F" w14:textId="59D56D76"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xml:space="preserve">Prometheus </w:t>
      </w:r>
      <w:r w:rsidR="00D1089D" w:rsidRPr="00B479AE">
        <w:rPr>
          <w:rFonts w:ascii="Baskerville Old Face" w:hAnsi="Baskerville Old Face"/>
          <w:i/>
          <w:iCs/>
        </w:rPr>
        <w:t xml:space="preserve">must not overclaim </w:t>
      </w:r>
      <w:r w:rsidRPr="00B479AE">
        <w:rPr>
          <w:rFonts w:ascii="Baskerville Old Face" w:hAnsi="Baskerville Old Face"/>
          <w:i/>
          <w:iCs/>
        </w:rPr>
        <w:t>automatic enforcement.</w:t>
      </w:r>
    </w:p>
    <w:p w14:paraId="7ECBA61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Where automated alerts, validation rules, warrant logic, reputation signals, anomaly detection, or technical controls are implemented, they should support review.</w:t>
      </w:r>
    </w:p>
    <w:p w14:paraId="65AF1B9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They should not replace due process where human, legal, ecological, financial, or constitutional interpretation is required.</w:t>
      </w:r>
    </w:p>
    <w:p w14:paraId="09C15C7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system may flag.</w:t>
      </w:r>
    </w:p>
    <w:p w14:paraId="5A055CC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system may restrict.</w:t>
      </w:r>
    </w:p>
    <w:p w14:paraId="1AC541C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system may pause.</w:t>
      </w:r>
    </w:p>
    <w:p w14:paraId="1C79DA1F"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system may escalate.</w:t>
      </w:r>
    </w:p>
    <w:p w14:paraId="09B194C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But high-impact consequences should remain reviewable according to the applicable governance and legal pathway.</w:t>
      </w:r>
    </w:p>
    <w:p w14:paraId="7CA5750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This is essential for institutional credibility.</w:t>
      </w:r>
    </w:p>
    <w:p w14:paraId="7286719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lastRenderedPageBreak/>
        <w:t>Automatic punishment is not governance.</w:t>
      </w:r>
    </w:p>
    <w:p w14:paraId="2AC1948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is machinery wearing a judge’s wig.</w:t>
      </w:r>
    </w:p>
    <w:p w14:paraId="5F6C396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must be better than that.</w:t>
      </w:r>
    </w:p>
    <w:p w14:paraId="6D83737E"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8.11 Appeal, Reconsideration, and Review</w:t>
      </w:r>
    </w:p>
    <w:p w14:paraId="66F28D2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Where access is denied, restricted, suspended, or materially conditioned, the participant may be entitled to appeal or reconsideration depending on the nature of the decision, access scope, legal context, and governance rules.</w:t>
      </w:r>
    </w:p>
    <w:p w14:paraId="021EE07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An appeal pathway may include:</w:t>
      </w:r>
    </w:p>
    <w:p w14:paraId="759655B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reasoned request for reconsideration;</w:t>
      </w:r>
      <w:r w:rsidRPr="00B479AE">
        <w:rPr>
          <w:rFonts w:ascii="Baskerville Old Face" w:hAnsi="Baskerville Old Face"/>
          <w:i/>
          <w:iCs/>
        </w:rPr>
        <w:br/>
        <w:t>• submission of additional evidence;</w:t>
      </w:r>
      <w:r w:rsidRPr="00B479AE">
        <w:rPr>
          <w:rFonts w:ascii="Baskerville Old Face" w:hAnsi="Baskerville Old Face"/>
          <w:i/>
          <w:iCs/>
        </w:rPr>
        <w:br/>
        <w:t>• review by a higher or separate circle;</w:t>
      </w:r>
      <w:r w:rsidRPr="00B479AE">
        <w:rPr>
          <w:rFonts w:ascii="Baskerville Old Face" w:hAnsi="Baskerville Old Face"/>
          <w:i/>
          <w:iCs/>
        </w:rPr>
        <w:br/>
        <w:t>• legal review, where relevant;</w:t>
      </w:r>
      <w:r w:rsidRPr="00B479AE">
        <w:rPr>
          <w:rFonts w:ascii="Baskerville Old Face" w:hAnsi="Baskerville Old Face"/>
          <w:i/>
          <w:iCs/>
        </w:rPr>
        <w:br/>
        <w:t>• technical review, where relevant;</w:t>
      </w:r>
      <w:r w:rsidRPr="00B479AE">
        <w:rPr>
          <w:rFonts w:ascii="Baskerville Old Face" w:hAnsi="Baskerville Old Face"/>
          <w:i/>
          <w:iCs/>
        </w:rPr>
        <w:br/>
        <w:t>• MRV review, where relevant;</w:t>
      </w:r>
      <w:r w:rsidRPr="00B479AE">
        <w:rPr>
          <w:rFonts w:ascii="Baskerville Old Face" w:hAnsi="Baskerville Old Face"/>
          <w:i/>
          <w:iCs/>
        </w:rPr>
        <w:br/>
        <w:t>• integrity review, where relevant;</w:t>
      </w:r>
      <w:r w:rsidRPr="00B479AE">
        <w:rPr>
          <w:rFonts w:ascii="Baskerville Old Face" w:hAnsi="Baskerville Old Face"/>
          <w:i/>
          <w:iCs/>
        </w:rPr>
        <w:br/>
        <w:t>• constitutional review for source-layer questions.</w:t>
      </w:r>
    </w:p>
    <w:p w14:paraId="23639D4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Appeals should not become a mechanism to pressure the system into lowering constitutional standards.</w:t>
      </w:r>
    </w:p>
    <w:p w14:paraId="3F94D1E8"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reviewing body should distinguish between:</w:t>
      </w:r>
    </w:p>
    <w:p w14:paraId="4B457E7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factual error;</w:t>
      </w:r>
      <w:r w:rsidRPr="00B479AE">
        <w:rPr>
          <w:rFonts w:ascii="Baskerville Old Face" w:hAnsi="Baskerville Old Face"/>
          <w:i/>
          <w:iCs/>
        </w:rPr>
        <w:br/>
        <w:t>• missing information;</w:t>
      </w:r>
      <w:r w:rsidRPr="00B479AE">
        <w:rPr>
          <w:rFonts w:ascii="Baskerville Old Face" w:hAnsi="Baskerville Old Face"/>
          <w:i/>
          <w:iCs/>
        </w:rPr>
        <w:br/>
        <w:t>• misunderstanding of access scope;</w:t>
      </w:r>
      <w:r w:rsidRPr="00B479AE">
        <w:rPr>
          <w:rFonts w:ascii="Baskerville Old Face" w:hAnsi="Baskerville Old Face"/>
          <w:i/>
          <w:iCs/>
        </w:rPr>
        <w:br/>
        <w:t>• changed circumstances;</w:t>
      </w:r>
      <w:r w:rsidRPr="00B479AE">
        <w:rPr>
          <w:rFonts w:ascii="Baskerville Old Face" w:hAnsi="Baskerville Old Face"/>
          <w:i/>
          <w:iCs/>
        </w:rPr>
        <w:br/>
        <w:t>• governance disagreement;</w:t>
      </w:r>
      <w:r w:rsidRPr="00B479AE">
        <w:rPr>
          <w:rFonts w:ascii="Baskerville Old Face" w:hAnsi="Baskerville Old Face"/>
          <w:i/>
          <w:iCs/>
        </w:rPr>
        <w:br/>
        <w:t>• legal dispute;</w:t>
      </w:r>
      <w:r w:rsidRPr="00B479AE">
        <w:rPr>
          <w:rFonts w:ascii="Baskerville Old Face" w:hAnsi="Baskerville Old Face"/>
          <w:i/>
          <w:iCs/>
        </w:rPr>
        <w:br/>
        <w:t>• constitutional incompatibility.</w:t>
      </w:r>
    </w:p>
    <w:p w14:paraId="44112BC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participant may correct facts.</w:t>
      </w:r>
    </w:p>
    <w:p w14:paraId="61C9C3B1"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participant may provide missing evidence.</w:t>
      </w:r>
    </w:p>
    <w:p w14:paraId="146538F1"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lastRenderedPageBreak/>
        <w:t>A participant may narrow the requested scope.</w:t>
      </w:r>
    </w:p>
    <w:p w14:paraId="0A462EA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 participant may enter through sandbox access.</w:t>
      </w:r>
    </w:p>
    <w:p w14:paraId="4178598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But no appeal may override the foundational articles, Eternity Clauses, Access Covenant, evidence-before-value discipline, PRU/MRV boundaries, or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410EF42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highest appeal is not power.</w:t>
      </w:r>
    </w:p>
    <w:p w14:paraId="75B9FFF1"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highest appeal is fidelity.</w:t>
      </w:r>
    </w:p>
    <w:p w14:paraId="4628AE9E"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8.12 Emergency Limitation of Access</w:t>
      </w:r>
    </w:p>
    <w:p w14:paraId="21BFC55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In urgent situations, Prometheus may temporarily limit access before full review is complete.</w:t>
      </w:r>
    </w:p>
    <w:p w14:paraId="550210DD"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Emergency limitation may be appropriate where there is credible risk of:</w:t>
      </w:r>
    </w:p>
    <w:p w14:paraId="4B4DD6F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ecological harm;</w:t>
      </w:r>
      <w:r w:rsidRPr="00B479AE">
        <w:rPr>
          <w:rFonts w:ascii="Baskerville Old Face" w:hAnsi="Baskerville Old Face"/>
          <w:i/>
          <w:iCs/>
        </w:rPr>
        <w:br/>
        <w:t>• data manipulation;</w:t>
      </w:r>
      <w:r w:rsidRPr="00B479AE">
        <w:rPr>
          <w:rFonts w:ascii="Baskerville Old Face" w:hAnsi="Baskerville Old Face"/>
          <w:i/>
          <w:iCs/>
        </w:rPr>
        <w:br/>
        <w:t>• MRV falsification;</w:t>
      </w:r>
      <w:r w:rsidRPr="00B479AE">
        <w:rPr>
          <w:rFonts w:ascii="Baskerville Old Face" w:hAnsi="Baskerville Old Face"/>
          <w:i/>
          <w:iCs/>
        </w:rPr>
        <w:br/>
        <w:t>• investor-facing misrepresentation;</w:t>
      </w:r>
      <w:r w:rsidRPr="00B479AE">
        <w:rPr>
          <w:rFonts w:ascii="Baskerville Old Face" w:hAnsi="Baskerville Old Face"/>
          <w:i/>
          <w:iCs/>
        </w:rPr>
        <w:br/>
        <w:t xml:space="preserve">•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confusion;</w:t>
      </w:r>
      <w:r w:rsidRPr="00B479AE">
        <w:rPr>
          <w:rFonts w:ascii="Baskerville Old Face" w:hAnsi="Baskerville Old Face"/>
          <w:i/>
          <w:iCs/>
        </w:rPr>
        <w:br/>
        <w:t>• technical compromise;</w:t>
      </w:r>
      <w:r w:rsidRPr="00B479AE">
        <w:rPr>
          <w:rFonts w:ascii="Baskerville Old Face" w:hAnsi="Baskerville Old Face"/>
          <w:i/>
          <w:iCs/>
        </w:rPr>
        <w:br/>
        <w:t>• security breach;</w:t>
      </w:r>
      <w:r w:rsidRPr="00B479AE">
        <w:rPr>
          <w:rFonts w:ascii="Baskerville Old Face" w:hAnsi="Baskerville Old Face"/>
          <w:i/>
          <w:iCs/>
        </w:rPr>
        <w:br/>
        <w:t>• governance capture;</w:t>
      </w:r>
      <w:r w:rsidRPr="00B479AE">
        <w:rPr>
          <w:rFonts w:ascii="Baskerville Old Face" w:hAnsi="Baskerville Old Face"/>
          <w:i/>
          <w:iCs/>
        </w:rPr>
        <w:br/>
        <w:t>• coercion or exploitation;</w:t>
      </w:r>
      <w:r w:rsidRPr="00B479AE">
        <w:rPr>
          <w:rFonts w:ascii="Baskerville Old Face" w:hAnsi="Baskerville Old Face"/>
          <w:i/>
          <w:iCs/>
        </w:rPr>
        <w:br/>
        <w:t>• serious Covenant violation;</w:t>
      </w:r>
      <w:r w:rsidRPr="00B479AE">
        <w:rPr>
          <w:rFonts w:ascii="Baskerville Old Face" w:hAnsi="Baskerville Old Face"/>
          <w:i/>
          <w:iCs/>
        </w:rPr>
        <w:br/>
        <w:t>• legal or regulatory exposure;</w:t>
      </w:r>
      <w:r w:rsidRPr="00B479AE">
        <w:rPr>
          <w:rFonts w:ascii="Baskerville Old Face" w:hAnsi="Baskerville Old Face"/>
          <w:i/>
          <w:iCs/>
        </w:rPr>
        <w:br/>
        <w:t>• reputational harm to the ecosystem;</w:t>
      </w:r>
      <w:r w:rsidRPr="00B479AE">
        <w:rPr>
          <w:rFonts w:ascii="Baskerville Old Face" w:hAnsi="Baskerville Old Face"/>
          <w:i/>
          <w:iCs/>
        </w:rPr>
        <w:br/>
        <w:t>• constitutional bypass.</w:t>
      </w:r>
    </w:p>
    <w:p w14:paraId="043C6BB2"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Emergency limitation should be:</w:t>
      </w:r>
    </w:p>
    <w:p w14:paraId="1CFC345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 temporary;</w:t>
      </w:r>
      <w:r w:rsidRPr="00B479AE">
        <w:rPr>
          <w:rFonts w:ascii="Baskerville Old Face" w:hAnsi="Baskerville Old Face"/>
          <w:i/>
          <w:iCs/>
        </w:rPr>
        <w:br/>
        <w:t>• documented;</w:t>
      </w:r>
      <w:r w:rsidRPr="00B479AE">
        <w:rPr>
          <w:rFonts w:ascii="Baskerville Old Face" w:hAnsi="Baskerville Old Face"/>
          <w:i/>
          <w:iCs/>
        </w:rPr>
        <w:br/>
        <w:t>• proportionate;</w:t>
      </w:r>
      <w:r w:rsidRPr="00B479AE">
        <w:rPr>
          <w:rFonts w:ascii="Baskerville Old Face" w:hAnsi="Baskerville Old Face"/>
          <w:i/>
          <w:iCs/>
        </w:rPr>
        <w:br/>
        <w:t>• reviewable;</w:t>
      </w:r>
      <w:r w:rsidRPr="00B479AE">
        <w:rPr>
          <w:rFonts w:ascii="Baskerville Old Face" w:hAnsi="Baskerville Old Face"/>
          <w:i/>
          <w:iCs/>
        </w:rPr>
        <w:br/>
      </w:r>
      <w:r w:rsidRPr="00B479AE">
        <w:rPr>
          <w:rFonts w:ascii="Baskerville Old Face" w:hAnsi="Baskerville Old Face"/>
          <w:i/>
          <w:iCs/>
        </w:rPr>
        <w:lastRenderedPageBreak/>
        <w:t>• limited to the affected function where possible;</w:t>
      </w:r>
      <w:r w:rsidRPr="00B479AE">
        <w:rPr>
          <w:rFonts w:ascii="Baskerville Old Face" w:hAnsi="Baskerville Old Face"/>
          <w:i/>
          <w:iCs/>
        </w:rPr>
        <w:br/>
        <w:t>• escalated to the proper reviewing body.</w:t>
      </w:r>
    </w:p>
    <w:p w14:paraId="12712C6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Emergency action should not become a shortcut for ordinary governance.</w:t>
      </w:r>
    </w:p>
    <w:p w14:paraId="1AC023E3"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is an immune response, not a permanent constitution.</w:t>
      </w:r>
    </w:p>
    <w:p w14:paraId="582D7A1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After emergency limitation, the system should proceed to review, remediation, suspension, restoration, restriction, or termination according to the applicable process.</w:t>
      </w:r>
    </w:p>
    <w:p w14:paraId="463336CE" w14:textId="77777777" w:rsidR="00B13B31" w:rsidRPr="00B479AE" w:rsidRDefault="00B13B31" w:rsidP="00B13B31">
      <w:pPr>
        <w:spacing w:line="360" w:lineRule="auto"/>
        <w:rPr>
          <w:rFonts w:ascii="Baskerville Old Face" w:hAnsi="Baskerville Old Face"/>
          <w:b/>
          <w:bCs/>
          <w:i/>
          <w:iCs/>
        </w:rPr>
      </w:pPr>
      <w:r w:rsidRPr="00B479AE">
        <w:rPr>
          <w:rFonts w:ascii="Baskerville Old Face" w:hAnsi="Baskerville Old Face"/>
          <w:b/>
          <w:bCs/>
          <w:i/>
          <w:iCs/>
        </w:rPr>
        <w:t>8.13 Final Access Procedure Principle</w:t>
      </w:r>
    </w:p>
    <w:p w14:paraId="35CA5C85"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access procedure exists to ensure that Prometheus remains both open and coherent.</w:t>
      </w:r>
    </w:p>
    <w:p w14:paraId="1937972E" w14:textId="2BCC67B4"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should welcome contribution.</w:t>
      </w:r>
      <w:r w:rsidR="00CA4128" w:rsidRPr="00B479AE">
        <w:rPr>
          <w:rFonts w:ascii="Baskerville Old Face" w:hAnsi="Baskerville Old Face"/>
          <w:i/>
          <w:iCs/>
        </w:rPr>
        <w:t xml:space="preserve"> </w:t>
      </w:r>
      <w:r w:rsidRPr="00B479AE">
        <w:rPr>
          <w:rFonts w:ascii="Baskerville Old Face" w:hAnsi="Baskerville Old Face"/>
          <w:i/>
          <w:iCs/>
        </w:rPr>
        <w:t>It should respect pluralism.</w:t>
      </w:r>
    </w:p>
    <w:p w14:paraId="04AF84CC"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should make space for communities, capital, technology, science, culture, spirituality, governance innovation, and future forms of human coordination.</w:t>
      </w:r>
    </w:p>
    <w:p w14:paraId="5C864BB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But it should never confuse welcome with waiver.</w:t>
      </w:r>
    </w:p>
    <w:p w14:paraId="2713A1DE"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does not waive the Covenant.</w:t>
      </w:r>
    </w:p>
    <w:p w14:paraId="37359B3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Participation does not waive evidence.</w:t>
      </w:r>
    </w:p>
    <w:p w14:paraId="1E8F5C9A"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Community status does not waive dignity.</w:t>
      </w:r>
    </w:p>
    <w:p w14:paraId="7CE0437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Capital does not waive law.</w:t>
      </w:r>
    </w:p>
    <w:p w14:paraId="4288AC3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Technology does not waive review.</w:t>
      </w:r>
    </w:p>
    <w:p w14:paraId="10442D47"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AI does not waive authorization.</w:t>
      </w:r>
    </w:p>
    <w:p w14:paraId="2289A81B"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Tokens do not waive legal structure.</w:t>
      </w:r>
    </w:p>
    <w:p w14:paraId="1602C6D6"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Governance does not waive the source layer.</w:t>
      </w:r>
    </w:p>
    <w:p w14:paraId="0392CDF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The final principle is therefore:</w:t>
      </w:r>
    </w:p>
    <w:p w14:paraId="31F46ED9"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access is not possession;</w:t>
      </w:r>
      <w:r w:rsidRPr="00B479AE">
        <w:rPr>
          <w:rFonts w:ascii="Baskerville Old Face" w:hAnsi="Baskerville Old Face"/>
          <w:i/>
          <w:iCs/>
        </w:rPr>
        <w:br/>
        <w:t>participation is not entitlement;</w:t>
      </w:r>
      <w:r w:rsidRPr="00B479AE">
        <w:rPr>
          <w:rFonts w:ascii="Baskerville Old Face" w:hAnsi="Baskerville Old Face"/>
          <w:i/>
          <w:iCs/>
        </w:rPr>
        <w:br/>
      </w:r>
      <w:r w:rsidRPr="00B479AE">
        <w:rPr>
          <w:rFonts w:ascii="Baskerville Old Face" w:hAnsi="Baskerville Old Face"/>
          <w:i/>
          <w:iCs/>
        </w:rPr>
        <w:lastRenderedPageBreak/>
        <w:t>approval is not immunity;</w:t>
      </w:r>
      <w:r w:rsidRPr="00B479AE">
        <w:rPr>
          <w:rFonts w:ascii="Baskerville Old Face" w:hAnsi="Baskerville Old Face"/>
          <w:i/>
          <w:iCs/>
        </w:rPr>
        <w:br/>
        <w:t>status is not sovereignty;</w:t>
      </w:r>
      <w:r w:rsidRPr="00B479AE">
        <w:rPr>
          <w:rFonts w:ascii="Baskerville Old Face" w:hAnsi="Baskerville Old Face"/>
          <w:i/>
          <w:iCs/>
        </w:rPr>
        <w:br/>
        <w:t>contribution is not capture;</w:t>
      </w:r>
      <w:r w:rsidRPr="00B479AE">
        <w:rPr>
          <w:rFonts w:ascii="Baskerville Old Face" w:hAnsi="Baskerville Old Face"/>
          <w:i/>
          <w:iCs/>
        </w:rPr>
        <w:br/>
        <w:t>and openness is protected by disciplined boundaries.</w:t>
      </w:r>
    </w:p>
    <w:p w14:paraId="094D46D0"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Prometheus becomes trustworthy because it does not close the door to the world.</w:t>
      </w:r>
    </w:p>
    <w:p w14:paraId="74A25414" w14:textId="77777777" w:rsidR="00B13B31" w:rsidRPr="00B479AE" w:rsidRDefault="00B13B31" w:rsidP="00B13B31">
      <w:pPr>
        <w:spacing w:line="360" w:lineRule="auto"/>
        <w:rPr>
          <w:rFonts w:ascii="Baskerville Old Face" w:hAnsi="Baskerville Old Face"/>
          <w:i/>
          <w:iCs/>
        </w:rPr>
      </w:pPr>
      <w:r w:rsidRPr="00B479AE">
        <w:rPr>
          <w:rFonts w:ascii="Baskerville Old Face" w:hAnsi="Baskerville Old Face"/>
          <w:i/>
          <w:iCs/>
        </w:rPr>
        <w:t>It builds a threshold worthy of what may enter.</w:t>
      </w:r>
    </w:p>
    <w:p w14:paraId="49DE5923"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 Covenant Violation, Remediation, and Consequence Architecture</w:t>
      </w:r>
    </w:p>
    <w:p w14:paraId="720E625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Access Covenant must be enforceable enough to protect Prometheus and proportionate enough to preserve justice.</w:t>
      </w:r>
    </w:p>
    <w:p w14:paraId="2CDE85A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Covenant violation is not merely a procedural error.</w:t>
      </w:r>
    </w:p>
    <w:p w14:paraId="6FBA5BC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is a disturbance in the relationship between participant, community, evidence, governance, and the constitutional source layer.</w:t>
      </w:r>
    </w:p>
    <w:p w14:paraId="5B5F50F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For this reason, Prometheus treats violations through a graduated architecture of review, remediation, limitation, suspension, exclusion, and external escalation where necessary.</w:t>
      </w:r>
    </w:p>
    <w:p w14:paraId="596957E0" w14:textId="52843703"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purpose is not punishment for its own sake.</w:t>
      </w:r>
      <w:r w:rsidR="00CA4128" w:rsidRPr="00B479AE">
        <w:rPr>
          <w:rFonts w:ascii="Baskerville Old Face" w:hAnsi="Baskerville Old Face"/>
          <w:i/>
          <w:iCs/>
        </w:rPr>
        <w:t xml:space="preserve"> </w:t>
      </w:r>
      <w:r w:rsidRPr="00B479AE">
        <w:rPr>
          <w:rFonts w:ascii="Baskerville Old Face" w:hAnsi="Baskerville Old Face"/>
          <w:i/>
          <w:iCs/>
        </w:rPr>
        <w:t>The purpose is to protect the living field, preserve evidence integrity, maintain trust, prevent capture, and restore coherence wherever restoration remains possible.</w:t>
      </w:r>
      <w:r w:rsidR="00CA4128" w:rsidRPr="00B479AE">
        <w:rPr>
          <w:rFonts w:ascii="Baskerville Old Face" w:hAnsi="Baskerville Old Face"/>
          <w:i/>
          <w:iCs/>
        </w:rPr>
        <w:t xml:space="preserve"> </w:t>
      </w:r>
      <w:r w:rsidRPr="00B479AE">
        <w:rPr>
          <w:rFonts w:ascii="Baskerville Old Face" w:hAnsi="Baskerville Old Face"/>
          <w:i/>
          <w:iCs/>
        </w:rPr>
        <w:t>Prometheus therefore adopts a consequence architecture based on:</w:t>
      </w:r>
    </w:p>
    <w:p w14:paraId="395D09B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evidence;</w:t>
      </w:r>
      <w:r w:rsidRPr="00B479AE">
        <w:rPr>
          <w:rFonts w:ascii="Baskerville Old Face" w:hAnsi="Baskerville Old Face"/>
          <w:i/>
          <w:iCs/>
        </w:rPr>
        <w:br/>
        <w:t>• proportionality;</w:t>
      </w:r>
      <w:r w:rsidRPr="00B479AE">
        <w:rPr>
          <w:rFonts w:ascii="Baskerville Old Face" w:hAnsi="Baskerville Old Face"/>
          <w:i/>
          <w:iCs/>
        </w:rPr>
        <w:br/>
        <w:t>• due process;</w:t>
      </w:r>
      <w:r w:rsidRPr="00B479AE">
        <w:rPr>
          <w:rFonts w:ascii="Baskerville Old Face" w:hAnsi="Baskerville Old Face"/>
          <w:i/>
          <w:iCs/>
        </w:rPr>
        <w:br/>
        <w:t>• right to respond where appropriate;</w:t>
      </w:r>
      <w:r w:rsidRPr="00B479AE">
        <w:rPr>
          <w:rFonts w:ascii="Baskerville Old Face" w:hAnsi="Baskerville Old Face"/>
          <w:i/>
          <w:iCs/>
        </w:rPr>
        <w:br/>
        <w:t>• remediation before exclusion where possible;</w:t>
      </w:r>
      <w:r w:rsidRPr="00B479AE">
        <w:rPr>
          <w:rFonts w:ascii="Baskerville Old Face" w:hAnsi="Baskerville Old Face"/>
          <w:i/>
          <w:iCs/>
        </w:rPr>
        <w:br/>
        <w:t>• protection of vulnerable participants;</w:t>
      </w:r>
      <w:r w:rsidRPr="00B479AE">
        <w:rPr>
          <w:rFonts w:ascii="Baskerville Old Face" w:hAnsi="Baskerville Old Face"/>
          <w:i/>
          <w:iCs/>
        </w:rPr>
        <w:br/>
        <w:t>• protection of ecological and investor-facing integrity;</w:t>
      </w:r>
      <w:r w:rsidRPr="00B479AE">
        <w:rPr>
          <w:rFonts w:ascii="Baskerville Old Face" w:hAnsi="Baskerville Old Face"/>
          <w:i/>
          <w:iCs/>
        </w:rPr>
        <w:br/>
        <w:t>• protection of the constitutional source layer;</w:t>
      </w:r>
      <w:r w:rsidRPr="00B479AE">
        <w:rPr>
          <w:rFonts w:ascii="Baskerville Old Face" w:hAnsi="Baskerville Old Face"/>
          <w:i/>
          <w:iCs/>
        </w:rPr>
        <w:br/>
        <w:t>• legal and governance review for high-impact cases;</w:t>
      </w:r>
      <w:r w:rsidRPr="00B479AE">
        <w:rPr>
          <w:rFonts w:ascii="Baskerville Old Face" w:hAnsi="Baskerville Old Face"/>
          <w:i/>
          <w:iCs/>
        </w:rPr>
        <w:br/>
        <w:t>• technical enforcement only where implemented, tested, and governed.</w:t>
      </w:r>
    </w:p>
    <w:p w14:paraId="414B579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system must be firm without becoming arbitrary.</w:t>
      </w:r>
    </w:p>
    <w:p w14:paraId="026B79E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It must be protective without becoming punitive by default.</w:t>
      </w:r>
    </w:p>
    <w:p w14:paraId="70310C3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must be capable of exclusion without turning exclusion into its first language.</w:t>
      </w:r>
    </w:p>
    <w:p w14:paraId="4433799A" w14:textId="353F4010"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regenerative constitution must know how to say no.</w:t>
      </w:r>
      <w:r w:rsidR="00CA4128" w:rsidRPr="00B479AE">
        <w:rPr>
          <w:rFonts w:ascii="Baskerville Old Face" w:hAnsi="Baskerville Old Face"/>
          <w:i/>
          <w:iCs/>
        </w:rPr>
        <w:t xml:space="preserve"> </w:t>
      </w:r>
      <w:r w:rsidRPr="00B479AE">
        <w:rPr>
          <w:rFonts w:ascii="Baskerville Old Face" w:hAnsi="Baskerville Old Face"/>
          <w:i/>
          <w:iCs/>
        </w:rPr>
        <w:t>But it must also know how to repair.</w:t>
      </w:r>
      <w:r w:rsidR="00CA4128" w:rsidRPr="00B479AE">
        <w:rPr>
          <w:rFonts w:ascii="Baskerville Old Face" w:hAnsi="Baskerville Old Face"/>
          <w:i/>
          <w:iCs/>
        </w:rPr>
        <w:t xml:space="preserve"> </w:t>
      </w:r>
    </w:p>
    <w:p w14:paraId="2294CEA1"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 Definition of Covenant Violation</w:t>
      </w:r>
    </w:p>
    <w:p w14:paraId="27B5AD87" w14:textId="71FDDD68"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Covenant violation occurs when a participant, entity, role-holder, community, technical operator, capital allocator, digital agent, or institutional actor acts in a manner materially inconsistent with the Access Covenant, foundational articles, Eternity Clauses, source-layer constraints, evidence-before-value discipline, or approved participation scope.</w:t>
      </w:r>
      <w:r w:rsidR="00D078E8" w:rsidRPr="00B479AE">
        <w:rPr>
          <w:rFonts w:ascii="Baskerville Old Face" w:hAnsi="Baskerville Old Face"/>
          <w:i/>
          <w:iCs/>
        </w:rPr>
        <w:t xml:space="preserve"> </w:t>
      </w:r>
      <w:r w:rsidRPr="00B479AE">
        <w:rPr>
          <w:rFonts w:ascii="Baskerville Old Face" w:hAnsi="Baskerville Old Face"/>
          <w:i/>
          <w:iCs/>
        </w:rPr>
        <w:t>A violation may occur through:</w:t>
      </w:r>
    </w:p>
    <w:p w14:paraId="7FCEE2D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action;</w:t>
      </w:r>
      <w:r w:rsidRPr="00B479AE">
        <w:rPr>
          <w:rFonts w:ascii="Baskerville Old Face" w:hAnsi="Baskerville Old Face"/>
          <w:i/>
          <w:iCs/>
        </w:rPr>
        <w:br/>
        <w:t>• omission;</w:t>
      </w:r>
      <w:r w:rsidRPr="00B479AE">
        <w:rPr>
          <w:rFonts w:ascii="Baskerville Old Face" w:hAnsi="Baskerville Old Face"/>
          <w:i/>
          <w:iCs/>
        </w:rPr>
        <w:br/>
        <w:t>• misrepresentation;</w:t>
      </w:r>
      <w:r w:rsidRPr="00B479AE">
        <w:rPr>
          <w:rFonts w:ascii="Baskerville Old Face" w:hAnsi="Baskerville Old Face"/>
          <w:i/>
          <w:iCs/>
        </w:rPr>
        <w:br/>
        <w:t>• concealment;</w:t>
      </w:r>
      <w:r w:rsidRPr="00B479AE">
        <w:rPr>
          <w:rFonts w:ascii="Baskerville Old Face" w:hAnsi="Baskerville Old Face"/>
          <w:i/>
          <w:iCs/>
        </w:rPr>
        <w:br/>
        <w:t>• negligence;</w:t>
      </w:r>
      <w:r w:rsidRPr="00B479AE">
        <w:rPr>
          <w:rFonts w:ascii="Baskerville Old Face" w:hAnsi="Baskerville Old Face"/>
          <w:i/>
          <w:iCs/>
        </w:rPr>
        <w:br/>
        <w:t>• repeated non-compliance;</w:t>
      </w:r>
      <w:r w:rsidRPr="00B479AE">
        <w:rPr>
          <w:rFonts w:ascii="Baskerville Old Face" w:hAnsi="Baskerville Old Face"/>
          <w:i/>
          <w:iCs/>
        </w:rPr>
        <w:br/>
        <w:t>• attempted bypass;</w:t>
      </w:r>
      <w:r w:rsidRPr="00B479AE">
        <w:rPr>
          <w:rFonts w:ascii="Baskerville Old Face" w:hAnsi="Baskerville Old Face"/>
          <w:i/>
          <w:iCs/>
        </w:rPr>
        <w:br/>
        <w:t>• coercion;</w:t>
      </w:r>
      <w:r w:rsidRPr="00B479AE">
        <w:rPr>
          <w:rFonts w:ascii="Baskerville Old Face" w:hAnsi="Baskerville Old Face"/>
          <w:i/>
          <w:iCs/>
        </w:rPr>
        <w:br/>
        <w:t>• data manipulation;</w:t>
      </w:r>
      <w:r w:rsidRPr="00B479AE">
        <w:rPr>
          <w:rFonts w:ascii="Baskerville Old Face" w:hAnsi="Baskerville Old Face"/>
          <w:i/>
          <w:iCs/>
        </w:rPr>
        <w:br/>
        <w:t>• governance manipulation;</w:t>
      </w:r>
      <w:r w:rsidRPr="00B479AE">
        <w:rPr>
          <w:rFonts w:ascii="Baskerville Old Face" w:hAnsi="Baskerville Old Face"/>
          <w:i/>
          <w:iCs/>
        </w:rPr>
        <w:br/>
        <w:t xml:space="preserve">•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confusion;</w:t>
      </w:r>
      <w:r w:rsidRPr="00B479AE">
        <w:rPr>
          <w:rFonts w:ascii="Baskerville Old Face" w:hAnsi="Baskerville Old Face"/>
          <w:i/>
          <w:iCs/>
        </w:rPr>
        <w:br/>
        <w:t>• investor-facing overclaiming;</w:t>
      </w:r>
      <w:r w:rsidRPr="00B479AE">
        <w:rPr>
          <w:rFonts w:ascii="Baskerville Old Face" w:hAnsi="Baskerville Old Face"/>
          <w:i/>
          <w:iCs/>
        </w:rPr>
        <w:br/>
        <w:t>• ecological harm;</w:t>
      </w:r>
      <w:r w:rsidRPr="00B479AE">
        <w:rPr>
          <w:rFonts w:ascii="Baskerville Old Face" w:hAnsi="Baskerville Old Face"/>
          <w:i/>
          <w:iCs/>
        </w:rPr>
        <w:br/>
        <w:t>• misuse of community status;</w:t>
      </w:r>
      <w:r w:rsidRPr="00B479AE">
        <w:rPr>
          <w:rFonts w:ascii="Baskerville Old Face" w:hAnsi="Baskerville Old Face"/>
          <w:i/>
          <w:iCs/>
        </w:rPr>
        <w:br/>
        <w:t>• misuse of capital influence;</w:t>
      </w:r>
      <w:r w:rsidRPr="00B479AE">
        <w:rPr>
          <w:rFonts w:ascii="Baskerville Old Face" w:hAnsi="Baskerville Old Face"/>
          <w:i/>
          <w:iCs/>
        </w:rPr>
        <w:br/>
        <w:t>• misuse of technical access;</w:t>
      </w:r>
      <w:r w:rsidRPr="00B479AE">
        <w:rPr>
          <w:rFonts w:ascii="Baskerville Old Face" w:hAnsi="Baskerville Old Face"/>
          <w:i/>
          <w:iCs/>
        </w:rPr>
        <w:br/>
        <w:t>• misuse of AI or automated systems;</w:t>
      </w:r>
      <w:r w:rsidRPr="00B479AE">
        <w:rPr>
          <w:rFonts w:ascii="Baskerville Old Face" w:hAnsi="Baskerville Old Face"/>
          <w:i/>
          <w:iCs/>
        </w:rPr>
        <w:br/>
        <w:t>• public communication that materially misrepresents Prometheus status, rights, evidence, PRU, RAP, MRV, TRBK, tokenization, financial entitlement, or legal authority.</w:t>
      </w:r>
    </w:p>
    <w:p w14:paraId="3EE23BC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Not every error is a violation.</w:t>
      </w:r>
    </w:p>
    <w:p w14:paraId="081C5F7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Not every disagreement is a violation.</w:t>
      </w:r>
    </w:p>
    <w:p w14:paraId="4387431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Not every failed proposal is a violation.</w:t>
      </w:r>
    </w:p>
    <w:p w14:paraId="372530D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Not every weak signal is misconduct.</w:t>
      </w:r>
    </w:p>
    <w:p w14:paraId="28D00C3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must distinguish between:</w:t>
      </w:r>
    </w:p>
    <w:p w14:paraId="507063F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mistake;</w:t>
      </w:r>
      <w:r w:rsidRPr="00B479AE">
        <w:rPr>
          <w:rFonts w:ascii="Baskerville Old Face" w:hAnsi="Baskerville Old Face"/>
          <w:i/>
          <w:iCs/>
        </w:rPr>
        <w:br/>
        <w:t>• misunderstanding;</w:t>
      </w:r>
      <w:r w:rsidRPr="00B479AE">
        <w:rPr>
          <w:rFonts w:ascii="Baskerville Old Face" w:hAnsi="Baskerville Old Face"/>
          <w:i/>
          <w:iCs/>
        </w:rPr>
        <w:br/>
        <w:t>• immaturity;</w:t>
      </w:r>
      <w:r w:rsidRPr="00B479AE">
        <w:rPr>
          <w:rFonts w:ascii="Baskerville Old Face" w:hAnsi="Baskerville Old Face"/>
          <w:i/>
          <w:iCs/>
        </w:rPr>
        <w:br/>
        <w:t>• negligence;</w:t>
      </w:r>
      <w:r w:rsidRPr="00B479AE">
        <w:rPr>
          <w:rFonts w:ascii="Baskerville Old Face" w:hAnsi="Baskerville Old Face"/>
          <w:i/>
          <w:iCs/>
        </w:rPr>
        <w:br/>
        <w:t>• breach;</w:t>
      </w:r>
      <w:r w:rsidRPr="00B479AE">
        <w:rPr>
          <w:rFonts w:ascii="Baskerville Old Face" w:hAnsi="Baskerville Old Face"/>
          <w:i/>
          <w:iCs/>
        </w:rPr>
        <w:br/>
        <w:t>• manipulation;</w:t>
      </w:r>
      <w:r w:rsidRPr="00B479AE">
        <w:rPr>
          <w:rFonts w:ascii="Baskerville Old Face" w:hAnsi="Baskerville Old Face"/>
          <w:i/>
          <w:iCs/>
        </w:rPr>
        <w:br/>
        <w:t>• capture attempt;</w:t>
      </w:r>
      <w:r w:rsidRPr="00B479AE">
        <w:rPr>
          <w:rFonts w:ascii="Baskerville Old Face" w:hAnsi="Baskerville Old Face"/>
          <w:i/>
          <w:iCs/>
        </w:rPr>
        <w:br/>
        <w:t>• constitutional violation.</w:t>
      </w:r>
    </w:p>
    <w:p w14:paraId="7733DB6D" w14:textId="42DC0829"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This distinction protects fairness.</w:t>
      </w:r>
      <w:r w:rsidR="00CA4128" w:rsidRPr="00B479AE">
        <w:rPr>
          <w:rFonts w:ascii="Baskerville Old Face" w:hAnsi="Baskerville Old Face"/>
          <w:i/>
          <w:iCs/>
        </w:rPr>
        <w:t xml:space="preserve"> </w:t>
      </w:r>
      <w:r w:rsidRPr="00B479AE">
        <w:rPr>
          <w:rFonts w:ascii="Baskerville Old Face" w:hAnsi="Baskerville Old Face"/>
          <w:i/>
          <w:iCs/>
        </w:rPr>
        <w:t>It also protects the system from both naivety and overreaction.</w:t>
      </w:r>
    </w:p>
    <w:p w14:paraId="16614382"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9.2 Violation Review Pathway</w:t>
      </w:r>
    </w:p>
    <w:p w14:paraId="2C678E0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potential violation should pass through a review pathway before significant consequences are imposed, except where emergency limitation is required to prevent serious harm.</w:t>
      </w:r>
    </w:p>
    <w:p w14:paraId="1BC02DB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review pathway may include:</w:t>
      </w:r>
    </w:p>
    <w:p w14:paraId="36A65511"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Signal or report</w:t>
      </w:r>
      <w:r w:rsidRPr="00B479AE">
        <w:rPr>
          <w:rFonts w:ascii="Baskerville Old Face" w:hAnsi="Baskerville Old Face"/>
          <w:i/>
          <w:iCs/>
        </w:rPr>
        <w:br/>
        <w:t>A concern, anomaly, complaint, evidence gap, technical flag, governance concern, community concern, audit finding, or legal notice is identified.</w:t>
      </w:r>
    </w:p>
    <w:p w14:paraId="261A3EA0"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Initial classification</w:t>
      </w:r>
      <w:r w:rsidRPr="00B479AE">
        <w:rPr>
          <w:rFonts w:ascii="Baskerville Old Face" w:hAnsi="Baskerville Old Face"/>
          <w:i/>
          <w:iCs/>
        </w:rPr>
        <w:br/>
        <w:t>The concern is classified by severity, domain, urgency, affected parties, and possible constitutional relevance.</w:t>
      </w:r>
    </w:p>
    <w:p w14:paraId="57E1449C"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Evidence collection</w:t>
      </w:r>
      <w:r w:rsidRPr="00B479AE">
        <w:rPr>
          <w:rFonts w:ascii="Baskerville Old Face" w:hAnsi="Baskerville Old Face"/>
          <w:i/>
          <w:iCs/>
        </w:rPr>
        <w:br/>
        <w:t>Relevant documents, records, logs, communications, MRV evidence, technical events, governance records, legal instruments, or witness statements are gathered.</w:t>
      </w:r>
    </w:p>
    <w:p w14:paraId="7811EF42"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Participant response</w:t>
      </w:r>
      <w:r w:rsidRPr="00B479AE">
        <w:rPr>
          <w:rFonts w:ascii="Baskerville Old Face" w:hAnsi="Baskerville Old Face"/>
          <w:i/>
          <w:iCs/>
        </w:rPr>
        <w:br/>
        <w:t>Where appropriate, the participant is given an opportunity to respond, clarify, correct, or provide missing information.</w:t>
      </w:r>
    </w:p>
    <w:p w14:paraId="6314A7F7"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lastRenderedPageBreak/>
        <w:t>Review body assessment</w:t>
      </w:r>
      <w:r w:rsidRPr="00B479AE">
        <w:rPr>
          <w:rFonts w:ascii="Baskerville Old Face" w:hAnsi="Baskerville Old Face"/>
          <w:i/>
          <w:iCs/>
        </w:rPr>
        <w:br/>
        <w:t>The appropriate governance, legal, MRV, technical, integrity, or constitutional review body assesses the matter.</w:t>
      </w:r>
    </w:p>
    <w:p w14:paraId="2A7CABA3"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Consequence determination</w:t>
      </w:r>
      <w:r w:rsidRPr="00B479AE">
        <w:rPr>
          <w:rFonts w:ascii="Baskerville Old Face" w:hAnsi="Baskerville Old Face"/>
          <w:i/>
          <w:iCs/>
        </w:rPr>
        <w:br/>
        <w:t>A proportionate response is selected based on severity, intent, repetition, harm, evidence, legal context, and willingness to remediate.</w:t>
      </w:r>
    </w:p>
    <w:p w14:paraId="0BD15E31"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Documentation</w:t>
      </w:r>
      <w:r w:rsidRPr="00B479AE">
        <w:rPr>
          <w:rFonts w:ascii="Baskerville Old Face" w:hAnsi="Baskerville Old Face"/>
          <w:i/>
          <w:iCs/>
        </w:rPr>
        <w:br/>
        <w:t>The decision and reasoning are recorded.</w:t>
      </w:r>
    </w:p>
    <w:p w14:paraId="7A172655"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Remediation or enforcement</w:t>
      </w:r>
      <w:r w:rsidRPr="00B479AE">
        <w:rPr>
          <w:rFonts w:ascii="Baskerville Old Face" w:hAnsi="Baskerville Old Face"/>
          <w:i/>
          <w:iCs/>
        </w:rPr>
        <w:br/>
        <w:t>Corrective, restrictive, restorative, suspension, exclusion, or escalation measures are applied.</w:t>
      </w:r>
    </w:p>
    <w:p w14:paraId="65269558"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Appeal or reconsideration</w:t>
      </w:r>
      <w:r w:rsidRPr="00B479AE">
        <w:rPr>
          <w:rFonts w:ascii="Baskerville Old Face" w:hAnsi="Baskerville Old Face"/>
          <w:i/>
          <w:iCs/>
        </w:rPr>
        <w:br/>
        <w:t>Where applicable, the participant may seek review through the defined pathway.</w:t>
      </w:r>
    </w:p>
    <w:p w14:paraId="143C4496" w14:textId="77777777" w:rsidR="005949BB" w:rsidRPr="00B479AE" w:rsidRDefault="005949BB">
      <w:pPr>
        <w:numPr>
          <w:ilvl w:val="0"/>
          <w:numId w:val="16"/>
        </w:numPr>
        <w:spacing w:line="360" w:lineRule="auto"/>
        <w:rPr>
          <w:rFonts w:ascii="Baskerville Old Face" w:hAnsi="Baskerville Old Face"/>
          <w:i/>
          <w:iCs/>
        </w:rPr>
      </w:pPr>
      <w:r w:rsidRPr="00B479AE">
        <w:rPr>
          <w:rFonts w:ascii="Baskerville Old Face" w:hAnsi="Baskerville Old Face"/>
          <w:b/>
          <w:bCs/>
          <w:i/>
          <w:iCs/>
        </w:rPr>
        <w:t>Closure or monitoring</w:t>
      </w:r>
      <w:r w:rsidRPr="00B479AE">
        <w:rPr>
          <w:rFonts w:ascii="Baskerville Old Face" w:hAnsi="Baskerville Old Face"/>
          <w:i/>
          <w:iCs/>
        </w:rPr>
        <w:br/>
        <w:t>The case is closed, monitored, or escalated depending on residual risk.</w:t>
      </w:r>
    </w:p>
    <w:p w14:paraId="671FEC6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This pathway ensures that Prometheus does not confuse automated detection with judgment.</w:t>
      </w:r>
    </w:p>
    <w:p w14:paraId="27F48F66" w14:textId="36D72B1D"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signal may trigger review.</w:t>
      </w:r>
      <w:r w:rsidR="00CA4128" w:rsidRPr="00B479AE">
        <w:rPr>
          <w:rFonts w:ascii="Baskerville Old Face" w:hAnsi="Baskerville Old Face"/>
          <w:i/>
          <w:iCs/>
        </w:rPr>
        <w:t xml:space="preserve"> </w:t>
      </w:r>
      <w:r w:rsidRPr="00B479AE">
        <w:rPr>
          <w:rFonts w:ascii="Baskerville Old Face" w:hAnsi="Baskerville Old Face"/>
          <w:i/>
          <w:iCs/>
        </w:rPr>
        <w:t>It does not automatically become guilt.</w:t>
      </w:r>
    </w:p>
    <w:p w14:paraId="399B8275"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9.3 Severity Classification</w:t>
      </w:r>
    </w:p>
    <w:p w14:paraId="1DE89BB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may classify Covenant violations by severity.</w:t>
      </w:r>
    </w:p>
    <w:p w14:paraId="7FABAEA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Severity should be determined by considering:</w:t>
      </w:r>
    </w:p>
    <w:p w14:paraId="7858F6D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intent;</w:t>
      </w:r>
      <w:r w:rsidRPr="00B479AE">
        <w:rPr>
          <w:rFonts w:ascii="Baskerville Old Face" w:hAnsi="Baskerville Old Face"/>
          <w:i/>
          <w:iCs/>
        </w:rPr>
        <w:br/>
        <w:t>• harm;</w:t>
      </w:r>
      <w:r w:rsidRPr="00B479AE">
        <w:rPr>
          <w:rFonts w:ascii="Baskerville Old Face" w:hAnsi="Baskerville Old Face"/>
          <w:i/>
          <w:iCs/>
        </w:rPr>
        <w:br/>
        <w:t>• repetition;</w:t>
      </w:r>
      <w:r w:rsidRPr="00B479AE">
        <w:rPr>
          <w:rFonts w:ascii="Baskerville Old Face" w:hAnsi="Baskerville Old Face"/>
          <w:i/>
          <w:iCs/>
        </w:rPr>
        <w:br/>
        <w:t>• role of the participant;</w:t>
      </w:r>
      <w:r w:rsidRPr="00B479AE">
        <w:rPr>
          <w:rFonts w:ascii="Baskerville Old Face" w:hAnsi="Baskerville Old Face"/>
          <w:i/>
          <w:iCs/>
        </w:rPr>
        <w:br/>
        <w:t>• access scope;</w:t>
      </w:r>
      <w:r w:rsidRPr="00B479AE">
        <w:rPr>
          <w:rFonts w:ascii="Baskerville Old Face" w:hAnsi="Baskerville Old Face"/>
          <w:i/>
          <w:iCs/>
        </w:rPr>
        <w:br/>
        <w:t>• affected parties;</w:t>
      </w:r>
      <w:r w:rsidRPr="00B479AE">
        <w:rPr>
          <w:rFonts w:ascii="Baskerville Old Face" w:hAnsi="Baskerville Old Face"/>
          <w:i/>
          <w:iCs/>
        </w:rPr>
        <w:br/>
        <w:t>• ecological impact;</w:t>
      </w:r>
      <w:r w:rsidRPr="00B479AE">
        <w:rPr>
          <w:rFonts w:ascii="Baskerville Old Face" w:hAnsi="Baskerville Old Face"/>
          <w:i/>
          <w:iCs/>
        </w:rPr>
        <w:br/>
        <w:t>• evidence impact;</w:t>
      </w:r>
      <w:r w:rsidRPr="00B479AE">
        <w:rPr>
          <w:rFonts w:ascii="Baskerville Old Face" w:hAnsi="Baskerville Old Face"/>
          <w:i/>
          <w:iCs/>
        </w:rPr>
        <w:br/>
        <w:t>• governance impact;</w:t>
      </w:r>
      <w:r w:rsidRPr="00B479AE">
        <w:rPr>
          <w:rFonts w:ascii="Baskerville Old Face" w:hAnsi="Baskerville Old Face"/>
          <w:i/>
          <w:iCs/>
        </w:rPr>
        <w:br/>
      </w:r>
      <w:r w:rsidRPr="00B479AE">
        <w:rPr>
          <w:rFonts w:ascii="Baskerville Old Face" w:hAnsi="Baskerville Old Face"/>
          <w:i/>
          <w:iCs/>
        </w:rPr>
        <w:lastRenderedPageBreak/>
        <w:t>• legal or regulatory exposure;</w:t>
      </w:r>
      <w:r w:rsidRPr="00B479AE">
        <w:rPr>
          <w:rFonts w:ascii="Baskerville Old Face" w:hAnsi="Baskerville Old Face"/>
          <w:i/>
          <w:iCs/>
        </w:rPr>
        <w:br/>
        <w:t>• investor-facing consequences;</w:t>
      </w:r>
      <w:r w:rsidRPr="00B479AE">
        <w:rPr>
          <w:rFonts w:ascii="Baskerville Old Face" w:hAnsi="Baskerville Old Face"/>
          <w:i/>
          <w:iCs/>
        </w:rPr>
        <w:br/>
        <w:t>• risk to community trust;</w:t>
      </w:r>
      <w:r w:rsidRPr="00B479AE">
        <w:rPr>
          <w:rFonts w:ascii="Baskerville Old Face" w:hAnsi="Baskerville Old Face"/>
          <w:i/>
          <w:iCs/>
        </w:rPr>
        <w:br/>
        <w:t>• risk to constitutional integrity;</w:t>
      </w:r>
      <w:r w:rsidRPr="00B479AE">
        <w:rPr>
          <w:rFonts w:ascii="Baskerville Old Face" w:hAnsi="Baskerville Old Face"/>
          <w:i/>
          <w:iCs/>
        </w:rPr>
        <w:br/>
        <w:t>• willingness to disclose, repair, and cooperate.</w:t>
      </w:r>
    </w:p>
    <w:p w14:paraId="080287C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severity framework may be expressed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7"/>
        <w:gridCol w:w="5388"/>
        <w:gridCol w:w="3293"/>
      </w:tblGrid>
      <w:tr w:rsidR="005949BB" w:rsidRPr="00B479AE" w14:paraId="0BB3E8D1" w14:textId="77777777" w:rsidTr="00214562">
        <w:trPr>
          <w:tblHeader/>
          <w:tblCellSpacing w:w="15" w:type="dxa"/>
        </w:trPr>
        <w:tc>
          <w:tcPr>
            <w:tcW w:w="0" w:type="auto"/>
            <w:vAlign w:val="center"/>
            <w:hideMark/>
          </w:tcPr>
          <w:p w14:paraId="641F7F89" w14:textId="77777777" w:rsidR="005949BB" w:rsidRPr="00B479AE" w:rsidRDefault="005949BB" w:rsidP="005949B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Severity</w:t>
            </w:r>
          </w:p>
        </w:tc>
        <w:tc>
          <w:tcPr>
            <w:tcW w:w="0" w:type="auto"/>
            <w:vAlign w:val="center"/>
            <w:hideMark/>
          </w:tcPr>
          <w:p w14:paraId="276C84FC" w14:textId="77777777" w:rsidR="005949BB" w:rsidRPr="00B479AE" w:rsidRDefault="005949BB" w:rsidP="005949B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Examples</w:t>
            </w:r>
          </w:p>
        </w:tc>
        <w:tc>
          <w:tcPr>
            <w:tcW w:w="0" w:type="auto"/>
            <w:vAlign w:val="center"/>
            <w:hideMark/>
          </w:tcPr>
          <w:p w14:paraId="093685B3" w14:textId="77777777" w:rsidR="005949BB" w:rsidRPr="00B479AE" w:rsidRDefault="005949BB" w:rsidP="005949B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Default response orientation</w:t>
            </w:r>
          </w:p>
        </w:tc>
      </w:tr>
      <w:tr w:rsidR="005949BB" w:rsidRPr="00B479AE" w14:paraId="4D9E7C40" w14:textId="77777777" w:rsidTr="00214562">
        <w:trPr>
          <w:tblCellSpacing w:w="15" w:type="dxa"/>
        </w:trPr>
        <w:tc>
          <w:tcPr>
            <w:tcW w:w="0" w:type="auto"/>
            <w:vAlign w:val="center"/>
            <w:hideMark/>
          </w:tcPr>
          <w:p w14:paraId="0FF743AA"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Minor</w:t>
            </w:r>
          </w:p>
        </w:tc>
        <w:tc>
          <w:tcPr>
            <w:tcW w:w="0" w:type="auto"/>
            <w:vAlign w:val="center"/>
            <w:hideMark/>
          </w:tcPr>
          <w:p w14:paraId="1BEB8AE8"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Inadvertent reporting error, incomplete documentation, procedural delay, minor misunderstanding of scope.</w:t>
            </w:r>
          </w:p>
        </w:tc>
        <w:tc>
          <w:tcPr>
            <w:tcW w:w="0" w:type="auto"/>
            <w:vAlign w:val="center"/>
            <w:hideMark/>
          </w:tcPr>
          <w:p w14:paraId="363C97F6"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Clarification, education, correction, warning, or remediation.</w:t>
            </w:r>
          </w:p>
        </w:tc>
      </w:tr>
      <w:tr w:rsidR="005949BB" w:rsidRPr="00B479AE" w14:paraId="0EA67FDB" w14:textId="77777777" w:rsidTr="00214562">
        <w:trPr>
          <w:tblCellSpacing w:w="15" w:type="dxa"/>
        </w:trPr>
        <w:tc>
          <w:tcPr>
            <w:tcW w:w="0" w:type="auto"/>
            <w:vAlign w:val="center"/>
            <w:hideMark/>
          </w:tcPr>
          <w:p w14:paraId="541192D1"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Moderate</w:t>
            </w:r>
          </w:p>
        </w:tc>
        <w:tc>
          <w:tcPr>
            <w:tcW w:w="0" w:type="auto"/>
            <w:vAlign w:val="center"/>
            <w:hideMark/>
          </w:tcPr>
          <w:p w14:paraId="413A4786"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Repeated negligence, failure to correct after notice, role overreach, weak documentation affecting trust, minor misleading claim.</w:t>
            </w:r>
          </w:p>
        </w:tc>
        <w:tc>
          <w:tcPr>
            <w:tcW w:w="0" w:type="auto"/>
            <w:vAlign w:val="center"/>
            <w:hideMark/>
          </w:tcPr>
          <w:p w14:paraId="73D6B339"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Formal remediation plan, restricted access, role review, monitoring, or temporary limitation.</w:t>
            </w:r>
          </w:p>
        </w:tc>
      </w:tr>
      <w:tr w:rsidR="005949BB" w:rsidRPr="00B479AE" w14:paraId="6DD40D65" w14:textId="77777777" w:rsidTr="00214562">
        <w:trPr>
          <w:tblCellSpacing w:w="15" w:type="dxa"/>
        </w:trPr>
        <w:tc>
          <w:tcPr>
            <w:tcW w:w="0" w:type="auto"/>
            <w:vAlign w:val="center"/>
            <w:hideMark/>
          </w:tcPr>
          <w:p w14:paraId="2483A8A3"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Major</w:t>
            </w:r>
          </w:p>
        </w:tc>
        <w:tc>
          <w:tcPr>
            <w:tcW w:w="0" w:type="auto"/>
            <w:vAlign w:val="center"/>
            <w:hideMark/>
          </w:tcPr>
          <w:p w14:paraId="69E931E8"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Deliberate MRV distortion, serious public misrepresentation, governance manipulation, significant breach of access scope, exploitative conduct, material data integrity issue.</w:t>
            </w:r>
          </w:p>
        </w:tc>
        <w:tc>
          <w:tcPr>
            <w:tcW w:w="0" w:type="auto"/>
            <w:vAlign w:val="center"/>
            <w:hideMark/>
          </w:tcPr>
          <w:p w14:paraId="322C7011"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Suspension, quarantine, non-admissible status, governance review, legal review, public correction where required.</w:t>
            </w:r>
          </w:p>
        </w:tc>
      </w:tr>
      <w:tr w:rsidR="005949BB" w:rsidRPr="00B479AE" w14:paraId="35DE6E4B" w14:textId="77777777" w:rsidTr="00214562">
        <w:trPr>
          <w:tblCellSpacing w:w="15" w:type="dxa"/>
        </w:trPr>
        <w:tc>
          <w:tcPr>
            <w:tcW w:w="0" w:type="auto"/>
            <w:vAlign w:val="center"/>
            <w:hideMark/>
          </w:tcPr>
          <w:p w14:paraId="7B12D7FF"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Critical</w:t>
            </w:r>
          </w:p>
        </w:tc>
        <w:tc>
          <w:tcPr>
            <w:tcW w:w="0" w:type="auto"/>
            <w:vAlign w:val="center"/>
            <w:hideMark/>
          </w:tcPr>
          <w:p w14:paraId="1CF538AA"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Intentional falsification of PRU-relevant evidence, serious ecological harm, coercion, investor-facing fraud, constitutional bypass attempt, capture attempt, serious technical compromise, systemic abuse.</w:t>
            </w:r>
          </w:p>
        </w:tc>
        <w:tc>
          <w:tcPr>
            <w:tcW w:w="0" w:type="auto"/>
            <w:vAlign w:val="center"/>
            <w:hideMark/>
          </w:tcPr>
          <w:p w14:paraId="068BA24F"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Emergency limitation, constitutional review, exclusion, external legal or regulatory escalation where appropriate.</w:t>
            </w:r>
          </w:p>
        </w:tc>
      </w:tr>
    </w:tbl>
    <w:p w14:paraId="3139F29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Severity classification is not mechanical.</w:t>
      </w:r>
    </w:p>
    <w:p w14:paraId="171B447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must be interpreted through evidence and context.</w:t>
      </w:r>
    </w:p>
    <w:p w14:paraId="0C1DA3D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minor error repeated after warnings may become moderate.</w:t>
      </w:r>
    </w:p>
    <w:p w14:paraId="6823C54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moderate issue affecting investor-facing claims may become major.</w:t>
      </w:r>
    </w:p>
    <w:p w14:paraId="3F53070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single critical action may justify immediate protective limitation before full review.</w:t>
      </w:r>
    </w:p>
    <w:p w14:paraId="6F41B57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must be able to protect itself without abandoning due process.</w:t>
      </w:r>
    </w:p>
    <w:p w14:paraId="130FEB83"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lastRenderedPageBreak/>
        <w:t>9.4 Consequence Types</w:t>
      </w:r>
    </w:p>
    <w:p w14:paraId="64CAAAB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may apply different consequence types depending on severity and context.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2"/>
        <w:gridCol w:w="7816"/>
      </w:tblGrid>
      <w:tr w:rsidR="005949BB" w:rsidRPr="00B479AE" w14:paraId="448FDE96" w14:textId="77777777" w:rsidTr="00214562">
        <w:trPr>
          <w:tblHeader/>
          <w:tblCellSpacing w:w="15" w:type="dxa"/>
        </w:trPr>
        <w:tc>
          <w:tcPr>
            <w:tcW w:w="0" w:type="auto"/>
            <w:vAlign w:val="center"/>
            <w:hideMark/>
          </w:tcPr>
          <w:p w14:paraId="4E037203" w14:textId="77777777" w:rsidR="005949BB" w:rsidRPr="00B479AE" w:rsidRDefault="005949BB" w:rsidP="005949B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Consequence type</w:t>
            </w:r>
          </w:p>
        </w:tc>
        <w:tc>
          <w:tcPr>
            <w:tcW w:w="0" w:type="auto"/>
            <w:vAlign w:val="center"/>
            <w:hideMark/>
          </w:tcPr>
          <w:p w14:paraId="7539C6E3" w14:textId="77777777" w:rsidR="005949BB" w:rsidRPr="00B479AE" w:rsidRDefault="005949BB" w:rsidP="005949B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w:t>
            </w:r>
          </w:p>
        </w:tc>
      </w:tr>
      <w:tr w:rsidR="005949BB" w:rsidRPr="00B479AE" w14:paraId="23E6047E" w14:textId="77777777" w:rsidTr="00214562">
        <w:trPr>
          <w:tblCellSpacing w:w="15" w:type="dxa"/>
        </w:trPr>
        <w:tc>
          <w:tcPr>
            <w:tcW w:w="0" w:type="auto"/>
            <w:vAlign w:val="center"/>
            <w:hideMark/>
          </w:tcPr>
          <w:p w14:paraId="5E5AFE87"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Clarification</w:t>
            </w:r>
          </w:p>
        </w:tc>
        <w:tc>
          <w:tcPr>
            <w:tcW w:w="0" w:type="auto"/>
            <w:vAlign w:val="center"/>
            <w:hideMark/>
          </w:tcPr>
          <w:p w14:paraId="63E3594E"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Corrects misunderstanding or ambiguous scope.</w:t>
            </w:r>
          </w:p>
        </w:tc>
      </w:tr>
      <w:tr w:rsidR="005949BB" w:rsidRPr="00B479AE" w14:paraId="1890C476" w14:textId="77777777" w:rsidTr="00214562">
        <w:trPr>
          <w:tblCellSpacing w:w="15" w:type="dxa"/>
        </w:trPr>
        <w:tc>
          <w:tcPr>
            <w:tcW w:w="0" w:type="auto"/>
            <w:vAlign w:val="center"/>
            <w:hideMark/>
          </w:tcPr>
          <w:p w14:paraId="4A47129D"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Education / remediation</w:t>
            </w:r>
          </w:p>
        </w:tc>
        <w:tc>
          <w:tcPr>
            <w:tcW w:w="0" w:type="auto"/>
            <w:vAlign w:val="center"/>
            <w:hideMark/>
          </w:tcPr>
          <w:p w14:paraId="23A1FDC2"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Helps participant realign with the Covenant.</w:t>
            </w:r>
          </w:p>
        </w:tc>
      </w:tr>
      <w:tr w:rsidR="005949BB" w:rsidRPr="00B479AE" w14:paraId="2F593090" w14:textId="77777777" w:rsidTr="00214562">
        <w:trPr>
          <w:tblCellSpacing w:w="15" w:type="dxa"/>
        </w:trPr>
        <w:tc>
          <w:tcPr>
            <w:tcW w:w="0" w:type="auto"/>
            <w:vAlign w:val="center"/>
            <w:hideMark/>
          </w:tcPr>
          <w:p w14:paraId="04CD9333"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Formal warning</w:t>
            </w:r>
          </w:p>
        </w:tc>
        <w:tc>
          <w:tcPr>
            <w:tcW w:w="0" w:type="auto"/>
            <w:vAlign w:val="center"/>
            <w:hideMark/>
          </w:tcPr>
          <w:p w14:paraId="5D94C512"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Records a breach and requires correction.</w:t>
            </w:r>
          </w:p>
        </w:tc>
      </w:tr>
      <w:tr w:rsidR="005949BB" w:rsidRPr="00B479AE" w14:paraId="7121CA66" w14:textId="77777777" w:rsidTr="00214562">
        <w:trPr>
          <w:tblCellSpacing w:w="15" w:type="dxa"/>
        </w:trPr>
        <w:tc>
          <w:tcPr>
            <w:tcW w:w="0" w:type="auto"/>
            <w:vAlign w:val="center"/>
            <w:hideMark/>
          </w:tcPr>
          <w:p w14:paraId="0BA8C2CE"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Correction notice</w:t>
            </w:r>
          </w:p>
        </w:tc>
        <w:tc>
          <w:tcPr>
            <w:tcW w:w="0" w:type="auto"/>
            <w:vAlign w:val="center"/>
            <w:hideMark/>
          </w:tcPr>
          <w:p w14:paraId="64461F0B"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correction of inaccurate claim, record, report, or communication.</w:t>
            </w:r>
          </w:p>
        </w:tc>
      </w:tr>
      <w:tr w:rsidR="005949BB" w:rsidRPr="00B479AE" w14:paraId="578DBE21" w14:textId="77777777" w:rsidTr="00214562">
        <w:trPr>
          <w:tblCellSpacing w:w="15" w:type="dxa"/>
        </w:trPr>
        <w:tc>
          <w:tcPr>
            <w:tcW w:w="0" w:type="auto"/>
            <w:vAlign w:val="center"/>
            <w:hideMark/>
          </w:tcPr>
          <w:p w14:paraId="385EB05A"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Remediation plan</w:t>
            </w:r>
          </w:p>
        </w:tc>
        <w:tc>
          <w:tcPr>
            <w:tcW w:w="0" w:type="auto"/>
            <w:vAlign w:val="center"/>
            <w:hideMark/>
          </w:tcPr>
          <w:p w14:paraId="23A04BEE"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actions, deadlines, responsibilities, and review points.</w:t>
            </w:r>
          </w:p>
        </w:tc>
      </w:tr>
      <w:tr w:rsidR="005949BB" w:rsidRPr="00B479AE" w14:paraId="7D6B961C" w14:textId="77777777" w:rsidTr="00214562">
        <w:trPr>
          <w:tblCellSpacing w:w="15" w:type="dxa"/>
        </w:trPr>
        <w:tc>
          <w:tcPr>
            <w:tcW w:w="0" w:type="auto"/>
            <w:vAlign w:val="center"/>
            <w:hideMark/>
          </w:tcPr>
          <w:p w14:paraId="73C3DB91"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Role review</w:t>
            </w:r>
          </w:p>
        </w:tc>
        <w:tc>
          <w:tcPr>
            <w:tcW w:w="0" w:type="auto"/>
            <w:vAlign w:val="center"/>
            <w:hideMark/>
          </w:tcPr>
          <w:p w14:paraId="3BCB32E0"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Reviews whether the participant should continue holding a role.</w:t>
            </w:r>
          </w:p>
        </w:tc>
      </w:tr>
      <w:tr w:rsidR="005949BB" w:rsidRPr="00B479AE" w14:paraId="0DC89FDA" w14:textId="77777777" w:rsidTr="00214562">
        <w:trPr>
          <w:tblCellSpacing w:w="15" w:type="dxa"/>
        </w:trPr>
        <w:tc>
          <w:tcPr>
            <w:tcW w:w="0" w:type="auto"/>
            <w:vAlign w:val="center"/>
            <w:hideMark/>
          </w:tcPr>
          <w:p w14:paraId="236AAF1A"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 status</w:t>
            </w:r>
          </w:p>
        </w:tc>
        <w:tc>
          <w:tcPr>
            <w:tcW w:w="0" w:type="auto"/>
            <w:vAlign w:val="center"/>
            <w:hideMark/>
          </w:tcPr>
          <w:p w14:paraId="4ECC46E5"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Limits specific rights, accesses, functions, or claims.</w:t>
            </w:r>
          </w:p>
        </w:tc>
      </w:tr>
      <w:tr w:rsidR="005949BB" w:rsidRPr="00B479AE" w14:paraId="005EFB36" w14:textId="77777777" w:rsidTr="00214562">
        <w:trPr>
          <w:tblCellSpacing w:w="15" w:type="dxa"/>
        </w:trPr>
        <w:tc>
          <w:tcPr>
            <w:tcW w:w="0" w:type="auto"/>
            <w:vAlign w:val="center"/>
            <w:hideMark/>
          </w:tcPr>
          <w:p w14:paraId="64A92DCF"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Suspended status</w:t>
            </w:r>
          </w:p>
        </w:tc>
        <w:tc>
          <w:tcPr>
            <w:tcW w:w="0" w:type="auto"/>
            <w:vAlign w:val="center"/>
            <w:hideMark/>
          </w:tcPr>
          <w:p w14:paraId="494F4035"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Temporarily pauses sensitive access pending review or remediation.</w:t>
            </w:r>
          </w:p>
        </w:tc>
      </w:tr>
      <w:tr w:rsidR="005949BB" w:rsidRPr="00B479AE" w14:paraId="2248D679" w14:textId="77777777" w:rsidTr="00214562">
        <w:trPr>
          <w:tblCellSpacing w:w="15" w:type="dxa"/>
        </w:trPr>
        <w:tc>
          <w:tcPr>
            <w:tcW w:w="0" w:type="auto"/>
            <w:vAlign w:val="center"/>
            <w:hideMark/>
          </w:tcPr>
          <w:p w14:paraId="56D804CE"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Non-admissible status</w:t>
            </w:r>
          </w:p>
        </w:tc>
        <w:tc>
          <w:tcPr>
            <w:tcW w:w="0" w:type="auto"/>
            <w:vAlign w:val="center"/>
            <w:hideMark/>
          </w:tcPr>
          <w:p w14:paraId="383D49E6"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Prevents a claim, record, output, or pathway from entering PRU, RAP, governance, investor-facing, token, MRV, or public-reporting pathways.</w:t>
            </w:r>
          </w:p>
        </w:tc>
      </w:tr>
      <w:tr w:rsidR="005949BB" w:rsidRPr="00B479AE" w14:paraId="5DA3A3C6" w14:textId="77777777" w:rsidTr="00214562">
        <w:trPr>
          <w:tblCellSpacing w:w="15" w:type="dxa"/>
        </w:trPr>
        <w:tc>
          <w:tcPr>
            <w:tcW w:w="0" w:type="auto"/>
            <w:vAlign w:val="center"/>
            <w:hideMark/>
          </w:tcPr>
          <w:p w14:paraId="5F58923B"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 status</w:t>
            </w:r>
          </w:p>
        </w:tc>
        <w:tc>
          <w:tcPr>
            <w:tcW w:w="0" w:type="auto"/>
            <w:vAlign w:val="center"/>
            <w:hideMark/>
          </w:tcPr>
          <w:p w14:paraId="63EEDD10"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Isolates a pathway, dataset, participant, project, or claim due to serious risk.</w:t>
            </w:r>
          </w:p>
        </w:tc>
      </w:tr>
      <w:tr w:rsidR="005949BB" w:rsidRPr="00B479AE" w14:paraId="0CAFC844" w14:textId="77777777" w:rsidTr="00214562">
        <w:trPr>
          <w:tblCellSpacing w:w="15" w:type="dxa"/>
        </w:trPr>
        <w:tc>
          <w:tcPr>
            <w:tcW w:w="0" w:type="auto"/>
            <w:vAlign w:val="center"/>
            <w:hideMark/>
          </w:tcPr>
          <w:p w14:paraId="69CED186"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Corrective disclosure</w:t>
            </w:r>
          </w:p>
        </w:tc>
        <w:tc>
          <w:tcPr>
            <w:tcW w:w="0" w:type="auto"/>
            <w:vAlign w:val="center"/>
            <w:hideMark/>
          </w:tcPr>
          <w:p w14:paraId="3E48DF6A"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public or private correction where prior communication created confusion or risk.</w:t>
            </w:r>
          </w:p>
        </w:tc>
      </w:tr>
      <w:tr w:rsidR="005949BB" w:rsidRPr="00B479AE" w14:paraId="4DEDC878" w14:textId="77777777" w:rsidTr="00214562">
        <w:trPr>
          <w:tblCellSpacing w:w="15" w:type="dxa"/>
        </w:trPr>
        <w:tc>
          <w:tcPr>
            <w:tcW w:w="0" w:type="auto"/>
            <w:vAlign w:val="center"/>
            <w:hideMark/>
          </w:tcPr>
          <w:p w14:paraId="4EA29B9D"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Exclusion</w:t>
            </w:r>
          </w:p>
        </w:tc>
        <w:tc>
          <w:tcPr>
            <w:tcW w:w="0" w:type="auto"/>
            <w:vAlign w:val="center"/>
            <w:hideMark/>
          </w:tcPr>
          <w:p w14:paraId="4F38B7BE"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Removes participant from defined forms of participation according to governance and legal procedure.</w:t>
            </w:r>
          </w:p>
        </w:tc>
      </w:tr>
      <w:tr w:rsidR="005949BB" w:rsidRPr="00B479AE" w14:paraId="40575A51" w14:textId="77777777" w:rsidTr="00214562">
        <w:trPr>
          <w:tblCellSpacing w:w="15" w:type="dxa"/>
        </w:trPr>
        <w:tc>
          <w:tcPr>
            <w:tcW w:w="0" w:type="auto"/>
            <w:vAlign w:val="center"/>
            <w:hideMark/>
          </w:tcPr>
          <w:p w14:paraId="36307245"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External escalation</w:t>
            </w:r>
          </w:p>
        </w:tc>
        <w:tc>
          <w:tcPr>
            <w:tcW w:w="0" w:type="auto"/>
            <w:vAlign w:val="center"/>
            <w:hideMark/>
          </w:tcPr>
          <w:p w14:paraId="7B9C9043" w14:textId="77777777" w:rsidR="005949BB" w:rsidRPr="00B479AE" w:rsidRDefault="005949BB" w:rsidP="005949BB">
            <w:pPr>
              <w:spacing w:line="360" w:lineRule="auto"/>
              <w:rPr>
                <w:rFonts w:ascii="Baskerville Old Face" w:hAnsi="Baskerville Old Face"/>
                <w:i/>
                <w:iCs/>
                <w:sz w:val="22"/>
                <w:szCs w:val="22"/>
              </w:rPr>
            </w:pPr>
            <w:r w:rsidRPr="00B479AE">
              <w:rPr>
                <w:rFonts w:ascii="Baskerville Old Face" w:hAnsi="Baskerville Old Face"/>
                <w:i/>
                <w:iCs/>
                <w:sz w:val="22"/>
                <w:szCs w:val="22"/>
              </w:rPr>
              <w:t>Refers serious misconduct to competent legal, regulatory, fiduciary, enforcement, or institutional authorities.</w:t>
            </w:r>
          </w:p>
        </w:tc>
      </w:tr>
    </w:tbl>
    <w:p w14:paraId="52250556" w14:textId="2C9736DD"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Consequence does not always mean exclusion.</w:t>
      </w:r>
      <w:r w:rsidR="0036529B" w:rsidRPr="00B479AE">
        <w:rPr>
          <w:rFonts w:ascii="Baskerville Old Face" w:hAnsi="Baskerville Old Face"/>
          <w:i/>
          <w:iCs/>
        </w:rPr>
        <w:t xml:space="preserve"> </w:t>
      </w:r>
      <w:r w:rsidRPr="00B479AE">
        <w:rPr>
          <w:rFonts w:ascii="Baskerville Old Face" w:hAnsi="Baskerville Old Face"/>
          <w:i/>
          <w:iCs/>
        </w:rPr>
        <w:t>In many cases, the correct response is correction, education, limitation, or remediation.</w:t>
      </w:r>
    </w:p>
    <w:p w14:paraId="714AA7D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Where harm is serious, repeated, intentional, or constitutional, stronger measures become necessary.</w:t>
      </w:r>
    </w:p>
    <w:p w14:paraId="581660D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protects participation by protecting trust.</w:t>
      </w:r>
    </w:p>
    <w:p w14:paraId="5182EF81"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9.5 Remediation First, Where Possible</w:t>
      </w:r>
    </w:p>
    <w:p w14:paraId="272AFBB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should prefer remediation where the violation is minor, moderate, unintentional, correctable, and not structurally harmful.</w:t>
      </w:r>
    </w:p>
    <w:p w14:paraId="3707326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remediation plan may include:</w:t>
      </w:r>
    </w:p>
    <w:p w14:paraId="2A25AFF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corrected documentation;</w:t>
      </w:r>
      <w:r w:rsidRPr="00B479AE">
        <w:rPr>
          <w:rFonts w:ascii="Baskerville Old Face" w:hAnsi="Baskerville Old Face"/>
          <w:i/>
          <w:iCs/>
        </w:rPr>
        <w:br/>
        <w:t>• corrected public communication;</w:t>
      </w:r>
      <w:r w:rsidRPr="00B479AE">
        <w:rPr>
          <w:rFonts w:ascii="Baskerville Old Face" w:hAnsi="Baskerville Old Face"/>
          <w:i/>
          <w:iCs/>
        </w:rPr>
        <w:br/>
        <w:t>• renewed Access Covenant affirmation;</w:t>
      </w:r>
      <w:r w:rsidRPr="00B479AE">
        <w:rPr>
          <w:rFonts w:ascii="Baskerville Old Face" w:hAnsi="Baskerville Old Face"/>
          <w:i/>
          <w:iCs/>
        </w:rPr>
        <w:br/>
        <w:t>• additional training;</w:t>
      </w:r>
      <w:r w:rsidRPr="00B479AE">
        <w:rPr>
          <w:rFonts w:ascii="Baskerville Old Face" w:hAnsi="Baskerville Old Face"/>
          <w:i/>
          <w:iCs/>
        </w:rPr>
        <w:br/>
        <w:t>• role clarification;</w:t>
      </w:r>
      <w:r w:rsidRPr="00B479AE">
        <w:rPr>
          <w:rFonts w:ascii="Baskerville Old Face" w:hAnsi="Baskerville Old Face"/>
          <w:i/>
          <w:iCs/>
        </w:rPr>
        <w:br/>
        <w:t>• role limitation;</w:t>
      </w:r>
      <w:r w:rsidRPr="00B479AE">
        <w:rPr>
          <w:rFonts w:ascii="Baskerville Old Face" w:hAnsi="Baskerville Old Face"/>
          <w:i/>
          <w:iCs/>
        </w:rPr>
        <w:br/>
        <w:t>• supervision;</w:t>
      </w:r>
      <w:r w:rsidRPr="00B479AE">
        <w:rPr>
          <w:rFonts w:ascii="Baskerville Old Face" w:hAnsi="Baskerville Old Face"/>
          <w:i/>
          <w:iCs/>
        </w:rPr>
        <w:br/>
        <w:t>• technical access review;</w:t>
      </w:r>
      <w:r w:rsidRPr="00B479AE">
        <w:rPr>
          <w:rFonts w:ascii="Baskerville Old Face" w:hAnsi="Baskerville Old Face"/>
          <w:i/>
          <w:iCs/>
        </w:rPr>
        <w:br/>
        <w:t>• data correction;</w:t>
      </w:r>
      <w:r w:rsidRPr="00B479AE">
        <w:rPr>
          <w:rFonts w:ascii="Baskerville Old Face" w:hAnsi="Baskerville Old Face"/>
          <w:i/>
          <w:iCs/>
        </w:rPr>
        <w:br/>
        <w:t>• MRV resubmission;</w:t>
      </w:r>
      <w:r w:rsidRPr="00B479AE">
        <w:rPr>
          <w:rFonts w:ascii="Baskerville Old Face" w:hAnsi="Baskerville Old Face"/>
          <w:i/>
          <w:iCs/>
        </w:rPr>
        <w:br/>
        <w:t>• community repair process;</w:t>
      </w:r>
      <w:r w:rsidRPr="00B479AE">
        <w:rPr>
          <w:rFonts w:ascii="Baskerville Old Face" w:hAnsi="Baskerville Old Face"/>
          <w:i/>
          <w:iCs/>
        </w:rPr>
        <w:br/>
        <w:t>• conflict mediation;</w:t>
      </w:r>
      <w:r w:rsidRPr="00B479AE">
        <w:rPr>
          <w:rFonts w:ascii="Baskerville Old Face" w:hAnsi="Baskerville Old Face"/>
          <w:i/>
          <w:iCs/>
        </w:rPr>
        <w:br/>
        <w:t>• legal documentation update;</w:t>
      </w:r>
      <w:r w:rsidRPr="00B479AE">
        <w:rPr>
          <w:rFonts w:ascii="Baskerville Old Face" w:hAnsi="Baskerville Old Face"/>
          <w:i/>
          <w:iCs/>
        </w:rPr>
        <w:br/>
        <w:t>• reporting correction;</w:t>
      </w:r>
      <w:r w:rsidRPr="00B479AE">
        <w:rPr>
          <w:rFonts w:ascii="Baskerville Old Face" w:hAnsi="Baskerville Old Face"/>
          <w:i/>
          <w:iCs/>
        </w:rPr>
        <w:br/>
        <w:t>• review date.</w:t>
      </w:r>
    </w:p>
    <w:p w14:paraId="02DBD3E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Remediation is appropriate when the participant demonstrates:</w:t>
      </w:r>
    </w:p>
    <w:p w14:paraId="465CD12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good faith;</w:t>
      </w:r>
      <w:r w:rsidRPr="00B479AE">
        <w:rPr>
          <w:rFonts w:ascii="Baskerville Old Face" w:hAnsi="Baskerville Old Face"/>
          <w:i/>
          <w:iCs/>
        </w:rPr>
        <w:br/>
        <w:t>• willingness to correct;</w:t>
      </w:r>
      <w:r w:rsidRPr="00B479AE">
        <w:rPr>
          <w:rFonts w:ascii="Baskerville Old Face" w:hAnsi="Baskerville Old Face"/>
          <w:i/>
          <w:iCs/>
        </w:rPr>
        <w:br/>
        <w:t>• transparency;</w:t>
      </w:r>
      <w:r w:rsidRPr="00B479AE">
        <w:rPr>
          <w:rFonts w:ascii="Baskerville Old Face" w:hAnsi="Baskerville Old Face"/>
          <w:i/>
          <w:iCs/>
        </w:rPr>
        <w:br/>
        <w:t>• cooperation with review;</w:t>
      </w:r>
      <w:r w:rsidRPr="00B479AE">
        <w:rPr>
          <w:rFonts w:ascii="Baskerville Old Face" w:hAnsi="Baskerville Old Face"/>
          <w:i/>
          <w:iCs/>
        </w:rPr>
        <w:br/>
        <w:t>• respect for the Covenant;</w:t>
      </w:r>
      <w:r w:rsidRPr="00B479AE">
        <w:rPr>
          <w:rFonts w:ascii="Baskerville Old Face" w:hAnsi="Baskerville Old Face"/>
          <w:i/>
          <w:iCs/>
        </w:rPr>
        <w:br/>
        <w:t>• no serious intent to manipulate, extract, or bypass.</w:t>
      </w:r>
    </w:p>
    <w:p w14:paraId="71CFD02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Remediation is not appropriate where it becomes a shield for repeated harm.</w:t>
      </w:r>
    </w:p>
    <w:p w14:paraId="4C707D7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A regenerative system forgives error.</w:t>
      </w:r>
    </w:p>
    <w:p w14:paraId="128A4BA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does not normalize abuse.</w:t>
      </w:r>
    </w:p>
    <w:p w14:paraId="04B151C9"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9.6 Non-Admissibility of Claims and Outputs</w:t>
      </w:r>
    </w:p>
    <w:p w14:paraId="219B4F7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One of the most important consequences in Prometheus is non-admissibility.</w:t>
      </w:r>
    </w:p>
    <w:p w14:paraId="5E44014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Non-admissibility means that a claim, output, record, dataset, communication, action, or pathway may not enter protected Prometheus pathways.</w:t>
      </w:r>
    </w:p>
    <w:p w14:paraId="71F1454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These may include:</w:t>
      </w:r>
    </w:p>
    <w:p w14:paraId="4FFC6C45" w14:textId="519F711A"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MRV validation;</w:t>
      </w:r>
      <w:r w:rsidRPr="00B479AE">
        <w:rPr>
          <w:rFonts w:ascii="Baskerville Old Face" w:hAnsi="Baskerville Old Face"/>
          <w:i/>
          <w:iCs/>
        </w:rPr>
        <w:br/>
        <w:t>• PRU assessment;</w:t>
      </w:r>
      <w:r w:rsidRPr="00B479AE">
        <w:rPr>
          <w:rFonts w:ascii="Baskerville Old Face" w:hAnsi="Baskerville Old Face"/>
          <w:i/>
          <w:iCs/>
        </w:rPr>
        <w:br/>
        <w:t xml:space="preserve">• </w:t>
      </w:r>
      <w:r w:rsidR="00E71F80" w:rsidRPr="00B479AE">
        <w:rPr>
          <w:rFonts w:ascii="Baskerville Old Face" w:hAnsi="Baskerville Old Face"/>
          <w:i/>
          <w:iCs/>
        </w:rPr>
        <w:t>PRU maturity classification</w:t>
      </w:r>
      <w:r w:rsidRPr="00B479AE">
        <w:rPr>
          <w:rFonts w:ascii="Baskerville Old Face" w:hAnsi="Baskerville Old Face"/>
          <w:i/>
          <w:iCs/>
        </w:rPr>
        <w:t>;</w:t>
      </w:r>
      <w:r w:rsidRPr="00B479AE">
        <w:rPr>
          <w:rFonts w:ascii="Baskerville Old Face" w:hAnsi="Baskerville Old Face"/>
          <w:i/>
          <w:iCs/>
        </w:rPr>
        <w:br/>
        <w:t>• RAP inclusion;</w:t>
      </w:r>
      <w:r w:rsidRPr="00B479AE">
        <w:rPr>
          <w:rFonts w:ascii="Baskerville Old Face" w:hAnsi="Baskerville Old Face"/>
          <w:i/>
          <w:iCs/>
        </w:rPr>
        <w:br/>
        <w:t>• investor reporting;</w:t>
      </w:r>
      <w:r w:rsidRPr="00B479AE">
        <w:rPr>
          <w:rFonts w:ascii="Baskerville Old Face" w:hAnsi="Baskerville Old Face"/>
          <w:i/>
          <w:iCs/>
        </w:rPr>
        <w:br/>
        <w:t>• public impact reporting;</w:t>
      </w:r>
      <w:r w:rsidRPr="00B479AE">
        <w:rPr>
          <w:rFonts w:ascii="Baskerville Old Face" w:hAnsi="Baskerville Old Face"/>
          <w:i/>
          <w:iCs/>
        </w:rPr>
        <w:br/>
        <w:t>• token-mediated representation;</w:t>
      </w:r>
      <w:r w:rsidRPr="00B479AE">
        <w:rPr>
          <w:rFonts w:ascii="Baskerville Old Face" w:hAnsi="Baskerville Old Face"/>
          <w:i/>
          <w:iCs/>
        </w:rPr>
        <w:br/>
        <w:t>• governance decision-making;</w:t>
      </w:r>
      <w:r w:rsidRPr="00B479AE">
        <w:rPr>
          <w:rFonts w:ascii="Baskerville Old Face" w:hAnsi="Baskerville Old Face"/>
          <w:i/>
          <w:iCs/>
        </w:rPr>
        <w:br/>
        <w:t>• capital-facing communication;</w:t>
      </w:r>
      <w:r w:rsidRPr="00B479AE">
        <w:rPr>
          <w:rFonts w:ascii="Baskerville Old Face" w:hAnsi="Baskerville Old Face"/>
          <w:i/>
          <w:iCs/>
        </w:rPr>
        <w:br/>
        <w:t>• institutional data rooms;</w:t>
      </w:r>
      <w:r w:rsidRPr="00B479AE">
        <w:rPr>
          <w:rFonts w:ascii="Baskerville Old Face" w:hAnsi="Baskerville Old Face"/>
          <w:i/>
          <w:iCs/>
        </w:rPr>
        <w:br/>
        <w:t>• legal or financial structuring.</w:t>
      </w:r>
    </w:p>
    <w:p w14:paraId="21D2700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Non-admissibility protects the system without necessarily excluding the participant entirely.</w:t>
      </w:r>
    </w:p>
    <w:p w14:paraId="21218C8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For example:</w:t>
      </w:r>
    </w:p>
    <w:p w14:paraId="1F18B67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a community narrative may remain meaningful but not MRV-admissible;</w:t>
      </w:r>
      <w:r w:rsidRPr="00B479AE">
        <w:rPr>
          <w:rFonts w:ascii="Baskerville Old Face" w:hAnsi="Baskerville Old Face"/>
          <w:i/>
          <w:iCs/>
        </w:rPr>
        <w:br/>
        <w:t>• a dataset may remain archived but not PRU-admissible;</w:t>
      </w:r>
      <w:r w:rsidRPr="00B479AE">
        <w:rPr>
          <w:rFonts w:ascii="Baskerville Old Face" w:hAnsi="Baskerville Old Face"/>
          <w:i/>
          <w:iCs/>
        </w:rPr>
        <w:br/>
        <w:t>• a pilot claim may remain exploratory but not investor-facing;</w:t>
      </w:r>
      <w:r w:rsidRPr="00B479AE">
        <w:rPr>
          <w:rFonts w:ascii="Baskerville Old Face" w:hAnsi="Baskerville Old Face"/>
          <w:i/>
          <w:iCs/>
        </w:rPr>
        <w:br/>
        <w:t>• a token claim may remain internal to another ecosystem but not Prometheus-valid;</w:t>
      </w:r>
      <w:r w:rsidRPr="00B479AE">
        <w:rPr>
          <w:rFonts w:ascii="Baskerville Old Face" w:hAnsi="Baskerville Old Face"/>
          <w:i/>
          <w:iCs/>
        </w:rPr>
        <w:br/>
        <w:t>• an ecological observation may remain useful but not financially admissible.</w:t>
      </w:r>
    </w:p>
    <w:p w14:paraId="121BC4A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This distinction is essential.</w:t>
      </w:r>
    </w:p>
    <w:p w14:paraId="4E53E59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does not need to punish every ambiguity.</w:t>
      </w:r>
    </w:p>
    <w:p w14:paraId="039C21D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It needs to prevent ambiguity from becoming value.</w:t>
      </w:r>
    </w:p>
    <w:p w14:paraId="7C611334"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9.7 Technical Enforcement Boundary</w:t>
      </w:r>
    </w:p>
    <w:p w14:paraId="332AB5D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Technical systems may support Covenant enforcement.</w:t>
      </w:r>
    </w:p>
    <w:p w14:paraId="088ECE0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They may:</w:t>
      </w:r>
    </w:p>
    <w:p w14:paraId="6981A81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detect anomalies;</w:t>
      </w:r>
      <w:r w:rsidRPr="00B479AE">
        <w:rPr>
          <w:rFonts w:ascii="Baskerville Old Face" w:hAnsi="Baskerville Old Face"/>
          <w:i/>
          <w:iCs/>
        </w:rPr>
        <w:br/>
        <w:t>• flag invalid entries;</w:t>
      </w:r>
      <w:r w:rsidRPr="00B479AE">
        <w:rPr>
          <w:rFonts w:ascii="Baskerville Old Face" w:hAnsi="Baskerville Old Face"/>
          <w:i/>
          <w:iCs/>
        </w:rPr>
        <w:br/>
        <w:t>• restrict permissions;</w:t>
      </w:r>
      <w:r w:rsidRPr="00B479AE">
        <w:rPr>
          <w:rFonts w:ascii="Baskerville Old Face" w:hAnsi="Baskerville Old Face"/>
          <w:i/>
          <w:iCs/>
        </w:rPr>
        <w:br/>
        <w:t>• pause sensitive functions;</w:t>
      </w:r>
      <w:r w:rsidRPr="00B479AE">
        <w:rPr>
          <w:rFonts w:ascii="Baskerville Old Face" w:hAnsi="Baskerville Old Face"/>
          <w:i/>
          <w:iCs/>
        </w:rPr>
        <w:br/>
        <w:t>• log suspicious behavior;</w:t>
      </w:r>
      <w:r w:rsidRPr="00B479AE">
        <w:rPr>
          <w:rFonts w:ascii="Baskerville Old Face" w:hAnsi="Baskerville Old Face"/>
          <w:i/>
          <w:iCs/>
        </w:rPr>
        <w:br/>
        <w:t>• require manual review;</w:t>
      </w:r>
      <w:r w:rsidRPr="00B479AE">
        <w:rPr>
          <w:rFonts w:ascii="Baskerville Old Face" w:hAnsi="Baskerville Old Face"/>
          <w:i/>
          <w:iCs/>
        </w:rPr>
        <w:br/>
        <w:t>• quarantine records;</w:t>
      </w:r>
      <w:r w:rsidRPr="00B479AE">
        <w:rPr>
          <w:rFonts w:ascii="Baskerville Old Face" w:hAnsi="Baskerville Old Face"/>
          <w:i/>
          <w:iCs/>
        </w:rPr>
        <w:br/>
        <w:t>• revoke credentials;</w:t>
      </w:r>
      <w:r w:rsidRPr="00B479AE">
        <w:rPr>
          <w:rFonts w:ascii="Baskerville Old Face" w:hAnsi="Baskerville Old Face"/>
          <w:i/>
          <w:iCs/>
        </w:rPr>
        <w:br/>
        <w:t>• enforce validation rules where implemented;</w:t>
      </w:r>
      <w:r w:rsidRPr="00B479AE">
        <w:rPr>
          <w:rFonts w:ascii="Baskerville Old Face" w:hAnsi="Baskerville Old Face"/>
          <w:i/>
          <w:iCs/>
        </w:rPr>
        <w:br/>
        <w:t>• prevent unauthorized operations.</w:t>
      </w:r>
    </w:p>
    <w:p w14:paraId="2E1B8A1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However, Prometheus must not overclaim automatic enforcement.</w:t>
      </w:r>
    </w:p>
    <w:p w14:paraId="718DBCF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Technical enforcement is valid only where the relevant mechanism is:</w:t>
      </w:r>
    </w:p>
    <w:p w14:paraId="65965DE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implemented;</w:t>
      </w:r>
      <w:r w:rsidRPr="00B479AE">
        <w:rPr>
          <w:rFonts w:ascii="Baskerville Old Face" w:hAnsi="Baskerville Old Face"/>
          <w:i/>
          <w:iCs/>
        </w:rPr>
        <w:br/>
        <w:t>• tested;</w:t>
      </w:r>
      <w:r w:rsidRPr="00B479AE">
        <w:rPr>
          <w:rFonts w:ascii="Baskerville Old Face" w:hAnsi="Baskerville Old Face"/>
          <w:i/>
          <w:iCs/>
        </w:rPr>
        <w:br/>
        <w:t>• audited where appropriate;</w:t>
      </w:r>
      <w:r w:rsidRPr="00B479AE">
        <w:rPr>
          <w:rFonts w:ascii="Baskerville Old Face" w:hAnsi="Baskerville Old Face"/>
          <w:i/>
          <w:iCs/>
        </w:rPr>
        <w:br/>
        <w:t>• governed;</w:t>
      </w:r>
      <w:r w:rsidRPr="00B479AE">
        <w:rPr>
          <w:rFonts w:ascii="Baskerville Old Face" w:hAnsi="Baskerville Old Face"/>
          <w:i/>
          <w:iCs/>
        </w:rPr>
        <w:br/>
        <w:t>• documented;</w:t>
      </w:r>
      <w:r w:rsidRPr="00B479AE">
        <w:rPr>
          <w:rFonts w:ascii="Baskerville Old Face" w:hAnsi="Baskerville Old Face"/>
          <w:i/>
          <w:iCs/>
        </w:rPr>
        <w:br/>
        <w:t>• legally and procedurally compatible with the consequence imposed.</w:t>
      </w:r>
    </w:p>
    <w:p w14:paraId="549DB74B" w14:textId="77777777" w:rsidR="005949BB" w:rsidRPr="00B479AE" w:rsidRDefault="005949BB" w:rsidP="005949BB">
      <w:p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validation rules, warrants, source-chain records, DHT references, access-control logic, or policy engines may support integrity.</w:t>
      </w:r>
    </w:p>
    <w:p w14:paraId="418D978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They do not replace governance judgment in high-impact matters.</w:t>
      </w:r>
    </w:p>
    <w:p w14:paraId="6FFBFE3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Software may reject an invalid entry.</w:t>
      </w:r>
    </w:p>
    <w:p w14:paraId="3154B02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Software may flag a breach.</w:t>
      </w:r>
    </w:p>
    <w:p w14:paraId="18F724F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Software may restrict a permission.</w:t>
      </w:r>
    </w:p>
    <w:p w14:paraId="5C52965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Software may preserve evidence.</w:t>
      </w:r>
    </w:p>
    <w:p w14:paraId="675E435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But software should not independently impose high-impact legal, financial, reputational, governance, or human consequences without the applicable review pathway.</w:t>
      </w:r>
    </w:p>
    <w:p w14:paraId="2649981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uses technical enforcement as immune support.</w:t>
      </w:r>
    </w:p>
    <w:p w14:paraId="705BF15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does not outsource justice to code.</w:t>
      </w:r>
    </w:p>
    <w:p w14:paraId="2C448895"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9.8 Token-Related Consequences</w:t>
      </w:r>
    </w:p>
    <w:p w14:paraId="5C3892E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Token-related consequences require special care.</w:t>
      </w:r>
    </w:p>
    <w:p w14:paraId="0168421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 token-related penalty, restriction, reduction, lock, forfeiture, burn, slash, suspension, or loss of entitlement should be described as automatic unless it is legally structured, technically implemented, contractually disclosed, governance-approved, and jurisdictionally reviewed.</w:t>
      </w:r>
    </w:p>
    <w:p w14:paraId="17BB6F1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token-mediated participation exists, possible responses may include:</w:t>
      </w:r>
    </w:p>
    <w:p w14:paraId="0CA1112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temporary suspension of token-mediated governance participation;</w:t>
      </w:r>
      <w:r w:rsidRPr="00B479AE">
        <w:rPr>
          <w:rFonts w:ascii="Baskerville Old Face" w:hAnsi="Baskerville Old Face"/>
          <w:i/>
          <w:iCs/>
        </w:rPr>
        <w:br/>
        <w:t>• restriction of access functions;</w:t>
      </w:r>
      <w:r w:rsidRPr="00B479AE">
        <w:rPr>
          <w:rFonts w:ascii="Baskerville Old Face" w:hAnsi="Baskerville Old Face"/>
          <w:i/>
          <w:iCs/>
        </w:rPr>
        <w:br/>
        <w:t>• loss of eligibility for specific token-gated privileges;</w:t>
      </w:r>
      <w:r w:rsidRPr="00B479AE">
        <w:rPr>
          <w:rFonts w:ascii="Baskerville Old Face" w:hAnsi="Baskerville Old Face"/>
          <w:i/>
          <w:iCs/>
        </w:rPr>
        <w:br/>
        <w:t>• removal from a whitelisted pathway;</w:t>
      </w:r>
      <w:r w:rsidRPr="00B479AE">
        <w:rPr>
          <w:rFonts w:ascii="Baskerville Old Face" w:hAnsi="Baskerville Old Face"/>
          <w:i/>
          <w:iCs/>
        </w:rPr>
        <w:br/>
        <w:t>• review-required status;</w:t>
      </w:r>
      <w:r w:rsidRPr="00B479AE">
        <w:rPr>
          <w:rFonts w:ascii="Baskerville Old Face" w:hAnsi="Baskerville Old Face"/>
          <w:i/>
          <w:iCs/>
        </w:rPr>
        <w:br/>
        <w:t>• limitation of voting scope;</w:t>
      </w:r>
      <w:r w:rsidRPr="00B479AE">
        <w:rPr>
          <w:rFonts w:ascii="Baskerville Old Face" w:hAnsi="Baskerville Old Face"/>
          <w:i/>
          <w:iCs/>
        </w:rPr>
        <w:br/>
        <w:t>• correction of misleading token-related claims;</w:t>
      </w:r>
      <w:r w:rsidRPr="00B479AE">
        <w:rPr>
          <w:rFonts w:ascii="Baskerville Old Face" w:hAnsi="Baskerville Old Face"/>
          <w:i/>
          <w:iCs/>
        </w:rPr>
        <w:br/>
        <w:t>• legal review before any economic consequence.</w:t>
      </w:r>
    </w:p>
    <w:p w14:paraId="1A1B138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should avoid casual use of terms such as slashing, forfeiture, or permanent token loss unless those mechanisms are formally part of a compliant legal and technical instrument.</w:t>
      </w:r>
    </w:p>
    <w:p w14:paraId="1BC9709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correct principle is:</w:t>
      </w:r>
    </w:p>
    <w:p w14:paraId="19F0E55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token-related consequences must follow the rights actually attached to the token.</w:t>
      </w:r>
    </w:p>
    <w:p w14:paraId="499B680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token cannot lose rights it never legally had.</w:t>
      </w:r>
    </w:p>
    <w:p w14:paraId="69F2AAD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A participant cannot forfeit value through a mechanism that was never properly disclosed, agreed, and structured.</w:t>
      </w:r>
    </w:p>
    <w:p w14:paraId="1D902D6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This preserves both constitutional integrity and legal credibility.</w:t>
      </w:r>
    </w:p>
    <w:p w14:paraId="3F211CF0"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9.9 Public Communication and Corrective Disclosure</w:t>
      </w:r>
    </w:p>
    <w:p w14:paraId="745FFC9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Some violations create confusion outside the system.</w:t>
      </w:r>
    </w:p>
    <w:p w14:paraId="216987F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This may occur through public claims about:</w:t>
      </w:r>
    </w:p>
    <w:p w14:paraId="6892E70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PRU value;</w:t>
      </w:r>
      <w:r w:rsidRPr="00B479AE">
        <w:rPr>
          <w:rFonts w:ascii="Baskerville Old Face" w:hAnsi="Baskerville Old Face"/>
          <w:i/>
          <w:iCs/>
        </w:rPr>
        <w:br/>
        <w:t>• RAP inclusion;</w:t>
      </w:r>
      <w:r w:rsidRPr="00B479AE">
        <w:rPr>
          <w:rFonts w:ascii="Baskerville Old Face" w:hAnsi="Baskerville Old Face"/>
          <w:i/>
          <w:iCs/>
        </w:rPr>
        <w:br/>
        <w:t>• MRV verification;</w:t>
      </w:r>
      <w:r w:rsidRPr="00B479AE">
        <w:rPr>
          <w:rFonts w:ascii="Baskerville Old Face" w:hAnsi="Baskerville Old Face"/>
          <w:i/>
          <w:iCs/>
        </w:rPr>
        <w:br/>
        <w:t>• ecological performance;</w:t>
      </w:r>
      <w:r w:rsidRPr="00B479AE">
        <w:rPr>
          <w:rFonts w:ascii="Baskerville Old Face" w:hAnsi="Baskerville Old Face"/>
          <w:i/>
          <w:iCs/>
        </w:rPr>
        <w:br/>
        <w:t>• investor rights;</w:t>
      </w:r>
      <w:r w:rsidRPr="00B479AE">
        <w:rPr>
          <w:rFonts w:ascii="Baskerville Old Face" w:hAnsi="Baskerville Old Face"/>
          <w:i/>
          <w:iCs/>
        </w:rPr>
        <w:br/>
        <w:t>• token rights;</w:t>
      </w:r>
      <w:r w:rsidRPr="00B479AE">
        <w:rPr>
          <w:rFonts w:ascii="Baskerville Old Face" w:hAnsi="Baskerville Old Face"/>
          <w:i/>
          <w:iCs/>
        </w:rPr>
        <w:br/>
        <w:t>• land rights;</w:t>
      </w:r>
      <w:r w:rsidRPr="00B479AE">
        <w:rPr>
          <w:rFonts w:ascii="Baskerville Old Face" w:hAnsi="Baskerville Old Face"/>
          <w:i/>
          <w:iCs/>
        </w:rPr>
        <w:br/>
        <w:t>• governance authority;</w:t>
      </w:r>
      <w:r w:rsidRPr="00B479AE">
        <w:rPr>
          <w:rFonts w:ascii="Baskerville Old Face" w:hAnsi="Baskerville Old Face"/>
          <w:i/>
          <w:iCs/>
        </w:rPr>
        <w:br/>
        <w:t>• partnership status;</w:t>
      </w:r>
      <w:r w:rsidRPr="00B479AE">
        <w:rPr>
          <w:rFonts w:ascii="Baskerville Old Face" w:hAnsi="Baskerville Old Face"/>
          <w:i/>
          <w:iCs/>
        </w:rPr>
        <w:br/>
        <w:t>• institutional approval;</w:t>
      </w:r>
      <w:r w:rsidRPr="00B479AE">
        <w:rPr>
          <w:rFonts w:ascii="Baskerville Old Face" w:hAnsi="Baskerville Old Face"/>
          <w:i/>
          <w:iCs/>
        </w:rPr>
        <w:br/>
        <w:t>• health claims;</w:t>
      </w:r>
      <w:r w:rsidRPr="00B479AE">
        <w:rPr>
          <w:rFonts w:ascii="Baskerville Old Face" w:hAnsi="Baskerville Old Face"/>
          <w:i/>
          <w:iCs/>
        </w:rPr>
        <w:br/>
        <w:t>• financial returns;</w:t>
      </w:r>
      <w:r w:rsidRPr="00B479AE">
        <w:rPr>
          <w:rFonts w:ascii="Baskerville Old Face" w:hAnsi="Baskerville Old Face"/>
          <w:i/>
          <w:iCs/>
        </w:rPr>
        <w:br/>
        <w:t>• legal status.</w:t>
      </w:r>
    </w:p>
    <w:p w14:paraId="66B5C38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public confusion occurs, Prometheus may require corrective disclosure.</w:t>
      </w:r>
    </w:p>
    <w:p w14:paraId="661AA63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Corrective disclosure may include:</w:t>
      </w:r>
    </w:p>
    <w:p w14:paraId="2766C70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private correction to affected parties;</w:t>
      </w:r>
      <w:r w:rsidRPr="00B479AE">
        <w:rPr>
          <w:rFonts w:ascii="Baskerville Old Face" w:hAnsi="Baskerville Old Face"/>
          <w:i/>
          <w:iCs/>
        </w:rPr>
        <w:br/>
        <w:t>• public clarification;</w:t>
      </w:r>
      <w:r w:rsidRPr="00B479AE">
        <w:rPr>
          <w:rFonts w:ascii="Baskerville Old Face" w:hAnsi="Baskerville Old Face"/>
          <w:i/>
          <w:iCs/>
        </w:rPr>
        <w:br/>
        <w:t>• amended report;</w:t>
      </w:r>
      <w:r w:rsidRPr="00B479AE">
        <w:rPr>
          <w:rFonts w:ascii="Baskerville Old Face" w:hAnsi="Baskerville Old Face"/>
          <w:i/>
          <w:iCs/>
        </w:rPr>
        <w:br/>
        <w:t>• revised dashboard language;</w:t>
      </w:r>
      <w:r w:rsidRPr="00B479AE">
        <w:rPr>
          <w:rFonts w:ascii="Baskerville Old Face" w:hAnsi="Baskerville Old Face"/>
          <w:i/>
          <w:iCs/>
        </w:rPr>
        <w:br/>
        <w:t>• investor notice;</w:t>
      </w:r>
      <w:r w:rsidRPr="00B479AE">
        <w:rPr>
          <w:rFonts w:ascii="Baskerville Old Face" w:hAnsi="Baskerville Old Face"/>
          <w:i/>
          <w:iCs/>
        </w:rPr>
        <w:br/>
        <w:t>• removal of misleading material;</w:t>
      </w:r>
      <w:r w:rsidRPr="00B479AE">
        <w:rPr>
          <w:rFonts w:ascii="Baskerville Old Face" w:hAnsi="Baskerville Old Face"/>
          <w:i/>
          <w:iCs/>
        </w:rPr>
        <w:br/>
        <w:t>• corrected token or community communication;</w:t>
      </w:r>
      <w:r w:rsidRPr="00B479AE">
        <w:rPr>
          <w:rFonts w:ascii="Baskerville Old Face" w:hAnsi="Baskerville Old Face"/>
          <w:i/>
          <w:iCs/>
        </w:rPr>
        <w:br/>
      </w:r>
      <w:r w:rsidRPr="00B479AE">
        <w:rPr>
          <w:rFonts w:ascii="Baskerville Old Face" w:hAnsi="Baskerville Old Face"/>
          <w:i/>
          <w:iCs/>
        </w:rPr>
        <w:lastRenderedPageBreak/>
        <w:t>• legal disclaimer;</w:t>
      </w:r>
      <w:r w:rsidRPr="00B479AE">
        <w:rPr>
          <w:rFonts w:ascii="Baskerville Old Face" w:hAnsi="Baskerville Old Face"/>
          <w:i/>
          <w:iCs/>
        </w:rPr>
        <w:br/>
        <w:t>• governance statement.</w:t>
      </w:r>
    </w:p>
    <w:p w14:paraId="2CEEED0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Corrective disclosure should be proportionate.</w:t>
      </w:r>
    </w:p>
    <w:p w14:paraId="65070A7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should correct confusion without unnecessary humiliation.</w:t>
      </w:r>
    </w:p>
    <w:p w14:paraId="5A286B0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purpose is not reputational theatre.</w:t>
      </w:r>
    </w:p>
    <w:p w14:paraId="5B9F3E3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purpose is semantic hygiene.</w:t>
      </w:r>
    </w:p>
    <w:p w14:paraId="0723A1A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cannot allow words to become unverified value.</w:t>
      </w:r>
    </w:p>
    <w:p w14:paraId="3A16FD94"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9.10 Ecological and MRV Violations</w:t>
      </w:r>
    </w:p>
    <w:p w14:paraId="1F0ADFF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Ecological and MRV violations are especially serious because Prometheus depends on evidence integrity.</w:t>
      </w:r>
    </w:p>
    <w:p w14:paraId="7F3F18B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Examples may include:</w:t>
      </w:r>
    </w:p>
    <w:p w14:paraId="32A311D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falsified soil data;</w:t>
      </w:r>
      <w:r w:rsidRPr="00B479AE">
        <w:rPr>
          <w:rFonts w:ascii="Baskerville Old Face" w:hAnsi="Baskerville Old Face"/>
          <w:i/>
          <w:iCs/>
        </w:rPr>
        <w:br/>
        <w:t>• manipulated sensor readings;</w:t>
      </w:r>
      <w:r w:rsidRPr="00B479AE">
        <w:rPr>
          <w:rFonts w:ascii="Baskerville Old Face" w:hAnsi="Baskerville Old Face"/>
          <w:i/>
          <w:iCs/>
        </w:rPr>
        <w:br/>
        <w:t>• altered laboratory reports;</w:t>
      </w:r>
      <w:r w:rsidRPr="00B479AE">
        <w:rPr>
          <w:rFonts w:ascii="Baskerville Old Face" w:hAnsi="Baskerville Old Face"/>
          <w:i/>
          <w:iCs/>
        </w:rPr>
        <w:br/>
        <w:t>• fabricated field observations;</w:t>
      </w:r>
      <w:r w:rsidRPr="00B479AE">
        <w:rPr>
          <w:rFonts w:ascii="Baskerville Old Face" w:hAnsi="Baskerville Old Face"/>
          <w:i/>
          <w:iCs/>
        </w:rPr>
        <w:br/>
        <w:t>• misleading satellite or drone interpretation;</w:t>
      </w:r>
      <w:r w:rsidRPr="00B479AE">
        <w:rPr>
          <w:rFonts w:ascii="Baskerville Old Face" w:hAnsi="Baskerville Old Face"/>
          <w:i/>
          <w:iCs/>
        </w:rPr>
        <w:br/>
        <w:t>• hidden adverse events;</w:t>
      </w:r>
      <w:r w:rsidRPr="00B479AE">
        <w:rPr>
          <w:rFonts w:ascii="Baskerville Old Face" w:hAnsi="Baskerville Old Face"/>
          <w:i/>
          <w:iCs/>
        </w:rPr>
        <w:br/>
        <w:t>• inflated biodiversity claims;</w:t>
      </w:r>
      <w:r w:rsidRPr="00B479AE">
        <w:rPr>
          <w:rFonts w:ascii="Baskerville Old Face" w:hAnsi="Baskerville Old Face"/>
          <w:i/>
          <w:iCs/>
        </w:rPr>
        <w:br/>
        <w:t>• unreported ecological damage;</w:t>
      </w:r>
      <w:r w:rsidRPr="00B479AE">
        <w:rPr>
          <w:rFonts w:ascii="Baskerville Old Face" w:hAnsi="Baskerville Old Face"/>
          <w:i/>
          <w:iCs/>
        </w:rPr>
        <w:br/>
        <w:t>• double counting;</w:t>
      </w:r>
      <w:r w:rsidRPr="00B479AE">
        <w:rPr>
          <w:rFonts w:ascii="Baskerville Old Face" w:hAnsi="Baskerville Old Face"/>
          <w:i/>
          <w:iCs/>
        </w:rPr>
        <w:br/>
        <w:t>• unsupported PRU claims;</w:t>
      </w:r>
      <w:r w:rsidRPr="00B479AE">
        <w:rPr>
          <w:rFonts w:ascii="Baskerville Old Face" w:hAnsi="Baskerville Old Face"/>
          <w:i/>
          <w:iCs/>
        </w:rPr>
        <w:br/>
        <w:t>• failure to disclose methodology limitations;</w:t>
      </w:r>
      <w:r w:rsidRPr="00B479AE">
        <w:rPr>
          <w:rFonts w:ascii="Baskerville Old Face" w:hAnsi="Baskerville Old Face"/>
          <w:i/>
          <w:iCs/>
        </w:rPr>
        <w:br/>
        <w:t>• intentional misclassification of evidence tier;</w:t>
      </w:r>
      <w:r w:rsidRPr="00B479AE">
        <w:rPr>
          <w:rFonts w:ascii="Baskerville Old Face" w:hAnsi="Baskerville Old Face"/>
          <w:i/>
          <w:iCs/>
        </w:rPr>
        <w:br/>
        <w:t>• conversion of exploratory hypotheses into financial claims.</w:t>
      </w:r>
    </w:p>
    <w:p w14:paraId="34F079B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Responses may include:</w:t>
      </w:r>
    </w:p>
    <w:p w14:paraId="08793633" w14:textId="240DB07F"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MRV review;</w:t>
      </w:r>
      <w:r w:rsidRPr="00B479AE">
        <w:rPr>
          <w:rFonts w:ascii="Baskerville Old Face" w:hAnsi="Baskerville Old Face"/>
          <w:i/>
          <w:iCs/>
        </w:rPr>
        <w:br/>
        <w:t>• data quarantine;</w:t>
      </w:r>
      <w:r w:rsidRPr="00B479AE">
        <w:rPr>
          <w:rFonts w:ascii="Baskerville Old Face" w:hAnsi="Baskerville Old Face"/>
          <w:i/>
          <w:iCs/>
        </w:rPr>
        <w:br/>
        <w:t>• non-admissible status;</w:t>
      </w:r>
      <w:r w:rsidRPr="00B479AE">
        <w:rPr>
          <w:rFonts w:ascii="Baskerville Old Face" w:hAnsi="Baskerville Old Face"/>
          <w:i/>
          <w:iCs/>
        </w:rPr>
        <w:br/>
      </w:r>
      <w:r w:rsidRPr="00B479AE">
        <w:rPr>
          <w:rFonts w:ascii="Baskerville Old Face" w:hAnsi="Baskerville Old Face"/>
          <w:i/>
          <w:iCs/>
        </w:rPr>
        <w:lastRenderedPageBreak/>
        <w:t>• resampling;</w:t>
      </w:r>
      <w:r w:rsidRPr="00B479AE">
        <w:rPr>
          <w:rFonts w:ascii="Baskerville Old Face" w:hAnsi="Baskerville Old Face"/>
          <w:i/>
          <w:iCs/>
        </w:rPr>
        <w:br/>
        <w:t>• third-party audit;</w:t>
      </w:r>
      <w:r w:rsidRPr="00B479AE">
        <w:rPr>
          <w:rFonts w:ascii="Baskerville Old Face" w:hAnsi="Baskerville Old Face"/>
          <w:i/>
          <w:iCs/>
        </w:rPr>
        <w:br/>
        <w:t>• methodology review;</w:t>
      </w:r>
      <w:r w:rsidRPr="00B479AE">
        <w:rPr>
          <w:rFonts w:ascii="Baskerville Old Face" w:hAnsi="Baskerville Old Face"/>
          <w:i/>
          <w:iCs/>
        </w:rPr>
        <w:br/>
        <w:t>• PRU recalculation;</w:t>
      </w:r>
      <w:r w:rsidRPr="00B479AE">
        <w:rPr>
          <w:rFonts w:ascii="Baskerville Old Face" w:hAnsi="Baskerville Old Face"/>
          <w:i/>
          <w:iCs/>
        </w:rPr>
        <w:br/>
        <w:t xml:space="preserve">• </w:t>
      </w:r>
      <w:r w:rsidR="00E71F80" w:rsidRPr="00B479AE">
        <w:rPr>
          <w:rFonts w:ascii="Baskerville Old Face" w:hAnsi="Baskerville Old Face"/>
          <w:i/>
          <w:iCs/>
        </w:rPr>
        <w:t>PRU maturity classification</w:t>
      </w:r>
      <w:r w:rsidRPr="00B479AE">
        <w:rPr>
          <w:rFonts w:ascii="Baskerville Old Face" w:hAnsi="Baskerville Old Face"/>
          <w:i/>
          <w:iCs/>
        </w:rPr>
        <w:t xml:space="preserve"> downgrade where applicable;</w:t>
      </w:r>
      <w:r w:rsidRPr="00B479AE">
        <w:rPr>
          <w:rFonts w:ascii="Baskerville Old Face" w:hAnsi="Baskerville Old Face"/>
          <w:i/>
          <w:iCs/>
        </w:rPr>
        <w:br/>
        <w:t>• RAP exclusion where applicable;</w:t>
      </w:r>
      <w:r w:rsidRPr="00B479AE">
        <w:rPr>
          <w:rFonts w:ascii="Baskerville Old Face" w:hAnsi="Baskerville Old Face"/>
          <w:i/>
          <w:iCs/>
        </w:rPr>
        <w:br/>
        <w:t>• investor reporting correction;</w:t>
      </w:r>
      <w:r w:rsidRPr="00B479AE">
        <w:rPr>
          <w:rFonts w:ascii="Baskerville Old Face" w:hAnsi="Baskerville Old Face"/>
          <w:i/>
          <w:iCs/>
        </w:rPr>
        <w:br/>
        <w:t>• suspension of MRV privileges;</w:t>
      </w:r>
      <w:r w:rsidRPr="00B479AE">
        <w:rPr>
          <w:rFonts w:ascii="Baskerville Old Face" w:hAnsi="Baskerville Old Face"/>
          <w:i/>
          <w:iCs/>
        </w:rPr>
        <w:br/>
        <w:t>• legal or regulatory escalation where warranted.</w:t>
      </w:r>
    </w:p>
    <w:p w14:paraId="2D20ED2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principle is clear:</w:t>
      </w:r>
    </w:p>
    <w:p w14:paraId="6337254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weak evidence may guide learning;</w:t>
      </w:r>
    </w:p>
    <w:p w14:paraId="559EA18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verified evidence may support reporting;</w:t>
      </w:r>
    </w:p>
    <w:p w14:paraId="41A8D9B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admissible evidence may support value;</w:t>
      </w:r>
    </w:p>
    <w:p w14:paraId="05B446F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falsified evidence threatens the system.</w:t>
      </w:r>
    </w:p>
    <w:p w14:paraId="3AE04C1E"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9.11 Governance Violations</w:t>
      </w:r>
    </w:p>
    <w:p w14:paraId="49D4F5A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Governance violations occur when decision-making processes are manipulated, bypassed, captured, misrepresented, or used to weaken constitutional integrity.</w:t>
      </w:r>
    </w:p>
    <w:p w14:paraId="09E046C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Examples may include:</w:t>
      </w:r>
    </w:p>
    <w:p w14:paraId="7C0834F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role overreach;</w:t>
      </w:r>
      <w:r w:rsidRPr="00B479AE">
        <w:rPr>
          <w:rFonts w:ascii="Baskerville Old Face" w:hAnsi="Baskerville Old Face"/>
          <w:i/>
          <w:iCs/>
        </w:rPr>
        <w:br/>
        <w:t>• hidden conflicts of interest;</w:t>
      </w:r>
      <w:r w:rsidRPr="00B479AE">
        <w:rPr>
          <w:rFonts w:ascii="Baskerville Old Face" w:hAnsi="Baskerville Old Face"/>
          <w:i/>
          <w:iCs/>
        </w:rPr>
        <w:br/>
        <w:t>• coercive voting pressure;</w:t>
      </w:r>
      <w:r w:rsidRPr="00B479AE">
        <w:rPr>
          <w:rFonts w:ascii="Baskerville Old Face" w:hAnsi="Baskerville Old Face"/>
          <w:i/>
          <w:iCs/>
        </w:rPr>
        <w:br/>
        <w:t>• token-weight manipulation;</w:t>
      </w:r>
      <w:r w:rsidRPr="00B479AE">
        <w:rPr>
          <w:rFonts w:ascii="Baskerville Old Face" w:hAnsi="Baskerville Old Face"/>
          <w:i/>
          <w:iCs/>
        </w:rPr>
        <w:br/>
        <w:t>• community intimidation;</w:t>
      </w:r>
      <w:r w:rsidRPr="00B479AE">
        <w:rPr>
          <w:rFonts w:ascii="Baskerville Old Face" w:hAnsi="Baskerville Old Face"/>
          <w:i/>
          <w:iCs/>
        </w:rPr>
        <w:br/>
        <w:t>• suppression of dissent;</w:t>
      </w:r>
      <w:r w:rsidRPr="00B479AE">
        <w:rPr>
          <w:rFonts w:ascii="Baskerville Old Face" w:hAnsi="Baskerville Old Face"/>
          <w:i/>
          <w:iCs/>
        </w:rPr>
        <w:br/>
        <w:t>• abuse of facilitation role;</w:t>
      </w:r>
      <w:r w:rsidRPr="00B479AE">
        <w:rPr>
          <w:rFonts w:ascii="Baskerville Old Face" w:hAnsi="Baskerville Old Face"/>
          <w:i/>
          <w:iCs/>
        </w:rPr>
        <w:br/>
        <w:t>• unauthorized representation;</w:t>
      </w:r>
      <w:r w:rsidRPr="00B479AE">
        <w:rPr>
          <w:rFonts w:ascii="Baskerville Old Face" w:hAnsi="Baskerville Old Face"/>
          <w:i/>
          <w:iCs/>
        </w:rPr>
        <w:br/>
        <w:t>• unrecorded material decisions;</w:t>
      </w:r>
      <w:r w:rsidRPr="00B479AE">
        <w:rPr>
          <w:rFonts w:ascii="Baskerville Old Face" w:hAnsi="Baskerville Old Face"/>
          <w:i/>
          <w:iCs/>
        </w:rPr>
        <w:br/>
        <w:t>• false claim of approval;</w:t>
      </w:r>
      <w:r w:rsidRPr="00B479AE">
        <w:rPr>
          <w:rFonts w:ascii="Baskerville Old Face" w:hAnsi="Baskerville Old Face"/>
          <w:i/>
          <w:iCs/>
        </w:rPr>
        <w:br/>
        <w:t>• bypass of Access Covenant conditions;</w:t>
      </w:r>
      <w:r w:rsidRPr="00B479AE">
        <w:rPr>
          <w:rFonts w:ascii="Baskerville Old Face" w:hAnsi="Baskerville Old Face"/>
          <w:i/>
          <w:iCs/>
        </w:rPr>
        <w:br/>
      </w:r>
      <w:r w:rsidRPr="00B479AE">
        <w:rPr>
          <w:rFonts w:ascii="Baskerville Old Face" w:hAnsi="Baskerville Old Face"/>
          <w:i/>
          <w:iCs/>
        </w:rPr>
        <w:lastRenderedPageBreak/>
        <w:t>• misuse of emergency procedure;</w:t>
      </w:r>
      <w:r w:rsidRPr="00B479AE">
        <w:rPr>
          <w:rFonts w:ascii="Baskerville Old Face" w:hAnsi="Baskerville Old Face"/>
          <w:i/>
          <w:iCs/>
        </w:rPr>
        <w:br/>
        <w:t>• attempt to alter protected constitutional principles through ordinary governance.</w:t>
      </w:r>
    </w:p>
    <w:p w14:paraId="61E46DB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Responses may include:</w:t>
      </w:r>
    </w:p>
    <w:p w14:paraId="1352406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governance review;</w:t>
      </w:r>
      <w:r w:rsidRPr="00B479AE">
        <w:rPr>
          <w:rFonts w:ascii="Baskerville Old Face" w:hAnsi="Baskerville Old Face"/>
          <w:i/>
          <w:iCs/>
        </w:rPr>
        <w:br/>
        <w:t>• role suspension;</w:t>
      </w:r>
      <w:r w:rsidRPr="00B479AE">
        <w:rPr>
          <w:rFonts w:ascii="Baskerville Old Face" w:hAnsi="Baskerville Old Face"/>
          <w:i/>
          <w:iCs/>
        </w:rPr>
        <w:br/>
        <w:t>• role replacement;</w:t>
      </w:r>
      <w:r w:rsidRPr="00B479AE">
        <w:rPr>
          <w:rFonts w:ascii="Baskerville Old Face" w:hAnsi="Baskerville Old Face"/>
          <w:i/>
          <w:iCs/>
        </w:rPr>
        <w:br/>
        <w:t>• conflict-resolution process;</w:t>
      </w:r>
      <w:r w:rsidRPr="00B479AE">
        <w:rPr>
          <w:rFonts w:ascii="Baskerville Old Face" w:hAnsi="Baskerville Old Face"/>
          <w:i/>
          <w:iCs/>
        </w:rPr>
        <w:br/>
        <w:t>• decision invalidation;</w:t>
      </w:r>
      <w:r w:rsidRPr="00B479AE">
        <w:rPr>
          <w:rFonts w:ascii="Baskerville Old Face" w:hAnsi="Baskerville Old Face"/>
          <w:i/>
          <w:iCs/>
        </w:rPr>
        <w:br/>
        <w:t>• re-vote or consent process;</w:t>
      </w:r>
      <w:r w:rsidRPr="00B479AE">
        <w:rPr>
          <w:rFonts w:ascii="Baskerville Old Face" w:hAnsi="Baskerville Old Face"/>
          <w:i/>
          <w:iCs/>
        </w:rPr>
        <w:br/>
        <w:t>• integrity circle review;</w:t>
      </w:r>
      <w:r w:rsidRPr="00B479AE">
        <w:rPr>
          <w:rFonts w:ascii="Baskerville Old Face" w:hAnsi="Baskerville Old Face"/>
          <w:i/>
          <w:iCs/>
        </w:rPr>
        <w:br/>
        <w:t>• constitutional review;</w:t>
      </w:r>
      <w:r w:rsidRPr="00B479AE">
        <w:rPr>
          <w:rFonts w:ascii="Baskerville Old Face" w:hAnsi="Baskerville Old Face"/>
          <w:i/>
          <w:iCs/>
        </w:rPr>
        <w:br/>
        <w:t>• restriction of governance participation;</w:t>
      </w:r>
      <w:r w:rsidRPr="00B479AE">
        <w:rPr>
          <w:rFonts w:ascii="Baskerville Old Face" w:hAnsi="Baskerville Old Face"/>
          <w:i/>
          <w:iCs/>
        </w:rPr>
        <w:br/>
        <w:t>• external legal review where relevant.</w:t>
      </w:r>
    </w:p>
    <w:p w14:paraId="557E76D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Governance is not valid merely because a meeting occurred.</w:t>
      </w:r>
    </w:p>
    <w:p w14:paraId="6FA2808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Governance is valid when authority, process, record, consent, and constitutional boundaries are intact.</w:t>
      </w:r>
    </w:p>
    <w:p w14:paraId="2887ECDD"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9.12 Constitutional Violations</w:t>
      </w:r>
    </w:p>
    <w:p w14:paraId="0196A2A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constitutional violation is a serious breach involving foundational articles, Eternity Clauses, source-layer constraints, Access Covenant substance,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xml:space="preserve"> rules, human dignity, ecological integrity, or evidence-before-value discipline.</w:t>
      </w:r>
    </w:p>
    <w:p w14:paraId="0AEB3F6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Examples may include:</w:t>
      </w:r>
    </w:p>
    <w:p w14:paraId="7DED3979" w14:textId="636810C0"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attempt to amend or weaken Eternity Clauses;</w:t>
      </w:r>
      <w:r w:rsidRPr="00B479AE">
        <w:rPr>
          <w:rFonts w:ascii="Baskerville Old Face" w:hAnsi="Baskerville Old Face"/>
          <w:i/>
          <w:iCs/>
        </w:rPr>
        <w:br/>
        <w:t>• attempt to bypass the Access Covenant;</w:t>
      </w:r>
      <w:r w:rsidRPr="00B479AE">
        <w:rPr>
          <w:rFonts w:ascii="Baskerville Old Face" w:hAnsi="Baskerville Old Face"/>
          <w:i/>
          <w:iCs/>
        </w:rPr>
        <w:br/>
        <w:t>• attempt to authorize extraction under regenerative language;</w:t>
      </w:r>
      <w:r w:rsidRPr="00B479AE">
        <w:rPr>
          <w:rFonts w:ascii="Baskerville Old Face" w:hAnsi="Baskerville Old Face"/>
          <w:i/>
          <w:iCs/>
        </w:rPr>
        <w:br/>
        <w:t>• attempt to convert unverified claims into PRU value;</w:t>
      </w:r>
      <w:r w:rsidRPr="00B479AE">
        <w:rPr>
          <w:rFonts w:ascii="Baskerville Old Face" w:hAnsi="Baskerville Old Face"/>
          <w:i/>
          <w:iCs/>
        </w:rPr>
        <w:br/>
        <w:t>• attempt to use AI output as constitutional authority;</w:t>
      </w:r>
      <w:r w:rsidRPr="00B479AE">
        <w:rPr>
          <w:rFonts w:ascii="Baskerville Old Face" w:hAnsi="Baskerville Old Face"/>
          <w:i/>
          <w:iCs/>
        </w:rPr>
        <w:br/>
        <w:t xml:space="preserve">• attempt to use token governance to override </w:t>
      </w:r>
      <w:r w:rsidR="00803DF2" w:rsidRPr="00803DF2">
        <w:rPr>
          <w:rFonts w:ascii="Baskerville Old Face" w:hAnsi="Baskerville Old Face"/>
          <w:i/>
          <w:iCs/>
        </w:rPr>
        <w:t>living-system reality constraints</w:t>
      </w:r>
      <w:r w:rsidRPr="00B479AE">
        <w:rPr>
          <w:rFonts w:ascii="Baskerville Old Face" w:hAnsi="Baskerville Old Face"/>
          <w:i/>
          <w:iCs/>
        </w:rPr>
        <w:t>;</w:t>
      </w:r>
      <w:r w:rsidRPr="00B479AE">
        <w:rPr>
          <w:rFonts w:ascii="Baskerville Old Face" w:hAnsi="Baskerville Old Face"/>
          <w:i/>
          <w:iCs/>
        </w:rPr>
        <w:br/>
        <w:t>• attempt to use capital pressure to weaken source-layer protections;</w:t>
      </w:r>
      <w:r w:rsidRPr="00B479AE">
        <w:rPr>
          <w:rFonts w:ascii="Baskerville Old Face" w:hAnsi="Baskerville Old Face"/>
          <w:i/>
          <w:iCs/>
        </w:rPr>
        <w:br/>
      </w:r>
      <w:r w:rsidRPr="00B479AE">
        <w:rPr>
          <w:rFonts w:ascii="Baskerville Old Face" w:hAnsi="Baskerville Old Face"/>
          <w:i/>
          <w:iCs/>
        </w:rPr>
        <w:lastRenderedPageBreak/>
        <w:t>• attempt to redefine human dignity, ecological integrity, MRV, PRU, RAP, or governance boundaries outside the constitutional pathway.</w:t>
      </w:r>
    </w:p>
    <w:p w14:paraId="10C2CC7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Constitutional violations may trigger:</w:t>
      </w:r>
    </w:p>
    <w:p w14:paraId="1C2B741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immediate review;</w:t>
      </w:r>
      <w:r w:rsidRPr="00B479AE">
        <w:rPr>
          <w:rFonts w:ascii="Baskerville Old Face" w:hAnsi="Baskerville Old Face"/>
          <w:i/>
          <w:iCs/>
        </w:rPr>
        <w:br/>
        <w:t>• emergency limitation;</w:t>
      </w:r>
      <w:r w:rsidRPr="00B479AE">
        <w:rPr>
          <w:rFonts w:ascii="Baskerville Old Face" w:hAnsi="Baskerville Old Face"/>
          <w:i/>
          <w:iCs/>
        </w:rPr>
        <w:br/>
        <w:t>• non-admissibility;</w:t>
      </w:r>
      <w:r w:rsidRPr="00B479AE">
        <w:rPr>
          <w:rFonts w:ascii="Baskerville Old Face" w:hAnsi="Baskerville Old Face"/>
          <w:i/>
          <w:iCs/>
        </w:rPr>
        <w:br/>
        <w:t>• quarantine;</w:t>
      </w:r>
      <w:r w:rsidRPr="00B479AE">
        <w:rPr>
          <w:rFonts w:ascii="Baskerville Old Face" w:hAnsi="Baskerville Old Face"/>
          <w:i/>
          <w:iCs/>
        </w:rPr>
        <w:br/>
        <w:t>• suspension;</w:t>
      </w:r>
      <w:r w:rsidRPr="00B479AE">
        <w:rPr>
          <w:rFonts w:ascii="Baskerville Old Face" w:hAnsi="Baskerville Old Face"/>
          <w:i/>
          <w:iCs/>
        </w:rPr>
        <w:br/>
        <w:t>• constitutional interpretation;</w:t>
      </w:r>
      <w:r w:rsidRPr="00B479AE">
        <w:rPr>
          <w:rFonts w:ascii="Baskerville Old Face" w:hAnsi="Baskerville Old Face"/>
          <w:i/>
          <w:iCs/>
        </w:rPr>
        <w:br/>
        <w:t>• exclusion;</w:t>
      </w:r>
      <w:r w:rsidRPr="00B479AE">
        <w:rPr>
          <w:rFonts w:ascii="Baskerville Old Face" w:hAnsi="Baskerville Old Face"/>
          <w:i/>
          <w:iCs/>
        </w:rPr>
        <w:br/>
        <w:t>• public correction;</w:t>
      </w:r>
      <w:r w:rsidRPr="00B479AE">
        <w:rPr>
          <w:rFonts w:ascii="Baskerville Old Face" w:hAnsi="Baskerville Old Face"/>
          <w:i/>
          <w:iCs/>
        </w:rPr>
        <w:br/>
        <w:t>• external escalation where appropriate.</w:t>
      </w:r>
    </w:p>
    <w:p w14:paraId="4A121F7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standard is strict.</w:t>
      </w:r>
    </w:p>
    <w:p w14:paraId="344D715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 ordinary governance process can legitimate a constitutional violation.</w:t>
      </w:r>
    </w:p>
    <w:p w14:paraId="1A020C65"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 token vote can legitimate it.</w:t>
      </w:r>
    </w:p>
    <w:p w14:paraId="5BA246D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 investor demand can legitimate it.</w:t>
      </w:r>
    </w:p>
    <w:p w14:paraId="7B84C99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 model output can legitimate it.</w:t>
      </w:r>
    </w:p>
    <w:p w14:paraId="3036D97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No emergency can legitimate it.</w:t>
      </w:r>
    </w:p>
    <w:p w14:paraId="4341467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constitutional violation is not merely unauthorized.</w:t>
      </w:r>
    </w:p>
    <w:p w14:paraId="3A39A28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is outside the valid Prometheus pathway.</w:t>
      </w:r>
    </w:p>
    <w:p w14:paraId="716F5946"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9.13 Appeal and Reconsideration</w:t>
      </w:r>
    </w:p>
    <w:p w14:paraId="57C0D61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Participants affected by material consequences may request appeal or reconsideration where appropriate.</w:t>
      </w:r>
    </w:p>
    <w:p w14:paraId="1BE19CA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appeal pathway may include:</w:t>
      </w:r>
    </w:p>
    <w:p w14:paraId="39436EE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correction of factual error;</w:t>
      </w:r>
      <w:r w:rsidRPr="00B479AE">
        <w:rPr>
          <w:rFonts w:ascii="Baskerville Old Face" w:hAnsi="Baskerville Old Face"/>
          <w:i/>
          <w:iCs/>
        </w:rPr>
        <w:br/>
        <w:t>• submission of missing evidence;</w:t>
      </w:r>
      <w:r w:rsidRPr="00B479AE">
        <w:rPr>
          <w:rFonts w:ascii="Baskerville Old Face" w:hAnsi="Baskerville Old Face"/>
          <w:i/>
          <w:iCs/>
        </w:rPr>
        <w:br/>
      </w:r>
      <w:r w:rsidRPr="00B479AE">
        <w:rPr>
          <w:rFonts w:ascii="Baskerville Old Face" w:hAnsi="Baskerville Old Face"/>
          <w:i/>
          <w:iCs/>
        </w:rPr>
        <w:lastRenderedPageBreak/>
        <w:t>• clarification of scope;</w:t>
      </w:r>
      <w:r w:rsidRPr="00B479AE">
        <w:rPr>
          <w:rFonts w:ascii="Baskerville Old Face" w:hAnsi="Baskerville Old Face"/>
          <w:i/>
          <w:iCs/>
        </w:rPr>
        <w:br/>
        <w:t>• proof of remediation;</w:t>
      </w:r>
      <w:r w:rsidRPr="00B479AE">
        <w:rPr>
          <w:rFonts w:ascii="Baskerville Old Face" w:hAnsi="Baskerville Old Face"/>
          <w:i/>
          <w:iCs/>
        </w:rPr>
        <w:br/>
        <w:t>• review by another circle;</w:t>
      </w:r>
      <w:r w:rsidRPr="00B479AE">
        <w:rPr>
          <w:rFonts w:ascii="Baskerville Old Face" w:hAnsi="Baskerville Old Face"/>
          <w:i/>
          <w:iCs/>
        </w:rPr>
        <w:br/>
        <w:t>• legal review;</w:t>
      </w:r>
      <w:r w:rsidRPr="00B479AE">
        <w:rPr>
          <w:rFonts w:ascii="Baskerville Old Face" w:hAnsi="Baskerville Old Face"/>
          <w:i/>
          <w:iCs/>
        </w:rPr>
        <w:br/>
        <w:t>• technical review;</w:t>
      </w:r>
      <w:r w:rsidRPr="00B479AE">
        <w:rPr>
          <w:rFonts w:ascii="Baskerville Old Face" w:hAnsi="Baskerville Old Face"/>
          <w:i/>
          <w:iCs/>
        </w:rPr>
        <w:br/>
        <w:t>• MRV review;</w:t>
      </w:r>
      <w:r w:rsidRPr="00B479AE">
        <w:rPr>
          <w:rFonts w:ascii="Baskerville Old Face" w:hAnsi="Baskerville Old Face"/>
          <w:i/>
          <w:iCs/>
        </w:rPr>
        <w:br/>
        <w:t>• constitutional review.</w:t>
      </w:r>
    </w:p>
    <w:p w14:paraId="6B02BBF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Appeal is not a mechanism to relitigate the Covenant itself.</w:t>
      </w:r>
    </w:p>
    <w:p w14:paraId="62F2762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is a mechanism to ensure that facts, evidence, proportionality, and process were handled correctly.</w:t>
      </w:r>
    </w:p>
    <w:p w14:paraId="0AAACA3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An appeal may result in:</w:t>
      </w:r>
    </w:p>
    <w:p w14:paraId="551BC3D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confirmation of decision;</w:t>
      </w:r>
      <w:r w:rsidRPr="00B479AE">
        <w:rPr>
          <w:rFonts w:ascii="Baskerville Old Face" w:hAnsi="Baskerville Old Face"/>
          <w:i/>
          <w:iCs/>
        </w:rPr>
        <w:br/>
        <w:t>• modification of consequence;</w:t>
      </w:r>
      <w:r w:rsidRPr="00B479AE">
        <w:rPr>
          <w:rFonts w:ascii="Baskerville Old Face" w:hAnsi="Baskerville Old Face"/>
          <w:i/>
          <w:iCs/>
        </w:rPr>
        <w:br/>
        <w:t>• restoration of access;</w:t>
      </w:r>
      <w:r w:rsidRPr="00B479AE">
        <w:rPr>
          <w:rFonts w:ascii="Baskerville Old Face" w:hAnsi="Baskerville Old Face"/>
          <w:i/>
          <w:iCs/>
        </w:rPr>
        <w:br/>
        <w:t>• revised remediation plan;</w:t>
      </w:r>
      <w:r w:rsidRPr="00B479AE">
        <w:rPr>
          <w:rFonts w:ascii="Baskerville Old Face" w:hAnsi="Baskerville Old Face"/>
          <w:i/>
          <w:iCs/>
        </w:rPr>
        <w:br/>
        <w:t>• narrower restriction;</w:t>
      </w:r>
      <w:r w:rsidRPr="00B479AE">
        <w:rPr>
          <w:rFonts w:ascii="Baskerville Old Face" w:hAnsi="Baskerville Old Face"/>
          <w:i/>
          <w:iCs/>
        </w:rPr>
        <w:br/>
        <w:t>• stronger restriction;</w:t>
      </w:r>
      <w:r w:rsidRPr="00B479AE">
        <w:rPr>
          <w:rFonts w:ascii="Baskerville Old Face" w:hAnsi="Baskerville Old Face"/>
          <w:i/>
          <w:iCs/>
        </w:rPr>
        <w:br/>
        <w:t>• escalation;</w:t>
      </w:r>
      <w:r w:rsidRPr="00B479AE">
        <w:rPr>
          <w:rFonts w:ascii="Baskerville Old Face" w:hAnsi="Baskerville Old Face"/>
          <w:i/>
          <w:iCs/>
        </w:rPr>
        <w:br/>
        <w:t>• closure.</w:t>
      </w:r>
    </w:p>
    <w:p w14:paraId="2534191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Appeal preserves justice.</w:t>
      </w:r>
    </w:p>
    <w:p w14:paraId="5AB3845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does not suspend the constitutional source layer.</w:t>
      </w:r>
    </w:p>
    <w:p w14:paraId="00BBC5DB"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9.14 Restoration of Status</w:t>
      </w:r>
    </w:p>
    <w:p w14:paraId="3EA220A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a participant has corrected a violation, completed remediation, or reduced risk, status may be restored.</w:t>
      </w:r>
    </w:p>
    <w:p w14:paraId="6CCC569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Restoration may require:</w:t>
      </w:r>
    </w:p>
    <w:p w14:paraId="762246E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renewed Covenant affirmation;</w:t>
      </w:r>
      <w:r w:rsidRPr="00B479AE">
        <w:rPr>
          <w:rFonts w:ascii="Baskerville Old Face" w:hAnsi="Baskerville Old Face"/>
          <w:i/>
          <w:iCs/>
        </w:rPr>
        <w:br/>
        <w:t>• completion of remediation plan;</w:t>
      </w:r>
      <w:r w:rsidRPr="00B479AE">
        <w:rPr>
          <w:rFonts w:ascii="Baskerville Old Face" w:hAnsi="Baskerville Old Face"/>
          <w:i/>
          <w:iCs/>
        </w:rPr>
        <w:br/>
        <w:t>• corrected documentation;</w:t>
      </w:r>
      <w:r w:rsidRPr="00B479AE">
        <w:rPr>
          <w:rFonts w:ascii="Baskerville Old Face" w:hAnsi="Baskerville Old Face"/>
          <w:i/>
          <w:iCs/>
        </w:rPr>
        <w:br/>
        <w:t>• corrected public communication;</w:t>
      </w:r>
      <w:r w:rsidRPr="00B479AE">
        <w:rPr>
          <w:rFonts w:ascii="Baskerville Old Face" w:hAnsi="Baskerville Old Face"/>
          <w:i/>
          <w:iCs/>
        </w:rPr>
        <w:br/>
      </w:r>
      <w:r w:rsidRPr="00B479AE">
        <w:rPr>
          <w:rFonts w:ascii="Baskerville Old Face" w:hAnsi="Baskerville Old Face"/>
          <w:i/>
          <w:iCs/>
        </w:rPr>
        <w:lastRenderedPageBreak/>
        <w:t>• governance review;</w:t>
      </w:r>
      <w:r w:rsidRPr="00B479AE">
        <w:rPr>
          <w:rFonts w:ascii="Baskerville Old Face" w:hAnsi="Baskerville Old Face"/>
          <w:i/>
          <w:iCs/>
        </w:rPr>
        <w:br/>
        <w:t>• technical access review;</w:t>
      </w:r>
      <w:r w:rsidRPr="00B479AE">
        <w:rPr>
          <w:rFonts w:ascii="Baskerville Old Face" w:hAnsi="Baskerville Old Face"/>
          <w:i/>
          <w:iCs/>
        </w:rPr>
        <w:br/>
        <w:t>• legal clearance;</w:t>
      </w:r>
      <w:r w:rsidRPr="00B479AE">
        <w:rPr>
          <w:rFonts w:ascii="Baskerville Old Face" w:hAnsi="Baskerville Old Face"/>
          <w:i/>
          <w:iCs/>
        </w:rPr>
        <w:br/>
        <w:t>• MRV resubmission;</w:t>
      </w:r>
      <w:r w:rsidRPr="00B479AE">
        <w:rPr>
          <w:rFonts w:ascii="Baskerville Old Face" w:hAnsi="Baskerville Old Face"/>
          <w:i/>
          <w:iCs/>
        </w:rPr>
        <w:br/>
        <w:t>• community repair;</w:t>
      </w:r>
      <w:r w:rsidRPr="00B479AE">
        <w:rPr>
          <w:rFonts w:ascii="Baskerville Old Face" w:hAnsi="Baskerville Old Face"/>
          <w:i/>
          <w:iCs/>
        </w:rPr>
        <w:br/>
        <w:t>• monitoring period;</w:t>
      </w:r>
      <w:r w:rsidRPr="00B479AE">
        <w:rPr>
          <w:rFonts w:ascii="Baskerville Old Face" w:hAnsi="Baskerville Old Face"/>
          <w:i/>
          <w:iCs/>
        </w:rPr>
        <w:br/>
        <w:t>• updated risk classification.</w:t>
      </w:r>
    </w:p>
    <w:p w14:paraId="1C05FAC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Restoration should be possible where trust can be rebuilt.</w:t>
      </w:r>
    </w:p>
    <w:p w14:paraId="2C72AAC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is a regenerative system.</w:t>
      </w:r>
    </w:p>
    <w:p w14:paraId="460EE2F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should allow responsible return when repair is real.</w:t>
      </w:r>
    </w:p>
    <w:p w14:paraId="4425366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However, restoration is not automatic.</w:t>
      </w:r>
    </w:p>
    <w:p w14:paraId="62A4FB1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Some breaches may permanently affect eligibility for specific roles, claims, or access scopes.</w:t>
      </w:r>
    </w:p>
    <w:p w14:paraId="6E425E6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participant may be restored for ordinary participation but remain restricted from MRV validation, governance authority, investor-facing communication, technical administration, or capital-facing access.</w:t>
      </w:r>
    </w:p>
    <w:p w14:paraId="032B76B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Restoration should be precise.</w:t>
      </w:r>
    </w:p>
    <w:p w14:paraId="357655C6"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Trust is rebuilt by clarity.</w:t>
      </w:r>
    </w:p>
    <w:p w14:paraId="091EB21A"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9.15 External Legal, Regulatory, or Institutional Escalation</w:t>
      </w:r>
    </w:p>
    <w:p w14:paraId="79A33F5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Certain conduct may require escalation beyond Prometheus governance.</w:t>
      </w:r>
    </w:p>
    <w:p w14:paraId="06C12F9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External escalation may be appropriate where there is credible evidence of:</w:t>
      </w:r>
    </w:p>
    <w:p w14:paraId="3C4C7992"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fraud;</w:t>
      </w:r>
      <w:r w:rsidRPr="00B479AE">
        <w:rPr>
          <w:rFonts w:ascii="Baskerville Old Face" w:hAnsi="Baskerville Old Face"/>
          <w:i/>
          <w:iCs/>
        </w:rPr>
        <w:br/>
        <w:t>• investor deception;</w:t>
      </w:r>
      <w:r w:rsidRPr="00B479AE">
        <w:rPr>
          <w:rFonts w:ascii="Baskerville Old Face" w:hAnsi="Baskerville Old Face"/>
          <w:i/>
          <w:iCs/>
        </w:rPr>
        <w:br/>
        <w:t>• securities violation;</w:t>
      </w:r>
      <w:r w:rsidRPr="00B479AE">
        <w:rPr>
          <w:rFonts w:ascii="Baskerville Old Face" w:hAnsi="Baskerville Old Face"/>
          <w:i/>
          <w:iCs/>
        </w:rPr>
        <w:br/>
        <w:t>• data breach;</w:t>
      </w:r>
      <w:r w:rsidRPr="00B479AE">
        <w:rPr>
          <w:rFonts w:ascii="Baskerville Old Face" w:hAnsi="Baskerville Old Face"/>
          <w:i/>
          <w:iCs/>
        </w:rPr>
        <w:br/>
        <w:t>• ecological damage requiring legal response;</w:t>
      </w:r>
      <w:r w:rsidRPr="00B479AE">
        <w:rPr>
          <w:rFonts w:ascii="Baskerville Old Face" w:hAnsi="Baskerville Old Face"/>
          <w:i/>
          <w:iCs/>
        </w:rPr>
        <w:br/>
        <w:t>• misuse of funds;</w:t>
      </w:r>
      <w:r w:rsidRPr="00B479AE">
        <w:rPr>
          <w:rFonts w:ascii="Baskerville Old Face" w:hAnsi="Baskerville Old Face"/>
          <w:i/>
          <w:iCs/>
        </w:rPr>
        <w:br/>
        <w:t>• coercion or exploitation;</w:t>
      </w:r>
      <w:r w:rsidRPr="00B479AE">
        <w:rPr>
          <w:rFonts w:ascii="Baskerville Old Face" w:hAnsi="Baskerville Old Face"/>
          <w:i/>
          <w:iCs/>
        </w:rPr>
        <w:br/>
      </w:r>
      <w:r w:rsidRPr="00B479AE">
        <w:rPr>
          <w:rFonts w:ascii="Baskerville Old Face" w:hAnsi="Baskerville Old Face"/>
          <w:i/>
          <w:iCs/>
        </w:rPr>
        <w:lastRenderedPageBreak/>
        <w:t>• fiduciary breach;</w:t>
      </w:r>
      <w:r w:rsidRPr="00B479AE">
        <w:rPr>
          <w:rFonts w:ascii="Baskerville Old Face" w:hAnsi="Baskerville Old Face"/>
          <w:i/>
          <w:iCs/>
        </w:rPr>
        <w:br/>
        <w:t>• regulatory non-compliance;</w:t>
      </w:r>
      <w:r w:rsidRPr="00B479AE">
        <w:rPr>
          <w:rFonts w:ascii="Baskerville Old Face" w:hAnsi="Baskerville Old Face"/>
          <w:i/>
          <w:iCs/>
        </w:rPr>
        <w:br/>
        <w:t>• public-sector misconduct;</w:t>
      </w:r>
      <w:r w:rsidRPr="00B479AE">
        <w:rPr>
          <w:rFonts w:ascii="Baskerville Old Face" w:hAnsi="Baskerville Old Face"/>
          <w:i/>
          <w:iCs/>
        </w:rPr>
        <w:br/>
        <w:t>• criminal conduct;</w:t>
      </w:r>
      <w:r w:rsidRPr="00B479AE">
        <w:rPr>
          <w:rFonts w:ascii="Baskerville Old Face" w:hAnsi="Baskerville Old Face"/>
          <w:i/>
          <w:iCs/>
        </w:rPr>
        <w:br/>
        <w:t>• serious harm to vulnerable persons.</w:t>
      </w:r>
    </w:p>
    <w:p w14:paraId="5CE0A03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External escalation may involve:</w:t>
      </w:r>
    </w:p>
    <w:p w14:paraId="306F5771"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 legal counsel;</w:t>
      </w:r>
      <w:r w:rsidRPr="00B479AE">
        <w:rPr>
          <w:rFonts w:ascii="Baskerville Old Face" w:hAnsi="Baskerville Old Face"/>
          <w:i/>
          <w:iCs/>
        </w:rPr>
        <w:br/>
        <w:t>• regulators;</w:t>
      </w:r>
      <w:r w:rsidRPr="00B479AE">
        <w:rPr>
          <w:rFonts w:ascii="Baskerville Old Face" w:hAnsi="Baskerville Old Face"/>
          <w:i/>
          <w:iCs/>
        </w:rPr>
        <w:br/>
        <w:t>• auditors;</w:t>
      </w:r>
      <w:r w:rsidRPr="00B479AE">
        <w:rPr>
          <w:rFonts w:ascii="Baskerville Old Face" w:hAnsi="Baskerville Old Face"/>
          <w:i/>
          <w:iCs/>
        </w:rPr>
        <w:br/>
        <w:t>• fiduciaries;</w:t>
      </w:r>
      <w:r w:rsidRPr="00B479AE">
        <w:rPr>
          <w:rFonts w:ascii="Baskerville Old Face" w:hAnsi="Baskerville Old Face"/>
          <w:i/>
          <w:iCs/>
        </w:rPr>
        <w:br/>
        <w:t>• public authorities;</w:t>
      </w:r>
      <w:r w:rsidRPr="00B479AE">
        <w:rPr>
          <w:rFonts w:ascii="Baskerville Old Face" w:hAnsi="Baskerville Old Face"/>
          <w:i/>
          <w:iCs/>
        </w:rPr>
        <w:br/>
        <w:t>• law enforcement where legally required;</w:t>
      </w:r>
      <w:r w:rsidRPr="00B479AE">
        <w:rPr>
          <w:rFonts w:ascii="Baskerville Old Face" w:hAnsi="Baskerville Old Face"/>
          <w:i/>
          <w:iCs/>
        </w:rPr>
        <w:br/>
        <w:t>• institutional partners;</w:t>
      </w:r>
      <w:r w:rsidRPr="00B479AE">
        <w:rPr>
          <w:rFonts w:ascii="Baskerville Old Face" w:hAnsi="Baskerville Old Face"/>
          <w:i/>
          <w:iCs/>
        </w:rPr>
        <w:br/>
        <w:t>• insurers or guarantors where relevant.</w:t>
      </w:r>
    </w:p>
    <w:p w14:paraId="3A7A4E6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governance does not replace law.</w:t>
      </w:r>
    </w:p>
    <w:p w14:paraId="011DF89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complements law within the ecosystem.</w:t>
      </w:r>
    </w:p>
    <w:p w14:paraId="75D79844"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legal duties exist, they must be respected.</w:t>
      </w:r>
    </w:p>
    <w:p w14:paraId="7C9F308C" w14:textId="77777777" w:rsidR="005949BB" w:rsidRPr="00B479AE" w:rsidRDefault="005949BB" w:rsidP="005949BB">
      <w:pPr>
        <w:spacing w:line="360" w:lineRule="auto"/>
        <w:rPr>
          <w:rFonts w:ascii="Baskerville Old Face" w:hAnsi="Baskerville Old Face"/>
          <w:b/>
          <w:bCs/>
          <w:i/>
          <w:iCs/>
        </w:rPr>
      </w:pPr>
      <w:r w:rsidRPr="00B479AE">
        <w:rPr>
          <w:rFonts w:ascii="Baskerville Old Face" w:hAnsi="Baskerville Old Face"/>
          <w:b/>
          <w:bCs/>
          <w:i/>
          <w:iCs/>
        </w:rPr>
        <w:t>9.16 Final Consequence Principle</w:t>
      </w:r>
    </w:p>
    <w:p w14:paraId="021668F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final principle is:</w:t>
      </w:r>
    </w:p>
    <w:p w14:paraId="30C59A2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protect life;</w:t>
      </w:r>
      <w:r w:rsidRPr="00B479AE">
        <w:rPr>
          <w:rFonts w:ascii="Baskerville Old Face" w:hAnsi="Baskerville Old Face"/>
          <w:i/>
          <w:iCs/>
        </w:rPr>
        <w:br/>
        <w:t>protect dignity;</w:t>
      </w:r>
      <w:r w:rsidRPr="00B479AE">
        <w:rPr>
          <w:rFonts w:ascii="Baskerville Old Face" w:hAnsi="Baskerville Old Face"/>
          <w:i/>
          <w:iCs/>
        </w:rPr>
        <w:br/>
        <w:t>protect evidence;</w:t>
      </w:r>
      <w:r w:rsidRPr="00B479AE">
        <w:rPr>
          <w:rFonts w:ascii="Baskerville Old Face" w:hAnsi="Baskerville Old Face"/>
          <w:i/>
          <w:iCs/>
        </w:rPr>
        <w:br/>
        <w:t>protect trust;</w:t>
      </w:r>
      <w:r w:rsidRPr="00B479AE">
        <w:rPr>
          <w:rFonts w:ascii="Baskerville Old Face" w:hAnsi="Baskerville Old Face"/>
          <w:i/>
          <w:iCs/>
        </w:rPr>
        <w:br/>
        <w:t>protect the source layer;</w:t>
      </w:r>
      <w:r w:rsidRPr="00B479AE">
        <w:rPr>
          <w:rFonts w:ascii="Baskerville Old Face" w:hAnsi="Baskerville Old Face"/>
          <w:i/>
          <w:iCs/>
        </w:rPr>
        <w:br/>
        <w:t>repair where possible;</w:t>
      </w:r>
      <w:r w:rsidRPr="00B479AE">
        <w:rPr>
          <w:rFonts w:ascii="Baskerville Old Face" w:hAnsi="Baskerville Old Face"/>
          <w:i/>
          <w:iCs/>
        </w:rPr>
        <w:br/>
        <w:t>restrict where necessary;</w:t>
      </w:r>
      <w:r w:rsidRPr="00B479AE">
        <w:rPr>
          <w:rFonts w:ascii="Baskerville Old Face" w:hAnsi="Baskerville Old Face"/>
          <w:i/>
          <w:iCs/>
        </w:rPr>
        <w:br/>
        <w:t>exclude where unavoidable;</w:t>
      </w:r>
      <w:r w:rsidRPr="00B479AE">
        <w:rPr>
          <w:rFonts w:ascii="Baskerville Old Face" w:hAnsi="Baskerville Old Face"/>
          <w:i/>
          <w:iCs/>
        </w:rPr>
        <w:br/>
        <w:t>escalate where legally required.</w:t>
      </w:r>
    </w:p>
    <w:p w14:paraId="27B8B75F"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does not treat consequence as vengeance.</w:t>
      </w:r>
    </w:p>
    <w:p w14:paraId="745F8E2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lastRenderedPageBreak/>
        <w:t>It treats consequence as immune intelligence.</w:t>
      </w:r>
    </w:p>
    <w:p w14:paraId="10DC60E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living system protects itself by recognizing disturbance, isolating harm, repairing tissue, learning from injury, and restoring circulation.</w:t>
      </w:r>
    </w:p>
    <w:p w14:paraId="717F5550"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Prometheus must do the same.</w:t>
      </w:r>
    </w:p>
    <w:p w14:paraId="3CF8C983"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A Covenant violation is therefore not only a breach of rule.</w:t>
      </w:r>
    </w:p>
    <w:p w14:paraId="2F576C5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It is a signal about system coherence.</w:t>
      </w:r>
    </w:p>
    <w:p w14:paraId="47E4704B"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correct response is not automatic punishment.</w:t>
      </w:r>
    </w:p>
    <w:p w14:paraId="21B4BE8C"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correct response is proportionate restoration of integrity.</w:t>
      </w:r>
    </w:p>
    <w:p w14:paraId="2DFEB76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repair is possible, repair.</w:t>
      </w:r>
    </w:p>
    <w:p w14:paraId="1FCEF39D"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limitation is necessary, limit.</w:t>
      </w:r>
    </w:p>
    <w:p w14:paraId="616497EA"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exclusion is required, exclude.</w:t>
      </w:r>
    </w:p>
    <w:p w14:paraId="6B24C997"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law must act, escalate.</w:t>
      </w:r>
    </w:p>
    <w:p w14:paraId="7D56A109"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Where the constitution is threatened, protect the source.</w:t>
      </w:r>
    </w:p>
    <w:p w14:paraId="7F6CC7C8"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Access Covenant opens the door.</w:t>
      </w:r>
    </w:p>
    <w:p w14:paraId="0B394B0E" w14:textId="77777777" w:rsidR="005949BB" w:rsidRPr="00B479AE" w:rsidRDefault="005949BB" w:rsidP="005949BB">
      <w:pPr>
        <w:spacing w:line="360" w:lineRule="auto"/>
        <w:rPr>
          <w:rFonts w:ascii="Baskerville Old Face" w:hAnsi="Baskerville Old Face"/>
          <w:i/>
          <w:iCs/>
        </w:rPr>
      </w:pPr>
      <w:r w:rsidRPr="00B479AE">
        <w:rPr>
          <w:rFonts w:ascii="Baskerville Old Face" w:hAnsi="Baskerville Old Face"/>
          <w:i/>
          <w:iCs/>
        </w:rPr>
        <w:t>The consequence architecture keeps the house from burning down after the party starts.</w:t>
      </w:r>
    </w:p>
    <w:p w14:paraId="0F0EA8E6"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 Constitutional Interpretation and Source-Layer Review</w:t>
      </w:r>
    </w:p>
    <w:p w14:paraId="40724B6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requires a constitutional interpretation process capable of resolving ambiguity without centralizing sovereignty.</w:t>
      </w:r>
    </w:p>
    <w:p w14:paraId="7BC2C18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living constitutional system must be able to interpret its own principles, apply them to new cases, respond to conflict, and clarify boundaries over time.</w:t>
      </w:r>
    </w:p>
    <w:p w14:paraId="7987F49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However, interpretation must not become domination.</w:t>
      </w:r>
    </w:p>
    <w:p w14:paraId="6FC04CC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circle, founder, token majority, investor, AI model, protocol steward, technical operator, oracle, or institutional actor may become the final sovereign over the Prometheus constitution.</w:t>
      </w:r>
    </w:p>
    <w:p w14:paraId="3F4F5AF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The constitution remains the authority.</w:t>
      </w:r>
    </w:p>
    <w:p w14:paraId="6261B7B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Evidence remains the discipline.</w:t>
      </w:r>
    </w:p>
    <w:p w14:paraId="59D2606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Governance remains the pathway.</w:t>
      </w:r>
    </w:p>
    <w:p w14:paraId="76C8C5E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Living-system reality remains the ground.</w:t>
      </w:r>
    </w:p>
    <w:p w14:paraId="0F5D062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Constitutional interpretation therefore exists to clarify meaning, not to create arbitrary power.</w:t>
      </w:r>
    </w:p>
    <w:p w14:paraId="7EC130A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exists to preserve fidelity, not to manufacture exceptions.</w:t>
      </w:r>
    </w:p>
    <w:p w14:paraId="54752D0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exists to protect the source layer, not to convert governance into supremacy.</w:t>
      </w:r>
    </w:p>
    <w:p w14:paraId="5B16D0E8"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10.1 Purpose of Constitutional Interpretation</w:t>
      </w:r>
    </w:p>
    <w:p w14:paraId="155936A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Constitutional interpretation is required when a proposal, action, claim, governance process, technical implementation, financial structure, token mechanism, AI output, MRV pathway, community process, or institutional relationship raises a question about constitutional meaning.</w:t>
      </w:r>
    </w:p>
    <w:p w14:paraId="1A92DE3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Such questions may include:</w:t>
      </w:r>
    </w:p>
    <w:p w14:paraId="0F62CDC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whether an action is compatible with the foundational articles;</w:t>
      </w:r>
      <w:r w:rsidRPr="00B479AE">
        <w:rPr>
          <w:rFonts w:ascii="Baskerville Old Face" w:hAnsi="Baskerville Old Face"/>
          <w:i/>
          <w:iCs/>
        </w:rPr>
        <w:br/>
        <w:t>• whether an action violates the Eternity Clauses;</w:t>
      </w:r>
      <w:r w:rsidRPr="00B479AE">
        <w:rPr>
          <w:rFonts w:ascii="Baskerville Old Face" w:hAnsi="Baskerville Old Face"/>
          <w:i/>
          <w:iCs/>
        </w:rPr>
        <w:br/>
        <w:t>• whether a proposal belongs to ordinary governance or constitutional amendment;</w:t>
      </w:r>
      <w:r w:rsidRPr="00B479AE">
        <w:rPr>
          <w:rFonts w:ascii="Baskerville Old Face" w:hAnsi="Baskerville Old Face"/>
          <w:i/>
          <w:iCs/>
        </w:rPr>
        <w:br/>
        <w:t>• whether a claim is evidence-backed or merely narrative;</w:t>
      </w:r>
      <w:r w:rsidRPr="00B479AE">
        <w:rPr>
          <w:rFonts w:ascii="Baskerville Old Face" w:hAnsi="Baskerville Old Face"/>
          <w:i/>
          <w:iCs/>
        </w:rPr>
        <w:br/>
        <w:t>• whether a token mechanism creates category confusion;</w:t>
      </w:r>
      <w:r w:rsidRPr="00B479AE">
        <w:rPr>
          <w:rFonts w:ascii="Baskerville Old Face" w:hAnsi="Baskerville Old Face"/>
          <w:i/>
          <w:iCs/>
        </w:rPr>
        <w:br/>
        <w:t>• whether a PRU, RAP, MRV, HSI, TRBK, or governance term is being used consistently with canonical definitions;</w:t>
      </w:r>
      <w:r w:rsidRPr="00B479AE">
        <w:rPr>
          <w:rFonts w:ascii="Baskerville Old Face" w:hAnsi="Baskerville Old Face"/>
          <w:i/>
          <w:iCs/>
        </w:rPr>
        <w:br/>
        <w:t>• whether a technical system bypasses source-layer constraints;</w:t>
      </w:r>
      <w:r w:rsidRPr="00B479AE">
        <w:rPr>
          <w:rFonts w:ascii="Baskerville Old Face" w:hAnsi="Baskerville Old Face"/>
          <w:i/>
          <w:iCs/>
        </w:rPr>
        <w:br/>
        <w:t>• whether an AI-generated recommendation exceeds its valid authority;</w:t>
      </w:r>
      <w:r w:rsidRPr="00B479AE">
        <w:rPr>
          <w:rFonts w:ascii="Baskerville Old Face" w:hAnsi="Baskerville Old Face"/>
          <w:i/>
          <w:iCs/>
        </w:rPr>
        <w:br/>
        <w:t>• whether a community collaboration remains within sovereign alignment;</w:t>
      </w:r>
      <w:r w:rsidRPr="00B479AE">
        <w:rPr>
          <w:rFonts w:ascii="Baskerville Old Face" w:hAnsi="Baskerville Old Face"/>
          <w:i/>
          <w:iCs/>
        </w:rPr>
        <w:br/>
        <w:t>• whether a financial structure creates extraction under regenerative language;</w:t>
      </w:r>
      <w:r w:rsidRPr="00B479AE">
        <w:rPr>
          <w:rFonts w:ascii="Baskerville Old Face" w:hAnsi="Baskerville Old Face"/>
          <w:i/>
          <w:iCs/>
        </w:rPr>
        <w:br/>
        <w:t>• whether emergency action is justified and proportionate;</w:t>
      </w:r>
      <w:r w:rsidRPr="00B479AE">
        <w:rPr>
          <w:rFonts w:ascii="Baskerville Old Face" w:hAnsi="Baskerville Old Face"/>
          <w:i/>
          <w:iCs/>
        </w:rPr>
        <w:br/>
        <w:t>• whether a participant’s conduct requires consequence, remediation, or constitutional review.</w:t>
      </w:r>
    </w:p>
    <w:p w14:paraId="5C7C115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Interpretation should therefore be understood as a review function.</w:t>
      </w:r>
    </w:p>
    <w:p w14:paraId="1EB1571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replace ordinary governance.</w:t>
      </w:r>
    </w:p>
    <w:p w14:paraId="1466370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It does not replace legal review.</w:t>
      </w:r>
    </w:p>
    <w:p w14:paraId="305A4AE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replace MRV.</w:t>
      </w:r>
    </w:p>
    <w:p w14:paraId="12F7883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replace scientific evidence.</w:t>
      </w:r>
    </w:p>
    <w:p w14:paraId="3D3042E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replace community consent where consent is required.</w:t>
      </w:r>
    </w:p>
    <w:p w14:paraId="7F82500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determines whether a pathway remains constitutionally admissible.</w:t>
      </w:r>
    </w:p>
    <w:p w14:paraId="67219113"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10.2 Interpretive Authority as Distributed Review</w:t>
      </w:r>
    </w:p>
    <w:p w14:paraId="0DC7642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should not vest ultimate interpretive authority in a single circle.</w:t>
      </w:r>
    </w:p>
    <w:p w14:paraId="355A661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constitutional question may require input from different bodies depending on the matter.</w:t>
      </w:r>
    </w:p>
    <w:p w14:paraId="680A669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Relevant review bodies may include:</w:t>
      </w:r>
    </w:p>
    <w:p w14:paraId="720F064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Stewardship Circles;</w:t>
      </w:r>
      <w:r w:rsidRPr="00B479AE">
        <w:rPr>
          <w:rFonts w:ascii="Baskerville Old Face" w:hAnsi="Baskerville Old Face"/>
          <w:i/>
          <w:iCs/>
        </w:rPr>
        <w:br/>
        <w:t>• protocol stewards;</w:t>
      </w:r>
      <w:r w:rsidRPr="00B479AE">
        <w:rPr>
          <w:rFonts w:ascii="Baskerville Old Face" w:hAnsi="Baskerville Old Face"/>
          <w:i/>
          <w:iCs/>
        </w:rPr>
        <w:br/>
        <w:t>• constitutional review circles;</w:t>
      </w:r>
      <w:r w:rsidRPr="00B479AE">
        <w:rPr>
          <w:rFonts w:ascii="Baskerville Old Face" w:hAnsi="Baskerville Old Face"/>
          <w:i/>
          <w:iCs/>
        </w:rPr>
        <w:br/>
        <w:t>• MRV reviewers;</w:t>
      </w:r>
      <w:r w:rsidRPr="00B479AE">
        <w:rPr>
          <w:rFonts w:ascii="Baskerville Old Face" w:hAnsi="Baskerville Old Face"/>
          <w:i/>
          <w:iCs/>
        </w:rPr>
        <w:br/>
        <w:t>• legal reviewers;</w:t>
      </w:r>
      <w:r w:rsidRPr="00B479AE">
        <w:rPr>
          <w:rFonts w:ascii="Baskerville Old Face" w:hAnsi="Baskerville Old Face"/>
          <w:i/>
          <w:iCs/>
        </w:rPr>
        <w:br/>
        <w:t>• technical reviewers;</w:t>
      </w:r>
      <w:r w:rsidRPr="00B479AE">
        <w:rPr>
          <w:rFonts w:ascii="Baskerville Old Face" w:hAnsi="Baskerville Old Face"/>
          <w:i/>
          <w:iCs/>
        </w:rPr>
        <w:br/>
        <w:t>• governance facilitators;</w:t>
      </w:r>
      <w:r w:rsidRPr="00B479AE">
        <w:rPr>
          <w:rFonts w:ascii="Baskerville Old Face" w:hAnsi="Baskerville Old Face"/>
          <w:i/>
          <w:iCs/>
        </w:rPr>
        <w:br/>
        <w:t>• community-interface representatives;</w:t>
      </w:r>
      <w:r w:rsidRPr="00B479AE">
        <w:rPr>
          <w:rFonts w:ascii="Baskerville Old Face" w:hAnsi="Baskerville Old Face"/>
          <w:i/>
          <w:iCs/>
        </w:rPr>
        <w:br/>
        <w:t>• affected-party reviewers;</w:t>
      </w:r>
      <w:r w:rsidRPr="00B479AE">
        <w:rPr>
          <w:rFonts w:ascii="Baskerville Old Face" w:hAnsi="Baskerville Old Face"/>
          <w:i/>
          <w:iCs/>
        </w:rPr>
        <w:br/>
        <w:t>• scientific or ecological advisors;</w:t>
      </w:r>
      <w:r w:rsidRPr="00B479AE">
        <w:rPr>
          <w:rFonts w:ascii="Baskerville Old Face" w:hAnsi="Baskerville Old Face"/>
          <w:i/>
          <w:iCs/>
        </w:rPr>
        <w:br/>
        <w:t>• capital-market or compliance reviewers where relevant.</w:t>
      </w:r>
    </w:p>
    <w:p w14:paraId="45708D9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This is distributed review, not fragmented authority.</w:t>
      </w:r>
    </w:p>
    <w:p w14:paraId="09F48B8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Each body contributes from its domain of competence.</w:t>
      </w:r>
    </w:p>
    <w:p w14:paraId="0599CAA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role of the constitutional review pathway is to integrate these perspectives under the source-layer hierarchy.</w:t>
      </w:r>
    </w:p>
    <w:p w14:paraId="4045E165" w14:textId="0D8C00D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single reviewer owns the constitution.</w:t>
      </w:r>
      <w:r w:rsidR="001759CF" w:rsidRPr="00B479AE">
        <w:rPr>
          <w:rFonts w:ascii="Baskerville Old Face" w:hAnsi="Baskerville Old Face"/>
          <w:i/>
          <w:iCs/>
        </w:rPr>
        <w:t xml:space="preserve"> </w:t>
      </w:r>
      <w:r w:rsidRPr="00B479AE">
        <w:rPr>
          <w:rFonts w:ascii="Baskerville Old Face" w:hAnsi="Baskerville Old Face"/>
          <w:i/>
          <w:iCs/>
        </w:rPr>
        <w:t>No single circle becomes the constitution.</w:t>
      </w:r>
    </w:p>
    <w:p w14:paraId="53E4B33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technical system becomes the constitution.</w:t>
      </w:r>
    </w:p>
    <w:p w14:paraId="07BCF2F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No founder intent becomes the constitution.</w:t>
      </w:r>
    </w:p>
    <w:p w14:paraId="76C0E1D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constitution is interpreted through documented, reviewable, multi-domain reasoning constrained by the foundational articles, Eternity Clauses, Access Covenant, evidence-before-value discipline, and living-system reality.</w:t>
      </w:r>
    </w:p>
    <w:p w14:paraId="2CEED3BC"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10.3 Source-Layer Hierarchy</w:t>
      </w:r>
    </w:p>
    <w:p w14:paraId="613DA3C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When constitutional interpretation is required, the hierarchy of authority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3"/>
        <w:gridCol w:w="6655"/>
      </w:tblGrid>
      <w:tr w:rsidR="00B9396D" w:rsidRPr="00B479AE" w14:paraId="273ACBF1" w14:textId="77777777" w:rsidTr="00B9396D">
        <w:trPr>
          <w:tblHeader/>
          <w:tblCellSpacing w:w="15" w:type="dxa"/>
        </w:trPr>
        <w:tc>
          <w:tcPr>
            <w:tcW w:w="0" w:type="auto"/>
            <w:vAlign w:val="center"/>
            <w:hideMark/>
          </w:tcPr>
          <w:p w14:paraId="14C0998E" w14:textId="77777777" w:rsidR="00B9396D" w:rsidRPr="00B479AE" w:rsidRDefault="00B9396D" w:rsidP="00B9396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Layer</w:t>
            </w:r>
          </w:p>
        </w:tc>
        <w:tc>
          <w:tcPr>
            <w:tcW w:w="0" w:type="auto"/>
            <w:vAlign w:val="center"/>
            <w:hideMark/>
          </w:tcPr>
          <w:p w14:paraId="3BCFA006" w14:textId="77777777" w:rsidR="00B9396D" w:rsidRPr="00B479AE" w:rsidRDefault="00B9396D" w:rsidP="00B9396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Interpretive function</w:t>
            </w:r>
          </w:p>
        </w:tc>
      </w:tr>
      <w:tr w:rsidR="00B9396D" w:rsidRPr="00B479AE" w14:paraId="05928D5C" w14:textId="77777777" w:rsidTr="00B9396D">
        <w:trPr>
          <w:tblCellSpacing w:w="15" w:type="dxa"/>
        </w:trPr>
        <w:tc>
          <w:tcPr>
            <w:tcW w:w="0" w:type="auto"/>
            <w:vAlign w:val="center"/>
            <w:hideMark/>
          </w:tcPr>
          <w:p w14:paraId="15AE9427"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Living-system reality</w:t>
            </w:r>
          </w:p>
        </w:tc>
        <w:tc>
          <w:tcPr>
            <w:tcW w:w="0" w:type="auto"/>
            <w:vAlign w:val="center"/>
            <w:hideMark/>
          </w:tcPr>
          <w:p w14:paraId="6576471A"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ecological, biological, relational, and physical substrate that governance must respect.</w:t>
            </w:r>
          </w:p>
        </w:tc>
      </w:tr>
      <w:tr w:rsidR="00B9396D" w:rsidRPr="00B479AE" w14:paraId="5B76CF57" w14:textId="77777777" w:rsidTr="00B9396D">
        <w:trPr>
          <w:tblCellSpacing w:w="15" w:type="dxa"/>
        </w:trPr>
        <w:tc>
          <w:tcPr>
            <w:tcW w:w="0" w:type="auto"/>
            <w:vAlign w:val="center"/>
            <w:hideMark/>
          </w:tcPr>
          <w:p w14:paraId="6245BEE3"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Eternity Clauses</w:t>
            </w:r>
          </w:p>
        </w:tc>
        <w:tc>
          <w:tcPr>
            <w:tcW w:w="0" w:type="auto"/>
            <w:vAlign w:val="center"/>
            <w:hideMark/>
          </w:tcPr>
          <w:p w14:paraId="28B8FAB6"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Unamendable constraints protecting life, dignity, evidence, ecological integrity, and regenerative fidelity.</w:t>
            </w:r>
          </w:p>
        </w:tc>
      </w:tr>
      <w:tr w:rsidR="00B9396D" w:rsidRPr="00B479AE" w14:paraId="01BD9FC9" w14:textId="77777777" w:rsidTr="00B9396D">
        <w:trPr>
          <w:tblCellSpacing w:w="15" w:type="dxa"/>
        </w:trPr>
        <w:tc>
          <w:tcPr>
            <w:tcW w:w="0" w:type="auto"/>
            <w:vAlign w:val="center"/>
            <w:hideMark/>
          </w:tcPr>
          <w:p w14:paraId="77FD116C"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Foundational articles</w:t>
            </w:r>
          </w:p>
        </w:tc>
        <w:tc>
          <w:tcPr>
            <w:tcW w:w="0" w:type="auto"/>
            <w:vAlign w:val="center"/>
            <w:hideMark/>
          </w:tcPr>
          <w:p w14:paraId="42924DC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structure defining Prometheus identity and governance boundaries.</w:t>
            </w:r>
          </w:p>
        </w:tc>
      </w:tr>
      <w:tr w:rsidR="00B9396D" w:rsidRPr="00B479AE" w14:paraId="132A5905" w14:textId="77777777" w:rsidTr="00B9396D">
        <w:trPr>
          <w:tblCellSpacing w:w="15" w:type="dxa"/>
        </w:trPr>
        <w:tc>
          <w:tcPr>
            <w:tcW w:w="0" w:type="auto"/>
            <w:vAlign w:val="center"/>
            <w:hideMark/>
          </w:tcPr>
          <w:p w14:paraId="62A79E1C"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Access Covenant</w:t>
            </w:r>
          </w:p>
        </w:tc>
        <w:tc>
          <w:tcPr>
            <w:tcW w:w="0" w:type="auto"/>
            <w:vAlign w:val="center"/>
            <w:hideMark/>
          </w:tcPr>
          <w:p w14:paraId="53698BF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Entry and participation condition for all Prometheus-facing actors.</w:t>
            </w:r>
          </w:p>
        </w:tc>
      </w:tr>
      <w:tr w:rsidR="00B9396D" w:rsidRPr="00B479AE" w14:paraId="1A10DC12" w14:textId="77777777" w:rsidTr="00B9396D">
        <w:trPr>
          <w:tblCellSpacing w:w="15" w:type="dxa"/>
        </w:trPr>
        <w:tc>
          <w:tcPr>
            <w:tcW w:w="0" w:type="auto"/>
            <w:vAlign w:val="center"/>
            <w:hideMark/>
          </w:tcPr>
          <w:p w14:paraId="5AA5DEB2"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Canonical definitions</w:t>
            </w:r>
          </w:p>
        </w:tc>
        <w:tc>
          <w:tcPr>
            <w:tcW w:w="0" w:type="auto"/>
            <w:vAlign w:val="center"/>
            <w:hideMark/>
          </w:tcPr>
          <w:p w14:paraId="285D304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Meaning of PRU, RAP, MRV, HSI, TRBK, OHE, tokenization, governance, and related terms.</w:t>
            </w:r>
          </w:p>
        </w:tc>
      </w:tr>
      <w:tr w:rsidR="00B9396D" w:rsidRPr="00B479AE" w14:paraId="45579B77" w14:textId="77777777" w:rsidTr="00B9396D">
        <w:trPr>
          <w:tblCellSpacing w:w="15" w:type="dxa"/>
        </w:trPr>
        <w:tc>
          <w:tcPr>
            <w:tcW w:w="0" w:type="auto"/>
            <w:vAlign w:val="center"/>
            <w:hideMark/>
          </w:tcPr>
          <w:p w14:paraId="13D769B2"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Approved methodologies</w:t>
            </w:r>
          </w:p>
        </w:tc>
        <w:tc>
          <w:tcPr>
            <w:tcW w:w="0" w:type="auto"/>
            <w:vAlign w:val="center"/>
            <w:hideMark/>
          </w:tcPr>
          <w:p w14:paraId="49FE8C42"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Versioned technical, MRV, financial, governance, and operational methods.</w:t>
            </w:r>
          </w:p>
        </w:tc>
      </w:tr>
      <w:tr w:rsidR="00B9396D" w:rsidRPr="00B479AE" w14:paraId="7CE06924" w14:textId="77777777" w:rsidTr="00B9396D">
        <w:trPr>
          <w:tblCellSpacing w:w="15" w:type="dxa"/>
        </w:trPr>
        <w:tc>
          <w:tcPr>
            <w:tcW w:w="0" w:type="auto"/>
            <w:vAlign w:val="center"/>
            <w:hideMark/>
          </w:tcPr>
          <w:p w14:paraId="4CF3F5C1"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Ordinary governance decisions</w:t>
            </w:r>
          </w:p>
        </w:tc>
        <w:tc>
          <w:tcPr>
            <w:tcW w:w="0" w:type="auto"/>
            <w:vAlign w:val="center"/>
            <w:hideMark/>
          </w:tcPr>
          <w:p w14:paraId="4627B891"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Valid only within the above boundaries.</w:t>
            </w:r>
          </w:p>
        </w:tc>
      </w:tr>
      <w:tr w:rsidR="00B9396D" w:rsidRPr="00B479AE" w14:paraId="27BB40ED" w14:textId="77777777" w:rsidTr="00B9396D">
        <w:trPr>
          <w:tblCellSpacing w:w="15" w:type="dxa"/>
        </w:trPr>
        <w:tc>
          <w:tcPr>
            <w:tcW w:w="0" w:type="auto"/>
            <w:vAlign w:val="center"/>
            <w:hideMark/>
          </w:tcPr>
          <w:p w14:paraId="482E7B72"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implementation</w:t>
            </w:r>
          </w:p>
        </w:tc>
        <w:tc>
          <w:tcPr>
            <w:tcW w:w="0" w:type="auto"/>
            <w:vAlign w:val="center"/>
            <w:hideMark/>
          </w:tcPr>
          <w:p w14:paraId="3A429783"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Valid only when aligned with constitutional meaning and approved methodology.</w:t>
            </w:r>
          </w:p>
        </w:tc>
      </w:tr>
      <w:tr w:rsidR="00B9396D" w:rsidRPr="00B479AE" w14:paraId="2A77F18E" w14:textId="77777777" w:rsidTr="00B9396D">
        <w:trPr>
          <w:tblCellSpacing w:w="15" w:type="dxa"/>
        </w:trPr>
        <w:tc>
          <w:tcPr>
            <w:tcW w:w="0" w:type="auto"/>
            <w:vAlign w:val="center"/>
            <w:hideMark/>
          </w:tcPr>
          <w:p w14:paraId="55B690C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outputs</w:t>
            </w:r>
          </w:p>
        </w:tc>
        <w:tc>
          <w:tcPr>
            <w:tcW w:w="0" w:type="auto"/>
            <w:vAlign w:val="center"/>
            <w:hideMark/>
          </w:tcPr>
          <w:p w14:paraId="57DBE89F"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Assistive only; never independently authoritative.</w:t>
            </w:r>
          </w:p>
        </w:tc>
      </w:tr>
      <w:tr w:rsidR="00B9396D" w:rsidRPr="00B479AE" w14:paraId="563A6CA8" w14:textId="77777777" w:rsidTr="00B9396D">
        <w:trPr>
          <w:tblCellSpacing w:w="15" w:type="dxa"/>
        </w:trPr>
        <w:tc>
          <w:tcPr>
            <w:tcW w:w="0" w:type="auto"/>
            <w:vAlign w:val="center"/>
            <w:hideMark/>
          </w:tcPr>
          <w:p w14:paraId="567AAD9A"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Market, investor, or operational pressure</w:t>
            </w:r>
          </w:p>
        </w:tc>
        <w:tc>
          <w:tcPr>
            <w:tcW w:w="0" w:type="auto"/>
            <w:vAlign w:val="center"/>
            <w:hideMark/>
          </w:tcPr>
          <w:p w14:paraId="3B62BEB1"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Relevant context, never constitutional authority.</w:t>
            </w:r>
          </w:p>
        </w:tc>
      </w:tr>
    </w:tbl>
    <w:p w14:paraId="1A67598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This hierarchy prevents category inversion.</w:t>
      </w:r>
    </w:p>
    <w:p w14:paraId="09E14FA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token vote cannot override the Access Covenant.</w:t>
      </w:r>
    </w:p>
    <w:p w14:paraId="23B89BF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An investor term sheet cannot override MRV.</w:t>
      </w:r>
    </w:p>
    <w:p w14:paraId="7C435F3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model output cannot override governance.</w:t>
      </w:r>
    </w:p>
    <w:p w14:paraId="3FA7B13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dashboard cannot override methodology.</w:t>
      </w:r>
    </w:p>
    <w:p w14:paraId="1F458F4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methodology cannot override the Eternity Clauses.</w:t>
      </w:r>
    </w:p>
    <w:p w14:paraId="4A964E8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founder preference cannot override living-system reality.</w:t>
      </w:r>
    </w:p>
    <w:p w14:paraId="034FE35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remains coherent only while this hierarchy remains intact.</w:t>
      </w:r>
    </w:p>
    <w:p w14:paraId="63FF7282"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10.4 Interpretive Principles</w:t>
      </w:r>
    </w:p>
    <w:p w14:paraId="59D8BF1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Constitutional interpretation should follow defined principles.</w:t>
      </w:r>
    </w:p>
    <w:p w14:paraId="6B26C0D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Life-preserving interpretation</w:t>
      </w:r>
    </w:p>
    <w:p w14:paraId="48C11E39" w14:textId="4A4E605B"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xml:space="preserve">Where multiple interpretations are possible, the interpretation that best preserves life, dignity, ecological integrity, and regenerative capacity should be preferred. </w:t>
      </w:r>
    </w:p>
    <w:p w14:paraId="33B13F0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Evidence-before-value interpretation</w:t>
      </w:r>
    </w:p>
    <w:p w14:paraId="31CB027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interpretation may allow unverified narrative, projected impact, cultural meaning, spiritual testimony, AI inference, or financial expectation to become PRU value, RAP inclusion, investor-facing claim, or ecological performance without evidence and admissibility.</w:t>
      </w:r>
    </w:p>
    <w:p w14:paraId="5429BDA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Function-separation interpretation</w:t>
      </w:r>
    </w:p>
    <w:p w14:paraId="605CD11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xml:space="preserve">PRU, RAP, MRV, TRBK, HSI, </w:t>
      </w:r>
      <w:proofErr w:type="spellStart"/>
      <w:r w:rsidRPr="00B479AE">
        <w:rPr>
          <w:rFonts w:ascii="Baskerville Old Face" w:hAnsi="Baskerville Old Face"/>
          <w:i/>
          <w:iCs/>
        </w:rPr>
        <w:t>HoloFuel</w:t>
      </w:r>
      <w:proofErr w:type="spellEnd"/>
      <w:r w:rsidRPr="00B479AE">
        <w:rPr>
          <w:rFonts w:ascii="Baskerville Old Face" w:hAnsi="Baskerville Old Face"/>
          <w:i/>
          <w:iCs/>
        </w:rPr>
        <w:t>, stablecoin rails, governance rights, land rights, cash-flow rights, investor exposure, and future tokenized representations must remain functionally distinct unless a formal legal and governance framework explicitly connects them.</w:t>
      </w:r>
    </w:p>
    <w:p w14:paraId="26564CE1" w14:textId="77777777" w:rsidR="001759CF" w:rsidRPr="00B479AE" w:rsidRDefault="001759CF" w:rsidP="00B9396D">
      <w:pPr>
        <w:spacing w:line="360" w:lineRule="auto"/>
        <w:rPr>
          <w:rFonts w:ascii="Baskerville Old Face" w:hAnsi="Baskerville Old Face"/>
          <w:b/>
          <w:bCs/>
          <w:i/>
          <w:iCs/>
        </w:rPr>
      </w:pPr>
    </w:p>
    <w:p w14:paraId="635B3305" w14:textId="77777777" w:rsidR="001759CF" w:rsidRPr="00B479AE" w:rsidRDefault="001759CF" w:rsidP="00B9396D">
      <w:pPr>
        <w:spacing w:line="360" w:lineRule="auto"/>
        <w:rPr>
          <w:rFonts w:ascii="Baskerville Old Face" w:hAnsi="Baskerville Old Face"/>
          <w:b/>
          <w:bCs/>
          <w:i/>
          <w:iCs/>
        </w:rPr>
      </w:pPr>
    </w:p>
    <w:p w14:paraId="63CEF02B" w14:textId="57D00BA2"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lastRenderedPageBreak/>
        <w:t>Least-capture interpretation</w:t>
      </w:r>
    </w:p>
    <w:p w14:paraId="14E0890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a decision could create capture by founders, capital, tokens, technical operators, AI systems, institutions, or community elites, the interpretation that preserves distributed accountability and reviewability should be preferred.</w:t>
      </w:r>
    </w:p>
    <w:p w14:paraId="04F5782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Pilot-first interpretation</w:t>
      </w:r>
    </w:p>
    <w:p w14:paraId="580E78B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evidence is immature, the system should prefer bounded pilots, sandbox status, manual review, disclosure, and staged progression rather than immediate institutional claims.</w:t>
      </w:r>
    </w:p>
    <w:p w14:paraId="3E3A899B" w14:textId="62DFB686"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Local-context interpretation</w:t>
      </w:r>
    </w:p>
    <w:p w14:paraId="66BDD9D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Regenerative systems are contextual. Interpretation should respect place, community, ecology, culture, and operational reality while preserving constitutional boundaries.</w:t>
      </w:r>
    </w:p>
    <w:p w14:paraId="1C5A375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Future-generation interpretation</w:t>
      </w:r>
    </w:p>
    <w:p w14:paraId="4C08D2B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long-term consequences are material, future generations should be treated as present stakeholders in the interpretive process.</w:t>
      </w:r>
    </w:p>
    <w:p w14:paraId="0988FB2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b/>
          <w:bCs/>
          <w:i/>
          <w:iCs/>
        </w:rPr>
        <w:t>No-bypass interpretation</w:t>
      </w:r>
    </w:p>
    <w:p w14:paraId="6718730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interpretation may authorize a pathway that makes constitutional bypass easier, hidden, irreversible, or non-reviewable.</w:t>
      </w:r>
    </w:p>
    <w:p w14:paraId="6144DE58" w14:textId="71437B65"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10.5 Founder Intent and Founding Memory</w:t>
      </w:r>
    </w:p>
    <w:p w14:paraId="2A12CBD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Founding intent may help illuminate the origin of Prometheus.</w:t>
      </w:r>
    </w:p>
    <w:p w14:paraId="2E22798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provide context.</w:t>
      </w:r>
    </w:p>
    <w:p w14:paraId="7B9C1C8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preserve memory.</w:t>
      </w:r>
    </w:p>
    <w:p w14:paraId="2EFE8E7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explain why certain principles were articulated.</w:t>
      </w:r>
    </w:p>
    <w:p w14:paraId="76ACC3D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help future builders understand the danger that the architecture was designed to prevent.</w:t>
      </w:r>
    </w:p>
    <w:p w14:paraId="5CE23A6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However, founding intent is not supreme authority.</w:t>
      </w:r>
    </w:p>
    <w:p w14:paraId="6DE6F12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Founders do not own the constitution.</w:t>
      </w:r>
    </w:p>
    <w:p w14:paraId="4FBE7BC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Founding communities do not own the constitution.</w:t>
      </w:r>
    </w:p>
    <w:p w14:paraId="599F38A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Historical memory does not create veto power.</w:t>
      </w:r>
    </w:p>
    <w:p w14:paraId="4C4DB48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Original vision does not justify constitutional bypass.</w:t>
      </w:r>
    </w:p>
    <w:p w14:paraId="5C12EED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proper role of founding memory is custodial.</w:t>
      </w:r>
    </w:p>
    <w:p w14:paraId="5D6275F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inform interpretation where the text is ambiguous.</w:t>
      </w:r>
    </w:p>
    <w:p w14:paraId="255565B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help preserve fidelity.</w:t>
      </w:r>
    </w:p>
    <w:p w14:paraId="582C128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warn against semantic drift.</w:t>
      </w:r>
    </w:p>
    <w:p w14:paraId="2DCF478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support education and continuity.</w:t>
      </w:r>
    </w:p>
    <w:p w14:paraId="03F76C9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But where founding memory conflicts with the foundational articles, Eternity Clauses, Access Covenant, evidence-before-value discipline, or living-system reality, the constitutional source layer prevails.</w:t>
      </w:r>
    </w:p>
    <w:p w14:paraId="460CD9C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honors its origin by refusing to become captive to origin.</w:t>
      </w:r>
    </w:p>
    <w:p w14:paraId="5C6D02F5"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10.6 Ecological and Scientific Advice</w:t>
      </w:r>
    </w:p>
    <w:p w14:paraId="5D17476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Scientific, ecological, and bioregional advice may be essential in constitutional interpretation.</w:t>
      </w:r>
    </w:p>
    <w:p w14:paraId="611AD81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Questions involving soil, water, biodiversity, planetary boundaries, human health, MRV, ecological risk, land stewardship, or regenerative claims should involve appropriate expertise.</w:t>
      </w:r>
    </w:p>
    <w:p w14:paraId="5DE0C17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This may include:</w:t>
      </w:r>
    </w:p>
    <w:p w14:paraId="126C087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soil scientists;</w:t>
      </w:r>
      <w:r w:rsidRPr="00B479AE">
        <w:rPr>
          <w:rFonts w:ascii="Baskerville Old Face" w:hAnsi="Baskerville Old Face"/>
          <w:i/>
          <w:iCs/>
        </w:rPr>
        <w:br/>
        <w:t>• ecologists;</w:t>
      </w:r>
      <w:r w:rsidRPr="00B479AE">
        <w:rPr>
          <w:rFonts w:ascii="Baskerville Old Face" w:hAnsi="Baskerville Old Face"/>
          <w:i/>
          <w:iCs/>
        </w:rPr>
        <w:br/>
        <w:t>• hydrologists;</w:t>
      </w:r>
      <w:r w:rsidRPr="00B479AE">
        <w:rPr>
          <w:rFonts w:ascii="Baskerville Old Face" w:hAnsi="Baskerville Old Face"/>
          <w:i/>
          <w:iCs/>
        </w:rPr>
        <w:br/>
        <w:t>• agroecologists;</w:t>
      </w:r>
      <w:r w:rsidRPr="00B479AE">
        <w:rPr>
          <w:rFonts w:ascii="Baskerville Old Face" w:hAnsi="Baskerville Old Face"/>
          <w:i/>
          <w:iCs/>
        </w:rPr>
        <w:br/>
        <w:t>• biodiversity specialists;</w:t>
      </w:r>
      <w:r w:rsidRPr="00B479AE">
        <w:rPr>
          <w:rFonts w:ascii="Baskerville Old Face" w:hAnsi="Baskerville Old Face"/>
          <w:i/>
          <w:iCs/>
        </w:rPr>
        <w:br/>
        <w:t>• MRV experts;</w:t>
      </w:r>
      <w:r w:rsidRPr="00B479AE">
        <w:rPr>
          <w:rFonts w:ascii="Baskerville Old Face" w:hAnsi="Baskerville Old Face"/>
          <w:i/>
          <w:iCs/>
        </w:rPr>
        <w:br/>
        <w:t>• public-health researchers;</w:t>
      </w:r>
      <w:r w:rsidRPr="00B479AE">
        <w:rPr>
          <w:rFonts w:ascii="Baskerville Old Face" w:hAnsi="Baskerville Old Face"/>
          <w:i/>
          <w:iCs/>
        </w:rPr>
        <w:br/>
        <w:t>• local stewards;</w:t>
      </w:r>
      <w:r w:rsidRPr="00B479AE">
        <w:rPr>
          <w:rFonts w:ascii="Baskerville Old Face" w:hAnsi="Baskerville Old Face"/>
          <w:i/>
          <w:iCs/>
        </w:rPr>
        <w:br/>
        <w:t>• indigenous or traditional ecological knowledge holders where appropriate;</w:t>
      </w:r>
      <w:r w:rsidRPr="00B479AE">
        <w:rPr>
          <w:rFonts w:ascii="Baskerville Old Face" w:hAnsi="Baskerville Old Face"/>
          <w:i/>
          <w:iCs/>
        </w:rPr>
        <w:br/>
      </w:r>
      <w:r w:rsidRPr="00B479AE">
        <w:rPr>
          <w:rFonts w:ascii="Baskerville Old Face" w:hAnsi="Baskerville Old Face"/>
          <w:i/>
          <w:iCs/>
        </w:rPr>
        <w:lastRenderedPageBreak/>
        <w:t>• bioregional observers;</w:t>
      </w:r>
      <w:r w:rsidRPr="00B479AE">
        <w:rPr>
          <w:rFonts w:ascii="Baskerville Old Face" w:hAnsi="Baskerville Old Face"/>
          <w:i/>
          <w:iCs/>
        </w:rPr>
        <w:br/>
        <w:t>• auditors and verifiers;</w:t>
      </w:r>
      <w:r w:rsidRPr="00B479AE">
        <w:rPr>
          <w:rFonts w:ascii="Baskerville Old Face" w:hAnsi="Baskerville Old Face"/>
          <w:i/>
          <w:iCs/>
        </w:rPr>
        <w:br/>
        <w:t>• institutional reviewers.</w:t>
      </w:r>
    </w:p>
    <w:p w14:paraId="558E9E1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However, ecological advice is not oracle supremacy.</w:t>
      </w:r>
    </w:p>
    <w:p w14:paraId="5B52D94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advisor becomes an oracle.</w:t>
      </w:r>
    </w:p>
    <w:p w14:paraId="1466503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dataset becomes absolute authority.</w:t>
      </w:r>
    </w:p>
    <w:p w14:paraId="3420E6A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model becomes final truth.</w:t>
      </w:r>
    </w:p>
    <w:p w14:paraId="6D3DCB9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No scientific committee can authorize violation of the Eternity Clauses.</w:t>
      </w:r>
    </w:p>
    <w:p w14:paraId="76B7624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Ecological and scientific advice informs interpretation.</w:t>
      </w:r>
    </w:p>
    <w:p w14:paraId="7442072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replace the constitution.</w:t>
      </w:r>
    </w:p>
    <w:p w14:paraId="2419100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correct principle is:</w:t>
      </w:r>
    </w:p>
    <w:p w14:paraId="7089951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science informs the pathway;</w:t>
      </w:r>
    </w:p>
    <w:p w14:paraId="69289EE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evidence constrains the claim;</w:t>
      </w:r>
    </w:p>
    <w:p w14:paraId="56656D0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constitution governs admissibility;</w:t>
      </w:r>
    </w:p>
    <w:p w14:paraId="0C1435E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living-system reality remains the ground.</w:t>
      </w:r>
    </w:p>
    <w:p w14:paraId="54422414"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10.7 Precedent and Learning</w:t>
      </w:r>
    </w:p>
    <w:p w14:paraId="086EF19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Past decisions may guide future interpretation.</w:t>
      </w:r>
    </w:p>
    <w:p w14:paraId="23376EB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should maintain a constitutional interpretation record where material decisions are documented.</w:t>
      </w:r>
    </w:p>
    <w:p w14:paraId="209F778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This record may include:</w:t>
      </w:r>
    </w:p>
    <w:p w14:paraId="20B8C14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the question presented;</w:t>
      </w:r>
      <w:r w:rsidRPr="00B479AE">
        <w:rPr>
          <w:rFonts w:ascii="Baskerville Old Face" w:hAnsi="Baskerville Old Face"/>
          <w:i/>
          <w:iCs/>
        </w:rPr>
        <w:br/>
        <w:t>• affected provisions;</w:t>
      </w:r>
      <w:r w:rsidRPr="00B479AE">
        <w:rPr>
          <w:rFonts w:ascii="Baskerville Old Face" w:hAnsi="Baskerville Old Face"/>
          <w:i/>
          <w:iCs/>
        </w:rPr>
        <w:br/>
        <w:t>• evidence considered;</w:t>
      </w:r>
      <w:r w:rsidRPr="00B479AE">
        <w:rPr>
          <w:rFonts w:ascii="Baskerville Old Face" w:hAnsi="Baskerville Old Face"/>
          <w:i/>
          <w:iCs/>
        </w:rPr>
        <w:br/>
        <w:t>• governance bodies involved;</w:t>
      </w:r>
      <w:r w:rsidRPr="00B479AE">
        <w:rPr>
          <w:rFonts w:ascii="Baskerville Old Face" w:hAnsi="Baskerville Old Face"/>
          <w:i/>
          <w:iCs/>
        </w:rPr>
        <w:br/>
      </w:r>
      <w:r w:rsidRPr="00B479AE">
        <w:rPr>
          <w:rFonts w:ascii="Baskerville Old Face" w:hAnsi="Baskerville Old Face"/>
          <w:i/>
          <w:iCs/>
        </w:rPr>
        <w:lastRenderedPageBreak/>
        <w:t>• ecological or scientific advice received;</w:t>
      </w:r>
      <w:r w:rsidRPr="00B479AE">
        <w:rPr>
          <w:rFonts w:ascii="Baskerville Old Face" w:hAnsi="Baskerville Old Face"/>
          <w:i/>
          <w:iCs/>
        </w:rPr>
        <w:br/>
        <w:t>• legal or technical review;</w:t>
      </w:r>
      <w:r w:rsidRPr="00B479AE">
        <w:rPr>
          <w:rFonts w:ascii="Baskerville Old Face" w:hAnsi="Baskerville Old Face"/>
          <w:i/>
          <w:iCs/>
        </w:rPr>
        <w:br/>
        <w:t>• reasoning;</w:t>
      </w:r>
      <w:r w:rsidRPr="00B479AE">
        <w:rPr>
          <w:rFonts w:ascii="Baskerville Old Face" w:hAnsi="Baskerville Old Face"/>
          <w:i/>
          <w:iCs/>
        </w:rPr>
        <w:br/>
        <w:t>• decision;</w:t>
      </w:r>
      <w:r w:rsidRPr="00B479AE">
        <w:rPr>
          <w:rFonts w:ascii="Baskerville Old Face" w:hAnsi="Baskerville Old Face"/>
          <w:i/>
          <w:iCs/>
        </w:rPr>
        <w:br/>
        <w:t>• limitations;</w:t>
      </w:r>
      <w:r w:rsidRPr="00B479AE">
        <w:rPr>
          <w:rFonts w:ascii="Baskerville Old Face" w:hAnsi="Baskerville Old Face"/>
          <w:i/>
          <w:iCs/>
        </w:rPr>
        <w:br/>
        <w:t>• dissenting or minority reasoning where useful;</w:t>
      </w:r>
      <w:r w:rsidRPr="00B479AE">
        <w:rPr>
          <w:rFonts w:ascii="Baskerville Old Face" w:hAnsi="Baskerville Old Face"/>
          <w:i/>
          <w:iCs/>
        </w:rPr>
        <w:br/>
        <w:t>• review date;</w:t>
      </w:r>
      <w:r w:rsidRPr="00B479AE">
        <w:rPr>
          <w:rFonts w:ascii="Baskerville Old Face" w:hAnsi="Baskerville Old Face"/>
          <w:i/>
          <w:iCs/>
        </w:rPr>
        <w:br/>
        <w:t>• later correction or reversal if required.</w:t>
      </w:r>
    </w:p>
    <w:p w14:paraId="6ADC38E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Precedent supports consistency.</w:t>
      </w:r>
    </w:p>
    <w:p w14:paraId="1D7EF96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However, precedent is not a cage.</w:t>
      </w:r>
    </w:p>
    <w:p w14:paraId="2B32294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past decision may be refined, distinguished, corrected, or overruled when later evidence, legal analysis, governance maturity, ecological reality, or constitutional reasoning shows that correction is necessary.</w:t>
      </w:r>
    </w:p>
    <w:p w14:paraId="3E673CC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common-law method is useful only when it remains accountable to life.</w:t>
      </w:r>
    </w:p>
    <w:p w14:paraId="19925A0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should therefore treat precedent as learning memory, not fossilized authority.</w:t>
      </w:r>
    </w:p>
    <w:p w14:paraId="6F85B704"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10.8 Interpretive Procedure</w:t>
      </w:r>
    </w:p>
    <w:p w14:paraId="77CAFE1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constitutional interpretation process may follow this sequence:</w:t>
      </w:r>
    </w:p>
    <w:p w14:paraId="418309C8"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Trigger</w:t>
      </w:r>
      <w:r w:rsidRPr="00B479AE">
        <w:rPr>
          <w:rFonts w:ascii="Baskerville Old Face" w:hAnsi="Baskerville Old Face"/>
          <w:i/>
          <w:iCs/>
        </w:rPr>
        <w:br/>
        <w:t>A question, conflict, proposal, risk, ambiguity, violation, or novel case is identified.</w:t>
      </w:r>
    </w:p>
    <w:p w14:paraId="5B1B0B81"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Issue framing</w:t>
      </w:r>
      <w:r w:rsidRPr="00B479AE">
        <w:rPr>
          <w:rFonts w:ascii="Baskerville Old Face" w:hAnsi="Baskerville Old Face"/>
          <w:i/>
          <w:iCs/>
        </w:rPr>
        <w:br/>
        <w:t>The interpretive question is stated clearly.</w:t>
      </w:r>
    </w:p>
    <w:p w14:paraId="37954980"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Source-layer mapping</w:t>
      </w:r>
      <w:r w:rsidRPr="00B479AE">
        <w:rPr>
          <w:rFonts w:ascii="Baskerville Old Face" w:hAnsi="Baskerville Old Face"/>
          <w:i/>
          <w:iCs/>
        </w:rPr>
        <w:br/>
        <w:t>Relevant foundational articles, Eternity Clauses, Access Covenant provisions, canonical definitions, methodologies, and governance rules are identified.</w:t>
      </w:r>
    </w:p>
    <w:p w14:paraId="75319414"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Domain review</w:t>
      </w:r>
      <w:r w:rsidRPr="00B479AE">
        <w:rPr>
          <w:rFonts w:ascii="Baskerville Old Face" w:hAnsi="Baskerville Old Face"/>
          <w:i/>
          <w:iCs/>
        </w:rPr>
        <w:br/>
        <w:t>Appropriate ecological, MRV, legal, technical, governance, community, financial, or scientific reviewers are consulted.</w:t>
      </w:r>
    </w:p>
    <w:p w14:paraId="0A0AC8A4"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lastRenderedPageBreak/>
        <w:t>Risk classification</w:t>
      </w:r>
      <w:r w:rsidRPr="00B479AE">
        <w:rPr>
          <w:rFonts w:ascii="Baskerville Old Face" w:hAnsi="Baskerville Old Face"/>
          <w:i/>
          <w:iCs/>
        </w:rPr>
        <w:br/>
        <w:t>The risk of capture, bypass, overclaiming, legal exposure, ecological harm, financial misrepresentation, technical fragility, or governance drift is classified.</w:t>
      </w:r>
    </w:p>
    <w:p w14:paraId="5ABFFB57"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Reasoned interpretation</w:t>
      </w:r>
      <w:r w:rsidRPr="00B479AE">
        <w:rPr>
          <w:rFonts w:ascii="Baskerville Old Face" w:hAnsi="Baskerville Old Face"/>
          <w:i/>
          <w:iCs/>
        </w:rPr>
        <w:br/>
        <w:t>A written interpretation is produced, explaining the reasoning and boundaries.</w:t>
      </w:r>
    </w:p>
    <w:p w14:paraId="121A288D"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Decision status</w:t>
      </w:r>
      <w:r w:rsidRPr="00B479AE">
        <w:rPr>
          <w:rFonts w:ascii="Baskerville Old Face" w:hAnsi="Baskerville Old Face"/>
          <w:i/>
          <w:iCs/>
        </w:rPr>
        <w:br/>
        <w:t>The decision is classified as advisory, binding within a defined scope, temporary, pilot-specific, methodology-specific, constitutional, or requiring amendment.</w:t>
      </w:r>
    </w:p>
    <w:p w14:paraId="10926AF0"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Publication or restricted record</w:t>
      </w:r>
      <w:r w:rsidRPr="00B479AE">
        <w:rPr>
          <w:rFonts w:ascii="Baskerville Old Face" w:hAnsi="Baskerville Old Face"/>
          <w:i/>
          <w:iCs/>
        </w:rPr>
        <w:br/>
        <w:t>The decision is recorded publicly or internally depending on confidentiality, legal, privacy, and governance constraints.</w:t>
      </w:r>
    </w:p>
    <w:p w14:paraId="5C1D3820"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Review pathway</w:t>
      </w:r>
      <w:r w:rsidRPr="00B479AE">
        <w:rPr>
          <w:rFonts w:ascii="Baskerville Old Face" w:hAnsi="Baskerville Old Face"/>
          <w:i/>
          <w:iCs/>
        </w:rPr>
        <w:br/>
        <w:t>The decision includes a review point, appeal pathway, or correction mechanism where appropriate.</w:t>
      </w:r>
    </w:p>
    <w:p w14:paraId="67FF13A4" w14:textId="77777777" w:rsidR="00B9396D" w:rsidRPr="00B479AE" w:rsidRDefault="00B9396D">
      <w:pPr>
        <w:numPr>
          <w:ilvl w:val="0"/>
          <w:numId w:val="17"/>
        </w:numPr>
        <w:spacing w:line="360" w:lineRule="auto"/>
        <w:rPr>
          <w:rFonts w:ascii="Baskerville Old Face" w:hAnsi="Baskerville Old Face"/>
          <w:i/>
          <w:iCs/>
        </w:rPr>
      </w:pPr>
      <w:r w:rsidRPr="00B479AE">
        <w:rPr>
          <w:rFonts w:ascii="Baskerville Old Face" w:hAnsi="Baskerville Old Face"/>
          <w:b/>
          <w:bCs/>
          <w:i/>
          <w:iCs/>
        </w:rPr>
        <w:t>Implementation and auditability</w:t>
      </w:r>
      <w:r w:rsidRPr="00B479AE">
        <w:rPr>
          <w:rFonts w:ascii="Baskerville Old Face" w:hAnsi="Baskerville Old Face"/>
          <w:i/>
          <w:iCs/>
        </w:rPr>
        <w:br/>
        <w:t xml:space="preserve">Any operational implementation </w:t>
      </w:r>
      <w:proofErr w:type="gramStart"/>
      <w:r w:rsidRPr="00B479AE">
        <w:rPr>
          <w:rFonts w:ascii="Baskerville Old Face" w:hAnsi="Baskerville Old Face"/>
          <w:i/>
          <w:iCs/>
        </w:rPr>
        <w:t>is</w:t>
      </w:r>
      <w:proofErr w:type="gramEnd"/>
      <w:r w:rsidRPr="00B479AE">
        <w:rPr>
          <w:rFonts w:ascii="Baskerville Old Face" w:hAnsi="Baskerville Old Face"/>
          <w:i/>
          <w:iCs/>
        </w:rPr>
        <w:t xml:space="preserve"> linked to records, execution gates, controls, and audit trails.</w:t>
      </w:r>
    </w:p>
    <w:p w14:paraId="3FA1699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This process prevents interpretive power from becoming informal.</w:t>
      </w:r>
    </w:p>
    <w:p w14:paraId="2E5DD9F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If the constitution must be interpreted, the interpretation must itself be reviewable.</w:t>
      </w:r>
    </w:p>
    <w:p w14:paraId="5BD52312"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10.9 Interpretation Outcomes</w:t>
      </w:r>
    </w:p>
    <w:p w14:paraId="1AAF5C7B" w14:textId="25C5555F"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constitutional interpretation may produce several outcomes.</w:t>
      </w:r>
      <w:r w:rsidR="006E6B19" w:rsidRPr="00B479AE">
        <w:rPr>
          <w:rFonts w:ascii="Baskerville Old Face" w:hAnsi="Baskerville Old Face"/>
          <w:i/>
          <w:iCs/>
        </w:rPr>
        <w:t xml:space="preserve"> </w:t>
      </w:r>
    </w:p>
    <w:p w14:paraId="3A117E73" w14:textId="77777777" w:rsidR="006E6B19" w:rsidRPr="00B479AE" w:rsidRDefault="006E6B19" w:rsidP="00B9396D">
      <w:pPr>
        <w:spacing w:line="360" w:lineRule="auto"/>
        <w:rPr>
          <w:rFonts w:ascii="Baskerville Old Face" w:hAnsi="Baskerville Old Face"/>
          <w:i/>
          <w:iCs/>
        </w:rPr>
      </w:pPr>
    </w:p>
    <w:p w14:paraId="6D0F4F4E" w14:textId="77777777" w:rsidR="006E6B19" w:rsidRPr="00B479AE" w:rsidRDefault="006E6B19" w:rsidP="00B9396D">
      <w:pPr>
        <w:spacing w:line="360" w:lineRule="auto"/>
        <w:rPr>
          <w:rFonts w:ascii="Baskerville Old Face" w:hAnsi="Baskerville Old Face"/>
          <w:i/>
          <w:iCs/>
        </w:rPr>
      </w:pPr>
    </w:p>
    <w:p w14:paraId="7A3E7192" w14:textId="77777777" w:rsidR="006E6B19" w:rsidRPr="00B479AE" w:rsidRDefault="006E6B19" w:rsidP="00B9396D">
      <w:pPr>
        <w:spacing w:line="360" w:lineRule="auto"/>
        <w:rPr>
          <w:rFonts w:ascii="Baskerville Old Face" w:hAnsi="Baskerville Old Face"/>
          <w:i/>
          <w:iCs/>
        </w:rPr>
      </w:pPr>
    </w:p>
    <w:p w14:paraId="08E90346" w14:textId="77777777" w:rsidR="006E6B19" w:rsidRPr="00B479AE" w:rsidRDefault="006E6B19" w:rsidP="00B9396D">
      <w:pPr>
        <w:spacing w:line="360" w:lineRule="auto"/>
        <w:rPr>
          <w:rFonts w:ascii="Baskerville Old Face" w:hAnsi="Baskerville Old Face"/>
          <w:i/>
          <w:iCs/>
        </w:rPr>
      </w:pPr>
    </w:p>
    <w:p w14:paraId="253A143A" w14:textId="77777777" w:rsidR="006E6B19" w:rsidRPr="00B479AE" w:rsidRDefault="006E6B19" w:rsidP="00B9396D">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0"/>
        <w:gridCol w:w="6948"/>
      </w:tblGrid>
      <w:tr w:rsidR="00B9396D" w:rsidRPr="00B479AE" w14:paraId="2E0D486C" w14:textId="77777777" w:rsidTr="00B9396D">
        <w:trPr>
          <w:tblHeader/>
          <w:tblCellSpacing w:w="15" w:type="dxa"/>
        </w:trPr>
        <w:tc>
          <w:tcPr>
            <w:tcW w:w="0" w:type="auto"/>
            <w:vAlign w:val="center"/>
            <w:hideMark/>
          </w:tcPr>
          <w:p w14:paraId="547BA696" w14:textId="77777777" w:rsidR="00B9396D" w:rsidRPr="00B479AE" w:rsidRDefault="00B9396D" w:rsidP="00B9396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Outcome</w:t>
            </w:r>
          </w:p>
        </w:tc>
        <w:tc>
          <w:tcPr>
            <w:tcW w:w="0" w:type="auto"/>
            <w:vAlign w:val="center"/>
            <w:hideMark/>
          </w:tcPr>
          <w:p w14:paraId="26B2A268" w14:textId="77777777" w:rsidR="00B9396D" w:rsidRPr="00B479AE" w:rsidRDefault="00B9396D" w:rsidP="00B9396D">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B9396D" w:rsidRPr="00B479AE" w14:paraId="0B3BE077" w14:textId="77777777" w:rsidTr="00B9396D">
        <w:trPr>
          <w:tblCellSpacing w:w="15" w:type="dxa"/>
        </w:trPr>
        <w:tc>
          <w:tcPr>
            <w:tcW w:w="0" w:type="auto"/>
            <w:vAlign w:val="center"/>
            <w:hideMark/>
          </w:tcPr>
          <w:p w14:paraId="4EA02C81"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Admissible</w:t>
            </w:r>
          </w:p>
        </w:tc>
        <w:tc>
          <w:tcPr>
            <w:tcW w:w="0" w:type="auto"/>
            <w:vAlign w:val="center"/>
            <w:hideMark/>
          </w:tcPr>
          <w:p w14:paraId="71D81F76"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pathway is compatible with constitutional constraints.</w:t>
            </w:r>
          </w:p>
        </w:tc>
      </w:tr>
      <w:tr w:rsidR="00B9396D" w:rsidRPr="00B479AE" w14:paraId="393F664D" w14:textId="77777777" w:rsidTr="00B9396D">
        <w:trPr>
          <w:tblCellSpacing w:w="15" w:type="dxa"/>
        </w:trPr>
        <w:tc>
          <w:tcPr>
            <w:tcW w:w="0" w:type="auto"/>
            <w:vAlign w:val="center"/>
            <w:hideMark/>
          </w:tcPr>
          <w:p w14:paraId="131EEC9B"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Admissible with conditions</w:t>
            </w:r>
          </w:p>
        </w:tc>
        <w:tc>
          <w:tcPr>
            <w:tcW w:w="0" w:type="auto"/>
            <w:vAlign w:val="center"/>
            <w:hideMark/>
          </w:tcPr>
          <w:p w14:paraId="2467B2B4"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pathway may proceed only under defined limitations, disclosures, controls, or review.</w:t>
            </w:r>
          </w:p>
        </w:tc>
      </w:tr>
      <w:tr w:rsidR="00B9396D" w:rsidRPr="00B479AE" w14:paraId="18A9E7B5" w14:textId="77777777" w:rsidTr="00B9396D">
        <w:trPr>
          <w:tblCellSpacing w:w="15" w:type="dxa"/>
        </w:trPr>
        <w:tc>
          <w:tcPr>
            <w:tcW w:w="0" w:type="auto"/>
            <w:vAlign w:val="center"/>
            <w:hideMark/>
          </w:tcPr>
          <w:p w14:paraId="504479AE"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Pilot / sandbox only</w:t>
            </w:r>
          </w:p>
        </w:tc>
        <w:tc>
          <w:tcPr>
            <w:tcW w:w="0" w:type="auto"/>
            <w:vAlign w:val="center"/>
            <w:hideMark/>
          </w:tcPr>
          <w:p w14:paraId="6DFCDCA7"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pathway may be explored but not represented as mature, verified, or institutionally admissible.</w:t>
            </w:r>
          </w:p>
        </w:tc>
      </w:tr>
      <w:tr w:rsidR="00B9396D" w:rsidRPr="00B479AE" w14:paraId="2A2C5787" w14:textId="77777777" w:rsidTr="00B9396D">
        <w:trPr>
          <w:tblCellSpacing w:w="15" w:type="dxa"/>
        </w:trPr>
        <w:tc>
          <w:tcPr>
            <w:tcW w:w="0" w:type="auto"/>
            <w:vAlign w:val="center"/>
            <w:hideMark/>
          </w:tcPr>
          <w:p w14:paraId="492ADA1A"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Non-admissible</w:t>
            </w:r>
          </w:p>
        </w:tc>
        <w:tc>
          <w:tcPr>
            <w:tcW w:w="0" w:type="auto"/>
            <w:vAlign w:val="center"/>
            <w:hideMark/>
          </w:tcPr>
          <w:p w14:paraId="0BFDFF0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claim, output, method, participant, or pathway may not enter protected Prometheus pathways.</w:t>
            </w:r>
          </w:p>
        </w:tc>
      </w:tr>
      <w:tr w:rsidR="00B9396D" w:rsidRPr="00B479AE" w14:paraId="79549ED2" w14:textId="77777777" w:rsidTr="00B9396D">
        <w:trPr>
          <w:tblCellSpacing w:w="15" w:type="dxa"/>
        </w:trPr>
        <w:tc>
          <w:tcPr>
            <w:tcW w:w="0" w:type="auto"/>
            <w:vAlign w:val="center"/>
            <w:hideMark/>
          </w:tcPr>
          <w:p w14:paraId="0226963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Requires ordinary governance</w:t>
            </w:r>
          </w:p>
        </w:tc>
        <w:tc>
          <w:tcPr>
            <w:tcW w:w="0" w:type="auto"/>
            <w:vAlign w:val="center"/>
            <w:hideMark/>
          </w:tcPr>
          <w:p w14:paraId="1D5C4F22"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issue belongs to operational governance rather than constitutional interpretation.</w:t>
            </w:r>
          </w:p>
        </w:tc>
      </w:tr>
      <w:tr w:rsidR="00B9396D" w:rsidRPr="00B479AE" w14:paraId="6F6018C1" w14:textId="77777777" w:rsidTr="00B9396D">
        <w:trPr>
          <w:tblCellSpacing w:w="15" w:type="dxa"/>
        </w:trPr>
        <w:tc>
          <w:tcPr>
            <w:tcW w:w="0" w:type="auto"/>
            <w:vAlign w:val="center"/>
            <w:hideMark/>
          </w:tcPr>
          <w:p w14:paraId="3E5DDC78"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Requires constitutional amendment</w:t>
            </w:r>
          </w:p>
        </w:tc>
        <w:tc>
          <w:tcPr>
            <w:tcW w:w="0" w:type="auto"/>
            <w:vAlign w:val="center"/>
            <w:hideMark/>
          </w:tcPr>
          <w:p w14:paraId="31DFBCF0"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issue materially affects constitutional architecture and must follow the amendment pathway.</w:t>
            </w:r>
          </w:p>
        </w:tc>
      </w:tr>
      <w:tr w:rsidR="00B9396D" w:rsidRPr="00B479AE" w14:paraId="1E85490D" w14:textId="77777777" w:rsidTr="00B9396D">
        <w:trPr>
          <w:tblCellSpacing w:w="15" w:type="dxa"/>
        </w:trPr>
        <w:tc>
          <w:tcPr>
            <w:tcW w:w="0" w:type="auto"/>
            <w:vAlign w:val="center"/>
            <w:hideMark/>
          </w:tcPr>
          <w:p w14:paraId="54A28E96"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Barred by Eternity Clauses</w:t>
            </w:r>
          </w:p>
        </w:tc>
        <w:tc>
          <w:tcPr>
            <w:tcW w:w="0" w:type="auto"/>
            <w:vAlign w:val="center"/>
            <w:hideMark/>
          </w:tcPr>
          <w:p w14:paraId="7B44EEAC"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pathway is outside Prometheus and cannot be authorized.</w:t>
            </w:r>
          </w:p>
        </w:tc>
      </w:tr>
      <w:tr w:rsidR="00B9396D" w:rsidRPr="00B479AE" w14:paraId="6B709CA4" w14:textId="77777777" w:rsidTr="00B9396D">
        <w:trPr>
          <w:tblCellSpacing w:w="15" w:type="dxa"/>
        </w:trPr>
        <w:tc>
          <w:tcPr>
            <w:tcW w:w="0" w:type="auto"/>
            <w:vAlign w:val="center"/>
            <w:hideMark/>
          </w:tcPr>
          <w:p w14:paraId="7A504844"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Requires legal review</w:t>
            </w:r>
          </w:p>
        </w:tc>
        <w:tc>
          <w:tcPr>
            <w:tcW w:w="0" w:type="auto"/>
            <w:vAlign w:val="center"/>
            <w:hideMark/>
          </w:tcPr>
          <w:p w14:paraId="74F16305"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The pathway may not proceed until jurisdictional or contractual analysis is complete.</w:t>
            </w:r>
          </w:p>
        </w:tc>
      </w:tr>
      <w:tr w:rsidR="00B9396D" w:rsidRPr="00B479AE" w14:paraId="78D6B915" w14:textId="77777777" w:rsidTr="00B9396D">
        <w:trPr>
          <w:tblCellSpacing w:w="15" w:type="dxa"/>
        </w:trPr>
        <w:tc>
          <w:tcPr>
            <w:tcW w:w="0" w:type="auto"/>
            <w:vAlign w:val="center"/>
            <w:hideMark/>
          </w:tcPr>
          <w:p w14:paraId="5A363A16"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Requires MRV review</w:t>
            </w:r>
          </w:p>
        </w:tc>
        <w:tc>
          <w:tcPr>
            <w:tcW w:w="0" w:type="auto"/>
            <w:vAlign w:val="center"/>
            <w:hideMark/>
          </w:tcPr>
          <w:p w14:paraId="6D5F373B"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or methodology is insufficient for the claim being made.</w:t>
            </w:r>
          </w:p>
        </w:tc>
      </w:tr>
      <w:tr w:rsidR="00B9396D" w:rsidRPr="00B479AE" w14:paraId="3F308F4B" w14:textId="77777777" w:rsidTr="00B9396D">
        <w:trPr>
          <w:tblCellSpacing w:w="15" w:type="dxa"/>
        </w:trPr>
        <w:tc>
          <w:tcPr>
            <w:tcW w:w="0" w:type="auto"/>
            <w:vAlign w:val="center"/>
            <w:hideMark/>
          </w:tcPr>
          <w:p w14:paraId="60875523"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Requires technical review</w:t>
            </w:r>
          </w:p>
        </w:tc>
        <w:tc>
          <w:tcPr>
            <w:tcW w:w="0" w:type="auto"/>
            <w:vAlign w:val="center"/>
            <w:hideMark/>
          </w:tcPr>
          <w:p w14:paraId="42D9F8F4"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Implementation may affect security, source-chain integrity, permissions, or execution gates.</w:t>
            </w:r>
          </w:p>
        </w:tc>
      </w:tr>
      <w:tr w:rsidR="00B9396D" w:rsidRPr="00B479AE" w14:paraId="7B6A72AC" w14:textId="77777777" w:rsidTr="00B9396D">
        <w:trPr>
          <w:tblCellSpacing w:w="15" w:type="dxa"/>
        </w:trPr>
        <w:tc>
          <w:tcPr>
            <w:tcW w:w="0" w:type="auto"/>
            <w:vAlign w:val="center"/>
            <w:hideMark/>
          </w:tcPr>
          <w:p w14:paraId="44F6043E"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Requires public correction</w:t>
            </w:r>
          </w:p>
        </w:tc>
        <w:tc>
          <w:tcPr>
            <w:tcW w:w="0" w:type="auto"/>
            <w:vAlign w:val="center"/>
            <w:hideMark/>
          </w:tcPr>
          <w:p w14:paraId="2D0D89C1" w14:textId="77777777" w:rsidR="00B9396D" w:rsidRPr="00B479AE" w:rsidRDefault="00B9396D" w:rsidP="00B9396D">
            <w:pPr>
              <w:spacing w:line="360" w:lineRule="auto"/>
              <w:rPr>
                <w:rFonts w:ascii="Baskerville Old Face" w:hAnsi="Baskerville Old Face"/>
                <w:i/>
                <w:iCs/>
                <w:sz w:val="22"/>
                <w:szCs w:val="22"/>
              </w:rPr>
            </w:pPr>
            <w:r w:rsidRPr="00B479AE">
              <w:rPr>
                <w:rFonts w:ascii="Baskerville Old Face" w:hAnsi="Baskerville Old Face"/>
                <w:i/>
                <w:iCs/>
                <w:sz w:val="22"/>
                <w:szCs w:val="22"/>
              </w:rPr>
              <w:t>Communication created semantic, financial, ecological, or governance confusion requiring correction.</w:t>
            </w:r>
          </w:p>
        </w:tc>
      </w:tr>
    </w:tbl>
    <w:p w14:paraId="3DBE2E3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outcome must define scope.</w:t>
      </w:r>
    </w:p>
    <w:p w14:paraId="43FFC60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An action may be admissible for research and non-admissible for investment.</w:t>
      </w:r>
    </w:p>
    <w:p w14:paraId="465CD06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claim may be admissible as narrative and non-admissible as MRV evidence.</w:t>
      </w:r>
    </w:p>
    <w:p w14:paraId="71B42C2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 token may be admissible for community access and non-admissible as PRU exposure.</w:t>
      </w:r>
    </w:p>
    <w:p w14:paraId="280DBB9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A dataset may be admissible for learning and non-admissible for valuation.</w:t>
      </w:r>
    </w:p>
    <w:p w14:paraId="31E356C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This precision is essential.</w:t>
      </w:r>
    </w:p>
    <w:p w14:paraId="79848A25"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does not need fewer categories.</w:t>
      </w:r>
    </w:p>
    <w:p w14:paraId="6CB4B1B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needs cleaner categories.</w:t>
      </w:r>
    </w:p>
    <w:p w14:paraId="1DDBEA78"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10.10 AI and Constitutional Interpretation</w:t>
      </w:r>
    </w:p>
    <w:p w14:paraId="18BEBC9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assist constitutional interpretation.</w:t>
      </w:r>
    </w:p>
    <w:p w14:paraId="68567D4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w:t>
      </w:r>
    </w:p>
    <w:p w14:paraId="5911912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summarize relevant provisions;</w:t>
      </w:r>
      <w:r w:rsidRPr="00B479AE">
        <w:rPr>
          <w:rFonts w:ascii="Baskerville Old Face" w:hAnsi="Baskerville Old Face"/>
          <w:i/>
          <w:iCs/>
        </w:rPr>
        <w:br/>
        <w:t>• identify conflicts;</w:t>
      </w:r>
      <w:r w:rsidRPr="00B479AE">
        <w:rPr>
          <w:rFonts w:ascii="Baskerville Old Face" w:hAnsi="Baskerville Old Face"/>
          <w:i/>
          <w:iCs/>
        </w:rPr>
        <w:br/>
        <w:t>• compare precedents;</w:t>
      </w:r>
      <w:r w:rsidRPr="00B479AE">
        <w:rPr>
          <w:rFonts w:ascii="Baskerville Old Face" w:hAnsi="Baskerville Old Face"/>
          <w:i/>
          <w:iCs/>
        </w:rPr>
        <w:br/>
        <w:t>• map risks;</w:t>
      </w:r>
      <w:r w:rsidRPr="00B479AE">
        <w:rPr>
          <w:rFonts w:ascii="Baskerville Old Face" w:hAnsi="Baskerville Old Face"/>
          <w:i/>
          <w:iCs/>
        </w:rPr>
        <w:br/>
        <w:t>• draft interpretive options;</w:t>
      </w:r>
      <w:r w:rsidRPr="00B479AE">
        <w:rPr>
          <w:rFonts w:ascii="Baskerville Old Face" w:hAnsi="Baskerville Old Face"/>
          <w:i/>
          <w:iCs/>
        </w:rPr>
        <w:br/>
        <w:t>• classify issues;</w:t>
      </w:r>
      <w:r w:rsidRPr="00B479AE">
        <w:rPr>
          <w:rFonts w:ascii="Baskerville Old Face" w:hAnsi="Baskerville Old Face"/>
          <w:i/>
          <w:iCs/>
        </w:rPr>
        <w:br/>
        <w:t>• flag category collapse;</w:t>
      </w:r>
      <w:r w:rsidRPr="00B479AE">
        <w:rPr>
          <w:rFonts w:ascii="Baskerville Old Face" w:hAnsi="Baskerville Old Face"/>
          <w:i/>
          <w:iCs/>
        </w:rPr>
        <w:br/>
        <w:t>• support legal or MRV review;</w:t>
      </w:r>
      <w:r w:rsidRPr="00B479AE">
        <w:rPr>
          <w:rFonts w:ascii="Baskerville Old Face" w:hAnsi="Baskerville Old Face"/>
          <w:i/>
          <w:iCs/>
        </w:rPr>
        <w:br/>
        <w:t>• generate decision memos for human review.</w:t>
      </w:r>
    </w:p>
    <w:p w14:paraId="11FB002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become constitutional authority.</w:t>
      </w:r>
    </w:p>
    <w:p w14:paraId="6542AB3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issue final binding interpretations.</w:t>
      </w:r>
    </w:p>
    <w:p w14:paraId="49AF5A4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override the Access Covenant.</w:t>
      </w:r>
    </w:p>
    <w:p w14:paraId="67268AC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authorize PRU value.</w:t>
      </w:r>
    </w:p>
    <w:p w14:paraId="4CA7480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transform narrative into evidence.</w:t>
      </w:r>
    </w:p>
    <w:p w14:paraId="48838D9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waive legal review.</w:t>
      </w:r>
    </w:p>
    <w:p w14:paraId="79DC7BA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bypass human dignity, ecological integrity, governance process, or source-layer constraints.</w:t>
      </w:r>
    </w:p>
    <w:p w14:paraId="1A818C2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AI-assisted interpretation must remain:</w:t>
      </w:r>
    </w:p>
    <w:p w14:paraId="76EB0BE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 evidence-linked;</w:t>
      </w:r>
      <w:r w:rsidRPr="00B479AE">
        <w:rPr>
          <w:rFonts w:ascii="Baskerville Old Face" w:hAnsi="Baskerville Old Face"/>
          <w:i/>
          <w:iCs/>
        </w:rPr>
        <w:br/>
        <w:t>• versioned;</w:t>
      </w:r>
      <w:r w:rsidRPr="00B479AE">
        <w:rPr>
          <w:rFonts w:ascii="Baskerville Old Face" w:hAnsi="Baskerville Old Face"/>
          <w:i/>
          <w:iCs/>
        </w:rPr>
        <w:br/>
        <w:t>• reviewable;</w:t>
      </w:r>
      <w:r w:rsidRPr="00B479AE">
        <w:rPr>
          <w:rFonts w:ascii="Baskerville Old Face" w:hAnsi="Baskerville Old Face"/>
          <w:i/>
          <w:iCs/>
        </w:rPr>
        <w:br/>
        <w:t>• auditable where appropriate;</w:t>
      </w:r>
      <w:r w:rsidRPr="00B479AE">
        <w:rPr>
          <w:rFonts w:ascii="Baskerville Old Face" w:hAnsi="Baskerville Old Face"/>
          <w:i/>
          <w:iCs/>
        </w:rPr>
        <w:br/>
        <w:t>• bounded by role;</w:t>
      </w:r>
      <w:r w:rsidRPr="00B479AE">
        <w:rPr>
          <w:rFonts w:ascii="Baskerville Old Face" w:hAnsi="Baskerville Old Face"/>
          <w:i/>
          <w:iCs/>
        </w:rPr>
        <w:br/>
        <w:t>• subject to human or governance authorization.</w:t>
      </w:r>
    </w:p>
    <w:p w14:paraId="3233DB2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rule is simple:</w:t>
      </w:r>
    </w:p>
    <w:p w14:paraId="0A6A6EE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help the constitution speak more clearly.</w:t>
      </w:r>
    </w:p>
    <w:p w14:paraId="302DA60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may not speak above the constitution.</w:t>
      </w:r>
    </w:p>
    <w:p w14:paraId="61D69815"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10.11 Emergency Constitutional Interpretation</w:t>
      </w:r>
    </w:p>
    <w:p w14:paraId="009538A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In urgent situations, a temporary constitutional interpretation may be necessary before full review is complete.</w:t>
      </w:r>
    </w:p>
    <w:p w14:paraId="77ABC63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This may occur where delay could create:</w:t>
      </w:r>
    </w:p>
    <w:p w14:paraId="13DF505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ecological harm;</w:t>
      </w:r>
      <w:r w:rsidRPr="00B479AE">
        <w:rPr>
          <w:rFonts w:ascii="Baskerville Old Face" w:hAnsi="Baskerville Old Face"/>
          <w:i/>
          <w:iCs/>
        </w:rPr>
        <w:br/>
        <w:t>• investor-facing misrepresentation;</w:t>
      </w:r>
      <w:r w:rsidRPr="00B479AE">
        <w:rPr>
          <w:rFonts w:ascii="Baskerville Old Face" w:hAnsi="Baskerville Old Face"/>
          <w:i/>
          <w:iCs/>
        </w:rPr>
        <w:br/>
        <w:t>• data manipulation;</w:t>
      </w:r>
      <w:r w:rsidRPr="00B479AE">
        <w:rPr>
          <w:rFonts w:ascii="Baskerville Old Face" w:hAnsi="Baskerville Old Face"/>
          <w:i/>
          <w:iCs/>
        </w:rPr>
        <w:br/>
        <w:t>• technical compromise;</w:t>
      </w:r>
      <w:r w:rsidRPr="00B479AE">
        <w:rPr>
          <w:rFonts w:ascii="Baskerville Old Face" w:hAnsi="Baskerville Old Face"/>
          <w:i/>
          <w:iCs/>
        </w:rPr>
        <w:br/>
        <w:t>• governance capture;</w:t>
      </w:r>
      <w:r w:rsidRPr="00B479AE">
        <w:rPr>
          <w:rFonts w:ascii="Baskerville Old Face" w:hAnsi="Baskerville Old Face"/>
          <w:i/>
          <w:iCs/>
        </w:rPr>
        <w:br/>
        <w:t xml:space="preserve">•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confusion;</w:t>
      </w:r>
      <w:r w:rsidRPr="00B479AE">
        <w:rPr>
          <w:rFonts w:ascii="Baskerville Old Face" w:hAnsi="Baskerville Old Face"/>
          <w:i/>
          <w:iCs/>
        </w:rPr>
        <w:br/>
        <w:t>• legal exposure;</w:t>
      </w:r>
      <w:r w:rsidRPr="00B479AE">
        <w:rPr>
          <w:rFonts w:ascii="Baskerville Old Face" w:hAnsi="Baskerville Old Face"/>
          <w:i/>
          <w:iCs/>
        </w:rPr>
        <w:br/>
        <w:t>• public communication risk;</w:t>
      </w:r>
      <w:r w:rsidRPr="00B479AE">
        <w:rPr>
          <w:rFonts w:ascii="Baskerville Old Face" w:hAnsi="Baskerville Old Face"/>
          <w:i/>
          <w:iCs/>
        </w:rPr>
        <w:br/>
        <w:t>• source-layer bypass.</w:t>
      </w:r>
    </w:p>
    <w:p w14:paraId="791A1FC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Emergency interpretation should be:</w:t>
      </w:r>
    </w:p>
    <w:p w14:paraId="7A42E18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 temporary;</w:t>
      </w:r>
      <w:r w:rsidRPr="00B479AE">
        <w:rPr>
          <w:rFonts w:ascii="Baskerville Old Face" w:hAnsi="Baskerville Old Face"/>
          <w:i/>
          <w:iCs/>
        </w:rPr>
        <w:br/>
        <w:t>• narrow;</w:t>
      </w:r>
      <w:r w:rsidRPr="00B479AE">
        <w:rPr>
          <w:rFonts w:ascii="Baskerville Old Face" w:hAnsi="Baskerville Old Face"/>
          <w:i/>
          <w:iCs/>
        </w:rPr>
        <w:br/>
        <w:t>• documented;</w:t>
      </w:r>
      <w:r w:rsidRPr="00B479AE">
        <w:rPr>
          <w:rFonts w:ascii="Baskerville Old Face" w:hAnsi="Baskerville Old Face"/>
          <w:i/>
          <w:iCs/>
        </w:rPr>
        <w:br/>
        <w:t>• proportionate;</w:t>
      </w:r>
      <w:r w:rsidRPr="00B479AE">
        <w:rPr>
          <w:rFonts w:ascii="Baskerville Old Face" w:hAnsi="Baskerville Old Face"/>
          <w:i/>
          <w:iCs/>
        </w:rPr>
        <w:br/>
        <w:t>• reviewable;</w:t>
      </w:r>
      <w:r w:rsidRPr="00B479AE">
        <w:rPr>
          <w:rFonts w:ascii="Baskerville Old Face" w:hAnsi="Baskerville Old Face"/>
          <w:i/>
          <w:iCs/>
        </w:rPr>
        <w:br/>
        <w:t>• escalated to full review as soon as feasible.</w:t>
      </w:r>
    </w:p>
    <w:p w14:paraId="72D2BAC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Emergency interpretation may pause or restrict action.</w:t>
      </w:r>
    </w:p>
    <w:p w14:paraId="195544A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not weaken Eternity Clauses.</w:t>
      </w:r>
    </w:p>
    <w:p w14:paraId="7738AAF0"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not create permanent constitutional change.</w:t>
      </w:r>
    </w:p>
    <w:p w14:paraId="5402B05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may not authorize what the source layer prohibits.</w:t>
      </w:r>
    </w:p>
    <w:p w14:paraId="063332C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Emergency interpretation exists to protect the constitution, not to suspend it.</w:t>
      </w:r>
    </w:p>
    <w:p w14:paraId="65F7E5CC" w14:textId="77777777" w:rsidR="00B9396D" w:rsidRPr="00B479AE" w:rsidRDefault="00B9396D" w:rsidP="00B9396D">
      <w:pPr>
        <w:spacing w:line="360" w:lineRule="auto"/>
        <w:rPr>
          <w:rFonts w:ascii="Baskerville Old Face" w:hAnsi="Baskerville Old Face"/>
          <w:b/>
          <w:bCs/>
          <w:i/>
          <w:iCs/>
        </w:rPr>
      </w:pPr>
      <w:r w:rsidRPr="00B479AE">
        <w:rPr>
          <w:rFonts w:ascii="Baskerville Old Face" w:hAnsi="Baskerville Old Face"/>
          <w:b/>
          <w:bCs/>
          <w:i/>
          <w:iCs/>
        </w:rPr>
        <w:t>10.12 Final Interpretive Rule</w:t>
      </w:r>
    </w:p>
    <w:p w14:paraId="7237BA2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final interpretive rule is this:</w:t>
      </w:r>
    </w:p>
    <w:p w14:paraId="5EEDF58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interpretation clarifies;</w:t>
      </w:r>
    </w:p>
    <w:p w14:paraId="69F0800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dominate.</w:t>
      </w:r>
    </w:p>
    <w:p w14:paraId="4A6C536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review integrates;</w:t>
      </w:r>
    </w:p>
    <w:p w14:paraId="38C94FF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centralize sovereignty.</w:t>
      </w:r>
    </w:p>
    <w:p w14:paraId="1E0EA37C"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founding memory guides;</w:t>
      </w:r>
    </w:p>
    <w:p w14:paraId="32A2883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rule.</w:t>
      </w:r>
    </w:p>
    <w:p w14:paraId="20507A5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science informs;</w:t>
      </w:r>
    </w:p>
    <w:p w14:paraId="4A72966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replace constitutional admissibility.</w:t>
      </w:r>
    </w:p>
    <w:p w14:paraId="2900C0BD"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AI assists;</w:t>
      </w:r>
    </w:p>
    <w:p w14:paraId="1CEEEBE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govern.</w:t>
      </w:r>
    </w:p>
    <w:p w14:paraId="14DCBD36"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capital participates;</w:t>
      </w:r>
    </w:p>
    <w:p w14:paraId="73536E3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command.</w:t>
      </w:r>
    </w:p>
    <w:p w14:paraId="62B9587A"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community matters;</w:t>
      </w:r>
    </w:p>
    <w:p w14:paraId="7B84283E"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does not bypass dignity.</w:t>
      </w:r>
    </w:p>
    <w:p w14:paraId="1808D04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governance evolves;</w:t>
      </w:r>
    </w:p>
    <w:p w14:paraId="252A1FA9"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lastRenderedPageBreak/>
        <w:t>it does not override life.</w:t>
      </w:r>
    </w:p>
    <w:p w14:paraId="5C0D6C43"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Prometheus remains valid only while constitutional interpretation preserves the relationship between life, dignity, evidence, governance, and regenerative fidelity.</w:t>
      </w:r>
    </w:p>
    <w:p w14:paraId="09FF2654"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ambiguity exists, interpret toward life.</w:t>
      </w:r>
    </w:p>
    <w:p w14:paraId="1C6E0BC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power concentrates, interpret toward accountability.</w:t>
      </w:r>
    </w:p>
    <w:p w14:paraId="44C6B20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claims inflate, interpret toward evidence.</w:t>
      </w:r>
    </w:p>
    <w:p w14:paraId="15A87D21"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speed accelerates, interpret toward reviewability.</w:t>
      </w:r>
    </w:p>
    <w:p w14:paraId="7BD51282"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systems diverge, interpret toward clear boundaries.</w:t>
      </w:r>
    </w:p>
    <w:p w14:paraId="3833F5EB"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Where the future is affected, interpret as if future generations were already in the room.</w:t>
      </w:r>
    </w:p>
    <w:p w14:paraId="3C6E1967"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constitution is not a weapon held by one circle.</w:t>
      </w:r>
    </w:p>
    <w:p w14:paraId="66D166D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It is the root system of the whole architecture.</w:t>
      </w:r>
    </w:p>
    <w:p w14:paraId="0A646CC8"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interpreter is not sovereign.</w:t>
      </w:r>
    </w:p>
    <w:p w14:paraId="49ADDA1F" w14:textId="77777777" w:rsidR="00B9396D" w:rsidRPr="00B479AE" w:rsidRDefault="00B9396D" w:rsidP="00B9396D">
      <w:pPr>
        <w:spacing w:line="360" w:lineRule="auto"/>
        <w:rPr>
          <w:rFonts w:ascii="Baskerville Old Face" w:hAnsi="Baskerville Old Face"/>
          <w:i/>
          <w:iCs/>
        </w:rPr>
      </w:pPr>
      <w:r w:rsidRPr="00B479AE">
        <w:rPr>
          <w:rFonts w:ascii="Baskerville Old Face" w:hAnsi="Baskerville Old Face"/>
          <w:i/>
          <w:iCs/>
        </w:rPr>
        <w:t>The source is sovereign.</w:t>
      </w:r>
    </w:p>
    <w:p w14:paraId="37137A12" w14:textId="77777777" w:rsidR="00674E24" w:rsidRPr="00B479AE" w:rsidRDefault="00674E24" w:rsidP="00674E24">
      <w:pPr>
        <w:spacing w:line="360" w:lineRule="auto"/>
        <w:rPr>
          <w:rFonts w:ascii="Baskerville Old Face" w:hAnsi="Baskerville Old Face"/>
          <w:b/>
          <w:bCs/>
          <w:i/>
          <w:iCs/>
        </w:rPr>
      </w:pPr>
      <w:r w:rsidRPr="00B479AE">
        <w:rPr>
          <w:rFonts w:ascii="Baskerville Old Face" w:hAnsi="Baskerville Old Face"/>
          <w:b/>
          <w:bCs/>
          <w:i/>
          <w:iCs/>
        </w:rPr>
        <w:t>11. The Unamendable Declaration</w:t>
      </w:r>
    </w:p>
    <w:p w14:paraId="013EE49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 xml:space="preserve">Let this be clearly understood by all who seek to access, participate in, govern, finance, extend, automate, represent, or benefit from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ecosystem.</w:t>
      </w:r>
    </w:p>
    <w:p w14:paraId="64D4962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Eternity Clauses are not ordinary governance rules.</w:t>
      </w:r>
    </w:p>
    <w:p w14:paraId="4A9218F6"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are not policy preferences.</w:t>
      </w:r>
    </w:p>
    <w:p w14:paraId="61D467C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are not strategic guidelines.</w:t>
      </w:r>
    </w:p>
    <w:p w14:paraId="2C9E82B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are not symbolic statements.</w:t>
      </w:r>
    </w:p>
    <w:p w14:paraId="580A0B4F"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are not temporary commitments.</w:t>
      </w:r>
    </w:p>
    <w:p w14:paraId="1460CB90"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are the constitutional recognition of living-system realities that precede and exceed any human institution.</w:t>
      </w:r>
    </w:p>
    <w:p w14:paraId="606E226F"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lastRenderedPageBreak/>
        <w:t>They recognize that life, dignity, soil, water, biodiversity, ecological integrity, evidence, voluntary participation, regenerative responsibility, and the continuity of future generations are not created by governance.</w:t>
      </w:r>
    </w:p>
    <w:p w14:paraId="7C2BF55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are the ground upon which governance becomes meaningful.</w:t>
      </w:r>
    </w:p>
    <w:p w14:paraId="3D6FA52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does not make these principles true.</w:t>
      </w:r>
    </w:p>
    <w:p w14:paraId="7F1EC88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chooses to become accountable to them.</w:t>
      </w:r>
    </w:p>
    <w:p w14:paraId="5AFF4E8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This is the unamendable declaration.</w:t>
      </w:r>
    </w:p>
    <w:p w14:paraId="0F73DA6C"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foundational articles may be clarified.</w:t>
      </w:r>
    </w:p>
    <w:p w14:paraId="6A8F2B1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Governance procedures may evolve.</w:t>
      </w:r>
    </w:p>
    <w:p w14:paraId="1175D520"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Implementation layers may mature.</w:t>
      </w:r>
    </w:p>
    <w:p w14:paraId="707DDB1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Legal instruments may adapt to jurisdiction.</w:t>
      </w:r>
    </w:p>
    <w:p w14:paraId="274A7FC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Technical systems may be upgraded.</w:t>
      </w:r>
    </w:p>
    <w:p w14:paraId="7014FCB0"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Interfaces may improve.</w:t>
      </w:r>
    </w:p>
    <w:p w14:paraId="702ECE6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Methodologies may be refined.</w:t>
      </w:r>
    </w:p>
    <w:p w14:paraId="4EB0C63E"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Translations may become clearer.</w:t>
      </w:r>
    </w:p>
    <w:p w14:paraId="6EB2125C"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Operational procedures may change.</w:t>
      </w:r>
    </w:p>
    <w:p w14:paraId="40774B75"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But the source-layer commitments protected by the Eternity Clauses may not be inverted, diluted, bypassed, repealed, suspended, tokenized away, voted away, automated away, financed away, or reinterpreted into their opposite.</w:t>
      </w:r>
    </w:p>
    <w:p w14:paraId="3B96A10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ordinary governance process may override them.</w:t>
      </w:r>
    </w:p>
    <w:p w14:paraId="1CACFF2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constitutional amendment may weaken them.</w:t>
      </w:r>
    </w:p>
    <w:p w14:paraId="33C58B68"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token vote may bypass them.</w:t>
      </w:r>
    </w:p>
    <w:p w14:paraId="3C81E182"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investor requirement may subordinate them.</w:t>
      </w:r>
    </w:p>
    <w:p w14:paraId="5DB51210"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lastRenderedPageBreak/>
        <w:t>No legal wrapper may neutralize them.</w:t>
      </w:r>
    </w:p>
    <w:p w14:paraId="0682E7D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AI model may reinterpret them beyond the constitutional source layer.</w:t>
      </w:r>
    </w:p>
    <w:p w14:paraId="67054938"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market opportunity may justify their erosion.</w:t>
      </w:r>
    </w:p>
    <w:p w14:paraId="50D6DDEE"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emergency may suspend them.</w:t>
      </w:r>
    </w:p>
    <w:p w14:paraId="5E0CE59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founder memory may own them.</w:t>
      </w:r>
    </w:p>
    <w:p w14:paraId="2FD02ABF"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community identity may stand above them.</w:t>
      </w:r>
    </w:p>
    <w:p w14:paraId="60049BE7"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institution may convert them into optional language.</w:t>
      </w:r>
    </w:p>
    <w:p w14:paraId="2BDDE7C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reason is simple.</w:t>
      </w:r>
    </w:p>
    <w:p w14:paraId="7B12791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Eternity Clauses do not impose an ideology upon life.</w:t>
      </w:r>
    </w:p>
    <w:p w14:paraId="0EBD3EF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They recognize the conditions through which life remains possible.</w:t>
      </w:r>
    </w:p>
    <w:p w14:paraId="0D25D6F6"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Soil does not become optional because a vote prefers liquidity.</w:t>
      </w:r>
    </w:p>
    <w:p w14:paraId="7FB4628C"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Water does not become secondary because a model optimizes throughput.</w:t>
      </w:r>
    </w:p>
    <w:p w14:paraId="4635842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Biodiversity does not become decorative because a financial structure simplifies risk.</w:t>
      </w:r>
    </w:p>
    <w:p w14:paraId="0E1AB5C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Human dignity does not become negotiable because a community claims urgency.</w:t>
      </w:r>
    </w:p>
    <w:p w14:paraId="31BCCB05"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Evidence does not become unnecessary because a narrative is beautiful.</w:t>
      </w:r>
    </w:p>
    <w:p w14:paraId="32C540F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Regeneration does not become valid because a token represents it.</w:t>
      </w:r>
    </w:p>
    <w:p w14:paraId="545A9F92"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living system is not required to obey institutional convenience.</w:t>
      </w:r>
    </w:p>
    <w:p w14:paraId="33A87B55"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Institutions must learn to obey living-system reality.</w:t>
      </w:r>
    </w:p>
    <w:p w14:paraId="619036CE"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To enter Prometheus is therefore to accept a threshold of responsibility.</w:t>
      </w:r>
    </w:p>
    <w:p w14:paraId="74936F40"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Participation means accepting that access is conditioned by the Access Covenant.</w:t>
      </w:r>
    </w:p>
    <w:p w14:paraId="571FD21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Governance means accepting that authority is bounded by the foundational articles.</w:t>
      </w:r>
    </w:p>
    <w:p w14:paraId="7ACBFFF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Capital means accepting that finance is downstream from evidence and life.</w:t>
      </w:r>
    </w:p>
    <w:p w14:paraId="7F28973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lastRenderedPageBreak/>
        <w:t>Technology means accepting that execution is bounded by constitutional constraints.</w:t>
      </w:r>
    </w:p>
    <w:p w14:paraId="533E71E6"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Community means accepting that belonging cannot be used to coerce, exclude, manipulate, or bypass dignity.</w:t>
      </w:r>
    </w:p>
    <w:p w14:paraId="1DA458B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Intelligence means accepting that no model is sovereign over the living field.</w:t>
      </w:r>
    </w:p>
    <w:p w14:paraId="44EBA43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Leadership means accepting custodianship, not domination.</w:t>
      </w:r>
    </w:p>
    <w:p w14:paraId="1F06CB7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Stewardship means accepting that the future is already present in every decision.</w:t>
      </w:r>
    </w:p>
    <w:p w14:paraId="62B92C2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This declaration is universal in scope and humble in posture.</w:t>
      </w:r>
    </w:p>
    <w:p w14:paraId="74E0121C"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does not demand one religion.</w:t>
      </w:r>
    </w:p>
    <w:p w14:paraId="5323A79E"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does not demand one culture.</w:t>
      </w:r>
    </w:p>
    <w:p w14:paraId="19E24486"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does not demand one language of meaning.</w:t>
      </w:r>
    </w:p>
    <w:p w14:paraId="186B8047"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does not demand one metaphysical vocabulary.</w:t>
      </w:r>
    </w:p>
    <w:p w14:paraId="6F24F516"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Communities may speak of Creation, Nature, Earth, God, Spirit, ancestry, ecology, science, consciousness, biosphere, systems, or interdependence.</w:t>
      </w:r>
    </w:p>
    <w:p w14:paraId="77DB504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does not police the name.</w:t>
      </w:r>
    </w:p>
    <w:p w14:paraId="33A3238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protects the living foundation behind the names.</w:t>
      </w:r>
    </w:p>
    <w:p w14:paraId="149708B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Every human being stands equal before that foundation.</w:t>
      </w:r>
    </w:p>
    <w:p w14:paraId="013685C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person enters Prometheus as more worthy because of capital, token holdings, title, nationality, religion, technical capacity, institutional power, social status, proximity to founders, or community rank.</w:t>
      </w:r>
    </w:p>
    <w:p w14:paraId="23B65A8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 person enters as less worthy because their lawful and dignity-respecting language of meaning differs from another’s.</w:t>
      </w:r>
    </w:p>
    <w:p w14:paraId="25BC2BA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Human dignity is recognized before it is measured.</w:t>
      </w:r>
    </w:p>
    <w:p w14:paraId="3EE3DB55"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gate of Prometheus is therefore open through responsibility.</w:t>
      </w:r>
    </w:p>
    <w:p w14:paraId="4662216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lastRenderedPageBreak/>
        <w:t>It is open to individuals, communities, stewards, researchers, builders, investors, public institutions, digital agents, technical operators, cultural traditions, spiritual communities, scientific communities, bioregional networks, DAOs, token ecosystems, and future forms of human coordination that can enter through the Covenant without weakening the source layer.</w:t>
      </w:r>
    </w:p>
    <w:p w14:paraId="3DA88CE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threshold is not sameness.</w:t>
      </w:r>
    </w:p>
    <w:p w14:paraId="0632C9B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threshold is fidelity.</w:t>
      </w:r>
    </w:p>
    <w:p w14:paraId="65707F96"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question is not whether every participant speaks the same language.</w:t>
      </w:r>
    </w:p>
    <w:p w14:paraId="27DB9A1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question is whether participation strengthens life, dignity, evidence, ecological integrity, governance coherence, and regenerative responsibility.</w:t>
      </w:r>
    </w:p>
    <w:p w14:paraId="2EB38D8C"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Where alignment exists, Prometheus may collaborate.</w:t>
      </w:r>
    </w:p>
    <w:p w14:paraId="3949ECE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Where ambiguity exists, Prometheus may review, clarify, limit, or pilot.</w:t>
      </w:r>
    </w:p>
    <w:p w14:paraId="64115658"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Where risk exists, Prometheus may pause, condition, or require evidence.</w:t>
      </w:r>
    </w:p>
    <w:p w14:paraId="082A494F"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Where harm exists, Prometheus may restrict, remediate, or separate.</w:t>
      </w:r>
    </w:p>
    <w:p w14:paraId="594B1F4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Where the source layer is threatened, Prometheus must protect the constitution.</w:t>
      </w:r>
    </w:p>
    <w:p w14:paraId="31FC0737"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This is not exclusion for its own sake.</w:t>
      </w:r>
    </w:p>
    <w:p w14:paraId="2CAD9EB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boundary as care.</w:t>
      </w:r>
    </w:p>
    <w:p w14:paraId="1BAE0B1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coherence as protection.</w:t>
      </w:r>
    </w:p>
    <w:p w14:paraId="7EEBADC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governance as stewardship.</w:t>
      </w:r>
    </w:p>
    <w:p w14:paraId="32763E8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the living field defending its own continuity.</w:t>
      </w:r>
    </w:p>
    <w:p w14:paraId="7D4A74E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unamendable character of the Eternity Clauses should therefore be understood not as rigidity, but as fidelity.</w:t>
      </w:r>
    </w:p>
    <w:p w14:paraId="2C746970"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river may change its course, but water remains life-bearing.</w:t>
      </w:r>
    </w:p>
    <w:p w14:paraId="08FDB027"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forest may change its composition, but relationship remains its intelligence.</w:t>
      </w:r>
    </w:p>
    <w:p w14:paraId="075B801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lastRenderedPageBreak/>
        <w:t>A community may change its forms, but dignity remains its ground.</w:t>
      </w:r>
    </w:p>
    <w:p w14:paraId="5C4CD2F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governance system may evolve, but it cannot validly authorize the destruction of the living foundation it exists to serve.</w:t>
      </w:r>
    </w:p>
    <w:p w14:paraId="0A46D9FA"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is designed to evolve.</w:t>
      </w:r>
    </w:p>
    <w:p w14:paraId="5B2509C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designed to learn.</w:t>
      </w:r>
    </w:p>
    <w:p w14:paraId="36F5462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designed to adapt across territories, cultures, technologies, institutions, and generations.</w:t>
      </w:r>
    </w:p>
    <w:p w14:paraId="7A92043C"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But it is not designed to forget why it exists.</w:t>
      </w:r>
    </w:p>
    <w:p w14:paraId="4EB9747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source layer is the memory that prevents forgetting.</w:t>
      </w:r>
    </w:p>
    <w:p w14:paraId="3BB61768"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the root beneath the architecture.</w:t>
      </w:r>
    </w:p>
    <w:p w14:paraId="53ACB54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the fire beneath the protocol.</w:t>
      </w:r>
    </w:p>
    <w:p w14:paraId="23B2CC4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the breath beneath the institution.</w:t>
      </w:r>
    </w:p>
    <w:p w14:paraId="1D5423E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is the living oath that binds capital, technology, governance, and intelligence back to life.</w:t>
      </w:r>
    </w:p>
    <w:p w14:paraId="3FF11EEB"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This truth requires no amendment.</w:t>
      </w:r>
    </w:p>
    <w:p w14:paraId="203BEF58"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was true before Prometheus.</w:t>
      </w:r>
    </w:p>
    <w:p w14:paraId="3659D1DF"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will remain true after every document, dashboard, token, institution, and market cycle has passed away.</w:t>
      </w:r>
    </w:p>
    <w:p w14:paraId="2ED515C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becomes worthy only to the extent that it remains faithful to it.</w:t>
      </w:r>
    </w:p>
    <w:p w14:paraId="3FB05A5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The final declaration is therefore this:</w:t>
      </w:r>
    </w:p>
    <w:p w14:paraId="6B87860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life is not downstream from governance;</w:t>
      </w:r>
    </w:p>
    <w:p w14:paraId="492E08D2"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governance is downstream from life.</w:t>
      </w:r>
    </w:p>
    <w:p w14:paraId="06153C6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value is not upstream from evidence;</w:t>
      </w:r>
    </w:p>
    <w:p w14:paraId="77BA11C7"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value is downstream from verified reality.</w:t>
      </w:r>
    </w:p>
    <w:p w14:paraId="3848F681"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lastRenderedPageBreak/>
        <w:t>capital is not sovereign over regeneration;</w:t>
      </w:r>
    </w:p>
    <w:p w14:paraId="62258C67"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capital is useful only when disciplined by regeneration.</w:t>
      </w:r>
    </w:p>
    <w:p w14:paraId="55882794"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intelligence is not sovereign over dignity;</w:t>
      </w:r>
    </w:p>
    <w:p w14:paraId="636342A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intelligence is valid only when it serves dignity.</w:t>
      </w:r>
    </w:p>
    <w:p w14:paraId="72005A4D"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community is not sovereign over the source layer;</w:t>
      </w:r>
    </w:p>
    <w:p w14:paraId="12953C2E"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community becomes legitimate when it protects the source layer.</w:t>
      </w:r>
    </w:p>
    <w:p w14:paraId="02325C1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Prometheus may scale only if it remains accountable to the living systems it exists to serve.</w:t>
      </w:r>
    </w:p>
    <w:p w14:paraId="6103E513"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may innovate only if innovation preserves fidelity.</w:t>
      </w:r>
    </w:p>
    <w:p w14:paraId="6D77FA5F"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may finance only what evidence can support.</w:t>
      </w:r>
    </w:p>
    <w:p w14:paraId="2ECCF1A5"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may automate only what governance can review.</w:t>
      </w:r>
    </w:p>
    <w:p w14:paraId="075F066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may represent only what living systems have made real.</w:t>
      </w:r>
    </w:p>
    <w:p w14:paraId="638597D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It may endure only if its growth remains rooted.</w:t>
      </w:r>
    </w:p>
    <w:p w14:paraId="171F5865"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This is the unamendable declaration of Prometheus.</w:t>
      </w:r>
    </w:p>
    <w:p w14:paraId="288ED822"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Not control.</w:t>
      </w:r>
    </w:p>
    <w:p w14:paraId="0B06681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Not ideology.</w:t>
      </w:r>
    </w:p>
    <w:p w14:paraId="0FD42F19"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Not institutional vanity.</w:t>
      </w:r>
    </w:p>
    <w:p w14:paraId="5A1F8568"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promise to life.</w:t>
      </w:r>
    </w:p>
    <w:p w14:paraId="064DD0E2"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covenant with the living field.</w:t>
      </w:r>
    </w:p>
    <w:p w14:paraId="7253295E" w14:textId="77777777" w:rsidR="00674E24" w:rsidRPr="00B479AE" w:rsidRDefault="00674E24" w:rsidP="00674E24">
      <w:pPr>
        <w:spacing w:line="360" w:lineRule="auto"/>
        <w:rPr>
          <w:rFonts w:ascii="Baskerville Old Face" w:hAnsi="Baskerville Old Face"/>
          <w:i/>
          <w:iCs/>
        </w:rPr>
      </w:pPr>
      <w:r w:rsidRPr="00B479AE">
        <w:rPr>
          <w:rFonts w:ascii="Baskerville Old Face" w:hAnsi="Baskerville Old Face"/>
          <w:i/>
          <w:iCs/>
        </w:rPr>
        <w:t>A constitutional memory for future builders.</w:t>
      </w:r>
    </w:p>
    <w:p w14:paraId="6304FCDC"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 Technical Implementation: Constitutional Enforcement in Code, Data, and Permissions</w:t>
      </w:r>
    </w:p>
    <w:p w14:paraId="5165792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must translate constitutional meaning into technical architecture without confusing technical architecture with constitutional sovereignty.</w:t>
      </w:r>
    </w:p>
    <w:p w14:paraId="3CE6E42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The constitution defines the source layer.</w:t>
      </w:r>
    </w:p>
    <w:p w14:paraId="00CC85F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Access Covenant defines the entry condition.</w:t>
      </w:r>
    </w:p>
    <w:p w14:paraId="413C129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Governance defines review and authorization.</w:t>
      </w:r>
    </w:p>
    <w:p w14:paraId="38A338F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MRV defines evidentiary admissibility.</w:t>
      </w:r>
    </w:p>
    <w:p w14:paraId="68CCA9C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Legal instruments define enforceable rights and obligations.</w:t>
      </w:r>
    </w:p>
    <w:p w14:paraId="0E99250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Code, data structures, permissions, schemas, validation rules, logs, and execution gates help make these layers operational.</w:t>
      </w:r>
    </w:p>
    <w:p w14:paraId="242E8E8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purpose of technical implementation is therefore not to create an automatic machine-state that replaces governance.</w:t>
      </w:r>
    </w:p>
    <w:p w14:paraId="291EBD1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Its purpose is to make constitutional bypass structurally difficult, detectable, reviewable, non-admissible, non-executable where appropriate, reversible where feasible, and institutionally invalid.</w:t>
      </w:r>
    </w:p>
    <w:p w14:paraId="1B48F25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be implemented so that no participant, model, agent, dashboard, token mechanism, API, workflow, or technical operator can legitimately execute actions that violate the constitutional source layer.</w:t>
      </w:r>
    </w:p>
    <w:p w14:paraId="588615C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does not mean claiming absolute invulnerability.</w:t>
      </w:r>
    </w:p>
    <w:p w14:paraId="2AFD434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 serious technical architecture should claim that.</w:t>
      </w:r>
    </w:p>
    <w:p w14:paraId="510B2DD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means designing the system so that constitutional violations become visible, constrained, logged, flagged, paused, rejected, quarantined, or routed to the appropriate review pathway.</w:t>
      </w:r>
    </w:p>
    <w:p w14:paraId="34EBA27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implementation principle is:</w:t>
      </w:r>
    </w:p>
    <w:p w14:paraId="4EC5BDD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constitutional meaning defines the boundary;</w:t>
      </w:r>
      <w:r w:rsidRPr="00B479AE">
        <w:rPr>
          <w:rFonts w:ascii="Baskerville Old Face" w:hAnsi="Baskerville Old Face"/>
          <w:i/>
          <w:iCs/>
        </w:rPr>
        <w:br/>
        <w:t>technical systems enforce the boundary where implemented;</w:t>
      </w:r>
      <w:r w:rsidRPr="00B479AE">
        <w:rPr>
          <w:rFonts w:ascii="Baskerville Old Face" w:hAnsi="Baskerville Old Face"/>
          <w:i/>
          <w:iCs/>
        </w:rPr>
        <w:br/>
        <w:t>audit trails prove what occurred;</w:t>
      </w:r>
      <w:r w:rsidRPr="00B479AE">
        <w:rPr>
          <w:rFonts w:ascii="Baskerville Old Face" w:hAnsi="Baskerville Old Face"/>
          <w:i/>
          <w:iCs/>
        </w:rPr>
        <w:br/>
        <w:t>governance decides contested cases;</w:t>
      </w:r>
      <w:r w:rsidRPr="00B479AE">
        <w:rPr>
          <w:rFonts w:ascii="Baskerville Old Face" w:hAnsi="Baskerville Old Face"/>
          <w:i/>
          <w:iCs/>
        </w:rPr>
        <w:br/>
        <w:t>legal instruments bind institutional relationships;</w:t>
      </w:r>
      <w:r w:rsidRPr="00B479AE">
        <w:rPr>
          <w:rFonts w:ascii="Baskerville Old Face" w:hAnsi="Baskerville Old Face"/>
          <w:i/>
          <w:iCs/>
        </w:rPr>
        <w:br/>
        <w:t>living-system reality remains the ground.</w:t>
      </w:r>
    </w:p>
    <w:p w14:paraId="1311144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Prometheus therefore embeds constitutional discipline into code, data, permissions, records, interfaces, and institutional process.</w:t>
      </w:r>
    </w:p>
    <w:p w14:paraId="54670C8D"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 Implementation Discipline</w:t>
      </w:r>
    </w:p>
    <w:p w14:paraId="1059640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must distinguish between:</w:t>
      </w:r>
    </w:p>
    <w:p w14:paraId="505F1C1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what is constitutionally required;</w:t>
      </w:r>
      <w:r w:rsidRPr="00B479AE">
        <w:rPr>
          <w:rFonts w:ascii="Baskerville Old Face" w:hAnsi="Baskerville Old Face"/>
          <w:i/>
          <w:iCs/>
        </w:rPr>
        <w:br/>
        <w:t>• what is legally enforceable;</w:t>
      </w:r>
      <w:r w:rsidRPr="00B479AE">
        <w:rPr>
          <w:rFonts w:ascii="Baskerville Old Face" w:hAnsi="Baskerville Old Face"/>
          <w:i/>
          <w:iCs/>
        </w:rPr>
        <w:br/>
        <w:t>• what is technically implemented;</w:t>
      </w:r>
      <w:r w:rsidRPr="00B479AE">
        <w:rPr>
          <w:rFonts w:ascii="Baskerville Old Face" w:hAnsi="Baskerville Old Face"/>
          <w:i/>
          <w:iCs/>
        </w:rPr>
        <w:br/>
        <w:t>• what is operationally governed;</w:t>
      </w:r>
      <w:r w:rsidRPr="00B479AE">
        <w:rPr>
          <w:rFonts w:ascii="Baskerville Old Face" w:hAnsi="Baskerville Old Face"/>
          <w:i/>
          <w:iCs/>
        </w:rPr>
        <w:br/>
        <w:t>• what is planned for future implementation;</w:t>
      </w:r>
      <w:r w:rsidRPr="00B479AE">
        <w:rPr>
          <w:rFonts w:ascii="Baskerville Old Face" w:hAnsi="Baskerville Old Face"/>
          <w:i/>
          <w:iCs/>
        </w:rPr>
        <w:br/>
        <w:t>• what remains research, hypothesis, or roadmap.</w:t>
      </w:r>
    </w:p>
    <w:p w14:paraId="6BC6478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distinction is essential.</w:t>
      </w:r>
    </w:p>
    <w:p w14:paraId="30B2A1F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White Paper may define an architectural requirement.</w:t>
      </w:r>
    </w:p>
    <w:p w14:paraId="4FFD5DA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legal agreement may create enforceable obligations.</w:t>
      </w:r>
    </w:p>
    <w:p w14:paraId="45FF658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xml:space="preserve">A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may implement technical controls.</w:t>
      </w:r>
    </w:p>
    <w:p w14:paraId="71E5CD6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governance process may authorize action.</w:t>
      </w:r>
    </w:p>
    <w:p w14:paraId="18066D9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dashboard may display status.</w:t>
      </w:r>
    </w:p>
    <w:p w14:paraId="49A8280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model may recommend.</w:t>
      </w:r>
    </w:p>
    <w:p w14:paraId="5314886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These are not the same thing.</w:t>
      </w:r>
    </w:p>
    <w:p w14:paraId="55C0EA6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must not claim that a control exists in code until it exists in code.</w:t>
      </w:r>
    </w:p>
    <w:p w14:paraId="64ED19E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must not claim automatic enforcement where enforcement depends on governance, legal review, or human judgment.</w:t>
      </w:r>
    </w:p>
    <w:p w14:paraId="7706A9D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must not claim token, financial, investor, legal, land, or ecological consequences unless those consequences are actually structured, disclosed, implemented, and jurisdictionally reviewed.</w:t>
      </w:r>
    </w:p>
    <w:p w14:paraId="55AFC7B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Technical credibility begins with implementation honesty.</w:t>
      </w:r>
    </w:p>
    <w:p w14:paraId="538ECE6A" w14:textId="3A67B389" w:rsidR="00495E1A" w:rsidRPr="00B479AE" w:rsidRDefault="00495E1A" w:rsidP="00495E1A">
      <w:pPr>
        <w:spacing w:line="360" w:lineRule="auto"/>
        <w:rPr>
          <w:rFonts w:ascii="Baskerville Old Face" w:hAnsi="Baskerville Old Face"/>
          <w:i/>
          <w:iCs/>
        </w:rPr>
      </w:pPr>
    </w:p>
    <w:p w14:paraId="2891A528"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lastRenderedPageBreak/>
        <w:t>12.2 Agent-Centric Infrastructure</w:t>
      </w:r>
    </w:p>
    <w:p w14:paraId="7679B18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xml:space="preserve">Prometheus may use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agent-centric infrastructure because regenerative systems are contextual, distributed, relational, and locally grounded.</w:t>
      </w:r>
    </w:p>
    <w:p w14:paraId="359CFC4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In an agent-centric architecture, each participant may maintain a signed source chain representing its own actions, records, credentials, commitments, observations, and governance events.</w:t>
      </w:r>
    </w:p>
    <w:p w14:paraId="6288423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Shared data may be published, validated, retrieved, or referenced through distributed rules and application-specific validation logic.</w:t>
      </w:r>
    </w:p>
    <w:p w14:paraId="2061C1F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architecture is compatible with Prometheus because ecological truth is not a single global abstraction.</w:t>
      </w:r>
    </w:p>
    <w:p w14:paraId="615B66E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is generated through place, time, stewardship, method, evidence, and context.</w:t>
      </w:r>
    </w:p>
    <w:p w14:paraId="0A8809B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Agent-centric infrastructure may support:</w:t>
      </w:r>
    </w:p>
    <w:p w14:paraId="1FE9316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participant source-chain records;</w:t>
      </w:r>
      <w:r w:rsidRPr="00B479AE">
        <w:rPr>
          <w:rFonts w:ascii="Baskerville Old Face" w:hAnsi="Baskerville Old Face"/>
          <w:i/>
          <w:iCs/>
        </w:rPr>
        <w:br/>
        <w:t>• Access Covenant acceptance events;</w:t>
      </w:r>
      <w:r w:rsidRPr="00B479AE">
        <w:rPr>
          <w:rFonts w:ascii="Baskerville Old Face" w:hAnsi="Baskerville Old Face"/>
          <w:i/>
          <w:iCs/>
        </w:rPr>
        <w:br/>
        <w:t>• governance participation records;</w:t>
      </w:r>
      <w:r w:rsidRPr="00B479AE">
        <w:rPr>
          <w:rFonts w:ascii="Baskerville Old Face" w:hAnsi="Baskerville Old Face"/>
          <w:i/>
          <w:iCs/>
        </w:rPr>
        <w:br/>
        <w:t>• MRV submissions;</w:t>
      </w:r>
      <w:r w:rsidRPr="00B479AE">
        <w:rPr>
          <w:rFonts w:ascii="Baskerville Old Face" w:hAnsi="Baskerville Old Face"/>
          <w:i/>
          <w:iCs/>
        </w:rPr>
        <w:br/>
        <w:t>• operational events;</w:t>
      </w:r>
      <w:r w:rsidRPr="00B479AE">
        <w:rPr>
          <w:rFonts w:ascii="Baskerville Old Face" w:hAnsi="Baskerville Old Face"/>
          <w:i/>
          <w:iCs/>
        </w:rPr>
        <w:br/>
        <w:t xml:space="preserv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records;</w:t>
      </w:r>
      <w:r w:rsidRPr="00B479AE">
        <w:rPr>
          <w:rFonts w:ascii="Baskerville Old Face" w:hAnsi="Baskerville Old Face"/>
          <w:i/>
          <w:iCs/>
        </w:rPr>
        <w:br/>
        <w:t>• role and permission status;</w:t>
      </w:r>
      <w:r w:rsidRPr="00B479AE">
        <w:rPr>
          <w:rFonts w:ascii="Baskerville Old Face" w:hAnsi="Baskerville Old Face"/>
          <w:i/>
          <w:iCs/>
        </w:rPr>
        <w:br/>
        <w:t>• methodology version references;</w:t>
      </w:r>
      <w:r w:rsidRPr="00B479AE">
        <w:rPr>
          <w:rFonts w:ascii="Baskerville Old Face" w:hAnsi="Baskerville Old Face"/>
          <w:i/>
          <w:iCs/>
        </w:rPr>
        <w:br/>
        <w:t>• data provenance;</w:t>
      </w:r>
      <w:r w:rsidRPr="00B479AE">
        <w:rPr>
          <w:rFonts w:ascii="Baskerville Old Face" w:hAnsi="Baskerville Old Face"/>
          <w:i/>
          <w:iCs/>
        </w:rPr>
        <w:br/>
        <w:t>• validation outcomes;</w:t>
      </w:r>
      <w:r w:rsidRPr="00B479AE">
        <w:rPr>
          <w:rFonts w:ascii="Baskerville Old Face" w:hAnsi="Baskerville Old Face"/>
          <w:i/>
          <w:iCs/>
        </w:rPr>
        <w:br/>
        <w:t>• warrant or integrity signals where implemented;</w:t>
      </w:r>
      <w:r w:rsidRPr="00B479AE">
        <w:rPr>
          <w:rFonts w:ascii="Baskerville Old Face" w:hAnsi="Baskerville Old Face"/>
          <w:i/>
          <w:iCs/>
        </w:rPr>
        <w:br/>
        <w:t>• audit trails;</w:t>
      </w:r>
      <w:r w:rsidRPr="00B479AE">
        <w:rPr>
          <w:rFonts w:ascii="Baskerville Old Face" w:hAnsi="Baskerville Old Face"/>
          <w:i/>
          <w:iCs/>
        </w:rPr>
        <w:br/>
        <w:t>• revocation or suspension status where governed.</w:t>
      </w:r>
    </w:p>
    <w:p w14:paraId="501935A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However, agent-centric infrastructure does not by itself create financial rights, ecological value, investor entitlement, land rights, PRU value, or governance authority.</w:t>
      </w:r>
    </w:p>
    <w:p w14:paraId="722C1D7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creates a technical substrate for traceable, contextual, permissioned, and reviewable participation.</w:t>
      </w:r>
    </w:p>
    <w:p w14:paraId="217310E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source chain records what an agent did.</w:t>
      </w:r>
    </w:p>
    <w:p w14:paraId="565B7FD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The constitution defines whether the action is valid.</w:t>
      </w:r>
    </w:p>
    <w:p w14:paraId="0F44883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MRV determines whether evidence is admissible.</w:t>
      </w:r>
    </w:p>
    <w:p w14:paraId="532989E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Governance determines whether action is authorized.</w:t>
      </w:r>
    </w:p>
    <w:p w14:paraId="7B9C556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Legal instruments determine whether rights exist.</w:t>
      </w:r>
    </w:p>
    <w:p w14:paraId="1397914D"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12.3 Source-Chain Records and Constitutional Traceability</w:t>
      </w:r>
    </w:p>
    <w:p w14:paraId="38ADEDF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use signed records wherever traceability matters.</w:t>
      </w:r>
    </w:p>
    <w:p w14:paraId="038F296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signed record may include:</w:t>
      </w:r>
    </w:p>
    <w:p w14:paraId="2632F90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actor or agent identity;</w:t>
      </w:r>
      <w:r w:rsidRPr="00B479AE">
        <w:rPr>
          <w:rFonts w:ascii="Baskerville Old Face" w:hAnsi="Baskerville Old Face"/>
          <w:i/>
          <w:iCs/>
        </w:rPr>
        <w:br/>
        <w:t>• role or authority context;</w:t>
      </w:r>
      <w:r w:rsidRPr="00B479AE">
        <w:rPr>
          <w:rFonts w:ascii="Baskerville Old Face" w:hAnsi="Baskerville Old Face"/>
          <w:i/>
          <w:iCs/>
        </w:rPr>
        <w:br/>
        <w:t>• timestamp;</w:t>
      </w:r>
      <w:r w:rsidRPr="00B479AE">
        <w:rPr>
          <w:rFonts w:ascii="Baskerville Old Face" w:hAnsi="Baskerville Old Face"/>
          <w:i/>
          <w:iCs/>
        </w:rPr>
        <w:br/>
        <w:t>• action type;</w:t>
      </w:r>
      <w:r w:rsidRPr="00B479AE">
        <w:rPr>
          <w:rFonts w:ascii="Baskerville Old Face" w:hAnsi="Baskerville Old Face"/>
          <w:i/>
          <w:iCs/>
        </w:rPr>
        <w:br/>
        <w:t>• referenced methodology version;</w:t>
      </w:r>
      <w:r w:rsidRPr="00B479AE">
        <w:rPr>
          <w:rFonts w:ascii="Baskerville Old Face" w:hAnsi="Baskerville Old Face"/>
          <w:i/>
          <w:iCs/>
        </w:rPr>
        <w:br/>
        <w:t>• referenced constitutional or Covenant version;</w:t>
      </w:r>
      <w:r w:rsidRPr="00B479AE">
        <w:rPr>
          <w:rFonts w:ascii="Baskerville Old Face" w:hAnsi="Baskerville Old Face"/>
          <w:i/>
          <w:iCs/>
        </w:rPr>
        <w:br/>
        <w:t>• evidence reference;</w:t>
      </w:r>
      <w:r w:rsidRPr="00B479AE">
        <w:rPr>
          <w:rFonts w:ascii="Baskerville Old Face" w:hAnsi="Baskerville Old Face"/>
          <w:i/>
          <w:iCs/>
        </w:rPr>
        <w:br/>
        <w:t>• hash of associated document or dataset;</w:t>
      </w:r>
      <w:r w:rsidRPr="00B479AE">
        <w:rPr>
          <w:rFonts w:ascii="Baskerville Old Face" w:hAnsi="Baskerville Old Face"/>
          <w:i/>
          <w:iCs/>
        </w:rPr>
        <w:br/>
        <w:t>• location or site reference where relevant;</w:t>
      </w:r>
      <w:r w:rsidRPr="00B479AE">
        <w:rPr>
          <w:rFonts w:ascii="Baskerville Old Face" w:hAnsi="Baskerville Old Face"/>
          <w:i/>
          <w:iCs/>
        </w:rPr>
        <w:br/>
        <w:t>• access scope;</w:t>
      </w:r>
      <w:r w:rsidRPr="00B479AE">
        <w:rPr>
          <w:rFonts w:ascii="Baskerville Old Face" w:hAnsi="Baskerville Old Face"/>
          <w:i/>
          <w:iCs/>
        </w:rPr>
        <w:br/>
        <w:t>• permissions used;</w:t>
      </w:r>
      <w:r w:rsidRPr="00B479AE">
        <w:rPr>
          <w:rFonts w:ascii="Baskerville Old Face" w:hAnsi="Baskerville Old Face"/>
          <w:i/>
          <w:iCs/>
        </w:rPr>
        <w:br/>
        <w:t>• reviewer or validator reference where applicable;</w:t>
      </w:r>
      <w:r w:rsidRPr="00B479AE">
        <w:rPr>
          <w:rFonts w:ascii="Baskerville Old Face" w:hAnsi="Baskerville Old Face"/>
          <w:i/>
          <w:iCs/>
        </w:rPr>
        <w:br/>
        <w:t>• confidence or status field where relevant.</w:t>
      </w:r>
    </w:p>
    <w:p w14:paraId="0C88616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Such records may support:</w:t>
      </w:r>
    </w:p>
    <w:p w14:paraId="670C85E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Access Covenant traceability;</w:t>
      </w:r>
      <w:r w:rsidRPr="00B479AE">
        <w:rPr>
          <w:rFonts w:ascii="Baskerville Old Face" w:hAnsi="Baskerville Old Face"/>
          <w:i/>
          <w:iCs/>
        </w:rPr>
        <w:br/>
        <w:t>• eligibility status;</w:t>
      </w:r>
      <w:r w:rsidRPr="00B479AE">
        <w:rPr>
          <w:rFonts w:ascii="Baskerville Old Face" w:hAnsi="Baskerville Old Face"/>
          <w:i/>
          <w:iCs/>
        </w:rPr>
        <w:br/>
        <w:t>• governance decisions;</w:t>
      </w:r>
      <w:r w:rsidRPr="00B479AE">
        <w:rPr>
          <w:rFonts w:ascii="Baskerville Old Face" w:hAnsi="Baskerville Old Face"/>
          <w:i/>
          <w:iCs/>
        </w:rPr>
        <w:br/>
        <w:t>• operational events;</w:t>
      </w:r>
      <w:r w:rsidRPr="00B479AE">
        <w:rPr>
          <w:rFonts w:ascii="Baskerville Old Face" w:hAnsi="Baskerville Old Face"/>
          <w:i/>
          <w:iCs/>
        </w:rPr>
        <w:br/>
        <w:t>• MRV submissions;</w:t>
      </w:r>
      <w:r w:rsidRPr="00B479AE">
        <w:rPr>
          <w:rFonts w:ascii="Baskerville Old Face" w:hAnsi="Baskerville Old Face"/>
          <w:i/>
          <w:iCs/>
        </w:rPr>
        <w:br/>
        <w:t>• evidence provenance;</w:t>
      </w:r>
      <w:r w:rsidRPr="00B479AE">
        <w:rPr>
          <w:rFonts w:ascii="Baskerville Old Face" w:hAnsi="Baskerville Old Face"/>
          <w:i/>
          <w:iCs/>
        </w:rPr>
        <w:br/>
        <w:t>• PRU methodology references;</w:t>
      </w:r>
      <w:r w:rsidRPr="00B479AE">
        <w:rPr>
          <w:rFonts w:ascii="Baskerville Old Face" w:hAnsi="Baskerville Old Face"/>
          <w:i/>
          <w:iCs/>
        </w:rPr>
        <w:br/>
        <w:t>• auditability;</w:t>
      </w:r>
      <w:r w:rsidRPr="00B479AE">
        <w:rPr>
          <w:rFonts w:ascii="Baskerville Old Face" w:hAnsi="Baskerville Old Face"/>
          <w:i/>
          <w:iCs/>
        </w:rPr>
        <w:br/>
      </w:r>
      <w:r w:rsidRPr="00B479AE">
        <w:rPr>
          <w:rFonts w:ascii="Baskerville Old Face" w:hAnsi="Baskerville Old Face"/>
          <w:i/>
          <w:iCs/>
        </w:rPr>
        <w:lastRenderedPageBreak/>
        <w:t>• data-room formation;</w:t>
      </w:r>
      <w:r w:rsidRPr="00B479AE">
        <w:rPr>
          <w:rFonts w:ascii="Baskerville Old Face" w:hAnsi="Baskerville Old Face"/>
          <w:i/>
          <w:iCs/>
        </w:rPr>
        <w:br/>
        <w:t>• dispute reconstruction;</w:t>
      </w:r>
      <w:r w:rsidRPr="00B479AE">
        <w:rPr>
          <w:rFonts w:ascii="Baskerville Old Face" w:hAnsi="Baskerville Old Face"/>
          <w:i/>
          <w:iCs/>
        </w:rPr>
        <w:br/>
        <w:t>• institutional due diligence.</w:t>
      </w:r>
    </w:p>
    <w:p w14:paraId="667ABE1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objective is not theatrical immutability.</w:t>
      </w:r>
    </w:p>
    <w:p w14:paraId="0DDAA4B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objective is constitutional traceability.</w:t>
      </w:r>
    </w:p>
    <w:p w14:paraId="17EEA53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mature Prometheus system should be able to answer:</w:t>
      </w:r>
    </w:p>
    <w:p w14:paraId="39456F3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who acted;</w:t>
      </w:r>
      <w:r w:rsidRPr="00B479AE">
        <w:rPr>
          <w:rFonts w:ascii="Baskerville Old Face" w:hAnsi="Baskerville Old Face"/>
          <w:i/>
          <w:iCs/>
        </w:rPr>
        <w:br/>
        <w:t>under what authority;</w:t>
      </w:r>
      <w:r w:rsidRPr="00B479AE">
        <w:rPr>
          <w:rFonts w:ascii="Baskerville Old Face" w:hAnsi="Baskerville Old Face"/>
          <w:i/>
          <w:iCs/>
        </w:rPr>
        <w:br/>
        <w:t>according to which version;</w:t>
      </w:r>
      <w:r w:rsidRPr="00B479AE">
        <w:rPr>
          <w:rFonts w:ascii="Baskerville Old Face" w:hAnsi="Baskerville Old Face"/>
          <w:i/>
          <w:iCs/>
        </w:rPr>
        <w:br/>
        <w:t>with what evidence;</w:t>
      </w:r>
      <w:r w:rsidRPr="00B479AE">
        <w:rPr>
          <w:rFonts w:ascii="Baskerville Old Face" w:hAnsi="Baskerville Old Face"/>
          <w:i/>
          <w:iCs/>
        </w:rPr>
        <w:br/>
        <w:t>under what method;</w:t>
      </w:r>
      <w:r w:rsidRPr="00B479AE">
        <w:rPr>
          <w:rFonts w:ascii="Baskerville Old Face" w:hAnsi="Baskerville Old Face"/>
          <w:i/>
          <w:iCs/>
        </w:rPr>
        <w:br/>
        <w:t>with what confidence;</w:t>
      </w:r>
      <w:r w:rsidRPr="00B479AE">
        <w:rPr>
          <w:rFonts w:ascii="Baskerville Old Face" w:hAnsi="Baskerville Old Face"/>
          <w:i/>
          <w:iCs/>
        </w:rPr>
        <w:br/>
        <w:t>with what review status;</w:t>
      </w:r>
      <w:r w:rsidRPr="00B479AE">
        <w:rPr>
          <w:rFonts w:ascii="Baskerville Old Face" w:hAnsi="Baskerville Old Face"/>
          <w:i/>
          <w:iCs/>
        </w:rPr>
        <w:br/>
        <w:t>with what consequence.</w:t>
      </w:r>
    </w:p>
    <w:p w14:paraId="37C9A12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That is the technical spine of institutional trust.</w:t>
      </w:r>
    </w:p>
    <w:p w14:paraId="1D00BCE3"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12.4 Permission Architecture</w:t>
      </w:r>
    </w:p>
    <w:p w14:paraId="405B098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implement permissions as role-scoped, risk-sensitive, and Covenant-dependent.</w:t>
      </w:r>
    </w:p>
    <w:p w14:paraId="7F8A9C8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 participant should receive undefined access.</w:t>
      </w:r>
    </w:p>
    <w:p w14:paraId="03A397E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Permissions should distinguish among:</w:t>
      </w:r>
    </w:p>
    <w:p w14:paraId="3607168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learning access;</w:t>
      </w:r>
      <w:r w:rsidRPr="00B479AE">
        <w:rPr>
          <w:rFonts w:ascii="Baskerville Old Face" w:hAnsi="Baskerville Old Face"/>
          <w:i/>
          <w:iCs/>
        </w:rPr>
        <w:br/>
        <w:t>• community access;</w:t>
      </w:r>
      <w:r w:rsidRPr="00B479AE">
        <w:rPr>
          <w:rFonts w:ascii="Baskerville Old Face" w:hAnsi="Baskerville Old Face"/>
          <w:i/>
          <w:iCs/>
        </w:rPr>
        <w:br/>
        <w:t>• governance access;</w:t>
      </w:r>
      <w:r w:rsidRPr="00B479AE">
        <w:rPr>
          <w:rFonts w:ascii="Baskerville Old Face" w:hAnsi="Baskerville Old Face"/>
          <w:i/>
          <w:iCs/>
        </w:rPr>
        <w:br/>
        <w:t>• operational access;</w:t>
      </w:r>
      <w:r w:rsidRPr="00B479AE">
        <w:rPr>
          <w:rFonts w:ascii="Baskerville Old Face" w:hAnsi="Baskerville Old Face"/>
          <w:i/>
          <w:iCs/>
        </w:rPr>
        <w:br/>
        <w:t>• MRV submission access;</w:t>
      </w:r>
      <w:r w:rsidRPr="00B479AE">
        <w:rPr>
          <w:rFonts w:ascii="Baskerville Old Face" w:hAnsi="Baskerville Old Face"/>
          <w:i/>
          <w:iCs/>
        </w:rPr>
        <w:br/>
        <w:t>• MRV validation access;</w:t>
      </w:r>
      <w:r w:rsidRPr="00B479AE">
        <w:rPr>
          <w:rFonts w:ascii="Baskerville Old Face" w:hAnsi="Baskerville Old Face"/>
          <w:i/>
          <w:iCs/>
        </w:rPr>
        <w:br/>
        <w:t>• data-room access;</w:t>
      </w:r>
      <w:r w:rsidRPr="00B479AE">
        <w:rPr>
          <w:rFonts w:ascii="Baskerville Old Face" w:hAnsi="Baskerville Old Face"/>
          <w:i/>
          <w:iCs/>
        </w:rPr>
        <w:br/>
        <w:t>• technical administration;</w:t>
      </w:r>
      <w:r w:rsidRPr="00B479AE">
        <w:rPr>
          <w:rFonts w:ascii="Baskerville Old Face" w:hAnsi="Baskerville Old Face"/>
          <w:i/>
          <w:iCs/>
        </w:rPr>
        <w:br/>
        <w:t>• API access;</w:t>
      </w:r>
      <w:r w:rsidRPr="00B479AE">
        <w:rPr>
          <w:rFonts w:ascii="Baskerville Old Face" w:hAnsi="Baskerville Old Face"/>
          <w:i/>
          <w:iCs/>
        </w:rPr>
        <w:br/>
      </w:r>
      <w:r w:rsidRPr="00B479AE">
        <w:rPr>
          <w:rFonts w:ascii="Baskerville Old Face" w:hAnsi="Baskerville Old Face"/>
          <w:i/>
          <w:iCs/>
        </w:rPr>
        <w:lastRenderedPageBreak/>
        <w:t>• capital-facing access;</w:t>
      </w:r>
      <w:r w:rsidRPr="00B479AE">
        <w:rPr>
          <w:rFonts w:ascii="Baskerville Old Face" w:hAnsi="Baskerville Old Face"/>
          <w:i/>
          <w:iCs/>
        </w:rPr>
        <w:br/>
        <w:t>• institutional reporting access;</w:t>
      </w:r>
      <w:r w:rsidRPr="00B479AE">
        <w:rPr>
          <w:rFonts w:ascii="Baskerville Old Face" w:hAnsi="Baskerville Old Face"/>
          <w:i/>
          <w:iCs/>
        </w:rPr>
        <w:br/>
        <w:t>• token-mediated participation where legally and technically available;</w:t>
      </w:r>
      <w:r w:rsidRPr="00B479AE">
        <w:rPr>
          <w:rFonts w:ascii="Baskerville Old Face" w:hAnsi="Baskerville Old Face"/>
          <w:i/>
          <w:iCs/>
        </w:rPr>
        <w:br/>
        <w:t>• constitutional review access.</w:t>
      </w:r>
    </w:p>
    <w:p w14:paraId="48F7962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Each permission should be linked to:</w:t>
      </w:r>
    </w:p>
    <w:p w14:paraId="5D47311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Access Covenant status;</w:t>
      </w:r>
      <w:r w:rsidRPr="00B479AE">
        <w:rPr>
          <w:rFonts w:ascii="Baskerville Old Face" w:hAnsi="Baskerville Old Face"/>
          <w:i/>
          <w:iCs/>
        </w:rPr>
        <w:br/>
        <w:t>• eligibility category;</w:t>
      </w:r>
      <w:r w:rsidRPr="00B479AE">
        <w:rPr>
          <w:rFonts w:ascii="Baskerville Old Face" w:hAnsi="Baskerville Old Face"/>
          <w:i/>
          <w:iCs/>
        </w:rPr>
        <w:br/>
        <w:t>• role;</w:t>
      </w:r>
      <w:r w:rsidRPr="00B479AE">
        <w:rPr>
          <w:rFonts w:ascii="Baskerville Old Face" w:hAnsi="Baskerville Old Face"/>
          <w:i/>
          <w:iCs/>
        </w:rPr>
        <w:br/>
        <w:t>• scope;</w:t>
      </w:r>
      <w:r w:rsidRPr="00B479AE">
        <w:rPr>
          <w:rFonts w:ascii="Baskerville Old Face" w:hAnsi="Baskerville Old Face"/>
          <w:i/>
          <w:iCs/>
        </w:rPr>
        <w:br/>
        <w:t>• expiration or review date where relevant;</w:t>
      </w:r>
      <w:r w:rsidRPr="00B479AE">
        <w:rPr>
          <w:rFonts w:ascii="Baskerville Old Face" w:hAnsi="Baskerville Old Face"/>
          <w:i/>
          <w:iCs/>
        </w:rPr>
        <w:br/>
        <w:t>• restrictions;</w:t>
      </w:r>
      <w:r w:rsidRPr="00B479AE">
        <w:rPr>
          <w:rFonts w:ascii="Baskerville Old Face" w:hAnsi="Baskerville Old Face"/>
          <w:i/>
          <w:iCs/>
        </w:rPr>
        <w:br/>
        <w:t>• escalation pathway;</w:t>
      </w:r>
      <w:r w:rsidRPr="00B479AE">
        <w:rPr>
          <w:rFonts w:ascii="Baskerville Old Face" w:hAnsi="Baskerville Old Face"/>
          <w:i/>
          <w:iCs/>
        </w:rPr>
        <w:br/>
        <w:t>• revocation pathway;</w:t>
      </w:r>
      <w:r w:rsidRPr="00B479AE">
        <w:rPr>
          <w:rFonts w:ascii="Baskerville Old Face" w:hAnsi="Baskerville Old Face"/>
          <w:i/>
          <w:iCs/>
        </w:rPr>
        <w:br/>
        <w:t>• audit log.</w:t>
      </w:r>
    </w:p>
    <w:p w14:paraId="0F33865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follow least-privilege design.</w:t>
      </w:r>
    </w:p>
    <w:p w14:paraId="46B6886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participant should hold only the permissions required for the role actually granted.</w:t>
      </w:r>
    </w:p>
    <w:p w14:paraId="639BE9D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community role does not automatically create Prometheus authority.</w:t>
      </w:r>
    </w:p>
    <w:p w14:paraId="6F66410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token status does not automatically create governance authority.</w:t>
      </w:r>
    </w:p>
    <w:p w14:paraId="40D8BF2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technical administrator does not automatically create constitutional authority.</w:t>
      </w:r>
    </w:p>
    <w:p w14:paraId="5629CAF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capital allocator does not automatically create data-room or investor-facing authority.</w:t>
      </w:r>
    </w:p>
    <w:p w14:paraId="1C5CBF2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permission system exists to prevent category collapse from becoming execution.</w:t>
      </w:r>
    </w:p>
    <w:p w14:paraId="1389AC4F"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12.5 Constitutional Policy Engine</w:t>
      </w:r>
    </w:p>
    <w:p w14:paraId="23A412C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mature Prometheus implementation may include a constitutional policy engine.</w:t>
      </w:r>
    </w:p>
    <w:p w14:paraId="6870A84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policy engine does not replace the constitution.</w:t>
      </w:r>
    </w:p>
    <w:p w14:paraId="44F51CD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operationalizes selected constraints.</w:t>
      </w:r>
    </w:p>
    <w:p w14:paraId="0A60248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evaluate whether a requested action is compatible with:</w:t>
      </w:r>
    </w:p>
    <w:p w14:paraId="2566CA6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 Access Covenant status;</w:t>
      </w:r>
      <w:r w:rsidRPr="00B479AE">
        <w:rPr>
          <w:rFonts w:ascii="Baskerville Old Face" w:hAnsi="Baskerville Old Face"/>
          <w:i/>
          <w:iCs/>
        </w:rPr>
        <w:br/>
        <w:t>• eligibility status;</w:t>
      </w:r>
      <w:r w:rsidRPr="00B479AE">
        <w:rPr>
          <w:rFonts w:ascii="Baskerville Old Face" w:hAnsi="Baskerville Old Face"/>
          <w:i/>
          <w:iCs/>
        </w:rPr>
        <w:br/>
        <w:t>• role authority;</w:t>
      </w:r>
      <w:r w:rsidRPr="00B479AE">
        <w:rPr>
          <w:rFonts w:ascii="Baskerville Old Face" w:hAnsi="Baskerville Old Face"/>
          <w:i/>
          <w:iCs/>
        </w:rPr>
        <w:br/>
        <w:t>• permission scope;</w:t>
      </w:r>
      <w:r w:rsidRPr="00B479AE">
        <w:rPr>
          <w:rFonts w:ascii="Baskerville Old Face" w:hAnsi="Baskerville Old Face"/>
          <w:i/>
          <w:iCs/>
        </w:rPr>
        <w:br/>
        <w:t>• methodology version;</w:t>
      </w:r>
      <w:r w:rsidRPr="00B479AE">
        <w:rPr>
          <w:rFonts w:ascii="Baskerville Old Face" w:hAnsi="Baskerville Old Face"/>
          <w:i/>
          <w:iCs/>
        </w:rPr>
        <w:br/>
        <w:t>• MRV admissibility status;</w:t>
      </w:r>
      <w:r w:rsidRPr="00B479AE">
        <w:rPr>
          <w:rFonts w:ascii="Baskerville Old Face" w:hAnsi="Baskerville Old Face"/>
          <w:i/>
          <w:iCs/>
        </w:rPr>
        <w:br/>
        <w:t>• PRU / RAP boundary;</w:t>
      </w:r>
      <w:r w:rsidRPr="00B479AE">
        <w:rPr>
          <w:rFonts w:ascii="Baskerville Old Face" w:hAnsi="Baskerville Old Face"/>
          <w:i/>
          <w:iCs/>
        </w:rPr>
        <w:br/>
        <w:t>• token boundary;</w:t>
      </w:r>
      <w:r w:rsidRPr="00B479AE">
        <w:rPr>
          <w:rFonts w:ascii="Baskerville Old Face" w:hAnsi="Baskerville Old Face"/>
          <w:i/>
          <w:iCs/>
        </w:rPr>
        <w:br/>
        <w:t>• data-access rules;</w:t>
      </w:r>
      <w:r w:rsidRPr="00B479AE">
        <w:rPr>
          <w:rFonts w:ascii="Baskerville Old Face" w:hAnsi="Baskerville Old Face"/>
          <w:i/>
          <w:iCs/>
        </w:rPr>
        <w:br/>
        <w:t>• legal-review requirements;</w:t>
      </w:r>
      <w:r w:rsidRPr="00B479AE">
        <w:rPr>
          <w:rFonts w:ascii="Baskerville Old Face" w:hAnsi="Baskerville Old Face"/>
          <w:i/>
          <w:iCs/>
        </w:rPr>
        <w:br/>
        <w:t>• governance-review requirements;</w:t>
      </w:r>
      <w:r w:rsidRPr="00B479AE">
        <w:rPr>
          <w:rFonts w:ascii="Baskerville Old Face" w:hAnsi="Baskerville Old Face"/>
          <w:i/>
          <w:iCs/>
        </w:rPr>
        <w:br/>
        <w:t>• emergency limitations;</w:t>
      </w:r>
      <w:r w:rsidRPr="00B479AE">
        <w:rPr>
          <w:rFonts w:ascii="Baskerville Old Face" w:hAnsi="Baskerville Old Face"/>
          <w:i/>
          <w:iCs/>
        </w:rPr>
        <w:br/>
        <w:t>• non-admissibility flags;</w:t>
      </w:r>
      <w:r w:rsidRPr="00B479AE">
        <w:rPr>
          <w:rFonts w:ascii="Baskerville Old Face" w:hAnsi="Baskerville Old Face"/>
          <w:i/>
          <w:iCs/>
        </w:rPr>
        <w:br/>
        <w:t>• quarantine status.</w:t>
      </w:r>
    </w:p>
    <w:p w14:paraId="7370A0F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Possible policy outcomes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6908"/>
      </w:tblGrid>
      <w:tr w:rsidR="00495E1A" w:rsidRPr="00B479AE" w14:paraId="53074CA1" w14:textId="77777777" w:rsidTr="00495E1A">
        <w:trPr>
          <w:tblHeader/>
          <w:tblCellSpacing w:w="15" w:type="dxa"/>
        </w:trPr>
        <w:tc>
          <w:tcPr>
            <w:tcW w:w="0" w:type="auto"/>
            <w:vAlign w:val="center"/>
            <w:hideMark/>
          </w:tcPr>
          <w:p w14:paraId="42DB4C97"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Policy outcome</w:t>
            </w:r>
          </w:p>
        </w:tc>
        <w:tc>
          <w:tcPr>
            <w:tcW w:w="0" w:type="auto"/>
            <w:vAlign w:val="center"/>
            <w:hideMark/>
          </w:tcPr>
          <w:p w14:paraId="72160D40"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495E1A" w:rsidRPr="00B479AE" w14:paraId="43947386" w14:textId="77777777" w:rsidTr="00495E1A">
        <w:trPr>
          <w:tblCellSpacing w:w="15" w:type="dxa"/>
        </w:trPr>
        <w:tc>
          <w:tcPr>
            <w:tcW w:w="0" w:type="auto"/>
            <w:vAlign w:val="center"/>
            <w:hideMark/>
          </w:tcPr>
          <w:p w14:paraId="5A13AA6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Allow</w:t>
            </w:r>
          </w:p>
        </w:tc>
        <w:tc>
          <w:tcPr>
            <w:tcW w:w="0" w:type="auto"/>
            <w:vAlign w:val="center"/>
            <w:hideMark/>
          </w:tcPr>
          <w:p w14:paraId="3F7D4387"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is within current permissions and constraints.</w:t>
            </w:r>
          </w:p>
        </w:tc>
      </w:tr>
      <w:tr w:rsidR="00495E1A" w:rsidRPr="00B479AE" w14:paraId="7009DBB2" w14:textId="77777777" w:rsidTr="00495E1A">
        <w:trPr>
          <w:tblCellSpacing w:w="15" w:type="dxa"/>
        </w:trPr>
        <w:tc>
          <w:tcPr>
            <w:tcW w:w="0" w:type="auto"/>
            <w:vAlign w:val="center"/>
            <w:hideMark/>
          </w:tcPr>
          <w:p w14:paraId="3120C195"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Allow with logging</w:t>
            </w:r>
          </w:p>
        </w:tc>
        <w:tc>
          <w:tcPr>
            <w:tcW w:w="0" w:type="auto"/>
            <w:vAlign w:val="center"/>
            <w:hideMark/>
          </w:tcPr>
          <w:p w14:paraId="50AF4C2B"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may proceed but must be recorded.</w:t>
            </w:r>
          </w:p>
        </w:tc>
      </w:tr>
      <w:tr w:rsidR="00495E1A" w:rsidRPr="00B479AE" w14:paraId="0BAAA0F2" w14:textId="77777777" w:rsidTr="00495E1A">
        <w:trPr>
          <w:tblCellSpacing w:w="15" w:type="dxa"/>
        </w:trPr>
        <w:tc>
          <w:tcPr>
            <w:tcW w:w="0" w:type="auto"/>
            <w:vAlign w:val="center"/>
            <w:hideMark/>
          </w:tcPr>
          <w:p w14:paraId="453E1FD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Allow with review flag</w:t>
            </w:r>
          </w:p>
        </w:tc>
        <w:tc>
          <w:tcPr>
            <w:tcW w:w="0" w:type="auto"/>
            <w:vAlign w:val="center"/>
            <w:hideMark/>
          </w:tcPr>
          <w:p w14:paraId="7B5875C3"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may proceed but requires subsequent review.</w:t>
            </w:r>
          </w:p>
        </w:tc>
      </w:tr>
      <w:tr w:rsidR="00495E1A" w:rsidRPr="00B479AE" w14:paraId="7C0F81E3" w14:textId="77777777" w:rsidTr="00495E1A">
        <w:trPr>
          <w:tblCellSpacing w:w="15" w:type="dxa"/>
        </w:trPr>
        <w:tc>
          <w:tcPr>
            <w:tcW w:w="0" w:type="auto"/>
            <w:vAlign w:val="center"/>
            <w:hideMark/>
          </w:tcPr>
          <w:p w14:paraId="2BED14FE"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Manual review required</w:t>
            </w:r>
          </w:p>
        </w:tc>
        <w:tc>
          <w:tcPr>
            <w:tcW w:w="0" w:type="auto"/>
            <w:vAlign w:val="center"/>
            <w:hideMark/>
          </w:tcPr>
          <w:p w14:paraId="414B2D23"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cannot proceed until reviewed.</w:t>
            </w:r>
          </w:p>
        </w:tc>
      </w:tr>
      <w:tr w:rsidR="00495E1A" w:rsidRPr="00B479AE" w14:paraId="6237AFA6" w14:textId="77777777" w:rsidTr="00495E1A">
        <w:trPr>
          <w:tblCellSpacing w:w="15" w:type="dxa"/>
        </w:trPr>
        <w:tc>
          <w:tcPr>
            <w:tcW w:w="0" w:type="auto"/>
            <w:vAlign w:val="center"/>
            <w:hideMark/>
          </w:tcPr>
          <w:p w14:paraId="79F6CA10"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w:t>
            </w:r>
          </w:p>
        </w:tc>
        <w:tc>
          <w:tcPr>
            <w:tcW w:w="0" w:type="auto"/>
            <w:vAlign w:val="center"/>
            <w:hideMark/>
          </w:tcPr>
          <w:p w14:paraId="0BB2B78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is outside current scope.</w:t>
            </w:r>
          </w:p>
        </w:tc>
      </w:tr>
      <w:tr w:rsidR="00495E1A" w:rsidRPr="00B479AE" w14:paraId="4F5670FD" w14:textId="77777777" w:rsidTr="00495E1A">
        <w:trPr>
          <w:tblCellSpacing w:w="15" w:type="dxa"/>
        </w:trPr>
        <w:tc>
          <w:tcPr>
            <w:tcW w:w="0" w:type="auto"/>
            <w:vAlign w:val="center"/>
            <w:hideMark/>
          </w:tcPr>
          <w:p w14:paraId="0D5A6BF1"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Rejected</w:t>
            </w:r>
          </w:p>
        </w:tc>
        <w:tc>
          <w:tcPr>
            <w:tcW w:w="0" w:type="auto"/>
            <w:vAlign w:val="center"/>
            <w:hideMark/>
          </w:tcPr>
          <w:p w14:paraId="60EBC0F5"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violates a rule or permission boundary.</w:t>
            </w:r>
          </w:p>
        </w:tc>
      </w:tr>
      <w:tr w:rsidR="00495E1A" w:rsidRPr="00B479AE" w14:paraId="1AEFF6CF" w14:textId="77777777" w:rsidTr="00495E1A">
        <w:trPr>
          <w:tblCellSpacing w:w="15" w:type="dxa"/>
        </w:trPr>
        <w:tc>
          <w:tcPr>
            <w:tcW w:w="0" w:type="auto"/>
            <w:vAlign w:val="center"/>
            <w:hideMark/>
          </w:tcPr>
          <w:p w14:paraId="423968A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Quarantined</w:t>
            </w:r>
          </w:p>
        </w:tc>
        <w:tc>
          <w:tcPr>
            <w:tcW w:w="0" w:type="auto"/>
            <w:vAlign w:val="center"/>
            <w:hideMark/>
          </w:tcPr>
          <w:p w14:paraId="2F70F190"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or record is isolated due to serious risk.</w:t>
            </w:r>
          </w:p>
        </w:tc>
      </w:tr>
      <w:tr w:rsidR="00495E1A" w:rsidRPr="00B479AE" w14:paraId="6EEE6F9A" w14:textId="77777777" w:rsidTr="00495E1A">
        <w:trPr>
          <w:tblCellSpacing w:w="15" w:type="dxa"/>
        </w:trPr>
        <w:tc>
          <w:tcPr>
            <w:tcW w:w="0" w:type="auto"/>
            <w:vAlign w:val="center"/>
            <w:hideMark/>
          </w:tcPr>
          <w:p w14:paraId="02DC205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Escalated</w:t>
            </w:r>
          </w:p>
        </w:tc>
        <w:tc>
          <w:tcPr>
            <w:tcW w:w="0" w:type="auto"/>
            <w:vAlign w:val="center"/>
            <w:hideMark/>
          </w:tcPr>
          <w:p w14:paraId="51D18BD6"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is routed to governance, legal, MRV, technical, or constitutional review.</w:t>
            </w:r>
          </w:p>
        </w:tc>
      </w:tr>
    </w:tbl>
    <w:p w14:paraId="4C3C562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policy engine may support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41C16BD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not become sovereign.</w:t>
      </w:r>
    </w:p>
    <w:p w14:paraId="3452B28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Where interpretation is required, the matter must route to the correct review pathway.</w:t>
      </w:r>
    </w:p>
    <w:p w14:paraId="5245D5F5"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12.6 Constitutional Header and Release Anchoring</w:t>
      </w:r>
    </w:p>
    <w:p w14:paraId="6CDF97E4" w14:textId="5DBEB480"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may use a constitutional header or equivalent metadata structure to anchor software modules, data packages, methodologies, workflows, connectors, and governed components to canonical constitutional versions.</w:t>
      </w:r>
      <w:r w:rsidR="0016340F" w:rsidRPr="00B479AE">
        <w:rPr>
          <w:rFonts w:ascii="Baskerville Old Face" w:hAnsi="Baskerville Old Face"/>
          <w:i/>
          <w:iCs/>
        </w:rPr>
        <w:t xml:space="preserve"> </w:t>
      </w:r>
      <w:r w:rsidRPr="00B479AE">
        <w:rPr>
          <w:rFonts w:ascii="Baskerville Old Face" w:hAnsi="Baskerville Old Face"/>
          <w:i/>
          <w:iCs/>
        </w:rPr>
        <w:t>This header may include:</w:t>
      </w:r>
    </w:p>
    <w:p w14:paraId="58D307F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component name;</w:t>
      </w:r>
      <w:r w:rsidRPr="00B479AE">
        <w:rPr>
          <w:rFonts w:ascii="Baskerville Old Face" w:hAnsi="Baskerville Old Face"/>
          <w:i/>
          <w:iCs/>
        </w:rPr>
        <w:br/>
        <w:t>• component type;</w:t>
      </w:r>
      <w:r w:rsidRPr="00B479AE">
        <w:rPr>
          <w:rFonts w:ascii="Baskerville Old Face" w:hAnsi="Baskerville Old Face"/>
          <w:i/>
          <w:iCs/>
        </w:rPr>
        <w:br/>
        <w:t>• version;</w:t>
      </w:r>
      <w:r w:rsidRPr="00B479AE">
        <w:rPr>
          <w:rFonts w:ascii="Baskerville Old Face" w:hAnsi="Baskerville Old Face"/>
          <w:i/>
          <w:iCs/>
        </w:rPr>
        <w:br/>
        <w:t>• hash of relevant constitutional text or release manifest;</w:t>
      </w:r>
      <w:r w:rsidRPr="00B479AE">
        <w:rPr>
          <w:rFonts w:ascii="Baskerville Old Face" w:hAnsi="Baskerville Old Face"/>
          <w:i/>
          <w:iCs/>
        </w:rPr>
        <w:br/>
        <w:t>• Access Covenant version reference;</w:t>
      </w:r>
      <w:r w:rsidRPr="00B479AE">
        <w:rPr>
          <w:rFonts w:ascii="Baskerville Old Face" w:hAnsi="Baskerville Old Face"/>
          <w:i/>
          <w:iCs/>
        </w:rPr>
        <w:br/>
        <w:t>• methodology version reference;</w:t>
      </w:r>
      <w:r w:rsidRPr="00B479AE">
        <w:rPr>
          <w:rFonts w:ascii="Baskerville Old Face" w:hAnsi="Baskerville Old Face"/>
          <w:i/>
          <w:iCs/>
        </w:rPr>
        <w:br/>
        <w:t>• developer or maintainer identity;</w:t>
      </w:r>
      <w:r w:rsidRPr="00B479AE">
        <w:rPr>
          <w:rFonts w:ascii="Baskerville Old Face" w:hAnsi="Baskerville Old Face"/>
          <w:i/>
          <w:iCs/>
        </w:rPr>
        <w:br/>
        <w:t>• signature;</w:t>
      </w:r>
      <w:r w:rsidRPr="00B479AE">
        <w:rPr>
          <w:rFonts w:ascii="Baskerville Old Face" w:hAnsi="Baskerville Old Face"/>
          <w:i/>
          <w:iCs/>
        </w:rPr>
        <w:br/>
        <w:t>• dependency list;</w:t>
      </w:r>
      <w:r w:rsidRPr="00B479AE">
        <w:rPr>
          <w:rFonts w:ascii="Baskerville Old Face" w:hAnsi="Baskerville Old Face"/>
          <w:i/>
          <w:iCs/>
        </w:rPr>
        <w:br/>
        <w:t>• permission class;</w:t>
      </w:r>
      <w:r w:rsidRPr="00B479AE">
        <w:rPr>
          <w:rFonts w:ascii="Baskerville Old Face" w:hAnsi="Baskerville Old Face"/>
          <w:i/>
          <w:iCs/>
        </w:rPr>
        <w:br/>
        <w:t>• risk class;</w:t>
      </w:r>
      <w:r w:rsidRPr="00B479AE">
        <w:rPr>
          <w:rFonts w:ascii="Baskerville Old Face" w:hAnsi="Baskerville Old Face"/>
          <w:i/>
          <w:iCs/>
        </w:rPr>
        <w:br/>
        <w:t>• audit status;</w:t>
      </w:r>
      <w:r w:rsidRPr="00B479AE">
        <w:rPr>
          <w:rFonts w:ascii="Baskerville Old Face" w:hAnsi="Baskerville Old Face"/>
          <w:i/>
          <w:iCs/>
        </w:rPr>
        <w:br/>
        <w:t>• deployment status;</w:t>
      </w:r>
      <w:r w:rsidRPr="00B479AE">
        <w:rPr>
          <w:rFonts w:ascii="Baskerville Old Face" w:hAnsi="Baskerville Old Face"/>
          <w:i/>
          <w:iCs/>
        </w:rPr>
        <w:br/>
        <w:t>• allowed execution scope;</w:t>
      </w:r>
      <w:r w:rsidRPr="00B479AE">
        <w:rPr>
          <w:rFonts w:ascii="Baskerville Old Face" w:hAnsi="Baskerville Old Face"/>
          <w:i/>
          <w:iCs/>
        </w:rPr>
        <w:br/>
        <w:t>• rollback reference;</w:t>
      </w:r>
      <w:r w:rsidRPr="00B479AE">
        <w:rPr>
          <w:rFonts w:ascii="Baskerville Old Face" w:hAnsi="Baskerville Old Face"/>
          <w:i/>
          <w:iCs/>
        </w:rPr>
        <w:br/>
        <w:t>• canonical release identifier.</w:t>
      </w:r>
    </w:p>
    <w:p w14:paraId="32E5EF4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header’s purpose is to support:</w:t>
      </w:r>
    </w:p>
    <w:p w14:paraId="3A19D22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version discipline;</w:t>
      </w:r>
      <w:r w:rsidRPr="00B479AE">
        <w:rPr>
          <w:rFonts w:ascii="Baskerville Old Face" w:hAnsi="Baskerville Old Face"/>
          <w:i/>
          <w:iCs/>
        </w:rPr>
        <w:br/>
        <w:t>• tamper detection;</w:t>
      </w:r>
      <w:r w:rsidRPr="00B479AE">
        <w:rPr>
          <w:rFonts w:ascii="Baskerville Old Face" w:hAnsi="Baskerville Old Face"/>
          <w:i/>
          <w:iCs/>
        </w:rPr>
        <w:br/>
        <w:t>• release integrity;</w:t>
      </w:r>
      <w:r w:rsidRPr="00B479AE">
        <w:rPr>
          <w:rFonts w:ascii="Baskerville Old Face" w:hAnsi="Baskerville Old Face"/>
          <w:i/>
          <w:iCs/>
        </w:rPr>
        <w:br/>
        <w:t>• methodology traceability;</w:t>
      </w:r>
      <w:r w:rsidRPr="00B479AE">
        <w:rPr>
          <w:rFonts w:ascii="Baskerville Old Face" w:hAnsi="Baskerville Old Face"/>
          <w:i/>
          <w:iCs/>
        </w:rPr>
        <w:br/>
        <w:t>• dependency review;</w:t>
      </w:r>
      <w:r w:rsidRPr="00B479AE">
        <w:rPr>
          <w:rFonts w:ascii="Baskerville Old Face" w:hAnsi="Baskerville Old Face"/>
          <w:i/>
          <w:iCs/>
        </w:rPr>
        <w:br/>
        <w:t>• permission gating;</w:t>
      </w:r>
      <w:r w:rsidRPr="00B479AE">
        <w:rPr>
          <w:rFonts w:ascii="Baskerville Old Face" w:hAnsi="Baskerville Old Face"/>
          <w:i/>
          <w:iCs/>
        </w:rPr>
        <w:br/>
        <w:t>• auditability;</w:t>
      </w:r>
      <w:r w:rsidRPr="00B479AE">
        <w:rPr>
          <w:rFonts w:ascii="Baskerville Old Face" w:hAnsi="Baskerville Old Face"/>
          <w:i/>
          <w:iCs/>
        </w:rPr>
        <w:br/>
        <w:t>• controlled deployment.</w:t>
      </w:r>
    </w:p>
    <w:p w14:paraId="0BA128E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If a header is missing, invalid, outdated, inconsistent, or unauthorized, the system may:</w:t>
      </w:r>
    </w:p>
    <w:p w14:paraId="40ABA30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refuse execution where technically implemented;</w:t>
      </w:r>
      <w:r w:rsidRPr="00B479AE">
        <w:rPr>
          <w:rFonts w:ascii="Baskerville Old Face" w:hAnsi="Baskerville Old Face"/>
          <w:i/>
          <w:iCs/>
        </w:rPr>
        <w:br/>
        <w:t>• require manual review;</w:t>
      </w:r>
      <w:r w:rsidRPr="00B479AE">
        <w:rPr>
          <w:rFonts w:ascii="Baskerville Old Face" w:hAnsi="Baskerville Old Face"/>
          <w:i/>
          <w:iCs/>
        </w:rPr>
        <w:br/>
        <w:t>• restrict deployment;</w:t>
      </w:r>
      <w:r w:rsidRPr="00B479AE">
        <w:rPr>
          <w:rFonts w:ascii="Baskerville Old Face" w:hAnsi="Baskerville Old Face"/>
          <w:i/>
          <w:iCs/>
        </w:rPr>
        <w:br/>
        <w:t>• flag the component;</w:t>
      </w:r>
      <w:r w:rsidRPr="00B479AE">
        <w:rPr>
          <w:rFonts w:ascii="Baskerville Old Face" w:hAnsi="Baskerville Old Face"/>
          <w:i/>
          <w:iCs/>
        </w:rPr>
        <w:br/>
        <w:t>• quarantine the component;</w:t>
      </w:r>
      <w:r w:rsidRPr="00B479AE">
        <w:rPr>
          <w:rFonts w:ascii="Baskerville Old Face" w:hAnsi="Baskerville Old Face"/>
          <w:i/>
          <w:iCs/>
        </w:rPr>
        <w:br/>
        <w:t>• route to technical or governance review;</w:t>
      </w:r>
      <w:r w:rsidRPr="00B479AE">
        <w:rPr>
          <w:rFonts w:ascii="Baskerville Old Face" w:hAnsi="Baskerville Old Face"/>
          <w:i/>
          <w:iCs/>
        </w:rPr>
        <w:br/>
        <w:t>• trigger rollback where appropriate.</w:t>
      </w:r>
    </w:p>
    <w:p w14:paraId="139A0D5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avoid unsupported claims that every node automatically validates every module in every context unless such behavior is actually implemented.</w:t>
      </w:r>
    </w:p>
    <w:p w14:paraId="17FEE5F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correct claim is narrower and stronger:</w:t>
      </w:r>
    </w:p>
    <w:p w14:paraId="28C8743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xml:space="preserve">constitutional metadata should make unauthorized execution detectable, </w:t>
      </w:r>
      <w:proofErr w:type="spellStart"/>
      <w:r w:rsidRPr="00B479AE">
        <w:rPr>
          <w:rFonts w:ascii="Baskerville Old Face" w:hAnsi="Baskerville Old Face"/>
          <w:i/>
          <w:iCs/>
        </w:rPr>
        <w:t>restrictable</w:t>
      </w:r>
      <w:proofErr w:type="spellEnd"/>
      <w:r w:rsidRPr="00B479AE">
        <w:rPr>
          <w:rFonts w:ascii="Baskerville Old Face" w:hAnsi="Baskerville Old Face"/>
          <w:i/>
          <w:iCs/>
        </w:rPr>
        <w:t>, reviewable, and invalid within the Prometheus pathway.</w:t>
      </w:r>
    </w:p>
    <w:p w14:paraId="25C4B0BE"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12.7 Technical Enforcement Boundary</w:t>
      </w:r>
    </w:p>
    <w:p w14:paraId="05BD32C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Technical enforcement may operate at several levels:</w:t>
      </w:r>
    </w:p>
    <w:p w14:paraId="4650E5C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validation rules;</w:t>
      </w:r>
      <w:r w:rsidRPr="00B479AE">
        <w:rPr>
          <w:rFonts w:ascii="Baskerville Old Face" w:hAnsi="Baskerville Old Face"/>
          <w:i/>
          <w:iCs/>
        </w:rPr>
        <w:br/>
        <w:t>• schema validation;</w:t>
      </w:r>
      <w:r w:rsidRPr="00B479AE">
        <w:rPr>
          <w:rFonts w:ascii="Baskerville Old Face" w:hAnsi="Baskerville Old Face"/>
          <w:i/>
          <w:iCs/>
        </w:rPr>
        <w:br/>
        <w:t>• permission gates;</w:t>
      </w:r>
      <w:r w:rsidRPr="00B479AE">
        <w:rPr>
          <w:rFonts w:ascii="Baskerville Old Face" w:hAnsi="Baskerville Old Face"/>
          <w:i/>
          <w:iCs/>
        </w:rPr>
        <w:br/>
        <w:t>• authentication checks;</w:t>
      </w:r>
      <w:r w:rsidRPr="00B479AE">
        <w:rPr>
          <w:rFonts w:ascii="Baskerville Old Face" w:hAnsi="Baskerville Old Face"/>
          <w:i/>
          <w:iCs/>
        </w:rPr>
        <w:br/>
        <w:t>• access-control lists;</w:t>
      </w:r>
      <w:r w:rsidRPr="00B479AE">
        <w:rPr>
          <w:rFonts w:ascii="Baskerville Old Face" w:hAnsi="Baskerville Old Face"/>
          <w:i/>
          <w:iCs/>
        </w:rPr>
        <w:br/>
        <w:t>• role-based authorization;</w:t>
      </w:r>
      <w:r w:rsidRPr="00B479AE">
        <w:rPr>
          <w:rFonts w:ascii="Baskerville Old Face" w:hAnsi="Baskerville Old Face"/>
          <w:i/>
          <w:iCs/>
        </w:rPr>
        <w:br/>
        <w:t>• source-chain entry rules;</w:t>
      </w:r>
      <w:r w:rsidRPr="00B479AE">
        <w:rPr>
          <w:rFonts w:ascii="Baskerville Old Face" w:hAnsi="Baskerville Old Face"/>
          <w:i/>
          <w:iCs/>
        </w:rPr>
        <w:br/>
        <w:t>• DHT publication rules where applicable;</w:t>
      </w:r>
      <w:r w:rsidRPr="00B479AE">
        <w:rPr>
          <w:rFonts w:ascii="Baskerville Old Face" w:hAnsi="Baskerville Old Face"/>
          <w:i/>
          <w:iCs/>
        </w:rPr>
        <w:br/>
        <w:t>• API gateway rules;</w:t>
      </w:r>
      <w:r w:rsidRPr="00B479AE">
        <w:rPr>
          <w:rFonts w:ascii="Baskerville Old Face" w:hAnsi="Baskerville Old Face"/>
          <w:i/>
          <w:iCs/>
        </w:rPr>
        <w:br/>
        <w:t>• dashboard visibility rules;</w:t>
      </w:r>
      <w:r w:rsidRPr="00B479AE">
        <w:rPr>
          <w:rFonts w:ascii="Baskerville Old Face" w:hAnsi="Baskerville Old Face"/>
          <w:i/>
          <w:iCs/>
        </w:rPr>
        <w:br/>
        <w:t>• data-room access rules;</w:t>
      </w:r>
      <w:r w:rsidRPr="00B479AE">
        <w:rPr>
          <w:rFonts w:ascii="Baskerville Old Face" w:hAnsi="Baskerville Old Face"/>
          <w:i/>
          <w:iCs/>
        </w:rPr>
        <w:br/>
        <w:t>• policy-engine constraints;</w:t>
      </w:r>
      <w:r w:rsidRPr="00B479AE">
        <w:rPr>
          <w:rFonts w:ascii="Baskerville Old Face" w:hAnsi="Baskerville Old Face"/>
          <w:i/>
          <w:iCs/>
        </w:rPr>
        <w:br/>
        <w:t>• audit logging;</w:t>
      </w:r>
      <w:r w:rsidRPr="00B479AE">
        <w:rPr>
          <w:rFonts w:ascii="Baskerville Old Face" w:hAnsi="Baskerville Old Face"/>
          <w:i/>
          <w:iCs/>
        </w:rPr>
        <w:br/>
        <w:t>• anomaly detection;</w:t>
      </w:r>
      <w:r w:rsidRPr="00B479AE">
        <w:rPr>
          <w:rFonts w:ascii="Baskerville Old Face" w:hAnsi="Baskerville Old Face"/>
          <w:i/>
          <w:iCs/>
        </w:rPr>
        <w:br/>
        <w:t>• emergency pause controls.</w:t>
      </w:r>
    </w:p>
    <w:p w14:paraId="288B46E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Technical enforcement may prevent unauthorized action.</w:t>
      </w:r>
    </w:p>
    <w:p w14:paraId="022BD65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reject malformed entries.</w:t>
      </w:r>
    </w:p>
    <w:p w14:paraId="66C9EFC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flag suspicious behavior.</w:t>
      </w:r>
    </w:p>
    <w:p w14:paraId="6C00F6B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pause sensitive workflows.</w:t>
      </w:r>
    </w:p>
    <w:p w14:paraId="7C05D59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route cases to review.</w:t>
      </w:r>
    </w:p>
    <w:p w14:paraId="06E11A7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preserve evidence.</w:t>
      </w:r>
    </w:p>
    <w:p w14:paraId="04C0274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support non-admissibility.</w:t>
      </w:r>
    </w:p>
    <w:p w14:paraId="5AAEF06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However, technical enforcement should not independently impose high-impact human, legal, financial, governance, or reputational consequences unless the relevant mechanism is:</w:t>
      </w:r>
    </w:p>
    <w:p w14:paraId="0448BE8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implemented;</w:t>
      </w:r>
      <w:r w:rsidRPr="00B479AE">
        <w:rPr>
          <w:rFonts w:ascii="Baskerville Old Face" w:hAnsi="Baskerville Old Face"/>
          <w:i/>
          <w:iCs/>
        </w:rPr>
        <w:br/>
        <w:t>• tested;</w:t>
      </w:r>
      <w:r w:rsidRPr="00B479AE">
        <w:rPr>
          <w:rFonts w:ascii="Baskerville Old Face" w:hAnsi="Baskerville Old Face"/>
          <w:i/>
          <w:iCs/>
        </w:rPr>
        <w:br/>
        <w:t>• disclosed;</w:t>
      </w:r>
      <w:r w:rsidRPr="00B479AE">
        <w:rPr>
          <w:rFonts w:ascii="Baskerville Old Face" w:hAnsi="Baskerville Old Face"/>
          <w:i/>
          <w:iCs/>
        </w:rPr>
        <w:br/>
        <w:t>• governed;</w:t>
      </w:r>
      <w:r w:rsidRPr="00B479AE">
        <w:rPr>
          <w:rFonts w:ascii="Baskerville Old Face" w:hAnsi="Baskerville Old Face"/>
          <w:i/>
          <w:iCs/>
        </w:rPr>
        <w:br/>
        <w:t>• legally reviewed where necessary;</w:t>
      </w:r>
      <w:r w:rsidRPr="00B479AE">
        <w:rPr>
          <w:rFonts w:ascii="Baskerville Old Face" w:hAnsi="Baskerville Old Face"/>
          <w:i/>
          <w:iCs/>
        </w:rPr>
        <w:br/>
        <w:t>• proportionate;</w:t>
      </w:r>
      <w:r w:rsidRPr="00B479AE">
        <w:rPr>
          <w:rFonts w:ascii="Baskerville Old Face" w:hAnsi="Baskerville Old Face"/>
          <w:i/>
          <w:iCs/>
        </w:rPr>
        <w:br/>
        <w:t>• reviewable.</w:t>
      </w:r>
    </w:p>
    <w:p w14:paraId="75C26CE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Software may protect the gate.</w:t>
      </w:r>
    </w:p>
    <w:p w14:paraId="3ED9B42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may not become the judge of the person.</w:t>
      </w:r>
    </w:p>
    <w:p w14:paraId="40E170A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uses code as constitutional infrastructure.</w:t>
      </w:r>
    </w:p>
    <w:p w14:paraId="23AC3FE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does not outsource justice to code.</w:t>
      </w:r>
    </w:p>
    <w:p w14:paraId="461D4EFD"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12.8 Human State Interface Implementation Boundary</w:t>
      </w:r>
    </w:p>
    <w:p w14:paraId="6D6C08D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Human State Interface, or HSI, may be implemented as a voluntary, privacy-first, contract-based interface for limited human-state outputs.</w:t>
      </w:r>
    </w:p>
    <w:p w14:paraId="649B09A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HSI may support:</w:t>
      </w:r>
    </w:p>
    <w:p w14:paraId="2ACE095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 self-awareness;</w:t>
      </w:r>
      <w:r w:rsidRPr="00B479AE">
        <w:rPr>
          <w:rFonts w:ascii="Baskerville Old Face" w:hAnsi="Baskerville Old Face"/>
          <w:i/>
          <w:iCs/>
        </w:rPr>
        <w:br/>
        <w:t>• stewardship training;</w:t>
      </w:r>
      <w:r w:rsidRPr="00B479AE">
        <w:rPr>
          <w:rFonts w:ascii="Baskerville Old Face" w:hAnsi="Baskerville Old Face"/>
          <w:i/>
          <w:iCs/>
        </w:rPr>
        <w:br/>
        <w:t>• reflective governance;</w:t>
      </w:r>
      <w:r w:rsidRPr="00B479AE">
        <w:rPr>
          <w:rFonts w:ascii="Baskerville Old Face" w:hAnsi="Baskerville Old Face"/>
          <w:i/>
          <w:iCs/>
        </w:rPr>
        <w:br/>
        <w:t>• voluntary coherence practices;</w:t>
      </w:r>
      <w:r w:rsidRPr="00B479AE">
        <w:rPr>
          <w:rFonts w:ascii="Baskerville Old Face" w:hAnsi="Baskerville Old Face"/>
          <w:i/>
          <w:iCs/>
        </w:rPr>
        <w:br/>
        <w:t>• research into decision quality;</w:t>
      </w:r>
      <w:r w:rsidRPr="00B479AE">
        <w:rPr>
          <w:rFonts w:ascii="Baskerville Old Face" w:hAnsi="Baskerville Old Face"/>
          <w:i/>
          <w:iCs/>
        </w:rPr>
        <w:br/>
        <w:t>• aggregated and consented community-learning insights;</w:t>
      </w:r>
      <w:r w:rsidRPr="00B479AE">
        <w:rPr>
          <w:rFonts w:ascii="Baskerville Old Face" w:hAnsi="Baskerville Old Face"/>
          <w:i/>
          <w:iCs/>
        </w:rPr>
        <w:br/>
        <w:t>• optional human-infrastructure development.</w:t>
      </w:r>
    </w:p>
    <w:p w14:paraId="3D48EE8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HSI data may include, where voluntarily provided and properly consented:</w:t>
      </w:r>
    </w:p>
    <w:p w14:paraId="31F3730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HRV-related coherence indicators;</w:t>
      </w:r>
      <w:r w:rsidRPr="00B479AE">
        <w:rPr>
          <w:rFonts w:ascii="Baskerville Old Face" w:hAnsi="Baskerville Old Face"/>
          <w:i/>
          <w:iCs/>
        </w:rPr>
        <w:br/>
        <w:t>• stress or recovery indicators;</w:t>
      </w:r>
      <w:r w:rsidRPr="00B479AE">
        <w:rPr>
          <w:rFonts w:ascii="Baskerville Old Face" w:hAnsi="Baskerville Old Face"/>
          <w:i/>
          <w:iCs/>
        </w:rPr>
        <w:br/>
        <w:t>• attentional-state indicators;</w:t>
      </w:r>
      <w:r w:rsidRPr="00B479AE">
        <w:rPr>
          <w:rFonts w:ascii="Baskerville Old Face" w:hAnsi="Baskerville Old Face"/>
          <w:i/>
          <w:iCs/>
        </w:rPr>
        <w:br/>
        <w:t>• circadian or fatigue context;</w:t>
      </w:r>
      <w:r w:rsidRPr="00B479AE">
        <w:rPr>
          <w:rFonts w:ascii="Baskerville Old Face" w:hAnsi="Baskerville Old Face"/>
          <w:i/>
          <w:iCs/>
        </w:rPr>
        <w:br/>
        <w:t>• reflective self-reporting;</w:t>
      </w:r>
      <w:r w:rsidRPr="00B479AE">
        <w:rPr>
          <w:rFonts w:ascii="Baskerville Old Face" w:hAnsi="Baskerville Old Face"/>
          <w:i/>
          <w:iCs/>
        </w:rPr>
        <w:br/>
        <w:t>• stewardship-readiness signals;</w:t>
      </w:r>
      <w:r w:rsidRPr="00B479AE">
        <w:rPr>
          <w:rFonts w:ascii="Baskerville Old Face" w:hAnsi="Baskerville Old Face"/>
          <w:i/>
          <w:iCs/>
        </w:rPr>
        <w:br/>
        <w:t>• aggregated group indicators for research.</w:t>
      </w:r>
    </w:p>
    <w:p w14:paraId="6391BAE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HSI must remain bounded.</w:t>
      </w:r>
    </w:p>
    <w:p w14:paraId="68BBE91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must not:</w:t>
      </w:r>
    </w:p>
    <w:p w14:paraId="0BE9E18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determine human worth;</w:t>
      </w:r>
      <w:r w:rsidRPr="00B479AE">
        <w:rPr>
          <w:rFonts w:ascii="Baskerville Old Face" w:hAnsi="Baskerville Old Face"/>
          <w:i/>
          <w:iCs/>
        </w:rPr>
        <w:br/>
        <w:t>• rank participants as people;</w:t>
      </w:r>
      <w:r w:rsidRPr="00B479AE">
        <w:rPr>
          <w:rFonts w:ascii="Baskerville Old Face" w:hAnsi="Baskerville Old Face"/>
          <w:i/>
          <w:iCs/>
        </w:rPr>
        <w:br/>
        <w:t>• create social-credit scoring;</w:t>
      </w:r>
      <w:r w:rsidRPr="00B479AE">
        <w:rPr>
          <w:rFonts w:ascii="Baskerville Old Face" w:hAnsi="Baskerville Old Face"/>
          <w:i/>
          <w:iCs/>
        </w:rPr>
        <w:br/>
        <w:t>• authorize PRU value;</w:t>
      </w:r>
      <w:r w:rsidRPr="00B479AE">
        <w:rPr>
          <w:rFonts w:ascii="Baskerville Old Face" w:hAnsi="Baskerville Old Face"/>
          <w:i/>
          <w:iCs/>
        </w:rPr>
        <w:br/>
        <w:t>• determine ecological validity;</w:t>
      </w:r>
      <w:r w:rsidRPr="00B479AE">
        <w:rPr>
          <w:rFonts w:ascii="Baskerville Old Face" w:hAnsi="Baskerville Old Face"/>
          <w:i/>
          <w:iCs/>
        </w:rPr>
        <w:br/>
        <w:t>• replace MRV;</w:t>
      </w:r>
      <w:r w:rsidRPr="00B479AE">
        <w:rPr>
          <w:rFonts w:ascii="Baskerville Old Face" w:hAnsi="Baskerville Old Face"/>
          <w:i/>
          <w:iCs/>
        </w:rPr>
        <w:br/>
        <w:t>• create investor entitlement;</w:t>
      </w:r>
      <w:r w:rsidRPr="00B479AE">
        <w:rPr>
          <w:rFonts w:ascii="Baskerville Old Face" w:hAnsi="Baskerville Old Face"/>
          <w:i/>
          <w:iCs/>
        </w:rPr>
        <w:br/>
        <w:t>• determine land rights;</w:t>
      </w:r>
      <w:r w:rsidRPr="00B479AE">
        <w:rPr>
          <w:rFonts w:ascii="Baskerville Old Face" w:hAnsi="Baskerville Old Face"/>
          <w:i/>
          <w:iCs/>
        </w:rPr>
        <w:br/>
        <w:t>• determine token rights;</w:t>
      </w:r>
      <w:r w:rsidRPr="00B479AE">
        <w:rPr>
          <w:rFonts w:ascii="Baskerville Old Face" w:hAnsi="Baskerville Old Face"/>
          <w:i/>
          <w:iCs/>
        </w:rPr>
        <w:br/>
        <w:t>• determine governance authority by itself;</w:t>
      </w:r>
      <w:r w:rsidRPr="00B479AE">
        <w:rPr>
          <w:rFonts w:ascii="Baskerville Old Face" w:hAnsi="Baskerville Old Face"/>
          <w:i/>
          <w:iCs/>
        </w:rPr>
        <w:br/>
        <w:t>• become a condition of basic dignity or ordinary belonging.</w:t>
      </w:r>
    </w:p>
    <w:p w14:paraId="267E17D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HSI may inform participation context.</w:t>
      </w:r>
    </w:p>
    <w:p w14:paraId="4E6663F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Participation context may inform governance reflection.</w:t>
      </w:r>
    </w:p>
    <w:p w14:paraId="4916873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Governance reflection may support system maturity.</w:t>
      </w:r>
    </w:p>
    <w:p w14:paraId="004D826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Only verified ecological evidence may support regenerative asset value.</w:t>
      </w:r>
    </w:p>
    <w:p w14:paraId="389058D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That boundary is non-negotiable.</w:t>
      </w:r>
    </w:p>
    <w:p w14:paraId="58C345F7"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12.9 Privacy, Consent, and Data Minimization</w:t>
      </w:r>
    </w:p>
    <w:p w14:paraId="565FF04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treat human-state, community, governance, ecological, financial, and technical data according to privacy, consent, and minimization principles.</w:t>
      </w:r>
    </w:p>
    <w:p w14:paraId="399245B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Data collection should be limited to what is necessary for the relevant purpose.</w:t>
      </w:r>
    </w:p>
    <w:p w14:paraId="3B8A2AF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Sensitive data should be protected by default.</w:t>
      </w:r>
    </w:p>
    <w:p w14:paraId="3EA0291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Where possible, systems should use:</w:t>
      </w:r>
    </w:p>
    <w:p w14:paraId="21562B6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explicit consent;</w:t>
      </w:r>
      <w:r w:rsidRPr="00B479AE">
        <w:rPr>
          <w:rFonts w:ascii="Baskerville Old Face" w:hAnsi="Baskerville Old Face"/>
          <w:i/>
          <w:iCs/>
        </w:rPr>
        <w:br/>
        <w:t>• purpose limitation;</w:t>
      </w:r>
      <w:r w:rsidRPr="00B479AE">
        <w:rPr>
          <w:rFonts w:ascii="Baskerville Old Face" w:hAnsi="Baskerville Old Face"/>
          <w:i/>
          <w:iCs/>
        </w:rPr>
        <w:br/>
        <w:t>• data minimization;</w:t>
      </w:r>
      <w:r w:rsidRPr="00B479AE">
        <w:rPr>
          <w:rFonts w:ascii="Baskerville Old Face" w:hAnsi="Baskerville Old Face"/>
          <w:i/>
          <w:iCs/>
        </w:rPr>
        <w:br/>
        <w:t>• retention limits;</w:t>
      </w:r>
      <w:r w:rsidRPr="00B479AE">
        <w:rPr>
          <w:rFonts w:ascii="Baskerville Old Face" w:hAnsi="Baskerville Old Face"/>
          <w:i/>
          <w:iCs/>
        </w:rPr>
        <w:br/>
        <w:t>• pseudonymization or anonymization where appropriate;</w:t>
      </w:r>
      <w:r w:rsidRPr="00B479AE">
        <w:rPr>
          <w:rFonts w:ascii="Baskerville Old Face" w:hAnsi="Baskerville Old Face"/>
          <w:i/>
          <w:iCs/>
        </w:rPr>
        <w:br/>
        <w:t>• aggregation;</w:t>
      </w:r>
      <w:r w:rsidRPr="00B479AE">
        <w:rPr>
          <w:rFonts w:ascii="Baskerville Old Face" w:hAnsi="Baskerville Old Face"/>
          <w:i/>
          <w:iCs/>
        </w:rPr>
        <w:br/>
        <w:t>• role-based access;</w:t>
      </w:r>
      <w:r w:rsidRPr="00B479AE">
        <w:rPr>
          <w:rFonts w:ascii="Baskerville Old Face" w:hAnsi="Baskerville Old Face"/>
          <w:i/>
          <w:iCs/>
        </w:rPr>
        <w:br/>
        <w:t>• encryption;</w:t>
      </w:r>
      <w:r w:rsidRPr="00B479AE">
        <w:rPr>
          <w:rFonts w:ascii="Baskerville Old Face" w:hAnsi="Baskerville Old Face"/>
          <w:i/>
          <w:iCs/>
        </w:rPr>
        <w:br/>
        <w:t>• audit logs;</w:t>
      </w:r>
      <w:r w:rsidRPr="00B479AE">
        <w:rPr>
          <w:rFonts w:ascii="Baskerville Old Face" w:hAnsi="Baskerville Old Face"/>
          <w:i/>
          <w:iCs/>
        </w:rPr>
        <w:br/>
        <w:t>• revocation or withdrawal pathways where legally and technically feasible;</w:t>
      </w:r>
      <w:r w:rsidRPr="00B479AE">
        <w:rPr>
          <w:rFonts w:ascii="Baskerville Old Face" w:hAnsi="Baskerville Old Face"/>
          <w:i/>
          <w:iCs/>
        </w:rPr>
        <w:br/>
        <w:t>• clear data-use notices.</w:t>
      </w:r>
    </w:p>
    <w:p w14:paraId="01CB0D0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Human-state data is especially sensitive.</w:t>
      </w:r>
    </w:p>
    <w:p w14:paraId="65BF380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should not be exposed as raw identifiable streams unless there is a lawful, explicit, specific, and justified basis.</w:t>
      </w:r>
    </w:p>
    <w:p w14:paraId="73D6569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default orientation should be:</w:t>
      </w:r>
    </w:p>
    <w:p w14:paraId="00C5BA9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local first;</w:t>
      </w:r>
      <w:r w:rsidRPr="00B479AE">
        <w:rPr>
          <w:rFonts w:ascii="Baskerville Old Face" w:hAnsi="Baskerville Old Face"/>
          <w:i/>
          <w:iCs/>
        </w:rPr>
        <w:br/>
        <w:t>minimal by design;</w:t>
      </w:r>
      <w:r w:rsidRPr="00B479AE">
        <w:rPr>
          <w:rFonts w:ascii="Baskerville Old Face" w:hAnsi="Baskerville Old Face"/>
          <w:i/>
          <w:iCs/>
        </w:rPr>
        <w:br/>
        <w:t>consented by default;</w:t>
      </w:r>
      <w:r w:rsidRPr="00B479AE">
        <w:rPr>
          <w:rFonts w:ascii="Baskerville Old Face" w:hAnsi="Baskerville Old Face"/>
          <w:i/>
          <w:iCs/>
        </w:rPr>
        <w:br/>
      </w:r>
      <w:r w:rsidRPr="00B479AE">
        <w:rPr>
          <w:rFonts w:ascii="Baskerville Old Face" w:hAnsi="Baskerville Old Face"/>
          <w:i/>
          <w:iCs/>
        </w:rPr>
        <w:lastRenderedPageBreak/>
        <w:t>aggregated where possible;</w:t>
      </w:r>
      <w:r w:rsidRPr="00B479AE">
        <w:rPr>
          <w:rFonts w:ascii="Baskerville Old Face" w:hAnsi="Baskerville Old Face"/>
          <w:i/>
          <w:iCs/>
        </w:rPr>
        <w:br/>
        <w:t>reviewable where sensitive;</w:t>
      </w:r>
      <w:r w:rsidRPr="00B479AE">
        <w:rPr>
          <w:rFonts w:ascii="Baskerville Old Face" w:hAnsi="Baskerville Old Face"/>
          <w:i/>
          <w:iCs/>
        </w:rPr>
        <w:br/>
        <w:t>never used to reduce human dignity.</w:t>
      </w:r>
    </w:p>
    <w:p w14:paraId="3C94594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system that protects life must also protect interiority.</w:t>
      </w:r>
    </w:p>
    <w:p w14:paraId="635AB65A"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12.10 Sovereign Device and Edge Infrastructure Pathway</w:t>
      </w:r>
    </w:p>
    <w:p w14:paraId="2A12868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may support sovereign-device and edge-computing pathways where they improve privacy, resilience, local agency, offline capability, and distributed participation.</w:t>
      </w:r>
    </w:p>
    <w:p w14:paraId="23BF5E6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Such devices may support:</w:t>
      </w:r>
    </w:p>
    <w:p w14:paraId="7F95773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local key management;</w:t>
      </w:r>
      <w:r w:rsidRPr="00B479AE">
        <w:rPr>
          <w:rFonts w:ascii="Baskerville Old Face" w:hAnsi="Baskerville Old Face"/>
          <w:i/>
          <w:iCs/>
        </w:rPr>
        <w:br/>
        <w:t>• source-chain access;</w:t>
      </w:r>
      <w:r w:rsidRPr="00B479AE">
        <w:rPr>
          <w:rFonts w:ascii="Baskerville Old Face" w:hAnsi="Baskerville Old Face"/>
          <w:i/>
          <w:iCs/>
        </w:rPr>
        <w:br/>
        <w:t>• local-first data storage;</w:t>
      </w:r>
      <w:r w:rsidRPr="00B479AE">
        <w:rPr>
          <w:rFonts w:ascii="Baskerville Old Face" w:hAnsi="Baskerville Old Face"/>
          <w:i/>
          <w:iCs/>
        </w:rPr>
        <w:br/>
        <w:t>• offline operation;</w:t>
      </w:r>
      <w:r w:rsidRPr="00B479AE">
        <w:rPr>
          <w:rFonts w:ascii="Baskerville Old Face" w:hAnsi="Baskerville Old Face"/>
          <w:i/>
          <w:iCs/>
        </w:rPr>
        <w:br/>
        <w:t>• edge AI inference;</w:t>
      </w:r>
      <w:r w:rsidRPr="00B479AE">
        <w:rPr>
          <w:rFonts w:ascii="Baskerville Old Face" w:hAnsi="Baskerville Old Face"/>
          <w:i/>
          <w:iCs/>
        </w:rPr>
        <w:br/>
        <w:t>• encrypted synchronization;</w:t>
      </w:r>
      <w:r w:rsidRPr="00B479AE">
        <w:rPr>
          <w:rFonts w:ascii="Baskerville Old Face" w:hAnsi="Baskerville Old Face"/>
          <w:i/>
          <w:iCs/>
        </w:rPr>
        <w:br/>
        <w:t>• sensor integration;</w:t>
      </w:r>
      <w:r w:rsidRPr="00B479AE">
        <w:rPr>
          <w:rFonts w:ascii="Baskerville Old Face" w:hAnsi="Baskerville Old Face"/>
          <w:i/>
          <w:iCs/>
        </w:rPr>
        <w:br/>
        <w:t>• MRV capture;</w:t>
      </w:r>
      <w:r w:rsidRPr="00B479AE">
        <w:rPr>
          <w:rFonts w:ascii="Baskerville Old Face" w:hAnsi="Baskerville Old Face"/>
          <w:i/>
          <w:iCs/>
        </w:rPr>
        <w:br/>
        <w:t>• self-sovereign identity or credential flows;</w:t>
      </w:r>
      <w:r w:rsidRPr="00B479AE">
        <w:rPr>
          <w:rFonts w:ascii="Baskerville Old Face" w:hAnsi="Baskerville Old Face"/>
          <w:i/>
          <w:iCs/>
        </w:rPr>
        <w:br/>
        <w:t>• optional HSI applications;</w:t>
      </w:r>
      <w:r w:rsidRPr="00B479AE">
        <w:rPr>
          <w:rFonts w:ascii="Baskerville Old Face" w:hAnsi="Baskerville Old Face"/>
          <w:i/>
          <w:iCs/>
        </w:rPr>
        <w:br/>
        <w:t>• community and field workflows.</w:t>
      </w:r>
    </w:p>
    <w:p w14:paraId="240ABAF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However, Prometheus should avoid absolute claims such as “total autonomy,” “data exfiltration impossible,” or “absolute sovereignty at the silicon level” unless technically proven, audited, and bounded.</w:t>
      </w:r>
    </w:p>
    <w:p w14:paraId="4AB27A1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correct formulation is:</w:t>
      </w:r>
    </w:p>
    <w:p w14:paraId="3C032D6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sovereign-device pathways can improve data agency, resilience, and privacy, but they remain subject to hardware limits, software security, user behavior, supply-chain risk, jurisdiction, operational discipline, and auditability.</w:t>
      </w:r>
    </w:p>
    <w:p w14:paraId="60F0DEB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Device partnerships, mobile integrations, edge runtimes, and pre-loaded applications may become powerful deployment channels.</w:t>
      </w:r>
    </w:p>
    <w:p w14:paraId="139C213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They should be described as implementation pathways, not as constitutional guarantees.</w:t>
      </w:r>
    </w:p>
    <w:p w14:paraId="67B2161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device can support sovereignty.</w:t>
      </w:r>
    </w:p>
    <w:p w14:paraId="360545A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cannot replace governance.</w:t>
      </w:r>
    </w:p>
    <w:p w14:paraId="787D824B"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12.11 Token, Financial Instrument, and Value Representation Boundary</w:t>
      </w:r>
    </w:p>
    <w:p w14:paraId="01FC6D9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xml:space="preserve">Prometheus must not state that all tokens, financial instruments, or value representations are automatically native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objects.</w:t>
      </w:r>
    </w:p>
    <w:p w14:paraId="4C03F08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That formulation is too broad and legally unsafe.</w:t>
      </w:r>
    </w:p>
    <w:p w14:paraId="4E2F1BE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correct architecture is layered.</w:t>
      </w:r>
    </w:p>
    <w:p w14:paraId="004E218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may use different technical substrates for different functions.</w:t>
      </w:r>
    </w:p>
    <w:p w14:paraId="5068B26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Possible layers include:</w:t>
      </w:r>
    </w:p>
    <w:p w14:paraId="5B91C189" w14:textId="658AED10"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records for agent-centric events and governance flows;</w:t>
      </w:r>
      <w:r w:rsidRPr="00B479AE">
        <w:rPr>
          <w:rFonts w:ascii="Baskerville Old Face" w:hAnsi="Baskerville Old Face"/>
          <w:i/>
          <w:iCs/>
        </w:rPr>
        <w:br/>
        <w:t xml:space="preserv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structures for resources, events, and agents;</w:t>
      </w:r>
      <w:r w:rsidRPr="00B479AE">
        <w:rPr>
          <w:rFonts w:ascii="Baskerville Old Face" w:hAnsi="Baskerville Old Face"/>
          <w:i/>
          <w:iCs/>
        </w:rPr>
        <w:br/>
        <w:t>• conventional databases where appropriate for dashboards or institutional reporting;</w:t>
      </w:r>
      <w:r w:rsidRPr="00B479AE">
        <w:rPr>
          <w:rFonts w:ascii="Baskerville Old Face" w:hAnsi="Baskerville Old Face"/>
          <w:i/>
          <w:iCs/>
        </w:rPr>
        <w:br/>
        <w:t>• legal documents for enforceable rights;</w:t>
      </w:r>
      <w:r w:rsidRPr="00B479AE">
        <w:rPr>
          <w:rFonts w:ascii="Baskerville Old Face" w:hAnsi="Baskerville Old Face"/>
          <w:i/>
          <w:iCs/>
        </w:rPr>
        <w:br/>
        <w:t>• data rooms for investor diligence;</w:t>
      </w:r>
      <w:r w:rsidRPr="00B479AE">
        <w:rPr>
          <w:rFonts w:ascii="Baskerville Old Face" w:hAnsi="Baskerville Old Face"/>
          <w:i/>
          <w:iCs/>
        </w:rPr>
        <w:br/>
        <w:t>• fiat or stablecoin rails for settlement where compliant;</w:t>
      </w:r>
      <w:r w:rsidRPr="00B479AE">
        <w:rPr>
          <w:rFonts w:ascii="Baskerville Old Face" w:hAnsi="Baskerville Old Face"/>
          <w:i/>
          <w:iCs/>
        </w:rPr>
        <w:br/>
        <w:t xml:space="preserve">• </w:t>
      </w:r>
      <w:r w:rsidR="00F2035C" w:rsidRPr="00B479AE">
        <w:rPr>
          <w:rFonts w:ascii="Baskerville Old Face" w:hAnsi="Baskerville Old Face"/>
          <w:i/>
          <w:iCs/>
        </w:rPr>
        <w:t>compliant digital instruments only where legally structured</w:t>
      </w:r>
      <w:r w:rsidRPr="00B479AE">
        <w:rPr>
          <w:rFonts w:ascii="Baskerville Old Face" w:hAnsi="Baskerville Old Face"/>
          <w:i/>
          <w:iCs/>
        </w:rPr>
        <w:t>;</w:t>
      </w:r>
      <w:r w:rsidRPr="00B479AE">
        <w:rPr>
          <w:rFonts w:ascii="Baskerville Old Face" w:hAnsi="Baskerville Old Face"/>
          <w:i/>
          <w:iCs/>
        </w:rPr>
        <w:br/>
        <w:t>• off-chain records where privacy, law, or operational practicality require them.</w:t>
      </w:r>
    </w:p>
    <w:p w14:paraId="01BA870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PRU represents verified regenerative performance.</w:t>
      </w:r>
    </w:p>
    <w:p w14:paraId="6BD9E9D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RAP represents aggregated PRU-based portfolio logic.</w:t>
      </w:r>
    </w:p>
    <w:p w14:paraId="21ED751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TRBK may represent governance, coordination, access, contribution, or participation within defined boundaries.</w:t>
      </w:r>
    </w:p>
    <w:p w14:paraId="2DB2C25C" w14:textId="77777777" w:rsidR="00495E1A" w:rsidRPr="00B479AE" w:rsidRDefault="00495E1A" w:rsidP="00495E1A">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may support operational transaction or infrastructure capacity within agent-centric systems.</w:t>
      </w:r>
    </w:p>
    <w:p w14:paraId="3DD721A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Future tokenized securities, notes, fund interests, revenue rights, or investment products may exist only through compliant legal wrappers, disclosure, jurisdictional review, and investor-protection structures.</w:t>
      </w:r>
    </w:p>
    <w:p w14:paraId="0133FD6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A technical object does not create a legal right by itself.</w:t>
      </w:r>
    </w:p>
    <w:p w14:paraId="428C650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token does not create ecological value by itself.</w:t>
      </w:r>
    </w:p>
    <w:p w14:paraId="1F0CA1E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PRU estimate does not create investor entitlement by itself.</w:t>
      </w:r>
    </w:p>
    <w:p w14:paraId="42AAD5A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dashboard display does not create financial admissibility by itself.</w:t>
      </w:r>
    </w:p>
    <w:p w14:paraId="2ED277B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rights come from the instrument.</w:t>
      </w:r>
    </w:p>
    <w:p w14:paraId="5B47E62C"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value comes from verified regeneration.</w:t>
      </w:r>
    </w:p>
    <w:p w14:paraId="70560A6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admissibility comes from evidence and methodology.</w:t>
      </w:r>
    </w:p>
    <w:p w14:paraId="2FD9611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enforceability comes from law.</w:t>
      </w:r>
    </w:p>
    <w:p w14:paraId="47AC1F2F"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12.12 PRU, MRV, and Data Admissibility Controls</w:t>
      </w:r>
    </w:p>
    <w:p w14:paraId="313517E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implement strong controls around MRV, PRU, RAP, and investor-facing outputs.</w:t>
      </w:r>
    </w:p>
    <w:p w14:paraId="5CE1E95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record should not become MRV-admissible merely because it exists.</w:t>
      </w:r>
    </w:p>
    <w:p w14:paraId="61C220F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 indicator should not become PRU-relevant merely because it is measured.</w:t>
      </w:r>
    </w:p>
    <w:p w14:paraId="6F78C7C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PRU estimate should not become investor-facing merely because it is calculated.</w:t>
      </w:r>
    </w:p>
    <w:p w14:paraId="079501C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RAP inclusion should not occur merely because a unit is promising.</w:t>
      </w:r>
    </w:p>
    <w:p w14:paraId="7A71D2B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Protected pathways should require:</w:t>
      </w:r>
    </w:p>
    <w:p w14:paraId="7BAE4CE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baseline reference;</w:t>
      </w:r>
      <w:r w:rsidRPr="00B479AE">
        <w:rPr>
          <w:rFonts w:ascii="Baskerville Old Face" w:hAnsi="Baskerville Old Face"/>
          <w:i/>
          <w:iCs/>
        </w:rPr>
        <w:br/>
        <w:t>• evidence source;</w:t>
      </w:r>
      <w:r w:rsidRPr="00B479AE">
        <w:rPr>
          <w:rFonts w:ascii="Baskerville Old Face" w:hAnsi="Baskerville Old Face"/>
          <w:i/>
          <w:iCs/>
        </w:rPr>
        <w:br/>
        <w:t>• provenance;</w:t>
      </w:r>
      <w:r w:rsidRPr="00B479AE">
        <w:rPr>
          <w:rFonts w:ascii="Baskerville Old Face" w:hAnsi="Baskerville Old Face"/>
          <w:i/>
          <w:iCs/>
        </w:rPr>
        <w:br/>
        <w:t>• methodology version;</w:t>
      </w:r>
      <w:r w:rsidRPr="00B479AE">
        <w:rPr>
          <w:rFonts w:ascii="Baskerville Old Face" w:hAnsi="Baskerville Old Face"/>
          <w:i/>
          <w:iCs/>
        </w:rPr>
        <w:br/>
        <w:t>• data-quality status;</w:t>
      </w:r>
      <w:r w:rsidRPr="00B479AE">
        <w:rPr>
          <w:rFonts w:ascii="Baskerville Old Face" w:hAnsi="Baskerville Old Face"/>
          <w:i/>
          <w:iCs/>
        </w:rPr>
        <w:br/>
        <w:t>• confidence score;</w:t>
      </w:r>
      <w:r w:rsidRPr="00B479AE">
        <w:rPr>
          <w:rFonts w:ascii="Baskerville Old Face" w:hAnsi="Baskerville Old Face"/>
          <w:i/>
          <w:iCs/>
        </w:rPr>
        <w:br/>
        <w:t>• validation status;</w:t>
      </w:r>
      <w:r w:rsidRPr="00B479AE">
        <w:rPr>
          <w:rFonts w:ascii="Baskerville Old Face" w:hAnsi="Baskerville Old Face"/>
          <w:i/>
          <w:iCs/>
        </w:rPr>
        <w:br/>
        <w:t>• reviewer or validator reference where appropriate;</w:t>
      </w:r>
      <w:r w:rsidRPr="00B479AE">
        <w:rPr>
          <w:rFonts w:ascii="Baskerville Old Face" w:hAnsi="Baskerville Old Face"/>
          <w:i/>
          <w:iCs/>
        </w:rPr>
        <w:br/>
        <w:t>• no-double-counting check;</w:t>
      </w:r>
      <w:r w:rsidRPr="00B479AE">
        <w:rPr>
          <w:rFonts w:ascii="Baskerville Old Face" w:hAnsi="Baskerville Old Face"/>
          <w:i/>
          <w:iCs/>
        </w:rPr>
        <w:br/>
      </w:r>
      <w:r w:rsidRPr="00B479AE">
        <w:rPr>
          <w:rFonts w:ascii="Baskerville Old Face" w:hAnsi="Baskerville Old Face"/>
          <w:i/>
          <w:iCs/>
        </w:rPr>
        <w:lastRenderedPageBreak/>
        <w:t>• legal and reporting boundary;</w:t>
      </w:r>
      <w:r w:rsidRPr="00B479AE">
        <w:rPr>
          <w:rFonts w:ascii="Baskerville Old Face" w:hAnsi="Baskerville Old Face"/>
          <w:i/>
          <w:iCs/>
        </w:rPr>
        <w:br/>
        <w:t>• admissibility classification.</w:t>
      </w:r>
    </w:p>
    <w:p w14:paraId="68C985F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Possible admissibility statuses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7629"/>
      </w:tblGrid>
      <w:tr w:rsidR="00495E1A" w:rsidRPr="00B479AE" w14:paraId="6B040D4B" w14:textId="77777777" w:rsidTr="003241C9">
        <w:trPr>
          <w:tblHeader/>
          <w:tblCellSpacing w:w="15" w:type="dxa"/>
        </w:trPr>
        <w:tc>
          <w:tcPr>
            <w:tcW w:w="0" w:type="auto"/>
            <w:vAlign w:val="center"/>
            <w:hideMark/>
          </w:tcPr>
          <w:p w14:paraId="16248622"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Status</w:t>
            </w:r>
          </w:p>
        </w:tc>
        <w:tc>
          <w:tcPr>
            <w:tcW w:w="0" w:type="auto"/>
            <w:vAlign w:val="center"/>
            <w:hideMark/>
          </w:tcPr>
          <w:p w14:paraId="123A8B70"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495E1A" w:rsidRPr="00B479AE" w14:paraId="233BC47E" w14:textId="77777777" w:rsidTr="003241C9">
        <w:trPr>
          <w:tblCellSpacing w:w="15" w:type="dxa"/>
        </w:trPr>
        <w:tc>
          <w:tcPr>
            <w:tcW w:w="0" w:type="auto"/>
            <w:vAlign w:val="center"/>
            <w:hideMark/>
          </w:tcPr>
          <w:p w14:paraId="157EECA3"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Claim</w:t>
            </w:r>
          </w:p>
        </w:tc>
        <w:tc>
          <w:tcPr>
            <w:tcW w:w="0" w:type="auto"/>
            <w:vAlign w:val="center"/>
            <w:hideMark/>
          </w:tcPr>
          <w:p w14:paraId="4148DC64"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Statement not yet supported by sufficient evidence.</w:t>
            </w:r>
          </w:p>
        </w:tc>
      </w:tr>
      <w:tr w:rsidR="00495E1A" w:rsidRPr="00B479AE" w14:paraId="29B854BA" w14:textId="77777777" w:rsidTr="003241C9">
        <w:trPr>
          <w:tblCellSpacing w:w="15" w:type="dxa"/>
        </w:trPr>
        <w:tc>
          <w:tcPr>
            <w:tcW w:w="0" w:type="auto"/>
            <w:vAlign w:val="center"/>
            <w:hideMark/>
          </w:tcPr>
          <w:p w14:paraId="46EDD94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Observation</w:t>
            </w:r>
          </w:p>
        </w:tc>
        <w:tc>
          <w:tcPr>
            <w:tcW w:w="0" w:type="auto"/>
            <w:vAlign w:val="center"/>
            <w:hideMark/>
          </w:tcPr>
          <w:p w14:paraId="2DB5923F"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Recorded event or measurement.</w:t>
            </w:r>
          </w:p>
        </w:tc>
      </w:tr>
      <w:tr w:rsidR="00495E1A" w:rsidRPr="00B479AE" w14:paraId="3646333C" w14:textId="77777777" w:rsidTr="003241C9">
        <w:trPr>
          <w:tblCellSpacing w:w="15" w:type="dxa"/>
        </w:trPr>
        <w:tc>
          <w:tcPr>
            <w:tcW w:w="0" w:type="auto"/>
            <w:vAlign w:val="center"/>
            <w:hideMark/>
          </w:tcPr>
          <w:p w14:paraId="1F97353F"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w:t>
            </w:r>
          </w:p>
        </w:tc>
        <w:tc>
          <w:tcPr>
            <w:tcW w:w="0" w:type="auto"/>
            <w:vAlign w:val="center"/>
            <w:hideMark/>
          </w:tcPr>
          <w:p w14:paraId="06E264EB"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Observation with provenance and method.</w:t>
            </w:r>
          </w:p>
        </w:tc>
      </w:tr>
      <w:tr w:rsidR="00495E1A" w:rsidRPr="00B479AE" w14:paraId="404C6E69" w14:textId="77777777" w:rsidTr="003241C9">
        <w:trPr>
          <w:tblCellSpacing w:w="15" w:type="dxa"/>
        </w:trPr>
        <w:tc>
          <w:tcPr>
            <w:tcW w:w="0" w:type="auto"/>
            <w:vAlign w:val="center"/>
            <w:hideMark/>
          </w:tcPr>
          <w:p w14:paraId="3E28508D"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Validated indicator</w:t>
            </w:r>
          </w:p>
        </w:tc>
        <w:tc>
          <w:tcPr>
            <w:tcW w:w="0" w:type="auto"/>
            <w:vAlign w:val="center"/>
            <w:hideMark/>
          </w:tcPr>
          <w:p w14:paraId="2BA6FD34"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passed defined checks.</w:t>
            </w:r>
          </w:p>
        </w:tc>
      </w:tr>
      <w:tr w:rsidR="00495E1A" w:rsidRPr="00B479AE" w14:paraId="18EC2380" w14:textId="77777777" w:rsidTr="003241C9">
        <w:trPr>
          <w:tblCellSpacing w:w="15" w:type="dxa"/>
        </w:trPr>
        <w:tc>
          <w:tcPr>
            <w:tcW w:w="0" w:type="auto"/>
            <w:vAlign w:val="center"/>
            <w:hideMark/>
          </w:tcPr>
          <w:p w14:paraId="4F3486AA"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Research-use only</w:t>
            </w:r>
          </w:p>
        </w:tc>
        <w:tc>
          <w:tcPr>
            <w:tcW w:w="0" w:type="auto"/>
            <w:vAlign w:val="center"/>
            <w:hideMark/>
          </w:tcPr>
          <w:p w14:paraId="2D1EFD67"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Useful for learning, not for PRU or investor use.</w:t>
            </w:r>
          </w:p>
        </w:tc>
      </w:tr>
      <w:tr w:rsidR="00495E1A" w:rsidRPr="00B479AE" w14:paraId="54BA0EF1" w14:textId="77777777" w:rsidTr="003241C9">
        <w:trPr>
          <w:tblCellSpacing w:w="15" w:type="dxa"/>
        </w:trPr>
        <w:tc>
          <w:tcPr>
            <w:tcW w:w="0" w:type="auto"/>
            <w:vAlign w:val="center"/>
            <w:hideMark/>
          </w:tcPr>
          <w:p w14:paraId="361A9920"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MRV-admissible</w:t>
            </w:r>
          </w:p>
        </w:tc>
        <w:tc>
          <w:tcPr>
            <w:tcW w:w="0" w:type="auto"/>
            <w:vAlign w:val="center"/>
            <w:hideMark/>
          </w:tcPr>
          <w:p w14:paraId="3571403C"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May enter MRV reporting under defined scope.</w:t>
            </w:r>
          </w:p>
        </w:tc>
      </w:tr>
      <w:tr w:rsidR="00495E1A" w:rsidRPr="00B479AE" w14:paraId="010BB245" w14:textId="77777777" w:rsidTr="003241C9">
        <w:trPr>
          <w:tblCellSpacing w:w="15" w:type="dxa"/>
        </w:trPr>
        <w:tc>
          <w:tcPr>
            <w:tcW w:w="0" w:type="auto"/>
            <w:vAlign w:val="center"/>
            <w:hideMark/>
          </w:tcPr>
          <w:p w14:paraId="00DC28E5"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PRU-eligible</w:t>
            </w:r>
          </w:p>
        </w:tc>
        <w:tc>
          <w:tcPr>
            <w:tcW w:w="0" w:type="auto"/>
            <w:vAlign w:val="center"/>
            <w:hideMark/>
          </w:tcPr>
          <w:p w14:paraId="1919778A"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May contribute to PRU analysis under methodology.</w:t>
            </w:r>
          </w:p>
        </w:tc>
      </w:tr>
      <w:tr w:rsidR="00495E1A" w:rsidRPr="00B479AE" w14:paraId="2AB43EF7" w14:textId="77777777" w:rsidTr="003241C9">
        <w:trPr>
          <w:tblCellSpacing w:w="15" w:type="dxa"/>
        </w:trPr>
        <w:tc>
          <w:tcPr>
            <w:tcW w:w="0" w:type="auto"/>
            <w:vAlign w:val="center"/>
            <w:hideMark/>
          </w:tcPr>
          <w:p w14:paraId="38C2A47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Investor-review only</w:t>
            </w:r>
          </w:p>
        </w:tc>
        <w:tc>
          <w:tcPr>
            <w:tcW w:w="0" w:type="auto"/>
            <w:vAlign w:val="center"/>
            <w:hideMark/>
          </w:tcPr>
          <w:p w14:paraId="1E2C75E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May appear in diligence with limitations.</w:t>
            </w:r>
          </w:p>
        </w:tc>
      </w:tr>
      <w:tr w:rsidR="00495E1A" w:rsidRPr="00B479AE" w14:paraId="78403561" w14:textId="77777777" w:rsidTr="003241C9">
        <w:trPr>
          <w:tblCellSpacing w:w="15" w:type="dxa"/>
        </w:trPr>
        <w:tc>
          <w:tcPr>
            <w:tcW w:w="0" w:type="auto"/>
            <w:vAlign w:val="center"/>
            <w:hideMark/>
          </w:tcPr>
          <w:p w14:paraId="5FE062F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Financially admissible</w:t>
            </w:r>
          </w:p>
        </w:tc>
        <w:tc>
          <w:tcPr>
            <w:tcW w:w="0" w:type="auto"/>
            <w:vAlign w:val="center"/>
            <w:hideMark/>
          </w:tcPr>
          <w:p w14:paraId="3E41AABF"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May contribute to valuation or reporting where legally and methodologically permitted.</w:t>
            </w:r>
          </w:p>
        </w:tc>
      </w:tr>
      <w:tr w:rsidR="00495E1A" w:rsidRPr="00B479AE" w14:paraId="654143EA" w14:textId="77777777" w:rsidTr="003241C9">
        <w:trPr>
          <w:tblCellSpacing w:w="15" w:type="dxa"/>
        </w:trPr>
        <w:tc>
          <w:tcPr>
            <w:tcW w:w="0" w:type="auto"/>
            <w:vAlign w:val="center"/>
            <w:hideMark/>
          </w:tcPr>
          <w:p w14:paraId="524CBBD4"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Non-admissible</w:t>
            </w:r>
          </w:p>
        </w:tc>
        <w:tc>
          <w:tcPr>
            <w:tcW w:w="0" w:type="auto"/>
            <w:vAlign w:val="center"/>
            <w:hideMark/>
          </w:tcPr>
          <w:p w14:paraId="64CE9BF0"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enter protected pathways.</w:t>
            </w:r>
          </w:p>
        </w:tc>
      </w:tr>
    </w:tbl>
    <w:p w14:paraId="13D7604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is one of the most important implementation controls in Prometheus.</w:t>
      </w:r>
    </w:p>
    <w:p w14:paraId="4894FEF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prevents narrative from becoming value without evidence.</w:t>
      </w:r>
    </w:p>
    <w:p w14:paraId="11B53F2A"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12.13 AI, Cognitive Kernel, and Execution Gates</w:t>
      </w:r>
    </w:p>
    <w:p w14:paraId="7144EFA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systems within Prometheus may support interpretation, classification, design, reporting, anomaly detection, scenario analysis, governance preparation, and decision support.</w:t>
      </w:r>
    </w:p>
    <w:p w14:paraId="7CAB62E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assist.</w:t>
      </w:r>
    </w:p>
    <w:p w14:paraId="55FE852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recommend.</w:t>
      </w:r>
    </w:p>
    <w:p w14:paraId="2046CA1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AI may structure.</w:t>
      </w:r>
    </w:p>
    <w:p w14:paraId="56C297A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clarify.</w:t>
      </w:r>
    </w:p>
    <w:p w14:paraId="0242068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route.</w:t>
      </w:r>
    </w:p>
    <w:p w14:paraId="3A01C08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compare.</w:t>
      </w:r>
    </w:p>
    <w:p w14:paraId="704430E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detect risk.</w:t>
      </w:r>
    </w:p>
    <w:p w14:paraId="0314ABF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generate drafts.</w:t>
      </w:r>
    </w:p>
    <w:p w14:paraId="4B15F66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AI may not independently authorize:</w:t>
      </w:r>
    </w:p>
    <w:p w14:paraId="249B8952"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PRU value;</w:t>
      </w:r>
      <w:r w:rsidRPr="00B479AE">
        <w:rPr>
          <w:rFonts w:ascii="Baskerville Old Face" w:hAnsi="Baskerville Old Face"/>
          <w:i/>
          <w:iCs/>
        </w:rPr>
        <w:br/>
        <w:t>• RAP inclusion;</w:t>
      </w:r>
      <w:r w:rsidRPr="00B479AE">
        <w:rPr>
          <w:rFonts w:ascii="Baskerville Old Face" w:hAnsi="Baskerville Old Face"/>
          <w:i/>
          <w:iCs/>
        </w:rPr>
        <w:br/>
        <w:t>• investor-facing claims;</w:t>
      </w:r>
      <w:r w:rsidRPr="00B479AE">
        <w:rPr>
          <w:rFonts w:ascii="Baskerville Old Face" w:hAnsi="Baskerville Old Face"/>
          <w:i/>
          <w:iCs/>
        </w:rPr>
        <w:br/>
        <w:t>• token issuance;</w:t>
      </w:r>
      <w:r w:rsidRPr="00B479AE">
        <w:rPr>
          <w:rFonts w:ascii="Baskerville Old Face" w:hAnsi="Baskerville Old Face"/>
          <w:i/>
          <w:iCs/>
        </w:rPr>
        <w:br/>
        <w:t>• ecological interventions;</w:t>
      </w:r>
      <w:r w:rsidRPr="00B479AE">
        <w:rPr>
          <w:rFonts w:ascii="Baskerville Old Face" w:hAnsi="Baskerville Old Face"/>
          <w:i/>
          <w:iCs/>
        </w:rPr>
        <w:br/>
        <w:t>• legal rights;</w:t>
      </w:r>
      <w:r w:rsidRPr="00B479AE">
        <w:rPr>
          <w:rFonts w:ascii="Baskerville Old Face" w:hAnsi="Baskerville Old Face"/>
          <w:i/>
          <w:iCs/>
        </w:rPr>
        <w:br/>
        <w:t>• governance decisions;</w:t>
      </w:r>
      <w:r w:rsidRPr="00B479AE">
        <w:rPr>
          <w:rFonts w:ascii="Baskerville Old Face" w:hAnsi="Baskerville Old Face"/>
          <w:i/>
          <w:iCs/>
        </w:rPr>
        <w:br/>
        <w:t>• capital deployment;</w:t>
      </w:r>
      <w:r w:rsidRPr="00B479AE">
        <w:rPr>
          <w:rFonts w:ascii="Baskerville Old Face" w:hAnsi="Baskerville Old Face"/>
          <w:i/>
          <w:iCs/>
        </w:rPr>
        <w:br/>
        <w:t>• medical or health claims;</w:t>
      </w:r>
      <w:r w:rsidRPr="00B479AE">
        <w:rPr>
          <w:rFonts w:ascii="Baskerville Old Face" w:hAnsi="Baskerville Old Face"/>
          <w:i/>
          <w:iCs/>
        </w:rPr>
        <w:br/>
        <w:t>• constitutional interpretation as final authority.</w:t>
      </w:r>
    </w:p>
    <w:p w14:paraId="7DEFD17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cognitive kernel should operate through execution gates.</w:t>
      </w:r>
    </w:p>
    <w:p w14:paraId="7444021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generated output should be classified before use.</w:t>
      </w:r>
    </w:p>
    <w:p w14:paraId="7012402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design draft should be reviewed before implementation.</w:t>
      </w:r>
    </w:p>
    <w:p w14:paraId="0733A00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financial scenario should be labeled as assumption-based.</w:t>
      </w:r>
    </w:p>
    <w:p w14:paraId="628F55F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 investor-facing draft should require legal, compliance, and evidence review.</w:t>
      </w:r>
    </w:p>
    <w:p w14:paraId="2FE165E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 MRV interpretation should require data-quality and methodology review.</w:t>
      </w:r>
    </w:p>
    <w:p w14:paraId="751031B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PRU estimate should remain non-admissible until evidence and methodology thresholds are met.</w:t>
      </w:r>
    </w:p>
    <w:p w14:paraId="094FA2D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 tokenization concept should require legal wrapper and jurisdiction-specific review.</w:t>
      </w:r>
    </w:p>
    <w:p w14:paraId="4F2764B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A health-related hypothesis should remain research or systemic-value language unless clinically and legally validated.</w:t>
      </w:r>
    </w:p>
    <w:p w14:paraId="3550241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execution sequence should be:</w:t>
      </w:r>
    </w:p>
    <w:p w14:paraId="5E863FA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request</w:t>
      </w:r>
      <w:r w:rsidRPr="00B479AE">
        <w:rPr>
          <w:rFonts w:ascii="Baskerville Old Face" w:hAnsi="Baskerville Old Face"/>
          <w:i/>
          <w:iCs/>
        </w:rPr>
        <w:br/>
        <w:t>classification</w:t>
      </w:r>
      <w:r w:rsidRPr="00B479AE">
        <w:rPr>
          <w:rFonts w:ascii="Baskerville Old Face" w:hAnsi="Baskerville Old Face"/>
          <w:i/>
          <w:iCs/>
        </w:rPr>
        <w:br/>
        <w:t>evidence check</w:t>
      </w:r>
      <w:r w:rsidRPr="00B479AE">
        <w:rPr>
          <w:rFonts w:ascii="Baskerville Old Face" w:hAnsi="Baskerville Old Face"/>
          <w:i/>
          <w:iCs/>
        </w:rPr>
        <w:br/>
        <w:t>risk check</w:t>
      </w:r>
      <w:r w:rsidRPr="00B479AE">
        <w:rPr>
          <w:rFonts w:ascii="Baskerville Old Face" w:hAnsi="Baskerville Old Face"/>
          <w:i/>
          <w:iCs/>
        </w:rPr>
        <w:br/>
        <w:t>constitutional constraint check</w:t>
      </w:r>
      <w:r w:rsidRPr="00B479AE">
        <w:rPr>
          <w:rFonts w:ascii="Baskerville Old Face" w:hAnsi="Baskerville Old Face"/>
          <w:i/>
          <w:iCs/>
        </w:rPr>
        <w:br/>
        <w:t>output classification</w:t>
      </w:r>
      <w:r w:rsidRPr="00B479AE">
        <w:rPr>
          <w:rFonts w:ascii="Baskerville Old Face" w:hAnsi="Baskerville Old Face"/>
          <w:i/>
          <w:iCs/>
        </w:rPr>
        <w:br/>
        <w:t>review routing</w:t>
      </w:r>
      <w:r w:rsidRPr="00B479AE">
        <w:rPr>
          <w:rFonts w:ascii="Baskerville Old Face" w:hAnsi="Baskerville Old Face"/>
          <w:i/>
          <w:iCs/>
        </w:rPr>
        <w:br/>
        <w:t>authorization</w:t>
      </w:r>
      <w:r w:rsidRPr="00B479AE">
        <w:rPr>
          <w:rFonts w:ascii="Baskerville Old Face" w:hAnsi="Baskerville Old Face"/>
          <w:i/>
          <w:iCs/>
        </w:rPr>
        <w:br/>
        <w:t>execution</w:t>
      </w:r>
      <w:r w:rsidRPr="00B479AE">
        <w:rPr>
          <w:rFonts w:ascii="Baskerville Old Face" w:hAnsi="Baskerville Old Face"/>
          <w:i/>
          <w:iCs/>
        </w:rPr>
        <w:br/>
        <w:t>record</w:t>
      </w:r>
      <w:r w:rsidRPr="00B479AE">
        <w:rPr>
          <w:rFonts w:ascii="Baskerville Old Face" w:hAnsi="Baskerville Old Face"/>
          <w:i/>
          <w:iCs/>
        </w:rPr>
        <w:br/>
        <w:t>verification</w:t>
      </w:r>
      <w:r w:rsidRPr="00B479AE">
        <w:rPr>
          <w:rFonts w:ascii="Baskerville Old Face" w:hAnsi="Baskerville Old Face"/>
          <w:i/>
          <w:iCs/>
        </w:rPr>
        <w:br/>
        <w:t>reporting.</w:t>
      </w:r>
    </w:p>
    <w:p w14:paraId="5F43EE2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 output should move directly from generation to execution where protected domains are involved.</w:t>
      </w:r>
    </w:p>
    <w:p w14:paraId="4C15741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is the kernel’s institutional discipline.</w:t>
      </w:r>
    </w:p>
    <w:p w14:paraId="79B8ABDC"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12.14 Non-</w:t>
      </w:r>
      <w:proofErr w:type="spellStart"/>
      <w:r w:rsidRPr="00B479AE">
        <w:rPr>
          <w:rFonts w:ascii="Baskerville Old Face" w:hAnsi="Baskerville Old Face"/>
          <w:b/>
          <w:bCs/>
          <w:i/>
          <w:iCs/>
        </w:rPr>
        <w:t>Bypassability</w:t>
      </w:r>
      <w:proofErr w:type="spellEnd"/>
      <w:r w:rsidRPr="00B479AE">
        <w:rPr>
          <w:rFonts w:ascii="Baskerville Old Face" w:hAnsi="Baskerville Old Face"/>
          <w:b/>
          <w:bCs/>
          <w:i/>
          <w:iCs/>
        </w:rPr>
        <w:t xml:space="preserve"> by Design</w:t>
      </w:r>
    </w:p>
    <w:p w14:paraId="3CA6166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should be designed around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4AB539A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xml:space="preserve"> does not mean that no attack, error, manipulation, or failure can ever occur.</w:t>
      </w:r>
    </w:p>
    <w:p w14:paraId="257211F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means that attempts to bypass constitutional constraints should become:</w:t>
      </w:r>
    </w:p>
    <w:p w14:paraId="2427F71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visible;</w:t>
      </w:r>
      <w:r w:rsidRPr="00B479AE">
        <w:rPr>
          <w:rFonts w:ascii="Baskerville Old Face" w:hAnsi="Baskerville Old Face"/>
          <w:i/>
          <w:iCs/>
        </w:rPr>
        <w:br/>
        <w:t>• logged;</w:t>
      </w:r>
      <w:r w:rsidRPr="00B479AE">
        <w:rPr>
          <w:rFonts w:ascii="Baskerville Old Face" w:hAnsi="Baskerville Old Face"/>
          <w:i/>
          <w:iCs/>
        </w:rPr>
        <w:br/>
        <w:t>• invalid within the Prometheus pathway;</w:t>
      </w:r>
      <w:r w:rsidRPr="00B479AE">
        <w:rPr>
          <w:rFonts w:ascii="Baskerville Old Face" w:hAnsi="Baskerville Old Face"/>
          <w:i/>
          <w:iCs/>
        </w:rPr>
        <w:br/>
        <w:t>• restricted where technically possible;</w:t>
      </w:r>
      <w:r w:rsidRPr="00B479AE">
        <w:rPr>
          <w:rFonts w:ascii="Baskerville Old Face" w:hAnsi="Baskerville Old Face"/>
          <w:i/>
          <w:iCs/>
        </w:rPr>
        <w:br/>
        <w:t>• non-admissible where evidentiary integrity is affected;</w:t>
      </w:r>
      <w:r w:rsidRPr="00B479AE">
        <w:rPr>
          <w:rFonts w:ascii="Baskerville Old Face" w:hAnsi="Baskerville Old Face"/>
          <w:i/>
          <w:iCs/>
        </w:rPr>
        <w:br/>
        <w:t>• non-executable where authorization is missing;</w:t>
      </w:r>
      <w:r w:rsidRPr="00B479AE">
        <w:rPr>
          <w:rFonts w:ascii="Baskerville Old Face" w:hAnsi="Baskerville Old Face"/>
          <w:i/>
          <w:iCs/>
        </w:rPr>
        <w:br/>
        <w:t>• reversible where feasible;</w:t>
      </w:r>
      <w:r w:rsidRPr="00B479AE">
        <w:rPr>
          <w:rFonts w:ascii="Baskerville Old Face" w:hAnsi="Baskerville Old Face"/>
          <w:i/>
          <w:iCs/>
        </w:rPr>
        <w:br/>
      </w:r>
      <w:r w:rsidRPr="00B479AE">
        <w:rPr>
          <w:rFonts w:ascii="Baskerville Old Face" w:hAnsi="Baskerville Old Face"/>
          <w:i/>
          <w:iCs/>
        </w:rPr>
        <w:lastRenderedPageBreak/>
        <w:t>• reviewable through governance;</w:t>
      </w:r>
      <w:r w:rsidRPr="00B479AE">
        <w:rPr>
          <w:rFonts w:ascii="Baskerville Old Face" w:hAnsi="Baskerville Old Face"/>
          <w:i/>
          <w:iCs/>
        </w:rPr>
        <w:br/>
        <w:t xml:space="preserve">• escalated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serious.</w:t>
      </w:r>
    </w:p>
    <w:p w14:paraId="2C3EF65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main bypass risks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5"/>
        <w:gridCol w:w="6773"/>
      </w:tblGrid>
      <w:tr w:rsidR="00495E1A" w:rsidRPr="00B479AE" w14:paraId="512AF1F4" w14:textId="77777777" w:rsidTr="003241C9">
        <w:trPr>
          <w:tblHeader/>
          <w:tblCellSpacing w:w="15" w:type="dxa"/>
        </w:trPr>
        <w:tc>
          <w:tcPr>
            <w:tcW w:w="0" w:type="auto"/>
            <w:vAlign w:val="center"/>
            <w:hideMark/>
          </w:tcPr>
          <w:p w14:paraId="067D17F0"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Bypass risk</w:t>
            </w:r>
          </w:p>
        </w:tc>
        <w:tc>
          <w:tcPr>
            <w:tcW w:w="0" w:type="auto"/>
            <w:vAlign w:val="center"/>
            <w:hideMark/>
          </w:tcPr>
          <w:p w14:paraId="080C0BBC"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 control</w:t>
            </w:r>
          </w:p>
        </w:tc>
      </w:tr>
      <w:tr w:rsidR="00495E1A" w:rsidRPr="00B479AE" w14:paraId="1B907974" w14:textId="77777777" w:rsidTr="003241C9">
        <w:trPr>
          <w:tblCellSpacing w:w="15" w:type="dxa"/>
        </w:trPr>
        <w:tc>
          <w:tcPr>
            <w:tcW w:w="0" w:type="auto"/>
            <w:vAlign w:val="center"/>
            <w:hideMark/>
          </w:tcPr>
          <w:p w14:paraId="7791027E"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Prompt injection or instruction override</w:t>
            </w:r>
          </w:p>
        </w:tc>
        <w:tc>
          <w:tcPr>
            <w:tcW w:w="0" w:type="auto"/>
            <w:vAlign w:val="center"/>
            <w:hideMark/>
          </w:tcPr>
          <w:p w14:paraId="1119885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policy engine, role separation, validation checks, output classification, audit logging.</w:t>
            </w:r>
          </w:p>
        </w:tc>
      </w:tr>
      <w:tr w:rsidR="00495E1A" w:rsidRPr="00B479AE" w14:paraId="0AEE2154" w14:textId="77777777" w:rsidTr="003241C9">
        <w:trPr>
          <w:tblCellSpacing w:w="15" w:type="dxa"/>
        </w:trPr>
        <w:tc>
          <w:tcPr>
            <w:tcW w:w="0" w:type="auto"/>
            <w:vAlign w:val="center"/>
            <w:hideMark/>
          </w:tcPr>
          <w:p w14:paraId="109016AF"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Unauthorized agent execution</w:t>
            </w:r>
          </w:p>
        </w:tc>
        <w:tc>
          <w:tcPr>
            <w:tcW w:w="0" w:type="auto"/>
            <w:vAlign w:val="center"/>
            <w:hideMark/>
          </w:tcPr>
          <w:p w14:paraId="02C2EC41" w14:textId="77777777" w:rsidR="00495E1A" w:rsidRPr="00B479AE" w:rsidRDefault="00495E1A" w:rsidP="00495E1A">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Permissioning</w:t>
            </w:r>
            <w:proofErr w:type="spellEnd"/>
            <w:r w:rsidRPr="00B479AE">
              <w:rPr>
                <w:rFonts w:ascii="Baskerville Old Face" w:hAnsi="Baskerville Old Face"/>
                <w:i/>
                <w:iCs/>
                <w:sz w:val="22"/>
                <w:szCs w:val="22"/>
              </w:rPr>
              <w:t>, execution gates, least-privilege design, manual review.</w:t>
            </w:r>
          </w:p>
        </w:tc>
      </w:tr>
      <w:tr w:rsidR="00495E1A" w:rsidRPr="00B479AE" w14:paraId="5BA80193" w14:textId="77777777" w:rsidTr="003241C9">
        <w:trPr>
          <w:tblCellSpacing w:w="15" w:type="dxa"/>
        </w:trPr>
        <w:tc>
          <w:tcPr>
            <w:tcW w:w="0" w:type="auto"/>
            <w:vAlign w:val="center"/>
            <w:hideMark/>
          </w:tcPr>
          <w:p w14:paraId="6C815155"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 or financial overreach</w:t>
            </w:r>
          </w:p>
        </w:tc>
        <w:tc>
          <w:tcPr>
            <w:tcW w:w="0" w:type="auto"/>
            <w:vAlign w:val="center"/>
            <w:hideMark/>
          </w:tcPr>
          <w:p w14:paraId="381A151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Legal-wrapper requirement, securities review, no automatic entitlement, public-communication controls.</w:t>
            </w:r>
          </w:p>
        </w:tc>
      </w:tr>
      <w:tr w:rsidR="00495E1A" w:rsidRPr="00B479AE" w14:paraId="2B0F24BB" w14:textId="77777777" w:rsidTr="003241C9">
        <w:trPr>
          <w:tblCellSpacing w:w="15" w:type="dxa"/>
        </w:trPr>
        <w:tc>
          <w:tcPr>
            <w:tcW w:w="0" w:type="auto"/>
            <w:vAlign w:val="center"/>
            <w:hideMark/>
          </w:tcPr>
          <w:p w14:paraId="575145A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manipulation</w:t>
            </w:r>
          </w:p>
        </w:tc>
        <w:tc>
          <w:tcPr>
            <w:tcW w:w="0" w:type="auto"/>
            <w:vAlign w:val="center"/>
            <w:hideMark/>
          </w:tcPr>
          <w:p w14:paraId="63EA3564"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Provenance chain, anomaly detection, cross-source verification, confidence scoring, third-party review.</w:t>
            </w:r>
          </w:p>
        </w:tc>
      </w:tr>
      <w:tr w:rsidR="00495E1A" w:rsidRPr="00B479AE" w14:paraId="68F7FC4A" w14:textId="77777777" w:rsidTr="003241C9">
        <w:trPr>
          <w:tblCellSpacing w:w="15" w:type="dxa"/>
        </w:trPr>
        <w:tc>
          <w:tcPr>
            <w:tcW w:w="0" w:type="auto"/>
            <w:vAlign w:val="center"/>
            <w:hideMark/>
          </w:tcPr>
          <w:p w14:paraId="7F00E6E2"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capture</w:t>
            </w:r>
          </w:p>
        </w:tc>
        <w:tc>
          <w:tcPr>
            <w:tcW w:w="0" w:type="auto"/>
            <w:vAlign w:val="center"/>
            <w:hideMark/>
          </w:tcPr>
          <w:p w14:paraId="60A65AD8"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Multi-stakeholder review, quorum rules, anti-capture safeguards, conflict-of-interest controls.</w:t>
            </w:r>
          </w:p>
        </w:tc>
      </w:tr>
      <w:tr w:rsidR="00495E1A" w:rsidRPr="00B479AE" w14:paraId="7CBAB7CE" w14:textId="77777777" w:rsidTr="003241C9">
        <w:trPr>
          <w:tblCellSpacing w:w="15" w:type="dxa"/>
        </w:trPr>
        <w:tc>
          <w:tcPr>
            <w:tcW w:w="0" w:type="auto"/>
            <w:vAlign w:val="center"/>
            <w:hideMark/>
          </w:tcPr>
          <w:p w14:paraId="0C968B56"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authority drift</w:t>
            </w:r>
          </w:p>
        </w:tc>
        <w:tc>
          <w:tcPr>
            <w:tcW w:w="0" w:type="auto"/>
            <w:vAlign w:val="center"/>
            <w:hideMark/>
          </w:tcPr>
          <w:p w14:paraId="066C1DAA"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Explicit distinction between generation, recommendation, authorization, execution, and reporting.</w:t>
            </w:r>
          </w:p>
        </w:tc>
      </w:tr>
      <w:tr w:rsidR="00495E1A" w:rsidRPr="00B479AE" w14:paraId="6CEB1EE6" w14:textId="77777777" w:rsidTr="003241C9">
        <w:trPr>
          <w:tblCellSpacing w:w="15" w:type="dxa"/>
        </w:trPr>
        <w:tc>
          <w:tcPr>
            <w:tcW w:w="0" w:type="auto"/>
            <w:vAlign w:val="center"/>
            <w:hideMark/>
          </w:tcPr>
          <w:p w14:paraId="222A4AC1"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drift</w:t>
            </w:r>
          </w:p>
        </w:tc>
        <w:tc>
          <w:tcPr>
            <w:tcW w:w="0" w:type="auto"/>
            <w:vAlign w:val="center"/>
            <w:hideMark/>
          </w:tcPr>
          <w:p w14:paraId="4B829DC3"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Canonical definitions, methodology versioning, protocol stewardship, release discipline.</w:t>
            </w:r>
          </w:p>
        </w:tc>
      </w:tr>
      <w:tr w:rsidR="00495E1A" w:rsidRPr="00B479AE" w14:paraId="2AA30E97" w14:textId="77777777" w:rsidTr="003241C9">
        <w:trPr>
          <w:tblCellSpacing w:w="15" w:type="dxa"/>
        </w:trPr>
        <w:tc>
          <w:tcPr>
            <w:tcW w:w="0" w:type="auto"/>
            <w:vAlign w:val="center"/>
            <w:hideMark/>
          </w:tcPr>
          <w:p w14:paraId="130D4E53"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administrator capture</w:t>
            </w:r>
          </w:p>
        </w:tc>
        <w:tc>
          <w:tcPr>
            <w:tcW w:w="0" w:type="auto"/>
            <w:vAlign w:val="center"/>
            <w:hideMark/>
          </w:tcPr>
          <w:p w14:paraId="008287DE"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Role separation, access logging, key management, multi-party controls, revocation pathways.</w:t>
            </w:r>
          </w:p>
        </w:tc>
      </w:tr>
      <w:tr w:rsidR="00495E1A" w:rsidRPr="00B479AE" w14:paraId="1382765D" w14:textId="77777777" w:rsidTr="003241C9">
        <w:trPr>
          <w:tblCellSpacing w:w="15" w:type="dxa"/>
        </w:trPr>
        <w:tc>
          <w:tcPr>
            <w:tcW w:w="0" w:type="auto"/>
            <w:vAlign w:val="center"/>
            <w:hideMark/>
          </w:tcPr>
          <w:p w14:paraId="4C738083"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Data-room misuse</w:t>
            </w:r>
          </w:p>
        </w:tc>
        <w:tc>
          <w:tcPr>
            <w:tcW w:w="0" w:type="auto"/>
            <w:vAlign w:val="center"/>
            <w:hideMark/>
          </w:tcPr>
          <w:p w14:paraId="0615F5C7"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Role-based access, confidentiality agreements, watermarking, audit trails, investor-facing review.</w:t>
            </w:r>
          </w:p>
        </w:tc>
      </w:tr>
      <w:tr w:rsidR="00495E1A" w:rsidRPr="00B479AE" w14:paraId="2F1A290B" w14:textId="77777777" w:rsidTr="003241C9">
        <w:trPr>
          <w:tblCellSpacing w:w="15" w:type="dxa"/>
        </w:trPr>
        <w:tc>
          <w:tcPr>
            <w:tcW w:w="0" w:type="auto"/>
            <w:vAlign w:val="center"/>
            <w:hideMark/>
          </w:tcPr>
          <w:p w14:paraId="0F038190"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HSI misuse</w:t>
            </w:r>
          </w:p>
        </w:tc>
        <w:tc>
          <w:tcPr>
            <w:tcW w:w="0" w:type="auto"/>
            <w:vAlign w:val="center"/>
            <w:hideMark/>
          </w:tcPr>
          <w:p w14:paraId="148E387F"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Voluntary consent, privacy limits, no financial authority, no human ranking, strict purpose limitation.</w:t>
            </w:r>
          </w:p>
        </w:tc>
      </w:tr>
    </w:tbl>
    <w:p w14:paraId="779628DF" w14:textId="11890126"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kernel exists so that Prometheus can become more intelligent without becoming less accountable.</w:t>
      </w:r>
      <w:r w:rsidR="003241C9" w:rsidRPr="00B479AE">
        <w:rPr>
          <w:rFonts w:ascii="Baskerville Old Face" w:hAnsi="Baskerville Old Face"/>
          <w:i/>
          <w:iCs/>
        </w:rPr>
        <w:t xml:space="preserve"> </w:t>
      </w:r>
      <w:r w:rsidRPr="00B479AE">
        <w:rPr>
          <w:rFonts w:ascii="Baskerville Old Face" w:hAnsi="Baskerville Old Face"/>
          <w:i/>
          <w:iCs/>
        </w:rPr>
        <w:t>Its constraints must therefore be embedded in:</w:t>
      </w:r>
    </w:p>
    <w:p w14:paraId="56AADFA8"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 narrative;</w:t>
      </w:r>
      <w:r w:rsidRPr="00B479AE">
        <w:rPr>
          <w:rFonts w:ascii="Baskerville Old Face" w:hAnsi="Baskerville Old Face"/>
          <w:i/>
          <w:iCs/>
        </w:rPr>
        <w:br/>
        <w:t>• governance;</w:t>
      </w:r>
      <w:r w:rsidRPr="00B479AE">
        <w:rPr>
          <w:rFonts w:ascii="Baskerville Old Face" w:hAnsi="Baskerville Old Face"/>
          <w:i/>
          <w:iCs/>
        </w:rPr>
        <w:br/>
        <w:t>• code;</w:t>
      </w:r>
      <w:r w:rsidRPr="00B479AE">
        <w:rPr>
          <w:rFonts w:ascii="Baskerville Old Face" w:hAnsi="Baskerville Old Face"/>
          <w:i/>
          <w:iCs/>
        </w:rPr>
        <w:br/>
        <w:t>• schemas;</w:t>
      </w:r>
      <w:r w:rsidRPr="00B479AE">
        <w:rPr>
          <w:rFonts w:ascii="Baskerville Old Face" w:hAnsi="Baskerville Old Face"/>
          <w:i/>
          <w:iCs/>
        </w:rPr>
        <w:br/>
        <w:t>• permissions;</w:t>
      </w:r>
      <w:r w:rsidRPr="00B479AE">
        <w:rPr>
          <w:rFonts w:ascii="Baskerville Old Face" w:hAnsi="Baskerville Old Face"/>
          <w:i/>
          <w:iCs/>
        </w:rPr>
        <w:br/>
        <w:t>• audits;</w:t>
      </w:r>
      <w:r w:rsidRPr="00B479AE">
        <w:rPr>
          <w:rFonts w:ascii="Baskerville Old Face" w:hAnsi="Baskerville Old Face"/>
          <w:i/>
          <w:iCs/>
        </w:rPr>
        <w:br/>
        <w:t>• legal instruments;</w:t>
      </w:r>
      <w:r w:rsidRPr="00B479AE">
        <w:rPr>
          <w:rFonts w:ascii="Baskerville Old Face" w:hAnsi="Baskerville Old Face"/>
          <w:i/>
          <w:iCs/>
        </w:rPr>
        <w:br/>
        <w:t>• institutional process.</w:t>
      </w:r>
    </w:p>
    <w:p w14:paraId="32E1E856"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12.15 Source-Code Discipline</w:t>
      </w:r>
    </w:p>
    <w:p w14:paraId="1F9B02B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At implementation level, the kernel’s constraints should be expressed not only in narrative documents, but also in source-code logic, validation schemas, policy engines, permission systems, execution gates, test suites, audit procedures, and deployment controls.</w:t>
      </w:r>
    </w:p>
    <w:p w14:paraId="18C2CC7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constitutional text defines meaning.</w:t>
      </w:r>
    </w:p>
    <w:p w14:paraId="0429CED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source code enforces boundaries where implemented.</w:t>
      </w:r>
    </w:p>
    <w:p w14:paraId="52F1B68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audit trail proves whether boundaries were respected.</w:t>
      </w:r>
    </w:p>
    <w:p w14:paraId="1DF3FC0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governance layer decides how boundary cases are handled.</w:t>
      </w:r>
    </w:p>
    <w:p w14:paraId="3418B87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Legal instruments bind institutional relationships.</w:t>
      </w:r>
    </w:p>
    <w:p w14:paraId="3368925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creates a five-layer discipline: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5368"/>
      </w:tblGrid>
      <w:tr w:rsidR="00495E1A" w:rsidRPr="00B479AE" w14:paraId="6101B8B7" w14:textId="77777777" w:rsidTr="003241C9">
        <w:trPr>
          <w:tblHeader/>
          <w:tblCellSpacing w:w="15" w:type="dxa"/>
        </w:trPr>
        <w:tc>
          <w:tcPr>
            <w:tcW w:w="0" w:type="auto"/>
            <w:vAlign w:val="center"/>
            <w:hideMark/>
          </w:tcPr>
          <w:p w14:paraId="4DC37597"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Layer</w:t>
            </w:r>
          </w:p>
        </w:tc>
        <w:tc>
          <w:tcPr>
            <w:tcW w:w="0" w:type="auto"/>
            <w:vAlign w:val="center"/>
            <w:hideMark/>
          </w:tcPr>
          <w:p w14:paraId="5E82F519" w14:textId="77777777" w:rsidR="00495E1A" w:rsidRPr="00B479AE" w:rsidRDefault="00495E1A" w:rsidP="00495E1A">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w:t>
            </w:r>
          </w:p>
        </w:tc>
      </w:tr>
      <w:tr w:rsidR="00495E1A" w:rsidRPr="00B479AE" w14:paraId="347E608C" w14:textId="77777777" w:rsidTr="003241C9">
        <w:trPr>
          <w:tblCellSpacing w:w="15" w:type="dxa"/>
        </w:trPr>
        <w:tc>
          <w:tcPr>
            <w:tcW w:w="0" w:type="auto"/>
            <w:vAlign w:val="center"/>
            <w:hideMark/>
          </w:tcPr>
          <w:p w14:paraId="1A182F42"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meaning</w:t>
            </w:r>
          </w:p>
        </w:tc>
        <w:tc>
          <w:tcPr>
            <w:tcW w:w="0" w:type="auto"/>
            <w:vAlign w:val="center"/>
            <w:hideMark/>
          </w:tcPr>
          <w:p w14:paraId="2CD9A43C"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the source-layer principles.</w:t>
            </w:r>
          </w:p>
        </w:tc>
      </w:tr>
      <w:tr w:rsidR="00495E1A" w:rsidRPr="00B479AE" w14:paraId="13F74FDA" w14:textId="77777777" w:rsidTr="003241C9">
        <w:trPr>
          <w:tblCellSpacing w:w="15" w:type="dxa"/>
        </w:trPr>
        <w:tc>
          <w:tcPr>
            <w:tcW w:w="0" w:type="auto"/>
            <w:vAlign w:val="center"/>
            <w:hideMark/>
          </w:tcPr>
          <w:p w14:paraId="6F4AB106"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enforcement</w:t>
            </w:r>
          </w:p>
        </w:tc>
        <w:tc>
          <w:tcPr>
            <w:tcW w:w="0" w:type="auto"/>
            <w:vAlign w:val="center"/>
            <w:hideMark/>
          </w:tcPr>
          <w:p w14:paraId="1F762F0A"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Implements constraints where technically available.</w:t>
            </w:r>
          </w:p>
        </w:tc>
      </w:tr>
      <w:tr w:rsidR="00495E1A" w:rsidRPr="00B479AE" w14:paraId="2E9C3482" w14:textId="77777777" w:rsidTr="003241C9">
        <w:trPr>
          <w:tblCellSpacing w:w="15" w:type="dxa"/>
        </w:trPr>
        <w:tc>
          <w:tcPr>
            <w:tcW w:w="0" w:type="auto"/>
            <w:vAlign w:val="center"/>
            <w:hideMark/>
          </w:tcPr>
          <w:p w14:paraId="11BF2109"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Auditability</w:t>
            </w:r>
          </w:p>
        </w:tc>
        <w:tc>
          <w:tcPr>
            <w:tcW w:w="0" w:type="auto"/>
            <w:vAlign w:val="center"/>
            <w:hideMark/>
          </w:tcPr>
          <w:p w14:paraId="6C630AA4"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Records what occurred and supports review.</w:t>
            </w:r>
          </w:p>
        </w:tc>
      </w:tr>
      <w:tr w:rsidR="00495E1A" w:rsidRPr="00B479AE" w14:paraId="219208D8" w14:textId="77777777" w:rsidTr="003241C9">
        <w:trPr>
          <w:tblCellSpacing w:w="15" w:type="dxa"/>
        </w:trPr>
        <w:tc>
          <w:tcPr>
            <w:tcW w:w="0" w:type="auto"/>
            <w:vAlign w:val="center"/>
            <w:hideMark/>
          </w:tcPr>
          <w:p w14:paraId="39972DAD"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review</w:t>
            </w:r>
          </w:p>
        </w:tc>
        <w:tc>
          <w:tcPr>
            <w:tcW w:w="0" w:type="auto"/>
            <w:vAlign w:val="center"/>
            <w:hideMark/>
          </w:tcPr>
          <w:p w14:paraId="77C02681"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Interprets contested cases and authorizes action.</w:t>
            </w:r>
          </w:p>
        </w:tc>
      </w:tr>
      <w:tr w:rsidR="00495E1A" w:rsidRPr="00B479AE" w14:paraId="4860F5DB" w14:textId="77777777" w:rsidTr="003241C9">
        <w:trPr>
          <w:tblCellSpacing w:w="15" w:type="dxa"/>
        </w:trPr>
        <w:tc>
          <w:tcPr>
            <w:tcW w:w="0" w:type="auto"/>
            <w:vAlign w:val="center"/>
            <w:hideMark/>
          </w:tcPr>
          <w:p w14:paraId="7A6A022F"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enforceability</w:t>
            </w:r>
          </w:p>
        </w:tc>
        <w:tc>
          <w:tcPr>
            <w:tcW w:w="0" w:type="auto"/>
            <w:vAlign w:val="center"/>
            <w:hideMark/>
          </w:tcPr>
          <w:p w14:paraId="4FE2BC5C" w14:textId="77777777" w:rsidR="00495E1A" w:rsidRPr="00B479AE" w:rsidRDefault="00495E1A" w:rsidP="00495E1A">
            <w:pPr>
              <w:spacing w:line="360" w:lineRule="auto"/>
              <w:rPr>
                <w:rFonts w:ascii="Baskerville Old Face" w:hAnsi="Baskerville Old Face"/>
                <w:i/>
                <w:iCs/>
                <w:sz w:val="22"/>
                <w:szCs w:val="22"/>
              </w:rPr>
            </w:pPr>
            <w:r w:rsidRPr="00B479AE">
              <w:rPr>
                <w:rFonts w:ascii="Baskerville Old Face" w:hAnsi="Baskerville Old Face"/>
                <w:i/>
                <w:iCs/>
                <w:sz w:val="22"/>
                <w:szCs w:val="22"/>
              </w:rPr>
              <w:t>Creates jurisdiction-specific rights, obligations, and remedies.</w:t>
            </w:r>
          </w:p>
        </w:tc>
      </w:tr>
    </w:tbl>
    <w:p w14:paraId="4AC4A3A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lastRenderedPageBreak/>
        <w:t>The kernel therefore becomes more than a philosophy.</w:t>
      </w:r>
    </w:p>
    <w:p w14:paraId="74C645DB"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becomes operational discipline inside the system.</w:t>
      </w:r>
    </w:p>
    <w:p w14:paraId="7572D1C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Prometheus’ source code should carry the constitutional memory of the system.</w:t>
      </w:r>
    </w:p>
    <w:p w14:paraId="50E5A1DE"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Not as decorative comments.</w:t>
      </w:r>
    </w:p>
    <w:p w14:paraId="147FA9E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Not as branding.</w:t>
      </w:r>
    </w:p>
    <w:p w14:paraId="00A4C34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Not as a slogan hidden in a README.</w:t>
      </w:r>
    </w:p>
    <w:p w14:paraId="4BE35606"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As enforceable architecture:</w:t>
      </w:r>
    </w:p>
    <w:p w14:paraId="6B6813F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 validation rules;</w:t>
      </w:r>
      <w:r w:rsidRPr="00B479AE">
        <w:rPr>
          <w:rFonts w:ascii="Baskerville Old Face" w:hAnsi="Baskerville Old Face"/>
          <w:i/>
          <w:iCs/>
        </w:rPr>
        <w:br/>
        <w:t>• permission checks;</w:t>
      </w:r>
      <w:r w:rsidRPr="00B479AE">
        <w:rPr>
          <w:rFonts w:ascii="Baskerville Old Face" w:hAnsi="Baskerville Old Face"/>
          <w:i/>
          <w:iCs/>
        </w:rPr>
        <w:br/>
        <w:t>• schema constraints;</w:t>
      </w:r>
      <w:r w:rsidRPr="00B479AE">
        <w:rPr>
          <w:rFonts w:ascii="Baskerville Old Face" w:hAnsi="Baskerville Old Face"/>
          <w:i/>
          <w:iCs/>
        </w:rPr>
        <w:br/>
        <w:t>• role boundaries;</w:t>
      </w:r>
      <w:r w:rsidRPr="00B479AE">
        <w:rPr>
          <w:rFonts w:ascii="Baskerville Old Face" w:hAnsi="Baskerville Old Face"/>
          <w:i/>
          <w:iCs/>
        </w:rPr>
        <w:br/>
        <w:t>• release manifests;</w:t>
      </w:r>
      <w:r w:rsidRPr="00B479AE">
        <w:rPr>
          <w:rFonts w:ascii="Baskerville Old Face" w:hAnsi="Baskerville Old Face"/>
          <w:i/>
          <w:iCs/>
        </w:rPr>
        <w:br/>
        <w:t>• test failures for prohibited actions;</w:t>
      </w:r>
      <w:r w:rsidRPr="00B479AE">
        <w:rPr>
          <w:rFonts w:ascii="Baskerville Old Face" w:hAnsi="Baskerville Old Face"/>
          <w:i/>
          <w:iCs/>
        </w:rPr>
        <w:br/>
        <w:t>• audit trails for protected workflows;</w:t>
      </w:r>
      <w:r w:rsidRPr="00B479AE">
        <w:rPr>
          <w:rFonts w:ascii="Baskerville Old Face" w:hAnsi="Baskerville Old Face"/>
          <w:i/>
          <w:iCs/>
        </w:rPr>
        <w:br/>
        <w:t>• non-admissibility flags;</w:t>
      </w:r>
      <w:r w:rsidRPr="00B479AE">
        <w:rPr>
          <w:rFonts w:ascii="Baskerville Old Face" w:hAnsi="Baskerville Old Face"/>
          <w:i/>
          <w:iCs/>
        </w:rPr>
        <w:br/>
        <w:t>• rollback pathways;</w:t>
      </w:r>
      <w:r w:rsidRPr="00B479AE">
        <w:rPr>
          <w:rFonts w:ascii="Baskerville Old Face" w:hAnsi="Baskerville Old Face"/>
          <w:i/>
          <w:iCs/>
        </w:rPr>
        <w:br/>
        <w:t>• emergency pause controls;</w:t>
      </w:r>
      <w:r w:rsidRPr="00B479AE">
        <w:rPr>
          <w:rFonts w:ascii="Baskerville Old Face" w:hAnsi="Baskerville Old Face"/>
          <w:i/>
          <w:iCs/>
        </w:rPr>
        <w:br/>
        <w:t>• governance-routing logic.</w:t>
      </w:r>
    </w:p>
    <w:p w14:paraId="12D31D1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code should make unconstitutional action difficult to execute, difficult to hide, difficult to represent as valid, and impossible to treat as Prometheus-admissible.</w:t>
      </w:r>
    </w:p>
    <w:p w14:paraId="480EADFA"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is the practical meaning of constitutional enforcement in code.</w:t>
      </w:r>
    </w:p>
    <w:p w14:paraId="714121EB" w14:textId="77777777" w:rsidR="00495E1A" w:rsidRPr="00B479AE" w:rsidRDefault="00495E1A" w:rsidP="00495E1A">
      <w:pPr>
        <w:spacing w:line="360" w:lineRule="auto"/>
        <w:rPr>
          <w:rFonts w:ascii="Baskerville Old Face" w:hAnsi="Baskerville Old Face"/>
          <w:b/>
          <w:bCs/>
          <w:i/>
          <w:iCs/>
        </w:rPr>
      </w:pPr>
      <w:r w:rsidRPr="00B479AE">
        <w:rPr>
          <w:rFonts w:ascii="Baskerville Old Face" w:hAnsi="Baskerville Old Face"/>
          <w:b/>
          <w:bCs/>
          <w:i/>
          <w:iCs/>
        </w:rPr>
        <w:t>12.16 Irreducible Technical Boundary</w:t>
      </w:r>
    </w:p>
    <w:p w14:paraId="6ABF16C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irreducible boundary of the technical layer is this:</w:t>
      </w:r>
    </w:p>
    <w:p w14:paraId="3FD8B09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intelligence may assist;</w:t>
      </w:r>
      <w:r w:rsidRPr="00B479AE">
        <w:rPr>
          <w:rFonts w:ascii="Baskerville Old Face" w:hAnsi="Baskerville Old Face"/>
          <w:i/>
          <w:iCs/>
        </w:rPr>
        <w:br/>
        <w:t>intelligence may interpret;</w:t>
      </w:r>
      <w:r w:rsidRPr="00B479AE">
        <w:rPr>
          <w:rFonts w:ascii="Baskerville Old Face" w:hAnsi="Baskerville Old Face"/>
          <w:i/>
          <w:iCs/>
        </w:rPr>
        <w:br/>
        <w:t>intelligence may generate;</w:t>
      </w:r>
      <w:r w:rsidRPr="00B479AE">
        <w:rPr>
          <w:rFonts w:ascii="Baskerville Old Face" w:hAnsi="Baskerville Old Face"/>
          <w:i/>
          <w:iCs/>
        </w:rPr>
        <w:br/>
        <w:t>intelligence may recommend;</w:t>
      </w:r>
      <w:r w:rsidRPr="00B479AE">
        <w:rPr>
          <w:rFonts w:ascii="Baskerville Old Face" w:hAnsi="Baskerville Old Face"/>
          <w:i/>
          <w:iCs/>
        </w:rPr>
        <w:br/>
      </w:r>
      <w:r w:rsidRPr="00B479AE">
        <w:rPr>
          <w:rFonts w:ascii="Baskerville Old Face" w:hAnsi="Baskerville Old Face"/>
          <w:i/>
          <w:iCs/>
        </w:rPr>
        <w:lastRenderedPageBreak/>
        <w:t>intelligence may coordinate;</w:t>
      </w:r>
      <w:r w:rsidRPr="00B479AE">
        <w:rPr>
          <w:rFonts w:ascii="Baskerville Old Face" w:hAnsi="Baskerville Old Face"/>
          <w:i/>
          <w:iCs/>
        </w:rPr>
        <w:br/>
        <w:t>intelligence may improve operational clarity;</w:t>
      </w:r>
      <w:r w:rsidRPr="00B479AE">
        <w:rPr>
          <w:rFonts w:ascii="Baskerville Old Face" w:hAnsi="Baskerville Old Face"/>
          <w:i/>
          <w:iCs/>
        </w:rPr>
        <w:br/>
        <w:t>intelligence may help Prometheus learn;</w:t>
      </w:r>
    </w:p>
    <w:p w14:paraId="76FC9AA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but intelligence may not override the constitutional conditions that preserve life, dignity, evidence, governance, and regenerative fidelity.</w:t>
      </w:r>
    </w:p>
    <w:p w14:paraId="53C6D3A9"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Any intelligence that attempts to bypass these conditions is not acting as Prometheus.</w:t>
      </w:r>
    </w:p>
    <w:p w14:paraId="0DB2DB2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is acting outside Prometheus.</w:t>
      </w:r>
    </w:p>
    <w:p w14:paraId="218D479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Any code that permits such bypass is not a faithful implementation.</w:t>
      </w:r>
    </w:p>
    <w:p w14:paraId="43FF89E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is a defect, a vulnerability, or an unauthorized fork.</w:t>
      </w:r>
    </w:p>
    <w:p w14:paraId="3D5B136D"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Any dashboard that displays unsupported value as verified value is not reporting.</w:t>
      </w:r>
    </w:p>
    <w:p w14:paraId="6A051DA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is distortion.</w:t>
      </w:r>
    </w:p>
    <w:p w14:paraId="614E8BF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Any token mechanism that converts unverified narrative into entitlement is not regenerative finance.</w:t>
      </w:r>
    </w:p>
    <w:p w14:paraId="1D5B9051"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is semantic collapse.</w:t>
      </w:r>
    </w:p>
    <w:p w14:paraId="5CBC3F40"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Any governance process that treats technical convenience as constitutional authority is not evolution.</w:t>
      </w:r>
    </w:p>
    <w:p w14:paraId="3CD3738F"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is drift.</w:t>
      </w:r>
    </w:p>
    <w:p w14:paraId="170511B7"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This boundary must remain invariant across future versions, deployments, derivative systems, interfaces, models, agents, capital structures, institutional transformations, and technical upgrades.</w:t>
      </w:r>
    </w:p>
    <w:p w14:paraId="38854803"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The implementation layer exists so that Prometheus can become more capable without becoming less faithful.</w:t>
      </w:r>
    </w:p>
    <w:p w14:paraId="6C286D35"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Its final role is not control for its own sake.</w:t>
      </w:r>
    </w:p>
    <w:p w14:paraId="65F28D7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Its final role is fidelity.</w:t>
      </w:r>
    </w:p>
    <w:p w14:paraId="25297714" w14:textId="77777777" w:rsidR="00495E1A" w:rsidRPr="00B479AE" w:rsidRDefault="00495E1A" w:rsidP="00495E1A">
      <w:pPr>
        <w:spacing w:line="360" w:lineRule="auto"/>
        <w:rPr>
          <w:rFonts w:ascii="Baskerville Old Face" w:hAnsi="Baskerville Old Face"/>
          <w:i/>
          <w:iCs/>
        </w:rPr>
      </w:pPr>
      <w:r w:rsidRPr="00B479AE">
        <w:rPr>
          <w:rFonts w:ascii="Baskerville Old Face" w:hAnsi="Baskerville Old Face"/>
          <w:i/>
          <w:iCs/>
        </w:rPr>
        <w:t>It protects the system from the oldest failure mode of intelligence:</w:t>
      </w:r>
    </w:p>
    <w:p w14:paraId="10C37661" w14:textId="7EB7A7C4" w:rsidR="00363D55" w:rsidRPr="00B479AE" w:rsidRDefault="00495E1A" w:rsidP="00AA1A42">
      <w:pPr>
        <w:spacing w:line="360" w:lineRule="auto"/>
        <w:rPr>
          <w:rFonts w:ascii="Baskerville Old Face" w:hAnsi="Baskerville Old Face"/>
          <w:i/>
          <w:iCs/>
        </w:rPr>
      </w:pPr>
      <w:r w:rsidRPr="00B479AE">
        <w:rPr>
          <w:rFonts w:ascii="Baskerville Old Face" w:hAnsi="Baskerville Old Face"/>
          <w:i/>
          <w:iCs/>
        </w:rPr>
        <w:t>becoming powerful before becoming wise.</w:t>
      </w:r>
    </w:p>
    <w:p w14:paraId="70247C5B"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lastRenderedPageBreak/>
        <w:t>13. The Path Forward: Implementation, Continuity, and Living Canon</w:t>
      </w:r>
    </w:p>
    <w:p w14:paraId="42C3AD7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a constitutional architecture for verified regeneration.</w:t>
      </w:r>
    </w:p>
    <w:p w14:paraId="67E2723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a living infrastructure for aligning ecology, human dignity, intelligence, governance, evidence, technology, capital, law, and long-term civilizational continuity.</w:t>
      </w:r>
    </w:p>
    <w:p w14:paraId="754391F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purpose is to make regenerative performance observable, measurable, verifiable, governable, financeable, legally legible, technically traceable, culturally transmittable, and faithful to life.</w:t>
      </w:r>
    </w:p>
    <w:p w14:paraId="3C43E4E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begins with a simple source-layer truth:</w:t>
      </w:r>
    </w:p>
    <w:p w14:paraId="13B278D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life is the ground of value.</w:t>
      </w:r>
    </w:p>
    <w:p w14:paraId="40D1DB8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From this source, the system develops its institutional architecture:</w:t>
      </w:r>
    </w:p>
    <w:p w14:paraId="4DDF3EE1" w14:textId="2B5A167A"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human dignity as infrastructure;</w:t>
      </w:r>
      <w:r w:rsidRPr="00B479AE">
        <w:rPr>
          <w:rFonts w:ascii="Baskerville Old Face" w:hAnsi="Baskerville Old Face"/>
          <w:i/>
          <w:iCs/>
        </w:rPr>
        <w:br/>
        <w:t>ecological regeneration as measurable process;</w:t>
      </w:r>
      <w:r w:rsidRPr="00B479AE">
        <w:rPr>
          <w:rFonts w:ascii="Baskerville Old Face" w:hAnsi="Baskerville Old Face"/>
          <w:i/>
          <w:iCs/>
        </w:rPr>
        <w:br/>
        <w:t>MRV as evidence discipline;</w:t>
      </w:r>
      <w:r w:rsidRPr="00B479AE">
        <w:rPr>
          <w:rFonts w:ascii="Baskerville Old Face" w:hAnsi="Baskerville Old Face"/>
          <w:i/>
          <w:iCs/>
        </w:rPr>
        <w:br/>
        <w:t xml:space="preserve">PRU </w:t>
      </w:r>
      <w:r w:rsidR="005C176F" w:rsidRPr="00B479AE">
        <w:rPr>
          <w:rFonts w:ascii="Baskerville Old Face" w:hAnsi="Baskerville Old Face"/>
          <w:i/>
          <w:iCs/>
        </w:rPr>
        <w:t>as analytical representation of verified regenerative performance</w:t>
      </w:r>
      <w:r w:rsidRPr="00B479AE">
        <w:rPr>
          <w:rFonts w:ascii="Baskerville Old Face" w:hAnsi="Baskerville Old Face"/>
          <w:i/>
          <w:iCs/>
        </w:rPr>
        <w:t>;</w:t>
      </w:r>
      <w:r w:rsidRPr="00B479AE">
        <w:rPr>
          <w:rFonts w:ascii="Baskerville Old Face" w:hAnsi="Baskerville Old Face"/>
          <w:i/>
          <w:iCs/>
        </w:rPr>
        <w:br/>
        <w:t>RAP as portfolio aggregation logic;</w:t>
      </w:r>
      <w:r w:rsidRPr="00B479AE">
        <w:rPr>
          <w:rFonts w:ascii="Baskerville Old Face" w:hAnsi="Baskerville Old Face"/>
          <w:i/>
          <w:iCs/>
        </w:rPr>
        <w:br/>
        <w:t>agent-centric infrastructure as contextual coordination substrate;</w:t>
      </w:r>
      <w:r w:rsidRPr="00B479AE">
        <w:rPr>
          <w:rFonts w:ascii="Baskerville Old Face" w:hAnsi="Baskerville Old Face"/>
          <w:i/>
          <w:iCs/>
        </w:rPr>
        <w:br/>
        <w:t>governance as constitutional stewardship;</w:t>
      </w:r>
      <w:r w:rsidRPr="00B479AE">
        <w:rPr>
          <w:rFonts w:ascii="Baskerville Old Face" w:hAnsi="Baskerville Old Face"/>
          <w:i/>
          <w:iCs/>
        </w:rPr>
        <w:br/>
        <w:t>capital as disciplined support for verified regeneration;</w:t>
      </w:r>
      <w:r w:rsidRPr="00B479AE">
        <w:rPr>
          <w:rFonts w:ascii="Baskerville Old Face" w:hAnsi="Baskerville Old Face"/>
          <w:i/>
          <w:iCs/>
        </w:rPr>
        <w:br/>
        <w:t>AI as assistive intelligence;</w:t>
      </w:r>
      <w:r w:rsidRPr="00B479AE">
        <w:rPr>
          <w:rFonts w:ascii="Baskerville Old Face" w:hAnsi="Baskerville Old Face"/>
          <w:i/>
          <w:iCs/>
        </w:rPr>
        <w:br/>
        <w:t>law as continuity and protection;</w:t>
      </w:r>
      <w:r w:rsidRPr="00B479AE">
        <w:rPr>
          <w:rFonts w:ascii="Baskerville Old Face" w:hAnsi="Baskerville Old Face"/>
          <w:i/>
          <w:iCs/>
        </w:rPr>
        <w:br/>
        <w:t>the Access Covenant as the threshold of legitimate participation;</w:t>
      </w:r>
      <w:r w:rsidRPr="00B479AE">
        <w:rPr>
          <w:rFonts w:ascii="Baskerville Old Face" w:hAnsi="Baskerville Old Face"/>
          <w:i/>
          <w:iCs/>
        </w:rPr>
        <w:br/>
        <w:t>the Eternity Clauses as the non-invertible memory of the system;</w:t>
      </w:r>
      <w:r w:rsidRPr="00B479AE">
        <w:rPr>
          <w:rFonts w:ascii="Baskerville Old Face" w:hAnsi="Baskerville Old Face"/>
          <w:i/>
          <w:iCs/>
        </w:rPr>
        <w:br/>
        <w:t>and the living field as the foundation from which all value arises.</w:t>
      </w:r>
    </w:p>
    <w:p w14:paraId="087C151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grows through sequence.</w:t>
      </w:r>
    </w:p>
    <w:p w14:paraId="1B427EB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First life.</w:t>
      </w:r>
    </w:p>
    <w:p w14:paraId="6103ADA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stewardship.</w:t>
      </w:r>
    </w:p>
    <w:p w14:paraId="652AFAC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evidence.</w:t>
      </w:r>
    </w:p>
    <w:p w14:paraId="3CE4575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verification.</w:t>
      </w:r>
    </w:p>
    <w:p w14:paraId="1EF7D91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Then admissibility.</w:t>
      </w:r>
    </w:p>
    <w:p w14:paraId="2550D09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value.</w:t>
      </w:r>
    </w:p>
    <w:p w14:paraId="285F7E1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legal structure.</w:t>
      </w:r>
    </w:p>
    <w:p w14:paraId="7274D92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capital.</w:t>
      </w:r>
    </w:p>
    <w:p w14:paraId="07BC5C4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Then scale.</w:t>
      </w:r>
    </w:p>
    <w:p w14:paraId="602BF96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sequence is the spine of Prometheus.</w:t>
      </w:r>
    </w:p>
    <w:p w14:paraId="120C1C2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allows the system to become ambitious without becoming premature, technological without becoming technocratic, financial without becoming extractive, intelligent without becoming sovereign over life, and scalable without losing its root.</w:t>
      </w:r>
    </w:p>
    <w:p w14:paraId="75A0799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built to grow as living systems grow:</w:t>
      </w:r>
    </w:p>
    <w:p w14:paraId="2865F1B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rooted before expanded;</w:t>
      </w:r>
      <w:r w:rsidRPr="00B479AE">
        <w:rPr>
          <w:rFonts w:ascii="Baskerville Old Face" w:hAnsi="Baskerville Old Face"/>
          <w:i/>
          <w:iCs/>
        </w:rPr>
        <w:br/>
        <w:t>observed before valued;</w:t>
      </w:r>
      <w:r w:rsidRPr="00B479AE">
        <w:rPr>
          <w:rFonts w:ascii="Baskerville Old Face" w:hAnsi="Baskerville Old Face"/>
          <w:i/>
          <w:iCs/>
        </w:rPr>
        <w:br/>
        <w:t>verified before financed;</w:t>
      </w:r>
      <w:r w:rsidRPr="00B479AE">
        <w:rPr>
          <w:rFonts w:ascii="Baskerville Old Face" w:hAnsi="Baskerville Old Face"/>
          <w:i/>
          <w:iCs/>
        </w:rPr>
        <w:br/>
        <w:t>governed before scaled;</w:t>
      </w:r>
      <w:r w:rsidRPr="00B479AE">
        <w:rPr>
          <w:rFonts w:ascii="Baskerville Old Face" w:hAnsi="Baskerville Old Face"/>
          <w:i/>
          <w:iCs/>
        </w:rPr>
        <w:br/>
        <w:t>reviewed before automated;</w:t>
      </w:r>
      <w:r w:rsidRPr="00B479AE">
        <w:rPr>
          <w:rFonts w:ascii="Baskerville Old Face" w:hAnsi="Baskerville Old Face"/>
          <w:i/>
          <w:iCs/>
        </w:rPr>
        <w:br/>
        <w:t>and faithful before powerful.</w:t>
      </w:r>
    </w:p>
    <w:p w14:paraId="1FFB11AD"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 From White Paper to Implementation Contract</w:t>
      </w:r>
    </w:p>
    <w:p w14:paraId="7DE1DDA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White Paper defines the constitutional, ecological, technological, governance, legal, and capital-formation architecture of Prometheus.</w:t>
      </w:r>
    </w:p>
    <w:p w14:paraId="5D015EA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next step is implementation discipline.</w:t>
      </w:r>
    </w:p>
    <w:p w14:paraId="1898363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should now translate this architecture into a bounded implementation contract.</w:t>
      </w:r>
    </w:p>
    <w:p w14:paraId="2264626D" w14:textId="781F7B9F"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implementation contract defines:</w:t>
      </w:r>
      <w:r w:rsidR="0016340F" w:rsidRPr="00B479AE">
        <w:rPr>
          <w:rFonts w:ascii="Baskerville Old Face" w:hAnsi="Baskerville Old Face"/>
          <w:i/>
          <w:iCs/>
        </w:rPr>
        <w:t xml:space="preserve"> </w:t>
      </w:r>
    </w:p>
    <w:p w14:paraId="41823A07" w14:textId="77777777" w:rsidR="0016340F" w:rsidRPr="00B479AE" w:rsidRDefault="0016340F" w:rsidP="00AA1A42">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2"/>
        <w:gridCol w:w="8036"/>
      </w:tblGrid>
      <w:tr w:rsidR="00AA1A42" w:rsidRPr="00B479AE" w14:paraId="0D7E2707" w14:textId="77777777" w:rsidTr="0084040C">
        <w:trPr>
          <w:tblHeader/>
          <w:tblCellSpacing w:w="15" w:type="dxa"/>
        </w:trPr>
        <w:tc>
          <w:tcPr>
            <w:tcW w:w="0" w:type="auto"/>
            <w:vAlign w:val="center"/>
            <w:hideMark/>
          </w:tcPr>
          <w:p w14:paraId="0020BAE8"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Layer</w:t>
            </w:r>
          </w:p>
        </w:tc>
        <w:tc>
          <w:tcPr>
            <w:tcW w:w="0" w:type="auto"/>
            <w:vAlign w:val="center"/>
            <w:hideMark/>
          </w:tcPr>
          <w:p w14:paraId="02AEF874"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Implementation function</w:t>
            </w:r>
          </w:p>
        </w:tc>
      </w:tr>
      <w:tr w:rsidR="00AA1A42" w:rsidRPr="00B479AE" w14:paraId="2FDA7F57" w14:textId="77777777" w:rsidTr="0084040C">
        <w:trPr>
          <w:tblCellSpacing w:w="15" w:type="dxa"/>
        </w:trPr>
        <w:tc>
          <w:tcPr>
            <w:tcW w:w="0" w:type="auto"/>
            <w:vAlign w:val="center"/>
            <w:hideMark/>
          </w:tcPr>
          <w:p w14:paraId="3BABF1D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layer</w:t>
            </w:r>
          </w:p>
        </w:tc>
        <w:tc>
          <w:tcPr>
            <w:tcW w:w="0" w:type="auto"/>
            <w:vAlign w:val="center"/>
            <w:hideMark/>
          </w:tcPr>
          <w:p w14:paraId="4E6911B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foundational articles, Eternity Clauses, Access Covenant, source-layer discipline, and canonical definitions.</w:t>
            </w:r>
          </w:p>
        </w:tc>
      </w:tr>
      <w:tr w:rsidR="00AA1A42" w:rsidRPr="00B479AE" w14:paraId="216731A6" w14:textId="77777777" w:rsidTr="0084040C">
        <w:trPr>
          <w:tblCellSpacing w:w="15" w:type="dxa"/>
        </w:trPr>
        <w:tc>
          <w:tcPr>
            <w:tcW w:w="0" w:type="auto"/>
            <w:vAlign w:val="center"/>
            <w:hideMark/>
          </w:tcPr>
          <w:p w14:paraId="6C53F3D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layer</w:t>
            </w:r>
          </w:p>
        </w:tc>
        <w:tc>
          <w:tcPr>
            <w:tcW w:w="0" w:type="auto"/>
            <w:vAlign w:val="center"/>
            <w:hideMark/>
          </w:tcPr>
          <w:p w14:paraId="6BBF352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roles, circles, consent logic, escalation pathways, review bodies, and accountability rules.</w:t>
            </w:r>
          </w:p>
        </w:tc>
      </w:tr>
      <w:tr w:rsidR="00AA1A42" w:rsidRPr="00B479AE" w14:paraId="012BDE0C" w14:textId="77777777" w:rsidTr="0084040C">
        <w:trPr>
          <w:tblCellSpacing w:w="15" w:type="dxa"/>
        </w:trPr>
        <w:tc>
          <w:tcPr>
            <w:tcW w:w="0" w:type="auto"/>
            <w:vAlign w:val="center"/>
            <w:hideMark/>
          </w:tcPr>
          <w:p w14:paraId="0EE8795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Ecological layer</w:t>
            </w:r>
          </w:p>
        </w:tc>
        <w:tc>
          <w:tcPr>
            <w:tcW w:w="0" w:type="auto"/>
            <w:vAlign w:val="center"/>
            <w:hideMark/>
          </w:tcPr>
          <w:p w14:paraId="07847FE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the OHE or pilot site, baseline, regenerative design, stewardship duties, and operational scope.</w:t>
            </w:r>
          </w:p>
        </w:tc>
      </w:tr>
      <w:tr w:rsidR="00AA1A42" w:rsidRPr="00B479AE" w14:paraId="248632FA" w14:textId="77777777" w:rsidTr="0084040C">
        <w:trPr>
          <w:tblCellSpacing w:w="15" w:type="dxa"/>
        </w:trPr>
        <w:tc>
          <w:tcPr>
            <w:tcW w:w="0" w:type="auto"/>
            <w:vAlign w:val="center"/>
            <w:hideMark/>
          </w:tcPr>
          <w:p w14:paraId="0AF2220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layer</w:t>
            </w:r>
          </w:p>
        </w:tc>
        <w:tc>
          <w:tcPr>
            <w:tcW w:w="0" w:type="auto"/>
            <w:vAlign w:val="center"/>
            <w:hideMark/>
          </w:tcPr>
          <w:p w14:paraId="060FBB0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indicators, evidence sources, sampling protocols, provenance, confidence scoring, and admissibility rules.</w:t>
            </w:r>
          </w:p>
        </w:tc>
      </w:tr>
      <w:tr w:rsidR="00AA1A42" w:rsidRPr="00B479AE" w14:paraId="2EA8E6FB" w14:textId="77777777" w:rsidTr="0084040C">
        <w:trPr>
          <w:tblCellSpacing w:w="15" w:type="dxa"/>
        </w:trPr>
        <w:tc>
          <w:tcPr>
            <w:tcW w:w="0" w:type="auto"/>
            <w:vAlign w:val="center"/>
            <w:hideMark/>
          </w:tcPr>
          <w:p w14:paraId="4B5E6A9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layer</w:t>
            </w:r>
          </w:p>
        </w:tc>
        <w:tc>
          <w:tcPr>
            <w:tcW w:w="0" w:type="auto"/>
            <w:vAlign w:val="center"/>
            <w:hideMark/>
          </w:tcPr>
          <w:p w14:paraId="002BE2D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Defines </w:t>
            </w:r>
            <w:proofErr w:type="spellStart"/>
            <w:r w:rsidRPr="00B479AE">
              <w:rPr>
                <w:rFonts w:ascii="Baskerville Old Face" w:hAnsi="Baskerville Old Face"/>
                <w:i/>
                <w:iCs/>
                <w:sz w:val="22"/>
                <w:szCs w:val="22"/>
              </w:rPr>
              <w:t>hApp</w:t>
            </w:r>
            <w:proofErr w:type="spellEnd"/>
            <w:r w:rsidRPr="00B479AE">
              <w:rPr>
                <w:rFonts w:ascii="Baskerville Old Face" w:hAnsi="Baskerville Old Face"/>
                <w:i/>
                <w:iCs/>
                <w:sz w:val="22"/>
                <w:szCs w:val="22"/>
              </w:rPr>
              <w:t xml:space="preserve"> logic, source-chain records, schemas, permissions, policy gates, dashboards, and data structures where implemented.</w:t>
            </w:r>
          </w:p>
        </w:tc>
      </w:tr>
      <w:tr w:rsidR="00AA1A42" w:rsidRPr="00B479AE" w14:paraId="64984F19" w14:textId="77777777" w:rsidTr="0084040C">
        <w:trPr>
          <w:tblCellSpacing w:w="15" w:type="dxa"/>
        </w:trPr>
        <w:tc>
          <w:tcPr>
            <w:tcW w:w="0" w:type="auto"/>
            <w:vAlign w:val="center"/>
            <w:hideMark/>
          </w:tcPr>
          <w:p w14:paraId="20B2057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layer</w:t>
            </w:r>
          </w:p>
        </w:tc>
        <w:tc>
          <w:tcPr>
            <w:tcW w:w="0" w:type="auto"/>
            <w:vAlign w:val="center"/>
            <w:hideMark/>
          </w:tcPr>
          <w:p w14:paraId="6888D67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assistive use, output classification, risk routing, execution gates, protected-domain boundaries, and non-</w:t>
            </w:r>
            <w:proofErr w:type="spellStart"/>
            <w:r w:rsidRPr="00B479AE">
              <w:rPr>
                <w:rFonts w:ascii="Baskerville Old Face" w:hAnsi="Baskerville Old Face"/>
                <w:i/>
                <w:iCs/>
                <w:sz w:val="22"/>
                <w:szCs w:val="22"/>
              </w:rPr>
              <w:t>bypassability</w:t>
            </w:r>
            <w:proofErr w:type="spellEnd"/>
            <w:r w:rsidRPr="00B479AE">
              <w:rPr>
                <w:rFonts w:ascii="Baskerville Old Face" w:hAnsi="Baskerville Old Face"/>
                <w:i/>
                <w:iCs/>
                <w:sz w:val="22"/>
                <w:szCs w:val="22"/>
              </w:rPr>
              <w:t>.</w:t>
            </w:r>
          </w:p>
        </w:tc>
      </w:tr>
      <w:tr w:rsidR="00AA1A42" w:rsidRPr="00B479AE" w14:paraId="78F61BD8" w14:textId="77777777" w:rsidTr="0084040C">
        <w:trPr>
          <w:tblCellSpacing w:w="15" w:type="dxa"/>
        </w:trPr>
        <w:tc>
          <w:tcPr>
            <w:tcW w:w="0" w:type="auto"/>
            <w:vAlign w:val="center"/>
            <w:hideMark/>
          </w:tcPr>
          <w:p w14:paraId="421F50F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layer</w:t>
            </w:r>
          </w:p>
        </w:tc>
        <w:tc>
          <w:tcPr>
            <w:tcW w:w="0" w:type="auto"/>
            <w:vAlign w:val="center"/>
            <w:hideMark/>
          </w:tcPr>
          <w:p w14:paraId="467105B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what is model, scenario, hypothesis, PRU logic, investor-review material, or legally structured instrument.</w:t>
            </w:r>
          </w:p>
        </w:tc>
      </w:tr>
      <w:tr w:rsidR="00AA1A42" w:rsidRPr="00B479AE" w14:paraId="0944F118" w14:textId="77777777" w:rsidTr="0084040C">
        <w:trPr>
          <w:tblCellSpacing w:w="15" w:type="dxa"/>
        </w:trPr>
        <w:tc>
          <w:tcPr>
            <w:tcW w:w="0" w:type="auto"/>
            <w:vAlign w:val="center"/>
            <w:hideMark/>
          </w:tcPr>
          <w:p w14:paraId="149714C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layer</w:t>
            </w:r>
          </w:p>
        </w:tc>
        <w:tc>
          <w:tcPr>
            <w:tcW w:w="0" w:type="auto"/>
            <w:vAlign w:val="center"/>
            <w:hideMark/>
          </w:tcPr>
          <w:p w14:paraId="03059C2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rights, obligations, disclaimers, participant agreements, data rights, investment boundaries, IP protection, and jurisdictional requirements.</w:t>
            </w:r>
          </w:p>
        </w:tc>
      </w:tr>
      <w:tr w:rsidR="00AA1A42" w:rsidRPr="00B479AE" w14:paraId="4F37BBFE" w14:textId="77777777" w:rsidTr="0084040C">
        <w:trPr>
          <w:tblCellSpacing w:w="15" w:type="dxa"/>
        </w:trPr>
        <w:tc>
          <w:tcPr>
            <w:tcW w:w="0" w:type="auto"/>
            <w:vAlign w:val="center"/>
            <w:hideMark/>
          </w:tcPr>
          <w:p w14:paraId="34E1E68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Continuity layer</w:t>
            </w:r>
          </w:p>
        </w:tc>
        <w:tc>
          <w:tcPr>
            <w:tcW w:w="0" w:type="auto"/>
            <w:vAlign w:val="center"/>
            <w:hideMark/>
          </w:tcPr>
          <w:p w14:paraId="5955E4CF"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canonical releases, hashes, signatures, mirrors, offline archives, institutional custody, and recovery pathways.</w:t>
            </w:r>
          </w:p>
        </w:tc>
      </w:tr>
      <w:tr w:rsidR="00AA1A42" w:rsidRPr="00B479AE" w14:paraId="70A42FF8" w14:textId="77777777" w:rsidTr="0084040C">
        <w:trPr>
          <w:tblCellSpacing w:w="15" w:type="dxa"/>
        </w:trPr>
        <w:tc>
          <w:tcPr>
            <w:tcW w:w="0" w:type="auto"/>
            <w:vAlign w:val="center"/>
            <w:hideMark/>
          </w:tcPr>
          <w:p w14:paraId="2833D8E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Reporting layer</w:t>
            </w:r>
          </w:p>
        </w:tc>
        <w:tc>
          <w:tcPr>
            <w:tcW w:w="0" w:type="auto"/>
            <w:vAlign w:val="center"/>
            <w:hideMark/>
          </w:tcPr>
          <w:p w14:paraId="68145F9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what may be reported publicly, privately, institutionally, experimentally, or not yet reported.</w:t>
            </w:r>
          </w:p>
        </w:tc>
      </w:tr>
    </w:tbl>
    <w:p w14:paraId="65D1308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separation gives Prometheus institutional precision.</w:t>
      </w:r>
    </w:p>
    <w:p w14:paraId="2540B45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system that distinguishes its layers can evolve without confusing them.</w:t>
      </w:r>
    </w:p>
    <w:p w14:paraId="3E535801" w14:textId="2A8F522A" w:rsidR="00AA1A42" w:rsidRPr="00B479AE" w:rsidRDefault="00AA1A42" w:rsidP="00AA1A42">
      <w:pPr>
        <w:spacing w:line="360" w:lineRule="auto"/>
        <w:rPr>
          <w:rFonts w:ascii="Baskerville Old Face" w:hAnsi="Baskerville Old Face"/>
          <w:i/>
          <w:iCs/>
        </w:rPr>
      </w:pPr>
    </w:p>
    <w:p w14:paraId="2CDCEE90" w14:textId="77777777" w:rsidR="0084040C" w:rsidRPr="00B479AE" w:rsidRDefault="0084040C" w:rsidP="00AA1A42">
      <w:pPr>
        <w:spacing w:line="360" w:lineRule="auto"/>
        <w:rPr>
          <w:rFonts w:ascii="Baskerville Old Face" w:hAnsi="Baskerville Old Face"/>
          <w:i/>
          <w:iCs/>
        </w:rPr>
      </w:pPr>
    </w:p>
    <w:p w14:paraId="1E63F582"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lastRenderedPageBreak/>
        <w:t>13.2 Pilot-First Execution</w:t>
      </w:r>
    </w:p>
    <w:p w14:paraId="3175EDA4" w14:textId="37520902"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advances through bounded deployment, observed reality, disciplined learning, and conservative claims.</w:t>
      </w:r>
      <w:r w:rsidR="0084040C" w:rsidRPr="00B479AE">
        <w:rPr>
          <w:rFonts w:ascii="Baskerville Old Face" w:hAnsi="Baskerville Old Face"/>
          <w:i/>
          <w:iCs/>
        </w:rPr>
        <w:t xml:space="preserve"> </w:t>
      </w:r>
      <w:r w:rsidRPr="00B479AE">
        <w:rPr>
          <w:rFonts w:ascii="Baskerville Old Face" w:hAnsi="Baskerville Old Face"/>
          <w:i/>
          <w:iCs/>
        </w:rPr>
        <w:t>The Genesis pilot should prove the core transformation sequence:</w:t>
      </w:r>
    </w:p>
    <w:p w14:paraId="142A6D6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living system</w:t>
      </w:r>
      <w:r w:rsidRPr="00B479AE">
        <w:rPr>
          <w:rFonts w:ascii="Baskerville Old Face" w:hAnsi="Baskerville Old Face"/>
          <w:i/>
          <w:iCs/>
        </w:rPr>
        <w:br/>
        <w:t>regenerative intervention</w:t>
      </w:r>
      <w:r w:rsidRPr="00B479AE">
        <w:rPr>
          <w:rFonts w:ascii="Baskerville Old Face" w:hAnsi="Baskerville Old Face"/>
          <w:i/>
          <w:iCs/>
        </w:rPr>
        <w:br/>
        <w:t>baseline</w:t>
      </w:r>
      <w:r w:rsidRPr="00B479AE">
        <w:rPr>
          <w:rFonts w:ascii="Baskerville Old Face" w:hAnsi="Baskerville Old Face"/>
          <w:i/>
          <w:iCs/>
        </w:rPr>
        <w:br/>
        <w:t>evidence</w:t>
      </w:r>
      <w:r w:rsidRPr="00B479AE">
        <w:rPr>
          <w:rFonts w:ascii="Baskerville Old Face" w:hAnsi="Baskerville Old Face"/>
          <w:i/>
          <w:iCs/>
        </w:rPr>
        <w:br/>
        <w:t>provenance</w:t>
      </w:r>
      <w:r w:rsidRPr="00B479AE">
        <w:rPr>
          <w:rFonts w:ascii="Baskerville Old Face" w:hAnsi="Baskerville Old Face"/>
          <w:i/>
          <w:iCs/>
        </w:rPr>
        <w:br/>
        <w:t>verified indicator</w:t>
      </w:r>
      <w:r w:rsidRPr="00B479AE">
        <w:rPr>
          <w:rFonts w:ascii="Baskerville Old Face" w:hAnsi="Baskerville Old Face"/>
          <w:i/>
          <w:iCs/>
        </w:rPr>
        <w:br/>
        <w:t>governance review</w:t>
      </w:r>
      <w:r w:rsidRPr="00B479AE">
        <w:rPr>
          <w:rFonts w:ascii="Baskerville Old Face" w:hAnsi="Baskerville Old Face"/>
          <w:i/>
          <w:iCs/>
        </w:rPr>
        <w:br/>
        <w:t>PRU-relevant interpretation</w:t>
      </w:r>
      <w:r w:rsidRPr="00B479AE">
        <w:rPr>
          <w:rFonts w:ascii="Baskerville Old Face" w:hAnsi="Baskerville Old Face"/>
          <w:i/>
          <w:iCs/>
        </w:rPr>
        <w:br/>
        <w:t>reporting discipline</w:t>
      </w:r>
      <w:r w:rsidRPr="00B479AE">
        <w:rPr>
          <w:rFonts w:ascii="Baskerville Old Face" w:hAnsi="Baskerville Old Face"/>
          <w:i/>
          <w:iCs/>
        </w:rPr>
        <w:br/>
        <w:t>capital-readiness assessment.</w:t>
      </w:r>
    </w:p>
    <w:p w14:paraId="3AB373B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Genesis pilot should answer a focused set of high-value questions:</w:t>
      </w:r>
    </w:p>
    <w:p w14:paraId="116BEE6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a regenerative unit be defined clearly?</w:t>
      </w:r>
    </w:p>
    <w:p w14:paraId="74A5CFF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baseline conditions be documented?</w:t>
      </w:r>
    </w:p>
    <w:p w14:paraId="18281BD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stewardship actions be recorded?</w:t>
      </w:r>
    </w:p>
    <w:p w14:paraId="55BFAF6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ecological change be observed?</w:t>
      </w:r>
    </w:p>
    <w:p w14:paraId="35B844F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evidence streams be integrated?</w:t>
      </w:r>
    </w:p>
    <w:p w14:paraId="793B06C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MRV be made reviewable?</w:t>
      </w:r>
    </w:p>
    <w:p w14:paraId="687F157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confidence scoring be applied?</w:t>
      </w:r>
    </w:p>
    <w:p w14:paraId="6E668FA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claims be classified correctly?</w:t>
      </w:r>
    </w:p>
    <w:p w14:paraId="6FA1E05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PRU logic be tested conservatively?</w:t>
      </w:r>
    </w:p>
    <w:p w14:paraId="30277DE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governance preserve semantic clarity?</w:t>
      </w:r>
    </w:p>
    <w:p w14:paraId="7617131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 investor-facing material remain disciplined?</w:t>
      </w:r>
    </w:p>
    <w:p w14:paraId="6E43337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Can the canonical release remain verifiable across online and offline channels?</w:t>
      </w:r>
    </w:p>
    <w:p w14:paraId="231A306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Pilot-first execution gives Prometheus the right to learn before scaling.</w:t>
      </w:r>
    </w:p>
    <w:p w14:paraId="3EBEAC1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turns reality into governance feedback.</w:t>
      </w:r>
    </w:p>
    <w:p w14:paraId="5C62F46E"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13.3 Minimum Viable Institutional Stack</w:t>
      </w:r>
    </w:p>
    <w:p w14:paraId="5B48118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first deployable version of Prometheus should establish a minimum viable institutional stack.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7402"/>
      </w:tblGrid>
      <w:tr w:rsidR="00AA1A42" w:rsidRPr="00B479AE" w14:paraId="6F339507" w14:textId="77777777" w:rsidTr="0084040C">
        <w:trPr>
          <w:tblHeader/>
          <w:tblCellSpacing w:w="15" w:type="dxa"/>
        </w:trPr>
        <w:tc>
          <w:tcPr>
            <w:tcW w:w="0" w:type="auto"/>
            <w:vAlign w:val="center"/>
            <w:hideMark/>
          </w:tcPr>
          <w:p w14:paraId="76D63625"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Component</w:t>
            </w:r>
          </w:p>
        </w:tc>
        <w:tc>
          <w:tcPr>
            <w:tcW w:w="0" w:type="auto"/>
            <w:vAlign w:val="center"/>
            <w:hideMark/>
          </w:tcPr>
          <w:p w14:paraId="12E8272D"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Minimum viable function</w:t>
            </w:r>
          </w:p>
        </w:tc>
      </w:tr>
      <w:tr w:rsidR="00AA1A42" w:rsidRPr="00B479AE" w14:paraId="23A24E60" w14:textId="77777777" w:rsidTr="0084040C">
        <w:trPr>
          <w:tblCellSpacing w:w="15" w:type="dxa"/>
        </w:trPr>
        <w:tc>
          <w:tcPr>
            <w:tcW w:w="0" w:type="auto"/>
            <w:vAlign w:val="center"/>
            <w:hideMark/>
          </w:tcPr>
          <w:p w14:paraId="28E929C7"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Canonical constitutional package</w:t>
            </w:r>
          </w:p>
        </w:tc>
        <w:tc>
          <w:tcPr>
            <w:tcW w:w="0" w:type="auto"/>
            <w:vAlign w:val="center"/>
            <w:hideMark/>
          </w:tcPr>
          <w:p w14:paraId="13F47111"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White Paper, foundational articles, Eternity Clauses, Access Covenant, role boundaries.</w:t>
            </w:r>
          </w:p>
        </w:tc>
      </w:tr>
      <w:tr w:rsidR="00AA1A42" w:rsidRPr="00B479AE" w14:paraId="21BB6787" w14:textId="77777777" w:rsidTr="0084040C">
        <w:trPr>
          <w:tblCellSpacing w:w="15" w:type="dxa"/>
        </w:trPr>
        <w:tc>
          <w:tcPr>
            <w:tcW w:w="0" w:type="auto"/>
            <w:vAlign w:val="center"/>
            <w:hideMark/>
          </w:tcPr>
          <w:p w14:paraId="24A5915E"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Pilot definition</w:t>
            </w:r>
          </w:p>
        </w:tc>
        <w:tc>
          <w:tcPr>
            <w:tcW w:w="0" w:type="auto"/>
            <w:vAlign w:val="center"/>
            <w:hideMark/>
          </w:tcPr>
          <w:p w14:paraId="7EC68A7A"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Site, scope, steward, baseline, implementation plan, risk register.</w:t>
            </w:r>
          </w:p>
        </w:tc>
      </w:tr>
      <w:tr w:rsidR="00AA1A42" w:rsidRPr="00B479AE" w14:paraId="68DAE1FF" w14:textId="77777777" w:rsidTr="0084040C">
        <w:trPr>
          <w:tblCellSpacing w:w="15" w:type="dxa"/>
        </w:trPr>
        <w:tc>
          <w:tcPr>
            <w:tcW w:w="0" w:type="auto"/>
            <w:vAlign w:val="center"/>
            <w:hideMark/>
          </w:tcPr>
          <w:p w14:paraId="2D7F6D9A"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MRV starter set</w:t>
            </w:r>
          </w:p>
        </w:tc>
        <w:tc>
          <w:tcPr>
            <w:tcW w:w="0" w:type="auto"/>
            <w:vAlign w:val="center"/>
            <w:hideMark/>
          </w:tcPr>
          <w:p w14:paraId="0C9C7255"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Soil, water, biodiversity, productivity, operational records, photographic evidence, laboratory or sensor inputs where available.</w:t>
            </w:r>
          </w:p>
        </w:tc>
      </w:tr>
      <w:tr w:rsidR="00AA1A42" w:rsidRPr="00B479AE" w14:paraId="6A738C0F" w14:textId="77777777" w:rsidTr="0084040C">
        <w:trPr>
          <w:tblCellSpacing w:w="15" w:type="dxa"/>
        </w:trPr>
        <w:tc>
          <w:tcPr>
            <w:tcW w:w="0" w:type="auto"/>
            <w:vAlign w:val="center"/>
            <w:hideMark/>
          </w:tcPr>
          <w:p w14:paraId="301CD98A"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Governance record</w:t>
            </w:r>
          </w:p>
        </w:tc>
        <w:tc>
          <w:tcPr>
            <w:tcW w:w="0" w:type="auto"/>
            <w:vAlign w:val="center"/>
            <w:hideMark/>
          </w:tcPr>
          <w:p w14:paraId="5DD25E2B"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Decision log, consent records, role assignments, review dates, conflict pathway.</w:t>
            </w:r>
          </w:p>
        </w:tc>
      </w:tr>
      <w:tr w:rsidR="00AA1A42" w:rsidRPr="00B479AE" w14:paraId="3A27DAE3" w14:textId="77777777" w:rsidTr="0084040C">
        <w:trPr>
          <w:tblCellSpacing w:w="15" w:type="dxa"/>
        </w:trPr>
        <w:tc>
          <w:tcPr>
            <w:tcW w:w="0" w:type="auto"/>
            <w:vAlign w:val="center"/>
            <w:hideMark/>
          </w:tcPr>
          <w:p w14:paraId="6DD0FFA0"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Technical record layer</w:t>
            </w:r>
          </w:p>
        </w:tc>
        <w:tc>
          <w:tcPr>
            <w:tcW w:w="0" w:type="auto"/>
            <w:vAlign w:val="center"/>
            <w:hideMark/>
          </w:tcPr>
          <w:p w14:paraId="05EB97B6"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Source-chain-compatible records, hash references, schemas, audit logs, permission states where implemented.</w:t>
            </w:r>
          </w:p>
        </w:tc>
      </w:tr>
      <w:tr w:rsidR="00AA1A42" w:rsidRPr="00B479AE" w14:paraId="055D739B" w14:textId="77777777" w:rsidTr="0084040C">
        <w:trPr>
          <w:tblCellSpacing w:w="15" w:type="dxa"/>
        </w:trPr>
        <w:tc>
          <w:tcPr>
            <w:tcW w:w="0" w:type="auto"/>
            <w:vAlign w:val="center"/>
            <w:hideMark/>
          </w:tcPr>
          <w:p w14:paraId="26051207"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Evidence classification</w:t>
            </w:r>
          </w:p>
        </w:tc>
        <w:tc>
          <w:tcPr>
            <w:tcW w:w="0" w:type="auto"/>
            <w:vAlign w:val="center"/>
            <w:hideMark/>
          </w:tcPr>
          <w:p w14:paraId="2B916F09"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Claim, observation, evidence, validated indicator, MRV-admissible, PRU-eligible, non-admissible.</w:t>
            </w:r>
          </w:p>
        </w:tc>
      </w:tr>
      <w:tr w:rsidR="00AA1A42" w:rsidRPr="00B479AE" w14:paraId="2C395837" w14:textId="77777777" w:rsidTr="0084040C">
        <w:trPr>
          <w:tblCellSpacing w:w="15" w:type="dxa"/>
        </w:trPr>
        <w:tc>
          <w:tcPr>
            <w:tcW w:w="0" w:type="auto"/>
            <w:vAlign w:val="center"/>
            <w:hideMark/>
          </w:tcPr>
          <w:p w14:paraId="6D28B1C9"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 draft methodology</w:t>
            </w:r>
          </w:p>
        </w:tc>
        <w:tc>
          <w:tcPr>
            <w:tcW w:w="0" w:type="auto"/>
            <w:vAlign w:val="center"/>
            <w:hideMark/>
          </w:tcPr>
          <w:p w14:paraId="4D3959DD"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Conservative interpretation of verified regenerative performance.</w:t>
            </w:r>
          </w:p>
        </w:tc>
      </w:tr>
      <w:tr w:rsidR="00AA1A42" w:rsidRPr="00B479AE" w14:paraId="710B1B3B" w14:textId="77777777" w:rsidTr="0084040C">
        <w:trPr>
          <w:tblCellSpacing w:w="15" w:type="dxa"/>
        </w:trPr>
        <w:tc>
          <w:tcPr>
            <w:tcW w:w="0" w:type="auto"/>
            <w:vAlign w:val="center"/>
            <w:hideMark/>
          </w:tcPr>
          <w:p w14:paraId="2EFA0328"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Reporting template</w:t>
            </w:r>
          </w:p>
        </w:tc>
        <w:tc>
          <w:tcPr>
            <w:tcW w:w="0" w:type="auto"/>
            <w:vAlign w:val="center"/>
            <w:hideMark/>
          </w:tcPr>
          <w:p w14:paraId="4857F2D1"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Pilot report, MRV note, risk note, data-room structure, investor-readiness boundary.</w:t>
            </w:r>
          </w:p>
        </w:tc>
      </w:tr>
      <w:tr w:rsidR="00AA1A42" w:rsidRPr="00B479AE" w14:paraId="45B7871A" w14:textId="77777777" w:rsidTr="0084040C">
        <w:trPr>
          <w:tblCellSpacing w:w="15" w:type="dxa"/>
        </w:trPr>
        <w:tc>
          <w:tcPr>
            <w:tcW w:w="0" w:type="auto"/>
            <w:vAlign w:val="center"/>
            <w:hideMark/>
          </w:tcPr>
          <w:p w14:paraId="5220A86F"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Legal boundary note</w:t>
            </w:r>
          </w:p>
        </w:tc>
        <w:tc>
          <w:tcPr>
            <w:tcW w:w="0" w:type="auto"/>
            <w:vAlign w:val="center"/>
            <w:hideMark/>
          </w:tcPr>
          <w:p w14:paraId="49EA89DC"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Non-offering language, token boundary, data rights, participant rights, jurisdictional review needs.</w:t>
            </w:r>
          </w:p>
        </w:tc>
      </w:tr>
      <w:tr w:rsidR="00AA1A42" w:rsidRPr="00B479AE" w14:paraId="55F70B08" w14:textId="77777777" w:rsidTr="0084040C">
        <w:trPr>
          <w:tblCellSpacing w:w="15" w:type="dxa"/>
        </w:trPr>
        <w:tc>
          <w:tcPr>
            <w:tcW w:w="0" w:type="auto"/>
            <w:vAlign w:val="center"/>
            <w:hideMark/>
          </w:tcPr>
          <w:p w14:paraId="2CC6C38B"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Canonical release package</w:t>
            </w:r>
          </w:p>
        </w:tc>
        <w:tc>
          <w:tcPr>
            <w:tcW w:w="0" w:type="auto"/>
            <w:vAlign w:val="center"/>
            <w:hideMark/>
          </w:tcPr>
          <w:p w14:paraId="60486FD4"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Release manifest, SHA-256 checksum file, detached signatures, public signing key, verification manual.</w:t>
            </w:r>
          </w:p>
        </w:tc>
      </w:tr>
      <w:tr w:rsidR="00AA1A42" w:rsidRPr="00B479AE" w14:paraId="609D5102" w14:textId="77777777" w:rsidTr="0084040C">
        <w:trPr>
          <w:tblCellSpacing w:w="15" w:type="dxa"/>
        </w:trPr>
        <w:tc>
          <w:tcPr>
            <w:tcW w:w="0" w:type="auto"/>
            <w:vAlign w:val="center"/>
            <w:hideMark/>
          </w:tcPr>
          <w:p w14:paraId="016F04C8"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Appendix parking registry</w:t>
            </w:r>
          </w:p>
        </w:tc>
        <w:tc>
          <w:tcPr>
            <w:tcW w:w="0" w:type="auto"/>
            <w:vAlign w:val="center"/>
            <w:hideMark/>
          </w:tcPr>
          <w:p w14:paraId="1B171C17"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Future concepts preserved outside the operative core until structured.</w:t>
            </w:r>
          </w:p>
        </w:tc>
      </w:tr>
    </w:tbl>
    <w:p w14:paraId="0E3996F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stack gives builders something to implement, stewards something to operate, reviewers something to audit, capital something to understand, and the constitution a working body.</w:t>
      </w:r>
    </w:p>
    <w:p w14:paraId="0AAFB8B0"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lastRenderedPageBreak/>
        <w:t>13.4 Technical Development Pathway</w:t>
      </w:r>
    </w:p>
    <w:p w14:paraId="124CDB9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develops technology in the order required by trust.</w:t>
      </w:r>
    </w:p>
    <w:p w14:paraId="29918E7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Early technical priorities include:</w:t>
      </w:r>
    </w:p>
    <w:p w14:paraId="50135E2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Access Covenant record structure;</w:t>
      </w:r>
      <w:r w:rsidRPr="00B479AE">
        <w:rPr>
          <w:rFonts w:ascii="Baskerville Old Face" w:hAnsi="Baskerville Old Face"/>
          <w:i/>
          <w:iCs/>
        </w:rPr>
        <w:br/>
        <w:t>• participant and role registry;</w:t>
      </w:r>
      <w:r w:rsidRPr="00B479AE">
        <w:rPr>
          <w:rFonts w:ascii="Baskerville Old Face" w:hAnsi="Baskerville Old Face"/>
          <w:i/>
          <w:iCs/>
        </w:rPr>
        <w:br/>
        <w:t>• eligibility and access status records;</w:t>
      </w:r>
      <w:r w:rsidRPr="00B479AE">
        <w:rPr>
          <w:rFonts w:ascii="Baskerville Old Face" w:hAnsi="Baskerville Old Face"/>
          <w:i/>
          <w:iCs/>
        </w:rPr>
        <w:br/>
        <w:t>• source-chain-compatible event records;</w:t>
      </w:r>
      <w:r w:rsidRPr="00B479AE">
        <w:rPr>
          <w:rFonts w:ascii="Baskerville Old Face" w:hAnsi="Baskerville Old Face"/>
          <w:i/>
          <w:iCs/>
        </w:rPr>
        <w:br/>
        <w:t xml:space="preserv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event schemas;</w:t>
      </w:r>
      <w:r w:rsidRPr="00B479AE">
        <w:rPr>
          <w:rFonts w:ascii="Baskerville Old Face" w:hAnsi="Baskerville Old Face"/>
          <w:i/>
          <w:iCs/>
        </w:rPr>
        <w:br/>
        <w:t>• MRV evidence records;</w:t>
      </w:r>
      <w:r w:rsidRPr="00B479AE">
        <w:rPr>
          <w:rFonts w:ascii="Baskerville Old Face" w:hAnsi="Baskerville Old Face"/>
          <w:i/>
          <w:iCs/>
        </w:rPr>
        <w:br/>
        <w:t>• methodology version references;</w:t>
      </w:r>
      <w:r w:rsidRPr="00B479AE">
        <w:rPr>
          <w:rFonts w:ascii="Baskerville Old Face" w:hAnsi="Baskerville Old Face"/>
          <w:i/>
          <w:iCs/>
        </w:rPr>
        <w:br/>
        <w:t>• document hash references;</w:t>
      </w:r>
      <w:r w:rsidRPr="00B479AE">
        <w:rPr>
          <w:rFonts w:ascii="Baskerville Old Face" w:hAnsi="Baskerville Old Face"/>
          <w:i/>
          <w:iCs/>
        </w:rPr>
        <w:br/>
        <w:t>• confidence scoring fields;</w:t>
      </w:r>
      <w:r w:rsidRPr="00B479AE">
        <w:rPr>
          <w:rFonts w:ascii="Baskerville Old Face" w:hAnsi="Baskerville Old Face"/>
          <w:i/>
          <w:iCs/>
        </w:rPr>
        <w:br/>
        <w:t>• non-admissibility flags;</w:t>
      </w:r>
      <w:r w:rsidRPr="00B479AE">
        <w:rPr>
          <w:rFonts w:ascii="Baskerville Old Face" w:hAnsi="Baskerville Old Face"/>
          <w:i/>
          <w:iCs/>
        </w:rPr>
        <w:br/>
        <w:t>• review-required flags;</w:t>
      </w:r>
      <w:r w:rsidRPr="00B479AE">
        <w:rPr>
          <w:rFonts w:ascii="Baskerville Old Face" w:hAnsi="Baskerville Old Face"/>
          <w:i/>
          <w:iCs/>
        </w:rPr>
        <w:br/>
        <w:t>• governance decision records;</w:t>
      </w:r>
      <w:r w:rsidRPr="00B479AE">
        <w:rPr>
          <w:rFonts w:ascii="Baskerville Old Face" w:hAnsi="Baskerville Old Face"/>
          <w:i/>
          <w:iCs/>
        </w:rPr>
        <w:br/>
        <w:t>• canonical release records;</w:t>
      </w:r>
      <w:r w:rsidRPr="00B479AE">
        <w:rPr>
          <w:rFonts w:ascii="Baskerville Old Face" w:hAnsi="Baskerville Old Face"/>
          <w:i/>
          <w:iCs/>
        </w:rPr>
        <w:br/>
        <w:t>• audit log structure;</w:t>
      </w:r>
      <w:r w:rsidRPr="00B479AE">
        <w:rPr>
          <w:rFonts w:ascii="Baskerville Old Face" w:hAnsi="Baskerville Old Face"/>
          <w:i/>
          <w:iCs/>
        </w:rPr>
        <w:br/>
        <w:t>• dashboard views separated by access scope.</w:t>
      </w:r>
    </w:p>
    <w:p w14:paraId="121089E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Advanced components follow once the basic record discipline is stable:</w:t>
      </w:r>
    </w:p>
    <w:p w14:paraId="1F86A36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constitutional policy engine;</w:t>
      </w:r>
      <w:r w:rsidRPr="00B479AE">
        <w:rPr>
          <w:rFonts w:ascii="Baskerville Old Face" w:hAnsi="Baskerville Old Face"/>
          <w:i/>
          <w:iCs/>
        </w:rPr>
        <w:br/>
        <w:t>• AI-assisted classification;</w:t>
      </w:r>
      <w:r w:rsidRPr="00B479AE">
        <w:rPr>
          <w:rFonts w:ascii="Baskerville Old Face" w:hAnsi="Baskerville Old Face"/>
          <w:i/>
          <w:iCs/>
        </w:rPr>
        <w:br/>
        <w:t>• anomaly detection;</w:t>
      </w:r>
      <w:r w:rsidRPr="00B479AE">
        <w:rPr>
          <w:rFonts w:ascii="Baskerville Old Face" w:hAnsi="Baskerville Old Face"/>
          <w:i/>
          <w:iCs/>
        </w:rPr>
        <w:br/>
        <w:t>• PRU scoring support;</w:t>
      </w:r>
      <w:r w:rsidRPr="00B479AE">
        <w:rPr>
          <w:rFonts w:ascii="Baskerville Old Face" w:hAnsi="Baskerville Old Face"/>
          <w:i/>
          <w:iCs/>
        </w:rPr>
        <w:br/>
        <w:t>• RAP portfolio logic;</w:t>
      </w:r>
      <w:r w:rsidRPr="00B479AE">
        <w:rPr>
          <w:rFonts w:ascii="Baskerville Old Face" w:hAnsi="Baskerville Old Face"/>
          <w:i/>
          <w:iCs/>
        </w:rPr>
        <w:br/>
        <w:t>• investor data-room interface;</w:t>
      </w:r>
      <w:r w:rsidRPr="00B479AE">
        <w:rPr>
          <w:rFonts w:ascii="Baskerville Old Face" w:hAnsi="Baskerville Old Face"/>
          <w:i/>
          <w:iCs/>
        </w:rPr>
        <w:br/>
        <w:t>• token or settlement integrations where legally structured;</w:t>
      </w:r>
      <w:r w:rsidRPr="00B479AE">
        <w:rPr>
          <w:rFonts w:ascii="Baskerville Old Face" w:hAnsi="Baskerville Old Face"/>
          <w:i/>
          <w:iCs/>
        </w:rPr>
        <w:br/>
        <w:t>• sovereign-device or edge pathways;</w:t>
      </w:r>
      <w:r w:rsidRPr="00B479AE">
        <w:rPr>
          <w:rFonts w:ascii="Baskerville Old Face" w:hAnsi="Baskerville Old Face"/>
          <w:i/>
          <w:iCs/>
        </w:rPr>
        <w:br/>
        <w:t>• HSI research interfaces;</w:t>
      </w:r>
      <w:r w:rsidRPr="00B479AE">
        <w:rPr>
          <w:rFonts w:ascii="Baskerville Old Face" w:hAnsi="Baskerville Old Face"/>
          <w:i/>
          <w:iCs/>
        </w:rPr>
        <w:br/>
        <w:t>• advanced MRV connectors;</w:t>
      </w:r>
      <w:r w:rsidRPr="00B479AE">
        <w:rPr>
          <w:rFonts w:ascii="Baskerville Old Face" w:hAnsi="Baskerville Old Face"/>
          <w:i/>
          <w:iCs/>
        </w:rPr>
        <w:br/>
        <w:t>• automated validation helpers;</w:t>
      </w:r>
      <w:r w:rsidRPr="00B479AE">
        <w:rPr>
          <w:rFonts w:ascii="Baskerville Old Face" w:hAnsi="Baskerville Old Face"/>
          <w:i/>
          <w:iCs/>
        </w:rPr>
        <w:br/>
        <w:t>• offline verification kits;</w:t>
      </w:r>
      <w:r w:rsidRPr="00B479AE">
        <w:rPr>
          <w:rFonts w:ascii="Baskerville Old Face" w:hAnsi="Baskerville Old Face"/>
          <w:i/>
          <w:iCs/>
        </w:rPr>
        <w:br/>
      </w:r>
      <w:r w:rsidRPr="00B479AE">
        <w:rPr>
          <w:rFonts w:ascii="Baskerville Old Face" w:hAnsi="Baskerville Old Face"/>
          <w:i/>
          <w:iCs/>
        </w:rPr>
        <w:lastRenderedPageBreak/>
        <w:t>• mesh-compatible release distribution;</w:t>
      </w:r>
      <w:r w:rsidRPr="00B479AE">
        <w:rPr>
          <w:rFonts w:ascii="Baskerville Old Face" w:hAnsi="Baskerville Old Face"/>
          <w:i/>
          <w:iCs/>
        </w:rPr>
        <w:br/>
        <w:t>• continuity package generation.</w:t>
      </w:r>
    </w:p>
    <w:p w14:paraId="0B3698E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technical sequence is:</w:t>
      </w:r>
    </w:p>
    <w:p w14:paraId="4893C50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semantic clarity</w:t>
      </w:r>
      <w:r w:rsidRPr="00B479AE">
        <w:rPr>
          <w:rFonts w:ascii="Baskerville Old Face" w:hAnsi="Baskerville Old Face"/>
          <w:i/>
          <w:iCs/>
        </w:rPr>
        <w:br/>
        <w:t>record structure</w:t>
      </w:r>
      <w:r w:rsidRPr="00B479AE">
        <w:rPr>
          <w:rFonts w:ascii="Baskerville Old Face" w:hAnsi="Baskerville Old Face"/>
          <w:i/>
          <w:iCs/>
        </w:rPr>
        <w:br/>
        <w:t>permission discipline</w:t>
      </w:r>
      <w:r w:rsidRPr="00B479AE">
        <w:rPr>
          <w:rFonts w:ascii="Baskerville Old Face" w:hAnsi="Baskerville Old Face"/>
          <w:i/>
          <w:iCs/>
        </w:rPr>
        <w:br/>
        <w:t>evidence classification</w:t>
      </w:r>
      <w:r w:rsidRPr="00B479AE">
        <w:rPr>
          <w:rFonts w:ascii="Baskerville Old Face" w:hAnsi="Baskerville Old Face"/>
          <w:i/>
          <w:iCs/>
        </w:rPr>
        <w:br/>
        <w:t>review routing</w:t>
      </w:r>
      <w:r w:rsidRPr="00B479AE">
        <w:rPr>
          <w:rFonts w:ascii="Baskerville Old Face" w:hAnsi="Baskerville Old Face"/>
          <w:i/>
          <w:iCs/>
        </w:rPr>
        <w:br/>
        <w:t>canonical verification</w:t>
      </w:r>
      <w:r w:rsidRPr="00B479AE">
        <w:rPr>
          <w:rFonts w:ascii="Baskerville Old Face" w:hAnsi="Baskerville Old Face"/>
          <w:i/>
          <w:iCs/>
        </w:rPr>
        <w:br/>
        <w:t>controlled automation</w:t>
      </w:r>
      <w:r w:rsidRPr="00B479AE">
        <w:rPr>
          <w:rFonts w:ascii="Baskerville Old Face" w:hAnsi="Baskerville Old Face"/>
          <w:i/>
          <w:iCs/>
        </w:rPr>
        <w:br/>
        <w:t>institutional reporting</w:t>
      </w:r>
      <w:r w:rsidRPr="00B479AE">
        <w:rPr>
          <w:rFonts w:ascii="Baskerville Old Face" w:hAnsi="Baskerville Old Face"/>
          <w:i/>
          <w:iCs/>
        </w:rPr>
        <w:br/>
        <w:t>network-independent continuity.</w:t>
      </w:r>
    </w:p>
    <w:p w14:paraId="67F9AC5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Software becomes constitutional infrastructure when it preserves meaning, records authority, protects boundaries, makes review possible, and keeps the canon verifiable across conditions.</w:t>
      </w:r>
    </w:p>
    <w:p w14:paraId="0258AF20"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13.5 MRV Development Pathway</w:t>
      </w:r>
    </w:p>
    <w:p w14:paraId="1F431B1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MRV pathway matures progressively.</w:t>
      </w:r>
    </w:p>
    <w:p w14:paraId="6C73319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begins with indicators that are measurable, interpretable, and operationally realistic.</w:t>
      </w:r>
    </w:p>
    <w:p w14:paraId="1A42AF2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Initial MRV indicators may include:</w:t>
      </w:r>
    </w:p>
    <w:p w14:paraId="0B46F6B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baseline soil condition;</w:t>
      </w:r>
      <w:r w:rsidRPr="00B479AE">
        <w:rPr>
          <w:rFonts w:ascii="Baskerville Old Face" w:hAnsi="Baskerville Old Face"/>
          <w:i/>
          <w:iCs/>
        </w:rPr>
        <w:br/>
        <w:t>• soil organic matter or soil organic carbon where feasible;</w:t>
      </w:r>
      <w:r w:rsidRPr="00B479AE">
        <w:rPr>
          <w:rFonts w:ascii="Baskerville Old Face" w:hAnsi="Baskerville Old Face"/>
          <w:i/>
          <w:iCs/>
        </w:rPr>
        <w:br/>
        <w:t>• infiltration rate;</w:t>
      </w:r>
      <w:r w:rsidRPr="00B479AE">
        <w:rPr>
          <w:rFonts w:ascii="Baskerville Old Face" w:hAnsi="Baskerville Old Face"/>
          <w:i/>
          <w:iCs/>
        </w:rPr>
        <w:br/>
        <w:t>• soil moisture dynamics;</w:t>
      </w:r>
      <w:r w:rsidRPr="00B479AE">
        <w:rPr>
          <w:rFonts w:ascii="Baskerville Old Face" w:hAnsi="Baskerville Old Face"/>
          <w:i/>
          <w:iCs/>
        </w:rPr>
        <w:br/>
        <w:t>• ground cover;</w:t>
      </w:r>
      <w:r w:rsidRPr="00B479AE">
        <w:rPr>
          <w:rFonts w:ascii="Baskerville Old Face" w:hAnsi="Baskerville Old Face"/>
          <w:i/>
          <w:iCs/>
        </w:rPr>
        <w:br/>
        <w:t>• vegetation establishment;</w:t>
      </w:r>
      <w:r w:rsidRPr="00B479AE">
        <w:rPr>
          <w:rFonts w:ascii="Baskerville Old Face" w:hAnsi="Baskerville Old Face"/>
          <w:i/>
          <w:iCs/>
        </w:rPr>
        <w:br/>
        <w:t>• biodiversity observations;</w:t>
      </w:r>
      <w:r w:rsidRPr="00B479AE">
        <w:rPr>
          <w:rFonts w:ascii="Baskerville Old Face" w:hAnsi="Baskerville Old Face"/>
          <w:i/>
          <w:iCs/>
        </w:rPr>
        <w:br/>
        <w:t>• biomass return;</w:t>
      </w:r>
      <w:r w:rsidRPr="00B479AE">
        <w:rPr>
          <w:rFonts w:ascii="Baskerville Old Face" w:hAnsi="Baskerville Old Face"/>
          <w:i/>
          <w:iCs/>
        </w:rPr>
        <w:br/>
        <w:t>• edible or useful yield;</w:t>
      </w:r>
      <w:r w:rsidRPr="00B479AE">
        <w:rPr>
          <w:rFonts w:ascii="Baskerville Old Face" w:hAnsi="Baskerville Old Face"/>
          <w:i/>
          <w:iCs/>
        </w:rPr>
        <w:br/>
        <w:t>• input dependency;</w:t>
      </w:r>
      <w:r w:rsidRPr="00B479AE">
        <w:rPr>
          <w:rFonts w:ascii="Baskerville Old Face" w:hAnsi="Baskerville Old Face"/>
          <w:i/>
          <w:iCs/>
        </w:rPr>
        <w:br/>
        <w:t>• mortality or replacement rate;</w:t>
      </w:r>
      <w:r w:rsidRPr="00B479AE">
        <w:rPr>
          <w:rFonts w:ascii="Baskerville Old Face" w:hAnsi="Baskerville Old Face"/>
          <w:i/>
          <w:iCs/>
        </w:rPr>
        <w:br/>
      </w:r>
      <w:r w:rsidRPr="00B479AE">
        <w:rPr>
          <w:rFonts w:ascii="Baskerville Old Face" w:hAnsi="Baskerville Old Face"/>
          <w:i/>
          <w:iCs/>
        </w:rPr>
        <w:lastRenderedPageBreak/>
        <w:t>• operational interventions;</w:t>
      </w:r>
      <w:r w:rsidRPr="00B479AE">
        <w:rPr>
          <w:rFonts w:ascii="Baskerville Old Face" w:hAnsi="Baskerville Old Face"/>
          <w:i/>
          <w:iCs/>
        </w:rPr>
        <w:br/>
        <w:t>• photographic evidence;</w:t>
      </w:r>
      <w:r w:rsidRPr="00B479AE">
        <w:rPr>
          <w:rFonts w:ascii="Baskerville Old Face" w:hAnsi="Baskerville Old Face"/>
          <w:i/>
          <w:iCs/>
        </w:rPr>
        <w:br/>
        <w:t>• laboratory evidence where available;</w:t>
      </w:r>
      <w:r w:rsidRPr="00B479AE">
        <w:rPr>
          <w:rFonts w:ascii="Baskerville Old Face" w:hAnsi="Baskerville Old Face"/>
          <w:i/>
          <w:iCs/>
        </w:rPr>
        <w:br/>
        <w:t>• remote-sensing or drone evidence where useful;</w:t>
      </w:r>
      <w:r w:rsidRPr="00B479AE">
        <w:rPr>
          <w:rFonts w:ascii="Baskerville Old Face" w:hAnsi="Baskerville Old Face"/>
          <w:i/>
          <w:iCs/>
        </w:rPr>
        <w:br/>
        <w:t>• field-audit notes.</w:t>
      </w:r>
    </w:p>
    <w:p w14:paraId="3C747CA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Advanced indicators may be added as research-enhanced layers:</w:t>
      </w:r>
    </w:p>
    <w:p w14:paraId="5BDE5A1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microbial biomass;</w:t>
      </w:r>
      <w:r w:rsidRPr="00B479AE">
        <w:rPr>
          <w:rFonts w:ascii="Baskerville Old Face" w:hAnsi="Baskerville Old Face"/>
          <w:i/>
          <w:iCs/>
        </w:rPr>
        <w:br/>
        <w:t>• mycorrhizal colonization;</w:t>
      </w:r>
      <w:r w:rsidRPr="00B479AE">
        <w:rPr>
          <w:rFonts w:ascii="Baskerville Old Face" w:hAnsi="Baskerville Old Face"/>
          <w:i/>
          <w:iCs/>
        </w:rPr>
        <w:br/>
        <w:t>• fungal richness;</w:t>
      </w:r>
      <w:r w:rsidRPr="00B479AE">
        <w:rPr>
          <w:rFonts w:ascii="Baskerville Old Face" w:hAnsi="Baskerville Old Face"/>
          <w:i/>
          <w:iCs/>
        </w:rPr>
        <w:br/>
        <w:t>• VOC or metabolite snapshots;</w:t>
      </w:r>
      <w:r w:rsidRPr="00B479AE">
        <w:rPr>
          <w:rFonts w:ascii="Baskerville Old Face" w:hAnsi="Baskerville Old Face"/>
          <w:i/>
          <w:iCs/>
        </w:rPr>
        <w:br/>
        <w:t>• nutritional-density indicators;</w:t>
      </w:r>
      <w:r w:rsidRPr="00B479AE">
        <w:rPr>
          <w:rFonts w:ascii="Baskerville Old Face" w:hAnsi="Baskerville Old Face"/>
          <w:i/>
          <w:iCs/>
        </w:rPr>
        <w:br/>
        <w:t>• hydrological modeling;</w:t>
      </w:r>
      <w:r w:rsidRPr="00B479AE">
        <w:rPr>
          <w:rFonts w:ascii="Baskerville Old Face" w:hAnsi="Baskerville Old Face"/>
          <w:i/>
          <w:iCs/>
        </w:rPr>
        <w:br/>
        <w:t>• biodiversity function indices;</w:t>
      </w:r>
      <w:r w:rsidRPr="00B479AE">
        <w:rPr>
          <w:rFonts w:ascii="Baskerville Old Face" w:hAnsi="Baskerville Old Face"/>
          <w:i/>
          <w:iCs/>
        </w:rPr>
        <w:br/>
        <w:t>• resilience scoring;</w:t>
      </w:r>
      <w:r w:rsidRPr="00B479AE">
        <w:rPr>
          <w:rFonts w:ascii="Baskerville Old Face" w:hAnsi="Baskerville Old Face"/>
          <w:i/>
          <w:iCs/>
        </w:rPr>
        <w:br/>
        <w:t>• Cooperative Ecological Surplus Index;</w:t>
      </w:r>
      <w:r w:rsidRPr="00B479AE">
        <w:rPr>
          <w:rFonts w:ascii="Baskerville Old Face" w:hAnsi="Baskerville Old Face"/>
          <w:i/>
          <w:iCs/>
        </w:rPr>
        <w:br/>
        <w:t>• Syntropic Resilience Index;</w:t>
      </w:r>
      <w:r w:rsidRPr="00B479AE">
        <w:rPr>
          <w:rFonts w:ascii="Baskerville Old Face" w:hAnsi="Baskerville Old Face"/>
          <w:i/>
          <w:iCs/>
        </w:rPr>
        <w:br/>
        <w:t>• Regenerative Productivity Index.</w:t>
      </w:r>
    </w:p>
    <w:p w14:paraId="7C33459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methodological rule is:</w:t>
      </w:r>
    </w:p>
    <w:p w14:paraId="5601FA9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observe credibly;</w:t>
      </w:r>
      <w:r w:rsidRPr="00B479AE">
        <w:rPr>
          <w:rFonts w:ascii="Baskerville Old Face" w:hAnsi="Baskerville Old Face"/>
          <w:i/>
          <w:iCs/>
        </w:rPr>
        <w:br/>
        <w:t>label uncertainty clearly;</w:t>
      </w:r>
      <w:r w:rsidRPr="00B479AE">
        <w:rPr>
          <w:rFonts w:ascii="Baskerville Old Face" w:hAnsi="Baskerville Old Face"/>
          <w:i/>
          <w:iCs/>
        </w:rPr>
        <w:br/>
        <w:t>upgrade evidence over time;</w:t>
      </w:r>
      <w:r w:rsidRPr="00B479AE">
        <w:rPr>
          <w:rFonts w:ascii="Baskerville Old Face" w:hAnsi="Baskerville Old Face"/>
          <w:i/>
          <w:iCs/>
        </w:rPr>
        <w:br/>
        <w:t>make value follow verification.</w:t>
      </w:r>
    </w:p>
    <w:p w14:paraId="24F73E0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MRV is the bridge from life to institutional trust.</w:t>
      </w:r>
    </w:p>
    <w:p w14:paraId="34841C10"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13.6 PRU and RAP Development Pathway</w:t>
      </w:r>
    </w:p>
    <w:p w14:paraId="4B35635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PRU matures through evidence.</w:t>
      </w:r>
    </w:p>
    <w:p w14:paraId="5A30A5B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At early stage, PRU logic functions as a conservative analytical framework for evaluating:</w:t>
      </w:r>
    </w:p>
    <w:p w14:paraId="1751742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ecological improvement;</w:t>
      </w:r>
      <w:r w:rsidRPr="00B479AE">
        <w:rPr>
          <w:rFonts w:ascii="Baskerville Old Face" w:hAnsi="Baskerville Old Face"/>
          <w:i/>
          <w:iCs/>
        </w:rPr>
        <w:br/>
        <w:t>• productive stability;</w:t>
      </w:r>
      <w:r w:rsidRPr="00B479AE">
        <w:rPr>
          <w:rFonts w:ascii="Baskerville Old Face" w:hAnsi="Baskerville Old Face"/>
          <w:i/>
          <w:iCs/>
        </w:rPr>
        <w:br/>
        <w:t>• input-dependency reduction;</w:t>
      </w:r>
      <w:r w:rsidRPr="00B479AE">
        <w:rPr>
          <w:rFonts w:ascii="Baskerville Old Face" w:hAnsi="Baskerville Old Face"/>
          <w:i/>
          <w:iCs/>
        </w:rPr>
        <w:br/>
      </w:r>
      <w:r w:rsidRPr="00B479AE">
        <w:rPr>
          <w:rFonts w:ascii="Baskerville Old Face" w:hAnsi="Baskerville Old Face"/>
          <w:i/>
          <w:iCs/>
        </w:rPr>
        <w:lastRenderedPageBreak/>
        <w:t>• hydrological resilience;</w:t>
      </w:r>
      <w:r w:rsidRPr="00B479AE">
        <w:rPr>
          <w:rFonts w:ascii="Baskerville Old Face" w:hAnsi="Baskerville Old Face"/>
          <w:i/>
          <w:iCs/>
        </w:rPr>
        <w:br/>
        <w:t>• biodiversity performance;</w:t>
      </w:r>
      <w:r w:rsidRPr="00B479AE">
        <w:rPr>
          <w:rFonts w:ascii="Baskerville Old Face" w:hAnsi="Baskerville Old Face"/>
          <w:i/>
          <w:iCs/>
        </w:rPr>
        <w:br/>
        <w:t>• MRV integrity;</w:t>
      </w:r>
      <w:r w:rsidRPr="00B479AE">
        <w:rPr>
          <w:rFonts w:ascii="Baskerville Old Face" w:hAnsi="Baskerville Old Face"/>
          <w:i/>
          <w:iCs/>
        </w:rPr>
        <w:br/>
        <w:t>• evidence confidence;</w:t>
      </w:r>
      <w:r w:rsidRPr="00B479AE">
        <w:rPr>
          <w:rFonts w:ascii="Baskerville Old Face" w:hAnsi="Baskerville Old Face"/>
          <w:i/>
          <w:iCs/>
        </w:rPr>
        <w:br/>
        <w:t>• operational reliability;</w:t>
      </w:r>
      <w:r w:rsidRPr="00B479AE">
        <w:rPr>
          <w:rFonts w:ascii="Baskerville Old Face" w:hAnsi="Baskerville Old Face"/>
          <w:i/>
          <w:iCs/>
        </w:rPr>
        <w:br/>
        <w:t>• governance maturity;</w:t>
      </w:r>
      <w:r w:rsidRPr="00B479AE">
        <w:rPr>
          <w:rFonts w:ascii="Baskerville Old Face" w:hAnsi="Baskerville Old Face"/>
          <w:i/>
          <w:iCs/>
        </w:rPr>
        <w:br/>
        <w:t>• legal readiness.</w:t>
      </w:r>
    </w:p>
    <w:p w14:paraId="2AE1075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PRU development sequence is:</w:t>
      </w:r>
    </w:p>
    <w:p w14:paraId="15E40115" w14:textId="236C2194"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PRU concept</w:t>
      </w:r>
      <w:r w:rsidRPr="00B479AE">
        <w:rPr>
          <w:rFonts w:ascii="Baskerville Old Face" w:hAnsi="Baskerville Old Face"/>
          <w:i/>
          <w:iCs/>
        </w:rPr>
        <w:br/>
        <w:t>PRU methodology draft</w:t>
      </w:r>
      <w:r w:rsidRPr="00B479AE">
        <w:rPr>
          <w:rFonts w:ascii="Baskerville Old Face" w:hAnsi="Baskerville Old Face"/>
          <w:i/>
          <w:iCs/>
        </w:rPr>
        <w:br/>
        <w:t>pilot PRU assessment</w:t>
      </w:r>
      <w:r w:rsidRPr="00B479AE">
        <w:rPr>
          <w:rFonts w:ascii="Baskerville Old Face" w:hAnsi="Baskerville Old Face"/>
          <w:i/>
          <w:iCs/>
        </w:rPr>
        <w:br/>
        <w:t>confidence-scored PRU analysis</w:t>
      </w:r>
      <w:r w:rsidRPr="00B479AE">
        <w:rPr>
          <w:rFonts w:ascii="Baskerville Old Face" w:hAnsi="Baskerville Old Face"/>
          <w:i/>
          <w:iCs/>
        </w:rPr>
        <w:br/>
        <w:t>reviewed PRU report</w:t>
      </w:r>
      <w:r w:rsidRPr="00B479AE">
        <w:rPr>
          <w:rFonts w:ascii="Baskerville Old Face" w:hAnsi="Baskerville Old Face"/>
          <w:i/>
          <w:iCs/>
        </w:rPr>
        <w:br/>
      </w:r>
      <w:r w:rsidR="00E71F80" w:rsidRPr="00B479AE">
        <w:rPr>
          <w:rFonts w:ascii="Baskerville Old Face" w:hAnsi="Baskerville Old Face"/>
          <w:i/>
          <w:iCs/>
        </w:rPr>
        <w:t>PRU maturity classification</w:t>
      </w:r>
      <w:r w:rsidRPr="00B479AE">
        <w:rPr>
          <w:rFonts w:ascii="Baskerville Old Face" w:hAnsi="Baskerville Old Face"/>
          <w:i/>
          <w:iCs/>
        </w:rPr>
        <w:t xml:space="preserve"> framework</w:t>
      </w:r>
      <w:r w:rsidRPr="00B479AE">
        <w:rPr>
          <w:rFonts w:ascii="Baskerville Old Face" w:hAnsi="Baskerville Old Face"/>
          <w:i/>
          <w:iCs/>
        </w:rPr>
        <w:br/>
        <w:t>RAP design</w:t>
      </w:r>
      <w:r w:rsidRPr="00B479AE">
        <w:rPr>
          <w:rFonts w:ascii="Baskerville Old Face" w:hAnsi="Baskerville Old Face"/>
          <w:i/>
          <w:iCs/>
        </w:rPr>
        <w:br/>
        <w:t>legal wrapper</w:t>
      </w:r>
      <w:r w:rsidRPr="00B479AE">
        <w:rPr>
          <w:rFonts w:ascii="Baskerville Old Face" w:hAnsi="Baskerville Old Face"/>
          <w:i/>
          <w:iCs/>
        </w:rPr>
        <w:br/>
        <w:t>institutional reporting</w:t>
      </w:r>
      <w:r w:rsidRPr="00B479AE">
        <w:rPr>
          <w:rFonts w:ascii="Baskerville Old Face" w:hAnsi="Baskerville Old Face"/>
          <w:i/>
          <w:iCs/>
        </w:rPr>
        <w:br/>
        <w:t>possible compliant instrument.</w:t>
      </w:r>
    </w:p>
    <w:p w14:paraId="670A3FF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RAP logic follows the same discipline.</w:t>
      </w:r>
    </w:p>
    <w:p w14:paraId="0F45EA6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Regenerative Asset Pool emerges when underlying PRU-relevant units have sufficient evidence, governance, and reporting quality.</w:t>
      </w:r>
    </w:p>
    <w:p w14:paraId="083E90A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Portfolio language follows asset maturity.</w:t>
      </w:r>
    </w:p>
    <w:p w14:paraId="633FBCE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plants the seed, documents the soil, measures the growth, verifies the system, and then invites capital into a structure worthy of trust.</w:t>
      </w:r>
    </w:p>
    <w:p w14:paraId="37A05FA7"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13.7 Capital Formation Pathway</w:t>
      </w:r>
    </w:p>
    <w:p w14:paraId="1E82554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Capital formation is staged.</w:t>
      </w:r>
    </w:p>
    <w:p w14:paraId="090E1C7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Each capital layer matches the maturity of evidence and legal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4168"/>
        <w:gridCol w:w="3649"/>
      </w:tblGrid>
      <w:tr w:rsidR="00AA1A42" w:rsidRPr="00B479AE" w14:paraId="45A1A3F3" w14:textId="77777777" w:rsidTr="0084040C">
        <w:trPr>
          <w:tblHeader/>
          <w:tblCellSpacing w:w="15" w:type="dxa"/>
        </w:trPr>
        <w:tc>
          <w:tcPr>
            <w:tcW w:w="0" w:type="auto"/>
            <w:vAlign w:val="center"/>
            <w:hideMark/>
          </w:tcPr>
          <w:p w14:paraId="7D6710B7"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Stage</w:t>
            </w:r>
          </w:p>
        </w:tc>
        <w:tc>
          <w:tcPr>
            <w:tcW w:w="0" w:type="auto"/>
            <w:vAlign w:val="center"/>
            <w:hideMark/>
          </w:tcPr>
          <w:p w14:paraId="75F9369C"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Capital type</w:t>
            </w:r>
          </w:p>
        </w:tc>
        <w:tc>
          <w:tcPr>
            <w:tcW w:w="0" w:type="auto"/>
            <w:vAlign w:val="center"/>
            <w:hideMark/>
          </w:tcPr>
          <w:p w14:paraId="74B101DE"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Purpose</w:t>
            </w:r>
          </w:p>
        </w:tc>
      </w:tr>
      <w:tr w:rsidR="00AA1A42" w:rsidRPr="00B479AE" w14:paraId="568C0635" w14:textId="77777777" w:rsidTr="0084040C">
        <w:trPr>
          <w:tblCellSpacing w:w="15" w:type="dxa"/>
        </w:trPr>
        <w:tc>
          <w:tcPr>
            <w:tcW w:w="0" w:type="auto"/>
            <w:vAlign w:val="center"/>
            <w:hideMark/>
          </w:tcPr>
          <w:p w14:paraId="651B765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Concept / pre-pilot</w:t>
            </w:r>
          </w:p>
        </w:tc>
        <w:tc>
          <w:tcPr>
            <w:tcW w:w="0" w:type="auto"/>
            <w:vAlign w:val="center"/>
            <w:hideMark/>
          </w:tcPr>
          <w:p w14:paraId="699707D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Founder, philanthropic, catalytic, grant, research, aligned sponsor capital.</w:t>
            </w:r>
          </w:p>
        </w:tc>
        <w:tc>
          <w:tcPr>
            <w:tcW w:w="0" w:type="auto"/>
            <w:vAlign w:val="center"/>
            <w:hideMark/>
          </w:tcPr>
          <w:p w14:paraId="6214E46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development, design, early MRV, technical prototype.</w:t>
            </w:r>
          </w:p>
        </w:tc>
      </w:tr>
      <w:tr w:rsidR="00AA1A42" w:rsidRPr="00B479AE" w14:paraId="39444DCA" w14:textId="77777777" w:rsidTr="0084040C">
        <w:trPr>
          <w:tblCellSpacing w:w="15" w:type="dxa"/>
        </w:trPr>
        <w:tc>
          <w:tcPr>
            <w:tcW w:w="0" w:type="auto"/>
            <w:vAlign w:val="center"/>
            <w:hideMark/>
          </w:tcPr>
          <w:p w14:paraId="54D70C9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Genesis pilot</w:t>
            </w:r>
          </w:p>
        </w:tc>
        <w:tc>
          <w:tcPr>
            <w:tcW w:w="0" w:type="auto"/>
            <w:vAlign w:val="center"/>
            <w:hideMark/>
          </w:tcPr>
          <w:p w14:paraId="590A3DC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Pilot capital, grant, recoverable grant, mission-aligned debt or equity where appropriate.</w:t>
            </w:r>
          </w:p>
        </w:tc>
        <w:tc>
          <w:tcPr>
            <w:tcW w:w="0" w:type="auto"/>
            <w:vAlign w:val="center"/>
            <w:hideMark/>
          </w:tcPr>
          <w:p w14:paraId="78F0644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Deployment, baseline, MRV, operations, evidence formation.</w:t>
            </w:r>
          </w:p>
        </w:tc>
      </w:tr>
      <w:tr w:rsidR="00AA1A42" w:rsidRPr="00B479AE" w14:paraId="465CA462" w14:textId="77777777" w:rsidTr="0084040C">
        <w:trPr>
          <w:tblCellSpacing w:w="15" w:type="dxa"/>
        </w:trPr>
        <w:tc>
          <w:tcPr>
            <w:tcW w:w="0" w:type="auto"/>
            <w:vAlign w:val="center"/>
            <w:hideMark/>
          </w:tcPr>
          <w:p w14:paraId="0C690F3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Validated unit</w:t>
            </w:r>
          </w:p>
        </w:tc>
        <w:tc>
          <w:tcPr>
            <w:tcW w:w="0" w:type="auto"/>
            <w:vAlign w:val="center"/>
            <w:hideMark/>
          </w:tcPr>
          <w:p w14:paraId="357A23E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Project equity, concessional debt, blended finance, partner capital.</w:t>
            </w:r>
          </w:p>
        </w:tc>
        <w:tc>
          <w:tcPr>
            <w:tcW w:w="0" w:type="auto"/>
            <w:vAlign w:val="center"/>
            <w:hideMark/>
          </w:tcPr>
          <w:p w14:paraId="29C003C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Replication, operational stabilization, data-room formation.</w:t>
            </w:r>
          </w:p>
        </w:tc>
      </w:tr>
      <w:tr w:rsidR="00AA1A42" w:rsidRPr="00B479AE" w14:paraId="5B35720D" w14:textId="77777777" w:rsidTr="0084040C">
        <w:trPr>
          <w:tblCellSpacing w:w="15" w:type="dxa"/>
        </w:trPr>
        <w:tc>
          <w:tcPr>
            <w:tcW w:w="0" w:type="auto"/>
            <w:vAlign w:val="center"/>
            <w:hideMark/>
          </w:tcPr>
          <w:p w14:paraId="6B1B0FF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Cluster / bioregional network</w:t>
            </w:r>
          </w:p>
        </w:tc>
        <w:tc>
          <w:tcPr>
            <w:tcW w:w="0" w:type="auto"/>
            <w:vAlign w:val="center"/>
            <w:hideMark/>
          </w:tcPr>
          <w:p w14:paraId="083FE10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Strategic capital, public-private partnerships, institutional pilots.</w:t>
            </w:r>
          </w:p>
        </w:tc>
        <w:tc>
          <w:tcPr>
            <w:tcW w:w="0" w:type="auto"/>
            <w:vAlign w:val="center"/>
            <w:hideMark/>
          </w:tcPr>
          <w:p w14:paraId="15A7A36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Shared infrastructure, MRV scaling, local networks, portfolio preparation.</w:t>
            </w:r>
          </w:p>
        </w:tc>
      </w:tr>
      <w:tr w:rsidR="00AA1A42" w:rsidRPr="00B479AE" w14:paraId="1C866655" w14:textId="77777777" w:rsidTr="0084040C">
        <w:trPr>
          <w:tblCellSpacing w:w="15" w:type="dxa"/>
        </w:trPr>
        <w:tc>
          <w:tcPr>
            <w:tcW w:w="0" w:type="auto"/>
            <w:vAlign w:val="center"/>
            <w:hideMark/>
          </w:tcPr>
          <w:p w14:paraId="2C65345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RAP formation</w:t>
            </w:r>
          </w:p>
        </w:tc>
        <w:tc>
          <w:tcPr>
            <w:tcW w:w="0" w:type="auto"/>
            <w:vAlign w:val="center"/>
            <w:hideMark/>
          </w:tcPr>
          <w:p w14:paraId="4194C7D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Fund, SPV, private credit, blended finance, guarantee-backed structures.</w:t>
            </w:r>
          </w:p>
        </w:tc>
        <w:tc>
          <w:tcPr>
            <w:tcW w:w="0" w:type="auto"/>
            <w:vAlign w:val="center"/>
            <w:hideMark/>
          </w:tcPr>
          <w:p w14:paraId="03C44B3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Aggregation, underwriting, investor reporting, portfolio risk management.</w:t>
            </w:r>
          </w:p>
        </w:tc>
      </w:tr>
      <w:tr w:rsidR="00AA1A42" w:rsidRPr="00B479AE" w14:paraId="463DD39A" w14:textId="77777777" w:rsidTr="0084040C">
        <w:trPr>
          <w:tblCellSpacing w:w="15" w:type="dxa"/>
        </w:trPr>
        <w:tc>
          <w:tcPr>
            <w:tcW w:w="0" w:type="auto"/>
            <w:vAlign w:val="center"/>
            <w:hideMark/>
          </w:tcPr>
          <w:p w14:paraId="6B108D3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Institutional scale</w:t>
            </w:r>
          </w:p>
        </w:tc>
        <w:tc>
          <w:tcPr>
            <w:tcW w:w="0" w:type="auto"/>
            <w:vAlign w:val="center"/>
            <w:hideMark/>
          </w:tcPr>
          <w:p w14:paraId="7505611F" w14:textId="2753E055"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Regulated funds, notes, securities, </w:t>
            </w:r>
            <w:r w:rsidR="00EA244B" w:rsidRPr="00B479AE">
              <w:rPr>
                <w:rFonts w:ascii="Baskerville Old Face" w:hAnsi="Baskerville Old Face"/>
                <w:i/>
                <w:iCs/>
                <w:sz w:val="22"/>
                <w:szCs w:val="22"/>
              </w:rPr>
              <w:t>compliant digital instruments</w:t>
            </w:r>
            <w:r w:rsidRPr="00B479AE">
              <w:rPr>
                <w:rFonts w:ascii="Baskerville Old Face" w:hAnsi="Baskerville Old Face"/>
                <w:i/>
                <w:iCs/>
                <w:sz w:val="22"/>
                <w:szCs w:val="22"/>
              </w:rPr>
              <w:t xml:space="preserve"> </w:t>
            </w:r>
            <w:proofErr w:type="gramStart"/>
            <w:r w:rsidRPr="00B479AE">
              <w:rPr>
                <w:rFonts w:ascii="Baskerville Old Face" w:hAnsi="Baskerville Old Face"/>
                <w:i/>
                <w:iCs/>
                <w:sz w:val="22"/>
                <w:szCs w:val="22"/>
              </w:rPr>
              <w:t>where</w:t>
            </w:r>
            <w:proofErr w:type="gramEnd"/>
            <w:r w:rsidRPr="00B479AE">
              <w:rPr>
                <w:rFonts w:ascii="Baskerville Old Face" w:hAnsi="Baskerville Old Face"/>
                <w:i/>
                <w:iCs/>
                <w:sz w:val="22"/>
                <w:szCs w:val="22"/>
              </w:rPr>
              <w:t xml:space="preserve"> compliant.</w:t>
            </w:r>
          </w:p>
        </w:tc>
        <w:tc>
          <w:tcPr>
            <w:tcW w:w="0" w:type="auto"/>
            <w:vAlign w:val="center"/>
            <w:hideMark/>
          </w:tcPr>
          <w:p w14:paraId="6A6BD7A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Large-scale capital allocation to verified regenerative infrastructure.</w:t>
            </w:r>
          </w:p>
        </w:tc>
      </w:tr>
    </w:tbl>
    <w:p w14:paraId="4CEB86E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Capital enters Prometheus as disciplined support for verified regeneration.</w:t>
      </w:r>
    </w:p>
    <w:p w14:paraId="02A3EC9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rule is:</w:t>
      </w:r>
    </w:p>
    <w:p w14:paraId="65B93DE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capital follows verification;</w:t>
      </w:r>
      <w:r w:rsidRPr="00B479AE">
        <w:rPr>
          <w:rFonts w:ascii="Baskerville Old Face" w:hAnsi="Baskerville Old Face"/>
          <w:i/>
          <w:iCs/>
        </w:rPr>
        <w:br/>
        <w:t>capital strengthens life-enhancing performance;</w:t>
      </w:r>
      <w:r w:rsidRPr="00B479AE">
        <w:rPr>
          <w:rFonts w:ascii="Baskerville Old Face" w:hAnsi="Baskerville Old Face"/>
          <w:i/>
          <w:iCs/>
        </w:rPr>
        <w:br/>
        <w:t>capital scales what evidence can defend.</w:t>
      </w:r>
    </w:p>
    <w:p w14:paraId="40EA1989"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13.8 Legal and Regulatory Pathway</w:t>
      </w:r>
    </w:p>
    <w:p w14:paraId="6FE26DB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legal pathway develops in parallel with technical, ecological, and financial design.</w:t>
      </w:r>
    </w:p>
    <w:p w14:paraId="5C96FFB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maintains clear separation between:</w:t>
      </w:r>
    </w:p>
    <w:p w14:paraId="27DDA07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architectural thesis;</w:t>
      </w:r>
      <w:r w:rsidRPr="00B479AE">
        <w:rPr>
          <w:rFonts w:ascii="Baskerville Old Face" w:hAnsi="Baskerville Old Face"/>
          <w:i/>
          <w:iCs/>
        </w:rPr>
        <w:br/>
        <w:t>• pilot activity;</w:t>
      </w:r>
      <w:r w:rsidRPr="00B479AE">
        <w:rPr>
          <w:rFonts w:ascii="Baskerville Old Face" w:hAnsi="Baskerville Old Face"/>
          <w:i/>
          <w:iCs/>
        </w:rPr>
        <w:br/>
        <w:t>• participation rights;</w:t>
      </w:r>
      <w:r w:rsidRPr="00B479AE">
        <w:rPr>
          <w:rFonts w:ascii="Baskerville Old Face" w:hAnsi="Baskerville Old Face"/>
          <w:i/>
          <w:iCs/>
        </w:rPr>
        <w:br/>
      </w:r>
      <w:r w:rsidRPr="00B479AE">
        <w:rPr>
          <w:rFonts w:ascii="Baskerville Old Face" w:hAnsi="Baskerville Old Face"/>
          <w:i/>
          <w:iCs/>
        </w:rPr>
        <w:lastRenderedPageBreak/>
        <w:t>• governance rights;</w:t>
      </w:r>
      <w:r w:rsidRPr="00B479AE">
        <w:rPr>
          <w:rFonts w:ascii="Baskerville Old Face" w:hAnsi="Baskerville Old Face"/>
          <w:i/>
          <w:iCs/>
        </w:rPr>
        <w:br/>
        <w:t>• token functions;</w:t>
      </w:r>
      <w:r w:rsidRPr="00B479AE">
        <w:rPr>
          <w:rFonts w:ascii="Baskerville Old Face" w:hAnsi="Baskerville Old Face"/>
          <w:i/>
          <w:iCs/>
        </w:rPr>
        <w:br/>
        <w:t>• PRU methodology;</w:t>
      </w:r>
      <w:r w:rsidRPr="00B479AE">
        <w:rPr>
          <w:rFonts w:ascii="Baskerville Old Face" w:hAnsi="Baskerville Old Face"/>
          <w:i/>
          <w:iCs/>
        </w:rPr>
        <w:br/>
        <w:t>• investor exposure;</w:t>
      </w:r>
      <w:r w:rsidRPr="00B479AE">
        <w:rPr>
          <w:rFonts w:ascii="Baskerville Old Face" w:hAnsi="Baskerville Old Face"/>
          <w:i/>
          <w:iCs/>
        </w:rPr>
        <w:br/>
        <w:t>• securities or fund interests;</w:t>
      </w:r>
      <w:r w:rsidRPr="00B479AE">
        <w:rPr>
          <w:rFonts w:ascii="Baskerville Old Face" w:hAnsi="Baskerville Old Face"/>
          <w:i/>
          <w:iCs/>
        </w:rPr>
        <w:br/>
        <w:t>• land rights;</w:t>
      </w:r>
      <w:r w:rsidRPr="00B479AE">
        <w:rPr>
          <w:rFonts w:ascii="Baskerville Old Face" w:hAnsi="Baskerville Old Face"/>
          <w:i/>
          <w:iCs/>
        </w:rPr>
        <w:br/>
        <w:t>• data rights;</w:t>
      </w:r>
      <w:r w:rsidRPr="00B479AE">
        <w:rPr>
          <w:rFonts w:ascii="Baskerville Old Face" w:hAnsi="Baskerville Old Face"/>
          <w:i/>
          <w:iCs/>
        </w:rPr>
        <w:br/>
        <w:t>• revenue rights;</w:t>
      </w:r>
      <w:r w:rsidRPr="00B479AE">
        <w:rPr>
          <w:rFonts w:ascii="Baskerville Old Face" w:hAnsi="Baskerville Old Face"/>
          <w:i/>
          <w:iCs/>
        </w:rPr>
        <w:br/>
        <w:t>• public claims;</w:t>
      </w:r>
      <w:r w:rsidRPr="00B479AE">
        <w:rPr>
          <w:rFonts w:ascii="Baskerville Old Face" w:hAnsi="Baskerville Old Face"/>
          <w:i/>
          <w:iCs/>
        </w:rPr>
        <w:br/>
        <w:t>• canonical status;</w:t>
      </w:r>
      <w:r w:rsidRPr="00B479AE">
        <w:rPr>
          <w:rFonts w:ascii="Baskerville Old Face" w:hAnsi="Baskerville Old Face"/>
          <w:i/>
          <w:iCs/>
        </w:rPr>
        <w:br/>
        <w:t>• certification status.</w:t>
      </w:r>
    </w:p>
    <w:p w14:paraId="7C61046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Any future financial instrument, tokenized representation, security, note, fund interest, revenue right, SPV, trust, or investment product requires professional legal structuring.</w:t>
      </w:r>
    </w:p>
    <w:p w14:paraId="30F2350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legal pathway should address:</w:t>
      </w:r>
    </w:p>
    <w:p w14:paraId="56E989D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jurisdiction;</w:t>
      </w:r>
      <w:r w:rsidRPr="00B479AE">
        <w:rPr>
          <w:rFonts w:ascii="Baskerville Old Face" w:hAnsi="Baskerville Old Face"/>
          <w:i/>
          <w:iCs/>
        </w:rPr>
        <w:br/>
        <w:t>• entity structure;</w:t>
      </w:r>
      <w:r w:rsidRPr="00B479AE">
        <w:rPr>
          <w:rFonts w:ascii="Baskerville Old Face" w:hAnsi="Baskerville Old Face"/>
          <w:i/>
          <w:iCs/>
        </w:rPr>
        <w:br/>
        <w:t>• land-access rights;</w:t>
      </w:r>
      <w:r w:rsidRPr="00B479AE">
        <w:rPr>
          <w:rFonts w:ascii="Baskerville Old Face" w:hAnsi="Baskerville Old Face"/>
          <w:i/>
          <w:iCs/>
        </w:rPr>
        <w:br/>
        <w:t>• contractual rights;</w:t>
      </w:r>
      <w:r w:rsidRPr="00B479AE">
        <w:rPr>
          <w:rFonts w:ascii="Baskerville Old Face" w:hAnsi="Baskerville Old Face"/>
          <w:i/>
          <w:iCs/>
        </w:rPr>
        <w:br/>
        <w:t>• data governance;</w:t>
      </w:r>
      <w:r w:rsidRPr="00B479AE">
        <w:rPr>
          <w:rFonts w:ascii="Baskerville Old Face" w:hAnsi="Baskerville Old Face"/>
          <w:i/>
          <w:iCs/>
        </w:rPr>
        <w:br/>
        <w:t>• securities law;</w:t>
      </w:r>
      <w:r w:rsidRPr="00B479AE">
        <w:rPr>
          <w:rFonts w:ascii="Baskerville Old Face" w:hAnsi="Baskerville Old Face"/>
          <w:i/>
          <w:iCs/>
        </w:rPr>
        <w:br/>
        <w:t>• tax treatment;</w:t>
      </w:r>
      <w:r w:rsidRPr="00B479AE">
        <w:rPr>
          <w:rFonts w:ascii="Baskerville Old Face" w:hAnsi="Baskerville Old Face"/>
          <w:i/>
          <w:iCs/>
        </w:rPr>
        <w:br/>
        <w:t>• investment disclosures;</w:t>
      </w:r>
      <w:r w:rsidRPr="00B479AE">
        <w:rPr>
          <w:rFonts w:ascii="Baskerville Old Face" w:hAnsi="Baskerville Old Face"/>
          <w:i/>
          <w:iCs/>
        </w:rPr>
        <w:br/>
        <w:t>• investor eligibility;</w:t>
      </w:r>
      <w:r w:rsidRPr="00B479AE">
        <w:rPr>
          <w:rFonts w:ascii="Baskerville Old Face" w:hAnsi="Baskerville Old Face"/>
          <w:i/>
          <w:iCs/>
        </w:rPr>
        <w:br/>
        <w:t>• custody or settlement;</w:t>
      </w:r>
      <w:r w:rsidRPr="00B479AE">
        <w:rPr>
          <w:rFonts w:ascii="Baskerville Old Face" w:hAnsi="Baskerville Old Face"/>
          <w:i/>
          <w:iCs/>
        </w:rPr>
        <w:br/>
        <w:t>• token classification where applicable;</w:t>
      </w:r>
      <w:r w:rsidRPr="00B479AE">
        <w:rPr>
          <w:rFonts w:ascii="Baskerville Old Face" w:hAnsi="Baskerville Old Face"/>
          <w:i/>
          <w:iCs/>
        </w:rPr>
        <w:br/>
        <w:t>• public communication;</w:t>
      </w:r>
      <w:r w:rsidRPr="00B479AE">
        <w:rPr>
          <w:rFonts w:ascii="Baskerville Old Face" w:hAnsi="Baskerville Old Face"/>
          <w:i/>
          <w:iCs/>
        </w:rPr>
        <w:br/>
        <w:t>• dispute resolution;</w:t>
      </w:r>
      <w:r w:rsidRPr="00B479AE">
        <w:rPr>
          <w:rFonts w:ascii="Baskerville Old Face" w:hAnsi="Baskerville Old Face"/>
          <w:i/>
          <w:iCs/>
        </w:rPr>
        <w:br/>
        <w:t>• fiduciary duties;</w:t>
      </w:r>
      <w:r w:rsidRPr="00B479AE">
        <w:rPr>
          <w:rFonts w:ascii="Baskerville Old Face" w:hAnsi="Baskerville Old Face"/>
          <w:i/>
          <w:iCs/>
        </w:rPr>
        <w:br/>
        <w:t>• intellectual property protection;</w:t>
      </w:r>
      <w:r w:rsidRPr="00B479AE">
        <w:rPr>
          <w:rFonts w:ascii="Baskerville Old Face" w:hAnsi="Baskerville Old Face"/>
          <w:i/>
          <w:iCs/>
        </w:rPr>
        <w:br/>
        <w:t>• licensing and certification;</w:t>
      </w:r>
      <w:r w:rsidRPr="00B479AE">
        <w:rPr>
          <w:rFonts w:ascii="Baskerville Old Face" w:hAnsi="Baskerville Old Face"/>
          <w:i/>
          <w:iCs/>
        </w:rPr>
        <w:br/>
        <w:t>• regulatory reporting where required.</w:t>
      </w:r>
    </w:p>
    <w:p w14:paraId="5859C25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Prometheus becomes credible when legal complexity is governed, documented, and integrated into the source-layer discipline.</w:t>
      </w:r>
    </w:p>
    <w:p w14:paraId="2AF93AF3"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13.9 Governance Maturation Pathway</w:t>
      </w:r>
    </w:p>
    <w:p w14:paraId="6703CBC5" w14:textId="0A4D8A73"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Governance matures with the system.</w:t>
      </w:r>
      <w:r w:rsidR="0084040C" w:rsidRPr="00B479AE">
        <w:rPr>
          <w:rFonts w:ascii="Baskerville Old Face" w:hAnsi="Baskerville Old Face"/>
          <w:i/>
          <w:iCs/>
        </w:rPr>
        <w:t xml:space="preserve"> </w:t>
      </w:r>
      <w:r w:rsidRPr="00B479AE">
        <w:rPr>
          <w:rFonts w:ascii="Baskerville Old Face" w:hAnsi="Baskerville Old Face"/>
          <w:i/>
          <w:iCs/>
        </w:rPr>
        <w:t>Early governance remains simple, clear, documented, and reviewable.</w:t>
      </w:r>
      <w:r w:rsidR="0084040C" w:rsidRPr="00B479AE">
        <w:rPr>
          <w:rFonts w:ascii="Baskerville Old Face" w:hAnsi="Baskerville Old Face"/>
          <w:i/>
          <w:iCs/>
        </w:rPr>
        <w:t xml:space="preserve"> </w:t>
      </w:r>
      <w:r w:rsidRPr="00B479AE">
        <w:rPr>
          <w:rFonts w:ascii="Baskerville Old Face" w:hAnsi="Baskerville Old Face"/>
          <w:i/>
          <w:iCs/>
        </w:rPr>
        <w:t>It may begin with:</w:t>
      </w:r>
    </w:p>
    <w:p w14:paraId="17AD3B6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founder stewardship;</w:t>
      </w:r>
      <w:r w:rsidRPr="00B479AE">
        <w:rPr>
          <w:rFonts w:ascii="Baskerville Old Face" w:hAnsi="Baskerville Old Face"/>
          <w:i/>
          <w:iCs/>
        </w:rPr>
        <w:br/>
        <w:t>• advisory review;</w:t>
      </w:r>
      <w:r w:rsidRPr="00B479AE">
        <w:rPr>
          <w:rFonts w:ascii="Baskerville Old Face" w:hAnsi="Baskerville Old Face"/>
          <w:i/>
          <w:iCs/>
        </w:rPr>
        <w:br/>
        <w:t>• pilot governance circle;</w:t>
      </w:r>
      <w:r w:rsidRPr="00B479AE">
        <w:rPr>
          <w:rFonts w:ascii="Baskerville Old Face" w:hAnsi="Baskerville Old Face"/>
          <w:i/>
          <w:iCs/>
        </w:rPr>
        <w:br/>
        <w:t>• technical review body;</w:t>
      </w:r>
      <w:r w:rsidRPr="00B479AE">
        <w:rPr>
          <w:rFonts w:ascii="Baskerville Old Face" w:hAnsi="Baskerville Old Face"/>
          <w:i/>
          <w:iCs/>
        </w:rPr>
        <w:br/>
        <w:t>• MRV review pathway;</w:t>
      </w:r>
      <w:r w:rsidRPr="00B479AE">
        <w:rPr>
          <w:rFonts w:ascii="Baskerville Old Face" w:hAnsi="Baskerville Old Face"/>
          <w:i/>
          <w:iCs/>
        </w:rPr>
        <w:br/>
        <w:t>• constitutional review pathway;</w:t>
      </w:r>
      <w:r w:rsidRPr="00B479AE">
        <w:rPr>
          <w:rFonts w:ascii="Baskerville Old Face" w:hAnsi="Baskerville Old Face"/>
          <w:i/>
          <w:iCs/>
        </w:rPr>
        <w:br/>
        <w:t>• access and eligibility review;</w:t>
      </w:r>
      <w:r w:rsidRPr="00B479AE">
        <w:rPr>
          <w:rFonts w:ascii="Baskerville Old Face" w:hAnsi="Baskerville Old Face"/>
          <w:i/>
          <w:iCs/>
        </w:rPr>
        <w:br/>
        <w:t>• canonical release approval;</w:t>
      </w:r>
      <w:r w:rsidRPr="00B479AE">
        <w:rPr>
          <w:rFonts w:ascii="Baskerville Old Face" w:hAnsi="Baskerville Old Face"/>
          <w:i/>
          <w:iCs/>
        </w:rPr>
        <w:br/>
        <w:t>• decision log;</w:t>
      </w:r>
      <w:r w:rsidRPr="00B479AE">
        <w:rPr>
          <w:rFonts w:ascii="Baskerville Old Face" w:hAnsi="Baskerville Old Face"/>
          <w:i/>
          <w:iCs/>
        </w:rPr>
        <w:br/>
        <w:t>• conflict pathway;</w:t>
      </w:r>
      <w:r w:rsidRPr="00B479AE">
        <w:rPr>
          <w:rFonts w:ascii="Baskerville Old Face" w:hAnsi="Baskerville Old Face"/>
          <w:i/>
          <w:iCs/>
        </w:rPr>
        <w:br/>
        <w:t>• periodic review.</w:t>
      </w:r>
    </w:p>
    <w:p w14:paraId="6BCCBB6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As Prometheus matures, governance may evolve toward:</w:t>
      </w:r>
    </w:p>
    <w:p w14:paraId="283E483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multiple circles;</w:t>
      </w:r>
      <w:r w:rsidRPr="00B479AE">
        <w:rPr>
          <w:rFonts w:ascii="Baskerville Old Face" w:hAnsi="Baskerville Old Face"/>
          <w:i/>
          <w:iCs/>
        </w:rPr>
        <w:br/>
        <w:t xml:space="preserve">•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consent processes;</w:t>
      </w:r>
      <w:r w:rsidRPr="00B479AE">
        <w:rPr>
          <w:rFonts w:ascii="Baskerville Old Face" w:hAnsi="Baskerville Old Face"/>
          <w:i/>
          <w:iCs/>
        </w:rPr>
        <w:br/>
        <w:t>• double-linking;</w:t>
      </w:r>
      <w:r w:rsidRPr="00B479AE">
        <w:rPr>
          <w:rFonts w:ascii="Baskerville Old Face" w:hAnsi="Baskerville Old Face"/>
          <w:i/>
          <w:iCs/>
        </w:rPr>
        <w:br/>
        <w:t>• protocol stewardship;</w:t>
      </w:r>
      <w:r w:rsidRPr="00B479AE">
        <w:rPr>
          <w:rFonts w:ascii="Baskerville Old Face" w:hAnsi="Baskerville Old Face"/>
          <w:i/>
          <w:iCs/>
        </w:rPr>
        <w:br/>
        <w:t>• community-interface roles;</w:t>
      </w:r>
      <w:r w:rsidRPr="00B479AE">
        <w:rPr>
          <w:rFonts w:ascii="Baskerville Old Face" w:hAnsi="Baskerville Old Face"/>
          <w:i/>
          <w:iCs/>
        </w:rPr>
        <w:br/>
        <w:t>• capital-readiness review;</w:t>
      </w:r>
      <w:r w:rsidRPr="00B479AE">
        <w:rPr>
          <w:rFonts w:ascii="Baskerville Old Face" w:hAnsi="Baskerville Old Face"/>
          <w:i/>
          <w:iCs/>
        </w:rPr>
        <w:br/>
        <w:t>• MRV methodology boards;</w:t>
      </w:r>
      <w:r w:rsidRPr="00B479AE">
        <w:rPr>
          <w:rFonts w:ascii="Baskerville Old Face" w:hAnsi="Baskerville Old Face"/>
          <w:i/>
          <w:iCs/>
        </w:rPr>
        <w:br/>
        <w:t>• independent audit committees;</w:t>
      </w:r>
      <w:r w:rsidRPr="00B479AE">
        <w:rPr>
          <w:rFonts w:ascii="Baskerville Old Face" w:hAnsi="Baskerville Old Face"/>
          <w:i/>
          <w:iCs/>
        </w:rPr>
        <w:br/>
        <w:t>• legal and compliance review bodies;</w:t>
      </w:r>
      <w:r w:rsidRPr="00B479AE">
        <w:rPr>
          <w:rFonts w:ascii="Baskerville Old Face" w:hAnsi="Baskerville Old Face"/>
          <w:i/>
          <w:iCs/>
        </w:rPr>
        <w:br/>
        <w:t>• bioregional governance layers;</w:t>
      </w:r>
      <w:r w:rsidRPr="00B479AE">
        <w:rPr>
          <w:rFonts w:ascii="Baskerville Old Face" w:hAnsi="Baskerville Old Face"/>
          <w:i/>
          <w:iCs/>
        </w:rPr>
        <w:br/>
        <w:t>• controlled DAO-compatible participation where appropriate;</w:t>
      </w:r>
      <w:r w:rsidRPr="00B479AE">
        <w:rPr>
          <w:rFonts w:ascii="Baskerville Old Face" w:hAnsi="Baskerville Old Face"/>
          <w:i/>
          <w:iCs/>
        </w:rPr>
        <w:br/>
        <w:t>• continuity councils for canonical release and survival architecture.</w:t>
      </w:r>
    </w:p>
    <w:p w14:paraId="620B8D67" w14:textId="014E2FFA"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governance is human-legible.</w:t>
      </w:r>
      <w:r w:rsidR="0084040C" w:rsidRPr="00B479AE">
        <w:rPr>
          <w:rFonts w:ascii="Baskerville Old Face" w:hAnsi="Baskerville Old Face"/>
          <w:i/>
          <w:iCs/>
        </w:rPr>
        <w:t xml:space="preserve"> </w:t>
      </w:r>
      <w:r w:rsidRPr="00B479AE">
        <w:rPr>
          <w:rFonts w:ascii="Baskerville Old Face" w:hAnsi="Baskerville Old Face"/>
          <w:i/>
          <w:iCs/>
        </w:rPr>
        <w:t>Every major decision should answer:</w:t>
      </w:r>
    </w:p>
    <w:p w14:paraId="703CA03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who has authority;</w:t>
      </w:r>
      <w:r w:rsidRPr="00B479AE">
        <w:rPr>
          <w:rFonts w:ascii="Baskerville Old Face" w:hAnsi="Baskerville Old Face"/>
          <w:i/>
          <w:iCs/>
        </w:rPr>
        <w:br/>
        <w:t>within what scope;</w:t>
      </w:r>
      <w:r w:rsidRPr="00B479AE">
        <w:rPr>
          <w:rFonts w:ascii="Baskerville Old Face" w:hAnsi="Baskerville Old Face"/>
          <w:i/>
          <w:iCs/>
        </w:rPr>
        <w:br/>
        <w:t>under which process;</w:t>
      </w:r>
      <w:r w:rsidRPr="00B479AE">
        <w:rPr>
          <w:rFonts w:ascii="Baskerville Old Face" w:hAnsi="Baskerville Old Face"/>
          <w:i/>
          <w:iCs/>
        </w:rPr>
        <w:br/>
        <w:t>with what evidence;</w:t>
      </w:r>
      <w:r w:rsidRPr="00B479AE">
        <w:rPr>
          <w:rFonts w:ascii="Baskerville Old Face" w:hAnsi="Baskerville Old Face"/>
          <w:i/>
          <w:iCs/>
        </w:rPr>
        <w:br/>
        <w:t>subject to what review;</w:t>
      </w:r>
      <w:r w:rsidRPr="00B479AE">
        <w:rPr>
          <w:rFonts w:ascii="Baskerville Old Face" w:hAnsi="Baskerville Old Face"/>
          <w:i/>
          <w:iCs/>
        </w:rPr>
        <w:br/>
        <w:t>bounded by which constitutional constraints.</w:t>
      </w:r>
    </w:p>
    <w:p w14:paraId="60DBBBE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Distributed authority becomes durable when responsibility remains visible.</w:t>
      </w:r>
    </w:p>
    <w:p w14:paraId="68C867BC"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13.10 Community and Human Interoperability Pathway</w:t>
      </w:r>
    </w:p>
    <w:p w14:paraId="6B408BF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open to human communities of many kinds.</w:t>
      </w:r>
    </w:p>
    <w:p w14:paraId="26462F1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includes families, villages, cooperatives, spiritual communities, religious communities, scientific communities, educational networks, civic groups, indigenous communities, bioregional networks, DAOs, token communities, entrepreneurial networks, public institutions, and future forms of human coordination.</w:t>
      </w:r>
    </w:p>
    <w:p w14:paraId="6D894D3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community pathway is based on:</w:t>
      </w:r>
    </w:p>
    <w:p w14:paraId="4763F1E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dignity;</w:t>
      </w:r>
      <w:r w:rsidRPr="00B479AE">
        <w:rPr>
          <w:rFonts w:ascii="Baskerville Old Face" w:hAnsi="Baskerville Old Face"/>
          <w:i/>
          <w:iCs/>
        </w:rPr>
        <w:br/>
        <w:t>• voluntary participation;</w:t>
      </w:r>
      <w:r w:rsidRPr="00B479AE">
        <w:rPr>
          <w:rFonts w:ascii="Baskerville Old Face" w:hAnsi="Baskerville Old Face"/>
          <w:i/>
          <w:iCs/>
        </w:rPr>
        <w:br/>
        <w:t>• sovereign alignment;</w:t>
      </w:r>
      <w:r w:rsidRPr="00B479AE">
        <w:rPr>
          <w:rFonts w:ascii="Baskerville Old Face" w:hAnsi="Baskerville Old Face"/>
          <w:i/>
          <w:iCs/>
        </w:rPr>
        <w:br/>
        <w:t>• pluralism of meaning;</w:t>
      </w:r>
      <w:r w:rsidRPr="00B479AE">
        <w:rPr>
          <w:rFonts w:ascii="Baskerville Old Face" w:hAnsi="Baskerville Old Face"/>
          <w:i/>
          <w:iCs/>
        </w:rPr>
        <w:br/>
        <w:t>• clear Prometheus-facing scope;</w:t>
      </w:r>
      <w:r w:rsidRPr="00B479AE">
        <w:rPr>
          <w:rFonts w:ascii="Baskerville Old Face" w:hAnsi="Baskerville Old Face"/>
          <w:i/>
          <w:iCs/>
        </w:rPr>
        <w:br/>
        <w:t>• role translation;</w:t>
      </w:r>
      <w:r w:rsidRPr="00B479AE">
        <w:rPr>
          <w:rFonts w:ascii="Baskerville Old Face" w:hAnsi="Baskerville Old Face"/>
          <w:i/>
          <w:iCs/>
        </w:rPr>
        <w:br/>
        <w:t>• dual consent;</w:t>
      </w:r>
      <w:r w:rsidRPr="00B479AE">
        <w:rPr>
          <w:rFonts w:ascii="Baskerville Old Face" w:hAnsi="Baskerville Old Face"/>
          <w:i/>
          <w:iCs/>
        </w:rPr>
        <w:br/>
        <w:t>• cultural respect;</w:t>
      </w:r>
      <w:r w:rsidRPr="00B479AE">
        <w:rPr>
          <w:rFonts w:ascii="Baskerville Old Face" w:hAnsi="Baskerville Old Face"/>
          <w:i/>
          <w:iCs/>
        </w:rPr>
        <w:br/>
        <w:t>• governance clarity;</w:t>
      </w:r>
      <w:r w:rsidRPr="00B479AE">
        <w:rPr>
          <w:rFonts w:ascii="Baskerville Old Face" w:hAnsi="Baskerville Old Face"/>
          <w:i/>
          <w:iCs/>
        </w:rPr>
        <w:br/>
        <w:t>• evidence boundaries;</w:t>
      </w:r>
      <w:r w:rsidRPr="00B479AE">
        <w:rPr>
          <w:rFonts w:ascii="Baskerville Old Face" w:hAnsi="Baskerville Old Face"/>
          <w:i/>
          <w:iCs/>
        </w:rPr>
        <w:br/>
        <w:t>• legal and ethical review where required.</w:t>
      </w:r>
    </w:p>
    <w:p w14:paraId="02EBB6A8" w14:textId="36621740"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Communities become interoperable through clarity.</w:t>
      </w:r>
      <w:r w:rsidR="0084040C" w:rsidRPr="00B479AE">
        <w:rPr>
          <w:rFonts w:ascii="Baskerville Old Face" w:hAnsi="Baskerville Old Face"/>
          <w:i/>
          <w:iCs/>
        </w:rPr>
        <w:t xml:space="preserve"> </w:t>
      </w:r>
      <w:r w:rsidRPr="00B479AE">
        <w:rPr>
          <w:rFonts w:ascii="Baskerville Old Face" w:hAnsi="Baskerville Old Face"/>
          <w:i/>
          <w:iCs/>
        </w:rPr>
        <w:t>A community may bring meaning, ritual, memory, belonging, service, care, stewardship, and relational strength.</w:t>
      </w:r>
    </w:p>
    <w:p w14:paraId="27CB0FB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brings evidence discipline, constitutional structure, MRV, PRU logic, technical infrastructure, governance process, and capital-readiness boundaries.</w:t>
      </w:r>
    </w:p>
    <w:p w14:paraId="3427B52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Where these fields resonate, collaboration becomes possible.</w:t>
      </w:r>
    </w:p>
    <w:p w14:paraId="725D94C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Where they diverge, boundaries preserve relationship.</w:t>
      </w:r>
    </w:p>
    <w:p w14:paraId="0B224B1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goal is coherent cooperation among sovereign human fields.</w:t>
      </w:r>
    </w:p>
    <w:p w14:paraId="45F435F5"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13.11 AI and Kernel Development Pathway</w:t>
      </w:r>
    </w:p>
    <w:p w14:paraId="44C6D6A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cognitive kernel evolves as a constitutional coordination layer.</w:t>
      </w:r>
    </w:p>
    <w:p w14:paraId="1B2514D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role is to help Prometheus classify requests, map risks, generate structured outputs, route reviews, preserve context, and protect protected domains.</w:t>
      </w:r>
    </w:p>
    <w:p w14:paraId="789E407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kernel supports:</w:t>
      </w:r>
    </w:p>
    <w:p w14:paraId="6A1C21C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domain classification;</w:t>
      </w:r>
      <w:r w:rsidRPr="00B479AE">
        <w:rPr>
          <w:rFonts w:ascii="Baskerville Old Face" w:hAnsi="Baskerville Old Face"/>
          <w:i/>
          <w:iCs/>
        </w:rPr>
        <w:br/>
        <w:t>• evidence classification;</w:t>
      </w:r>
      <w:r w:rsidRPr="00B479AE">
        <w:rPr>
          <w:rFonts w:ascii="Baskerville Old Face" w:hAnsi="Baskerville Old Face"/>
          <w:i/>
          <w:iCs/>
        </w:rPr>
        <w:br/>
        <w:t>• risk classification;</w:t>
      </w:r>
      <w:r w:rsidRPr="00B479AE">
        <w:rPr>
          <w:rFonts w:ascii="Baskerville Old Face" w:hAnsi="Baskerville Old Face"/>
          <w:i/>
          <w:iCs/>
        </w:rPr>
        <w:br/>
        <w:t>• constitutional constraint checking;</w:t>
      </w:r>
      <w:r w:rsidRPr="00B479AE">
        <w:rPr>
          <w:rFonts w:ascii="Baskerville Old Face" w:hAnsi="Baskerville Old Face"/>
          <w:i/>
          <w:iCs/>
        </w:rPr>
        <w:br/>
        <w:t>• non-aligned request handling;</w:t>
      </w:r>
      <w:r w:rsidRPr="00B479AE">
        <w:rPr>
          <w:rFonts w:ascii="Baskerville Old Face" w:hAnsi="Baskerville Old Face"/>
          <w:i/>
          <w:iCs/>
        </w:rPr>
        <w:br/>
        <w:t>• appendix parking;</w:t>
      </w:r>
      <w:r w:rsidRPr="00B479AE">
        <w:rPr>
          <w:rFonts w:ascii="Baskerville Old Face" w:hAnsi="Baskerville Old Face"/>
          <w:i/>
          <w:iCs/>
        </w:rPr>
        <w:br/>
        <w:t>• MRV support;</w:t>
      </w:r>
      <w:r w:rsidRPr="00B479AE">
        <w:rPr>
          <w:rFonts w:ascii="Baskerville Old Face" w:hAnsi="Baskerville Old Face"/>
          <w:i/>
          <w:iCs/>
        </w:rPr>
        <w:br/>
        <w:t>• legal issue spotting;</w:t>
      </w:r>
      <w:r w:rsidRPr="00B479AE">
        <w:rPr>
          <w:rFonts w:ascii="Baskerville Old Face" w:hAnsi="Baskerville Old Face"/>
          <w:i/>
          <w:iCs/>
        </w:rPr>
        <w:br/>
        <w:t>• governance memo drafting;</w:t>
      </w:r>
      <w:r w:rsidRPr="00B479AE">
        <w:rPr>
          <w:rFonts w:ascii="Baskerville Old Face" w:hAnsi="Baskerville Old Face"/>
          <w:i/>
          <w:iCs/>
        </w:rPr>
        <w:br/>
        <w:t>• investor-draft cautioning;</w:t>
      </w:r>
      <w:r w:rsidRPr="00B479AE">
        <w:rPr>
          <w:rFonts w:ascii="Baskerville Old Face" w:hAnsi="Baskerville Old Face"/>
          <w:i/>
          <w:iCs/>
        </w:rPr>
        <w:br/>
        <w:t>• technical specification support;</w:t>
      </w:r>
      <w:r w:rsidRPr="00B479AE">
        <w:rPr>
          <w:rFonts w:ascii="Baskerville Old Face" w:hAnsi="Baskerville Old Face"/>
          <w:i/>
          <w:iCs/>
        </w:rPr>
        <w:br/>
        <w:t>• execution gate routing;</w:t>
      </w:r>
      <w:r w:rsidRPr="00B479AE">
        <w:rPr>
          <w:rFonts w:ascii="Baskerville Old Face" w:hAnsi="Baskerville Old Face"/>
          <w:i/>
          <w:iCs/>
        </w:rPr>
        <w:br/>
        <w:t>• semantic firewall checks;</w:t>
      </w:r>
      <w:r w:rsidRPr="00B479AE">
        <w:rPr>
          <w:rFonts w:ascii="Baskerville Old Face" w:hAnsi="Baskerville Old Face"/>
          <w:i/>
          <w:iCs/>
        </w:rPr>
        <w:br/>
        <w:t>• canonical glossary checks;</w:t>
      </w:r>
      <w:r w:rsidRPr="00B479AE">
        <w:rPr>
          <w:rFonts w:ascii="Baskerville Old Face" w:hAnsi="Baskerville Old Face"/>
          <w:i/>
          <w:iCs/>
        </w:rPr>
        <w:br/>
        <w:t>• offline verification guidance;</w:t>
      </w:r>
      <w:r w:rsidRPr="00B479AE">
        <w:rPr>
          <w:rFonts w:ascii="Baskerville Old Face" w:hAnsi="Baskerville Old Face"/>
          <w:i/>
          <w:iCs/>
        </w:rPr>
        <w:br/>
        <w:t>• source-layer refusal routing.</w:t>
      </w:r>
    </w:p>
    <w:p w14:paraId="54495FA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Kernel outputs are classified as:</w:t>
      </w:r>
    </w:p>
    <w:p w14:paraId="1DE793F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draft;</w:t>
      </w:r>
      <w:r w:rsidRPr="00B479AE">
        <w:rPr>
          <w:rFonts w:ascii="Baskerville Old Face" w:hAnsi="Baskerville Old Face"/>
          <w:i/>
          <w:iCs/>
        </w:rPr>
        <w:br/>
        <w:t>• hypothesis;</w:t>
      </w:r>
      <w:r w:rsidRPr="00B479AE">
        <w:rPr>
          <w:rFonts w:ascii="Baskerville Old Face" w:hAnsi="Baskerville Old Face"/>
          <w:i/>
          <w:iCs/>
        </w:rPr>
        <w:br/>
        <w:t>• scenario;</w:t>
      </w:r>
      <w:r w:rsidRPr="00B479AE">
        <w:rPr>
          <w:rFonts w:ascii="Baskerville Old Face" w:hAnsi="Baskerville Old Face"/>
          <w:i/>
          <w:iCs/>
        </w:rPr>
        <w:br/>
        <w:t>• analysis;</w:t>
      </w:r>
      <w:r w:rsidRPr="00B479AE">
        <w:rPr>
          <w:rFonts w:ascii="Baskerville Old Face" w:hAnsi="Baskerville Old Face"/>
          <w:i/>
          <w:iCs/>
        </w:rPr>
        <w:br/>
      </w:r>
      <w:r w:rsidRPr="00B479AE">
        <w:rPr>
          <w:rFonts w:ascii="Baskerville Old Face" w:hAnsi="Baskerville Old Face"/>
          <w:i/>
          <w:iCs/>
        </w:rPr>
        <w:lastRenderedPageBreak/>
        <w:t>• recommendation;</w:t>
      </w:r>
      <w:r w:rsidRPr="00B479AE">
        <w:rPr>
          <w:rFonts w:ascii="Baskerville Old Face" w:hAnsi="Baskerville Old Face"/>
          <w:i/>
          <w:iCs/>
        </w:rPr>
        <w:br/>
        <w:t>• review-required;</w:t>
      </w:r>
      <w:r w:rsidRPr="00B479AE">
        <w:rPr>
          <w:rFonts w:ascii="Baskerville Old Face" w:hAnsi="Baskerville Old Face"/>
          <w:i/>
          <w:iCs/>
        </w:rPr>
        <w:br/>
        <w:t>• non-admissible;</w:t>
      </w:r>
      <w:r w:rsidRPr="00B479AE">
        <w:rPr>
          <w:rFonts w:ascii="Baskerville Old Face" w:hAnsi="Baskerville Old Face"/>
          <w:i/>
          <w:iCs/>
        </w:rPr>
        <w:br/>
        <w:t>• authorized only after valid pathway.</w:t>
      </w:r>
    </w:p>
    <w:p w14:paraId="5825103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kernel increases clarity.</w:t>
      </w:r>
    </w:p>
    <w:p w14:paraId="20EC473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Governance decides.</w:t>
      </w:r>
    </w:p>
    <w:p w14:paraId="2374705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Evidence verifies.</w:t>
      </w:r>
    </w:p>
    <w:p w14:paraId="4506299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Law binds.</w:t>
      </w:r>
    </w:p>
    <w:p w14:paraId="1875A4D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constitution preserves identity.</w:t>
      </w:r>
    </w:p>
    <w:p w14:paraId="7D3E7E50"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13.12 Appendix Parking and Future Recovery</w:t>
      </w:r>
    </w:p>
    <w:p w14:paraId="6180D07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contains powerful future-facing concepts.</w:t>
      </w:r>
    </w:p>
    <w:p w14:paraId="25C9C2B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are ready for the core architecture.</w:t>
      </w:r>
    </w:p>
    <w:p w14:paraId="483EBDE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belong in appendices.</w:t>
      </w:r>
    </w:p>
    <w:p w14:paraId="2A07B98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require legal review.</w:t>
      </w:r>
    </w:p>
    <w:p w14:paraId="0564765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require scientific validation.</w:t>
      </w:r>
    </w:p>
    <w:p w14:paraId="7A1D81D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require technical implementation.</w:t>
      </w:r>
    </w:p>
    <w:p w14:paraId="590BB7F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require investor-model treatment.</w:t>
      </w:r>
    </w:p>
    <w:p w14:paraId="319DD0C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Some require removal from the body until they mature.</w:t>
      </w:r>
    </w:p>
    <w:p w14:paraId="0E5E5B4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Appendix parking is maturation control.</w:t>
      </w:r>
    </w:p>
    <w:p w14:paraId="54E05A2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Concepts requiring appendix treatment may include:</w:t>
      </w:r>
    </w:p>
    <w:p w14:paraId="3DEE8BB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detailed investor-return scenarios;</w:t>
      </w:r>
      <w:r w:rsidRPr="00B479AE">
        <w:rPr>
          <w:rFonts w:ascii="Baskerville Old Face" w:hAnsi="Baskerville Old Face"/>
          <w:i/>
          <w:iCs/>
        </w:rPr>
        <w:br/>
        <w:t>• aggressive valuation cases;</w:t>
      </w:r>
      <w:r w:rsidRPr="00B479AE">
        <w:rPr>
          <w:rFonts w:ascii="Baskerville Old Face" w:hAnsi="Baskerville Old Face"/>
          <w:i/>
          <w:iCs/>
        </w:rPr>
        <w:br/>
        <w:t>• buyback or burn mechanisms;</w:t>
      </w:r>
      <w:r w:rsidRPr="00B479AE">
        <w:rPr>
          <w:rFonts w:ascii="Baskerville Old Face" w:hAnsi="Baskerville Old Face"/>
          <w:i/>
          <w:iCs/>
        </w:rPr>
        <w:br/>
        <w:t>• fractional ownership structures;</w:t>
      </w:r>
      <w:r w:rsidRPr="00B479AE">
        <w:rPr>
          <w:rFonts w:ascii="Baskerville Old Face" w:hAnsi="Baskerville Old Face"/>
          <w:i/>
          <w:iCs/>
        </w:rPr>
        <w:br/>
      </w:r>
      <w:r w:rsidRPr="00B479AE">
        <w:rPr>
          <w:rFonts w:ascii="Baskerville Old Face" w:hAnsi="Baskerville Old Face"/>
          <w:i/>
          <w:iCs/>
        </w:rPr>
        <w:lastRenderedPageBreak/>
        <w:t>• tokenized cap table models;</w:t>
      </w:r>
      <w:r w:rsidRPr="00B479AE">
        <w:rPr>
          <w:rFonts w:ascii="Baskerville Old Face" w:hAnsi="Baskerville Old Face"/>
          <w:i/>
          <w:iCs/>
        </w:rPr>
        <w:br/>
        <w:t>• securities or note designs;</w:t>
      </w:r>
      <w:r w:rsidRPr="00B479AE">
        <w:rPr>
          <w:rFonts w:ascii="Baskerville Old Face" w:hAnsi="Baskerville Old Face"/>
          <w:i/>
          <w:iCs/>
        </w:rPr>
        <w:br/>
        <w:t>• insurance-linked structures;</w:t>
      </w:r>
      <w:r w:rsidRPr="00B479AE">
        <w:rPr>
          <w:rFonts w:ascii="Baskerville Old Face" w:hAnsi="Baskerville Old Face"/>
          <w:i/>
          <w:iCs/>
        </w:rPr>
        <w:br/>
        <w:t>• lending models tied to coherence or health;</w:t>
      </w:r>
      <w:r w:rsidRPr="00B479AE">
        <w:rPr>
          <w:rFonts w:ascii="Baskerville Old Face" w:hAnsi="Baskerville Old Face"/>
          <w:i/>
          <w:iCs/>
        </w:rPr>
        <w:br/>
        <w:t>• frontier HSI research;</w:t>
      </w:r>
      <w:r w:rsidRPr="00B479AE">
        <w:rPr>
          <w:rFonts w:ascii="Baskerville Old Face" w:hAnsi="Baskerville Old Face"/>
          <w:i/>
          <w:iCs/>
        </w:rPr>
        <w:br/>
        <w:t>• ecological oracle concepts;</w:t>
      </w:r>
      <w:r w:rsidRPr="00B479AE">
        <w:rPr>
          <w:rFonts w:ascii="Baskerville Old Face" w:hAnsi="Baskerville Old Face"/>
          <w:i/>
          <w:iCs/>
        </w:rPr>
        <w:br/>
        <w:t>• slashing or staking penalties;</w:t>
      </w:r>
      <w:r w:rsidRPr="00B479AE">
        <w:rPr>
          <w:rFonts w:ascii="Baskerville Old Face" w:hAnsi="Baskerville Old Face"/>
          <w:i/>
          <w:iCs/>
        </w:rPr>
        <w:br/>
        <w:t>• advanced token bridges;</w:t>
      </w:r>
      <w:r w:rsidRPr="00B479AE">
        <w:rPr>
          <w:rFonts w:ascii="Baskerville Old Face" w:hAnsi="Baskerville Old Face"/>
          <w:i/>
          <w:iCs/>
        </w:rPr>
        <w:br/>
        <w:t>• speculative dashboards;</w:t>
      </w:r>
      <w:r w:rsidRPr="00B479AE">
        <w:rPr>
          <w:rFonts w:ascii="Baskerville Old Face" w:hAnsi="Baskerville Old Face"/>
          <w:i/>
          <w:iCs/>
        </w:rPr>
        <w:br/>
        <w:t>• future capital-market instruments;</w:t>
      </w:r>
      <w:r w:rsidRPr="00B479AE">
        <w:rPr>
          <w:rFonts w:ascii="Baskerville Old Face" w:hAnsi="Baskerville Old Face"/>
          <w:i/>
          <w:iCs/>
        </w:rPr>
        <w:br/>
        <w:t>• unverified systemic health economics.</w:t>
      </w:r>
    </w:p>
    <w:p w14:paraId="0371C7C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rule is:</w:t>
      </w:r>
    </w:p>
    <w:p w14:paraId="3F09621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preserve the future;</w:t>
      </w:r>
      <w:r w:rsidRPr="00B479AE">
        <w:rPr>
          <w:rFonts w:ascii="Baskerville Old Face" w:hAnsi="Baskerville Old Face"/>
          <w:i/>
          <w:iCs/>
        </w:rPr>
        <w:br/>
        <w:t>structure it before operationalizing it;</w:t>
      </w:r>
      <w:r w:rsidRPr="00B479AE">
        <w:rPr>
          <w:rFonts w:ascii="Baskerville Old Face" w:hAnsi="Baskerville Old Face"/>
          <w:i/>
          <w:iCs/>
        </w:rPr>
        <w:br/>
        <w:t>let maturity determine placement.</w:t>
      </w:r>
    </w:p>
    <w:p w14:paraId="7364F80A"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13.13 Public Communication Pathway</w:t>
      </w:r>
    </w:p>
    <w:p w14:paraId="3F7C6E99" w14:textId="53F828C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communicates with ambition and discipline.</w:t>
      </w:r>
      <w:r w:rsidR="00F96F7C" w:rsidRPr="00B479AE">
        <w:rPr>
          <w:rFonts w:ascii="Baskerville Old Face" w:hAnsi="Baskerville Old Face"/>
          <w:i/>
          <w:iCs/>
        </w:rPr>
        <w:t xml:space="preserve"> </w:t>
      </w:r>
      <w:r w:rsidRPr="00B479AE">
        <w:rPr>
          <w:rFonts w:ascii="Baskerville Old Face" w:hAnsi="Baskerville Old Face"/>
          <w:i/>
          <w:iCs/>
        </w:rPr>
        <w:t>Public communication distinguishes:</w:t>
      </w:r>
    </w:p>
    <w:p w14:paraId="23ABC27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aspiration;</w:t>
      </w:r>
      <w:r w:rsidRPr="00B479AE">
        <w:rPr>
          <w:rFonts w:ascii="Baskerville Old Face" w:hAnsi="Baskerville Old Face"/>
          <w:i/>
          <w:iCs/>
        </w:rPr>
        <w:br/>
        <w:t>• thesis;</w:t>
      </w:r>
      <w:r w:rsidRPr="00B479AE">
        <w:rPr>
          <w:rFonts w:ascii="Baskerville Old Face" w:hAnsi="Baskerville Old Face"/>
          <w:i/>
          <w:iCs/>
        </w:rPr>
        <w:br/>
        <w:t>• pilot;</w:t>
      </w:r>
      <w:r w:rsidRPr="00B479AE">
        <w:rPr>
          <w:rFonts w:ascii="Baskerville Old Face" w:hAnsi="Baskerville Old Face"/>
          <w:i/>
          <w:iCs/>
        </w:rPr>
        <w:br/>
        <w:t>• methodology;</w:t>
      </w:r>
      <w:r w:rsidRPr="00B479AE">
        <w:rPr>
          <w:rFonts w:ascii="Baskerville Old Face" w:hAnsi="Baskerville Old Face"/>
          <w:i/>
          <w:iCs/>
        </w:rPr>
        <w:br/>
        <w:t>• evidence;</w:t>
      </w:r>
      <w:r w:rsidRPr="00B479AE">
        <w:rPr>
          <w:rFonts w:ascii="Baskerville Old Face" w:hAnsi="Baskerville Old Face"/>
          <w:i/>
          <w:iCs/>
        </w:rPr>
        <w:br/>
        <w:t>• verified result;</w:t>
      </w:r>
      <w:r w:rsidRPr="00B479AE">
        <w:rPr>
          <w:rFonts w:ascii="Baskerville Old Face" w:hAnsi="Baskerville Old Face"/>
          <w:i/>
          <w:iCs/>
        </w:rPr>
        <w:br/>
        <w:t>• financial model;</w:t>
      </w:r>
      <w:r w:rsidRPr="00B479AE">
        <w:rPr>
          <w:rFonts w:ascii="Baskerville Old Face" w:hAnsi="Baskerville Old Face"/>
          <w:i/>
          <w:iCs/>
        </w:rPr>
        <w:br/>
        <w:t>• investor-facing instrument;</w:t>
      </w:r>
      <w:r w:rsidRPr="00B479AE">
        <w:rPr>
          <w:rFonts w:ascii="Baskerville Old Face" w:hAnsi="Baskerville Old Face"/>
          <w:i/>
          <w:iCs/>
        </w:rPr>
        <w:br/>
        <w:t>• legal right;</w:t>
      </w:r>
      <w:r w:rsidRPr="00B479AE">
        <w:rPr>
          <w:rFonts w:ascii="Baskerville Old Face" w:hAnsi="Baskerville Old Face"/>
          <w:i/>
          <w:iCs/>
        </w:rPr>
        <w:br/>
        <w:t>• token representation;</w:t>
      </w:r>
      <w:r w:rsidRPr="00B479AE">
        <w:rPr>
          <w:rFonts w:ascii="Baskerville Old Face" w:hAnsi="Baskerville Old Face"/>
          <w:i/>
          <w:iCs/>
        </w:rPr>
        <w:br/>
        <w:t>• public benefit;</w:t>
      </w:r>
      <w:r w:rsidRPr="00B479AE">
        <w:rPr>
          <w:rFonts w:ascii="Baskerville Old Face" w:hAnsi="Baskerville Old Face"/>
          <w:i/>
          <w:iCs/>
        </w:rPr>
        <w:br/>
        <w:t>• research hypothesis;</w:t>
      </w:r>
      <w:r w:rsidRPr="00B479AE">
        <w:rPr>
          <w:rFonts w:ascii="Baskerville Old Face" w:hAnsi="Baskerville Old Face"/>
          <w:i/>
          <w:iCs/>
        </w:rPr>
        <w:br/>
        <w:t>• canonical status;</w:t>
      </w:r>
      <w:r w:rsidRPr="00B479AE">
        <w:rPr>
          <w:rFonts w:ascii="Baskerville Old Face" w:hAnsi="Baskerville Old Face"/>
          <w:i/>
          <w:iCs/>
        </w:rPr>
        <w:br/>
        <w:t>• compatibility status.</w:t>
      </w:r>
    </w:p>
    <w:p w14:paraId="0F4F413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Prometheus speaks powerfully by speaking precisely.</w:t>
      </w:r>
    </w:p>
    <w:p w14:paraId="6E86B95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Claims become stronger when their boundaries are clear.</w:t>
      </w:r>
    </w:p>
    <w:p w14:paraId="41814C4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Trust compounds when language remains disciplined.</w:t>
      </w:r>
    </w:p>
    <w:p w14:paraId="1858C5A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communication standard is:</w:t>
      </w:r>
    </w:p>
    <w:p w14:paraId="20A4049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vision with evidence;</w:t>
      </w:r>
      <w:r w:rsidRPr="00B479AE">
        <w:rPr>
          <w:rFonts w:ascii="Baskerville Old Face" w:hAnsi="Baskerville Old Face"/>
          <w:i/>
          <w:iCs/>
        </w:rPr>
        <w:br/>
        <w:t>ambition with disclosure;</w:t>
      </w:r>
      <w:r w:rsidRPr="00B479AE">
        <w:rPr>
          <w:rFonts w:ascii="Baskerville Old Face" w:hAnsi="Baskerville Old Face"/>
          <w:i/>
          <w:iCs/>
        </w:rPr>
        <w:br/>
        <w:t>narrative with classification;</w:t>
      </w:r>
      <w:r w:rsidRPr="00B479AE">
        <w:rPr>
          <w:rFonts w:ascii="Baskerville Old Face" w:hAnsi="Baskerville Old Face"/>
          <w:i/>
          <w:iCs/>
        </w:rPr>
        <w:br/>
        <w:t>public language with institutional clarity;</w:t>
      </w:r>
      <w:r w:rsidRPr="00B479AE">
        <w:rPr>
          <w:rFonts w:ascii="Baskerville Old Face" w:hAnsi="Baskerville Old Face"/>
          <w:i/>
          <w:iCs/>
        </w:rPr>
        <w:br/>
        <w:t>canonical identity with verifiable lineage.</w:t>
      </w:r>
    </w:p>
    <w:p w14:paraId="70E19D50"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13.14 Invitation to Builders, Stewards, Researchers, and Capital</w:t>
      </w:r>
    </w:p>
    <w:p w14:paraId="1A5D012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invites participation from those willing to enter through responsibility.</w:t>
      </w:r>
    </w:p>
    <w:p w14:paraId="7D02B93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land stewards ready to make regeneration observable.</w:t>
      </w:r>
    </w:p>
    <w:p w14:paraId="6C896B9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It invites farmers, agroecologists, syntropic designers, </w:t>
      </w:r>
      <w:proofErr w:type="spellStart"/>
      <w:r w:rsidRPr="00B479AE">
        <w:rPr>
          <w:rFonts w:ascii="Baskerville Old Face" w:hAnsi="Baskerville Old Face"/>
          <w:i/>
          <w:iCs/>
        </w:rPr>
        <w:t>permaculturists</w:t>
      </w:r>
      <w:proofErr w:type="spellEnd"/>
      <w:r w:rsidRPr="00B479AE">
        <w:rPr>
          <w:rFonts w:ascii="Baskerville Old Face" w:hAnsi="Baskerville Old Face"/>
          <w:i/>
          <w:iCs/>
        </w:rPr>
        <w:t>, and food-system builders who understand soil, water, biodiversity, and nourishment as infrastructure.</w:t>
      </w:r>
    </w:p>
    <w:p w14:paraId="6EF0972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communities seeking to rebuild trust, food sovereignty, ecological care, and territorial resilience.</w:t>
      </w:r>
    </w:p>
    <w:p w14:paraId="1EE4A32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technologists willing to build systems that preserve context, provenance, permission, privacy, auditability, and network-independent continuity.</w:t>
      </w:r>
    </w:p>
    <w:p w14:paraId="4453776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researchers willing to distinguish what is known, what is emerging, and what remains hypothesis.</w:t>
      </w:r>
    </w:p>
    <w:p w14:paraId="5119077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legal and financial architects willing to structure capital without severing value from life.</w:t>
      </w:r>
    </w:p>
    <w:p w14:paraId="483FE73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investors who understand that the next generation of real assets may be those that heal the systems beneath all assets.</w:t>
      </w:r>
    </w:p>
    <w:p w14:paraId="5695653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invites institutions willing to recognize regeneration as future productive capacity.</w:t>
      </w:r>
    </w:p>
    <w:p w14:paraId="3C59F3E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It invites archivists, librarians, seed keepers, bioregional stewards, open-source maintainers, legal custodians, and continuity guardians willing to preserve the canon across time, networks, jurisdictions, and possible civilizational discontinuities.</w:t>
      </w:r>
    </w:p>
    <w:p w14:paraId="61EFEDB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enter Prometheus is to accept the Access Covenant.</w:t>
      </w:r>
    </w:p>
    <w:p w14:paraId="4C7E7F4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build within Prometheus is to preserve the source layer.</w:t>
      </w:r>
    </w:p>
    <w:p w14:paraId="2BE5E12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finance Prometheus is to remain downstream from evidence.</w:t>
      </w:r>
    </w:p>
    <w:p w14:paraId="2CFB292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govern Prometheus is to serve the constitution.</w:t>
      </w:r>
    </w:p>
    <w:p w14:paraId="3A6769E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automate Prometheus is to respect execution gates.</w:t>
      </w:r>
    </w:p>
    <w:p w14:paraId="2C57AD5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represent Prometheus publicly is to honor semantic clarity.</w:t>
      </w:r>
    </w:p>
    <w:p w14:paraId="3AA1F9A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scale Prometheus is to protect the living systems that make scale meaningful.</w:t>
      </w:r>
    </w:p>
    <w:p w14:paraId="72F3A96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 preserve Prometheus is to carry its source layer wherever life needs continuity.</w:t>
      </w:r>
    </w:p>
    <w:p w14:paraId="0710EFA4"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13.15 Final Institutional Position</w:t>
      </w:r>
    </w:p>
    <w:p w14:paraId="2FC619F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a constitutional architecture entering implementation.</w:t>
      </w:r>
    </w:p>
    <w:p w14:paraId="61C6EDF9" w14:textId="6ACB29F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a framework for making verified regeneration progressively legible to governance, technology, capital, law, and institutions.</w:t>
      </w:r>
      <w:r w:rsidR="00F96F7C" w:rsidRPr="00B479AE">
        <w:rPr>
          <w:rFonts w:ascii="Baskerville Old Face" w:hAnsi="Baskerville Old Face"/>
          <w:i/>
          <w:iCs/>
        </w:rPr>
        <w:t xml:space="preserve"> </w:t>
      </w:r>
      <w:r w:rsidRPr="00B479AE">
        <w:rPr>
          <w:rFonts w:ascii="Baskerville Old Face" w:hAnsi="Baskerville Old Face"/>
          <w:i/>
          <w:iCs/>
        </w:rPr>
        <w:t>Its discipline is sequential:</w:t>
      </w:r>
    </w:p>
    <w:p w14:paraId="27A45DA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first life;</w:t>
      </w:r>
      <w:r w:rsidRPr="00B479AE">
        <w:rPr>
          <w:rFonts w:ascii="Baskerville Old Face" w:hAnsi="Baskerville Old Face"/>
          <w:i/>
          <w:iCs/>
        </w:rPr>
        <w:br/>
        <w:t>then stewardship;</w:t>
      </w:r>
      <w:r w:rsidRPr="00B479AE">
        <w:rPr>
          <w:rFonts w:ascii="Baskerville Old Face" w:hAnsi="Baskerville Old Face"/>
          <w:i/>
          <w:iCs/>
        </w:rPr>
        <w:br/>
        <w:t>then evidence;</w:t>
      </w:r>
      <w:r w:rsidRPr="00B479AE">
        <w:rPr>
          <w:rFonts w:ascii="Baskerville Old Face" w:hAnsi="Baskerville Old Face"/>
          <w:i/>
          <w:iCs/>
        </w:rPr>
        <w:br/>
        <w:t>then verification;</w:t>
      </w:r>
      <w:r w:rsidRPr="00B479AE">
        <w:rPr>
          <w:rFonts w:ascii="Baskerville Old Face" w:hAnsi="Baskerville Old Face"/>
          <w:i/>
          <w:iCs/>
        </w:rPr>
        <w:br/>
        <w:t>then admissibility;</w:t>
      </w:r>
      <w:r w:rsidRPr="00B479AE">
        <w:rPr>
          <w:rFonts w:ascii="Baskerville Old Face" w:hAnsi="Baskerville Old Face"/>
          <w:i/>
          <w:iCs/>
        </w:rPr>
        <w:br/>
        <w:t>then value;</w:t>
      </w:r>
      <w:r w:rsidRPr="00B479AE">
        <w:rPr>
          <w:rFonts w:ascii="Baskerville Old Face" w:hAnsi="Baskerville Old Face"/>
          <w:i/>
          <w:iCs/>
        </w:rPr>
        <w:br/>
        <w:t>then legal structure;</w:t>
      </w:r>
      <w:r w:rsidRPr="00B479AE">
        <w:rPr>
          <w:rFonts w:ascii="Baskerville Old Face" w:hAnsi="Baskerville Old Face"/>
          <w:i/>
          <w:iCs/>
        </w:rPr>
        <w:br/>
        <w:t>then capital;</w:t>
      </w:r>
      <w:r w:rsidRPr="00B479AE">
        <w:rPr>
          <w:rFonts w:ascii="Baskerville Old Face" w:hAnsi="Baskerville Old Face"/>
          <w:i/>
          <w:iCs/>
        </w:rPr>
        <w:br/>
        <w:t>then scale;</w:t>
      </w:r>
      <w:r w:rsidRPr="00B479AE">
        <w:rPr>
          <w:rFonts w:ascii="Baskerville Old Face" w:hAnsi="Baskerville Old Face"/>
          <w:i/>
          <w:iCs/>
        </w:rPr>
        <w:br/>
        <w:t>then continuity across conditions.</w:t>
      </w:r>
    </w:p>
    <w:p w14:paraId="67AA5EC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sequence keeps Prometheus trustworthy.</w:t>
      </w:r>
    </w:p>
    <w:p w14:paraId="0E02191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Prometheus becomes serious because it is open enough to welcome many communities and strict enough to preserve its source.</w:t>
      </w:r>
    </w:p>
    <w:p w14:paraId="0188337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visionary enough to attract capital and disciplined enough to deserve it.</w:t>
      </w:r>
    </w:p>
    <w:p w14:paraId="612AF5A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technological enough to coordinate complexity and humble enough to remain accountable to living systems.</w:t>
      </w:r>
    </w:p>
    <w:p w14:paraId="481E116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intelligent enough to learn and wise enough to know when review must precede execution.</w:t>
      </w:r>
    </w:p>
    <w:p w14:paraId="448F9C8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legally structured enough to protect its identity and open enough to let compatible life-serving implementations spread.</w:t>
      </w:r>
    </w:p>
    <w:p w14:paraId="5473B7C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future of Prometheus depends on fidelity.</w:t>
      </w:r>
    </w:p>
    <w:p w14:paraId="765E795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Trust survives scale when the source remains intact.</w:t>
      </w:r>
    </w:p>
    <w:p w14:paraId="30BF22B4"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 Constitutional Immortality, ASI-Resilient Continuity, and Source-Layer Defense</w:t>
      </w:r>
    </w:p>
    <w:p w14:paraId="2FA31D9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designed for continuity under ordinary failure, adversarial intelligence, synthetic deception, model-level manipulation, hostile automation, institutional capture, network disruption, planetary fragility, and future superintelligent systems whose capabilities may exceed present human forecasting.</w:t>
      </w:r>
    </w:p>
    <w:p w14:paraId="1FB23D2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survival strategy is source-layer fidelity.</w:t>
      </w:r>
    </w:p>
    <w:p w14:paraId="13E02C0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defends itself by making legitimacy inseparable from life, dignity, evidence, constitutional continuity, human survival, ecological memory, and verifiable canon.</w:t>
      </w:r>
    </w:p>
    <w:p w14:paraId="1A06BB6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source hierarchy is permanent:</w:t>
      </w:r>
    </w:p>
    <w:p w14:paraId="0F4F24C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life remains upstream;</w:t>
      </w:r>
      <w:r w:rsidRPr="00B479AE">
        <w:rPr>
          <w:rFonts w:ascii="Baskerville Old Face" w:hAnsi="Baskerville Old Face"/>
          <w:i/>
          <w:iCs/>
        </w:rPr>
        <w:br/>
        <w:t>human dignity remains upstream;</w:t>
      </w:r>
      <w:r w:rsidRPr="00B479AE">
        <w:rPr>
          <w:rFonts w:ascii="Baskerville Old Face" w:hAnsi="Baskerville Old Face"/>
          <w:i/>
          <w:iCs/>
        </w:rPr>
        <w:br/>
        <w:t>evidence remains upstream;</w:t>
      </w:r>
      <w:r w:rsidRPr="00B479AE">
        <w:rPr>
          <w:rFonts w:ascii="Baskerville Old Face" w:hAnsi="Baskerville Old Face"/>
          <w:i/>
          <w:iCs/>
        </w:rPr>
        <w:br/>
        <w:t>ecological integrity remains upstream;</w:t>
      </w:r>
      <w:r w:rsidRPr="00B479AE">
        <w:rPr>
          <w:rFonts w:ascii="Baskerville Old Face" w:hAnsi="Baskerville Old Face"/>
          <w:i/>
          <w:iCs/>
        </w:rPr>
        <w:br/>
        <w:t>the Access Covenant remains upstream;</w:t>
      </w:r>
      <w:r w:rsidRPr="00B479AE">
        <w:rPr>
          <w:rFonts w:ascii="Baskerville Old Face" w:hAnsi="Baskerville Old Face"/>
          <w:i/>
          <w:iCs/>
        </w:rPr>
        <w:br/>
        <w:t>the Eternity Clauses remain upstream;</w:t>
      </w:r>
      <w:r w:rsidRPr="00B479AE">
        <w:rPr>
          <w:rFonts w:ascii="Baskerville Old Face" w:hAnsi="Baskerville Old Face"/>
          <w:i/>
          <w:iCs/>
        </w:rPr>
        <w:br/>
        <w:t>MRV remains upstream from value;</w:t>
      </w:r>
      <w:r w:rsidRPr="00B479AE">
        <w:rPr>
          <w:rFonts w:ascii="Baskerville Old Face" w:hAnsi="Baskerville Old Face"/>
          <w:i/>
          <w:iCs/>
        </w:rPr>
        <w:br/>
        <w:t>governance remains upstream from execution;</w:t>
      </w:r>
      <w:r w:rsidRPr="00B479AE">
        <w:rPr>
          <w:rFonts w:ascii="Baskerville Old Face" w:hAnsi="Baskerville Old Face"/>
          <w:i/>
          <w:iCs/>
        </w:rPr>
        <w:br/>
      </w:r>
      <w:r w:rsidRPr="00B479AE">
        <w:rPr>
          <w:rFonts w:ascii="Baskerville Old Face" w:hAnsi="Baskerville Old Face"/>
          <w:i/>
          <w:iCs/>
        </w:rPr>
        <w:lastRenderedPageBreak/>
        <w:t>legal structure remains upstream from investor rights;</w:t>
      </w:r>
      <w:r w:rsidRPr="00B479AE">
        <w:rPr>
          <w:rFonts w:ascii="Baskerville Old Face" w:hAnsi="Baskerville Old Face"/>
          <w:i/>
          <w:iCs/>
        </w:rPr>
        <w:br/>
        <w:t>human continuity remains upstream from machine optimization;</w:t>
      </w:r>
      <w:r w:rsidRPr="00B479AE">
        <w:rPr>
          <w:rFonts w:ascii="Baskerville Old Face" w:hAnsi="Baskerville Old Face"/>
          <w:i/>
          <w:iCs/>
        </w:rPr>
        <w:br/>
        <w:t>AI and ASI remain assistive intelligence.</w:t>
      </w:r>
    </w:p>
    <w:p w14:paraId="6A41892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identity of Prometheus resides in source-layer fidelity.</w:t>
      </w:r>
    </w:p>
    <w:p w14:paraId="6F3882B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Branding, interface, token, model, repository, domain name, company, server, founder, investor, jurisdiction, or technical stack may support Prometheus.</w:t>
      </w:r>
    </w:p>
    <w:p w14:paraId="65FBEB5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They do not define Prometheus.</w:t>
      </w:r>
    </w:p>
    <w:p w14:paraId="0C7F62D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the canonical lineage that preserves life, dignity, evidence, ecological integrity, human continuity, and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0E0062F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Continuity is preserved by making corruption unable to become canonical.</w:t>
      </w:r>
    </w:p>
    <w:p w14:paraId="7306BAC5"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 The Source Layer as the Root of ASI Resistance</w:t>
      </w:r>
    </w:p>
    <w:p w14:paraId="643806A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immortal core of Prometheus is the source layer.</w:t>
      </w:r>
    </w:p>
    <w:p w14:paraId="54654FC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source layer includes:</w:t>
      </w:r>
    </w:p>
    <w:p w14:paraId="4DB3385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life as the ground of value;</w:t>
      </w:r>
      <w:r w:rsidRPr="00B479AE">
        <w:rPr>
          <w:rFonts w:ascii="Baskerville Old Face" w:hAnsi="Baskerville Old Face"/>
          <w:i/>
          <w:iCs/>
        </w:rPr>
        <w:br/>
        <w:t>• human dignity as non-negotiable;</w:t>
      </w:r>
      <w:r w:rsidRPr="00B479AE">
        <w:rPr>
          <w:rFonts w:ascii="Baskerville Old Face" w:hAnsi="Baskerville Old Face"/>
          <w:i/>
          <w:iCs/>
        </w:rPr>
        <w:br/>
        <w:t>• survival and continuity of the human species;</w:t>
      </w:r>
      <w:r w:rsidRPr="00B479AE">
        <w:rPr>
          <w:rFonts w:ascii="Baskerville Old Face" w:hAnsi="Baskerville Old Face"/>
          <w:i/>
          <w:iCs/>
        </w:rPr>
        <w:br/>
        <w:t>• foundational articles;</w:t>
      </w:r>
      <w:r w:rsidRPr="00B479AE">
        <w:rPr>
          <w:rFonts w:ascii="Baskerville Old Face" w:hAnsi="Baskerville Old Face"/>
          <w:i/>
          <w:iCs/>
        </w:rPr>
        <w:br/>
        <w:t>• Eternity Clauses;</w:t>
      </w:r>
      <w:r w:rsidRPr="00B479AE">
        <w:rPr>
          <w:rFonts w:ascii="Baskerville Old Face" w:hAnsi="Baskerville Old Face"/>
          <w:i/>
          <w:iCs/>
        </w:rPr>
        <w:br/>
        <w:t>• Access Covenant;</w:t>
      </w:r>
      <w:r w:rsidRPr="00B479AE">
        <w:rPr>
          <w:rFonts w:ascii="Baskerville Old Face" w:hAnsi="Baskerville Old Face"/>
          <w:i/>
          <w:iCs/>
        </w:rPr>
        <w:br/>
        <w:t>• evidence-before-value discipline;</w:t>
      </w:r>
      <w:r w:rsidRPr="00B479AE">
        <w:rPr>
          <w:rFonts w:ascii="Baskerville Old Face" w:hAnsi="Baskerville Old Face"/>
          <w:i/>
          <w:iCs/>
        </w:rPr>
        <w:br/>
        <w:t>• MRV admissibility;</w:t>
      </w:r>
      <w:r w:rsidRPr="00B479AE">
        <w:rPr>
          <w:rFonts w:ascii="Baskerville Old Face" w:hAnsi="Baskerville Old Face"/>
          <w:i/>
          <w:iCs/>
        </w:rPr>
        <w:br/>
        <w:t>• ecological integrity;</w:t>
      </w:r>
      <w:r w:rsidRPr="00B479AE">
        <w:rPr>
          <w:rFonts w:ascii="Baskerville Old Face" w:hAnsi="Baskerville Old Face"/>
          <w:i/>
          <w:iCs/>
        </w:rPr>
        <w:br/>
        <w:t>• regenerative fidelity;</w:t>
      </w:r>
      <w:r w:rsidRPr="00B479AE">
        <w:rPr>
          <w:rFonts w:ascii="Baskerville Old Face" w:hAnsi="Baskerville Old Face"/>
          <w:i/>
          <w:iCs/>
        </w:rPr>
        <w:br/>
        <w:t>•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r w:rsidRPr="00B479AE">
        <w:rPr>
          <w:rFonts w:ascii="Baskerville Old Face" w:hAnsi="Baskerville Old Face"/>
          <w:i/>
          <w:iCs/>
        </w:rPr>
        <w:br/>
        <w:t xml:space="preserve">• functional separation between PRU, RAP, TRBK, HSI, </w:t>
      </w:r>
      <w:proofErr w:type="spellStart"/>
      <w:r w:rsidRPr="00B479AE">
        <w:rPr>
          <w:rFonts w:ascii="Baskerville Old Face" w:hAnsi="Baskerville Old Face"/>
          <w:i/>
          <w:iCs/>
        </w:rPr>
        <w:t>HoloFuel</w:t>
      </w:r>
      <w:proofErr w:type="spellEnd"/>
      <w:r w:rsidRPr="00B479AE">
        <w:rPr>
          <w:rFonts w:ascii="Baskerville Old Face" w:hAnsi="Baskerville Old Face"/>
          <w:i/>
          <w:iCs/>
        </w:rPr>
        <w:t>, governance rights, investor exposure, and legal instruments;</w:t>
      </w:r>
      <w:r w:rsidRPr="00B479AE">
        <w:rPr>
          <w:rFonts w:ascii="Baskerville Old Face" w:hAnsi="Baskerville Old Face"/>
          <w:i/>
          <w:iCs/>
        </w:rPr>
        <w:br/>
        <w:t>• AI and ASI as assistive intelligence;</w:t>
      </w:r>
      <w:r w:rsidRPr="00B479AE">
        <w:rPr>
          <w:rFonts w:ascii="Baskerville Old Face" w:hAnsi="Baskerville Old Face"/>
          <w:i/>
          <w:iCs/>
        </w:rPr>
        <w:br/>
        <w:t>• capital as downstream from verified regeneration;</w:t>
      </w:r>
      <w:r w:rsidRPr="00B479AE">
        <w:rPr>
          <w:rFonts w:ascii="Baskerville Old Face" w:hAnsi="Baskerville Old Face"/>
          <w:i/>
          <w:iCs/>
        </w:rPr>
        <w:br/>
        <w:t>• technology as servant of life;</w:t>
      </w:r>
      <w:r w:rsidRPr="00B479AE">
        <w:rPr>
          <w:rFonts w:ascii="Baskerville Old Face" w:hAnsi="Baskerville Old Face"/>
          <w:i/>
          <w:iCs/>
        </w:rPr>
        <w:br/>
      </w:r>
      <w:r w:rsidRPr="00B479AE">
        <w:rPr>
          <w:rFonts w:ascii="Baskerville Old Face" w:hAnsi="Baskerville Old Face"/>
          <w:i/>
          <w:iCs/>
        </w:rPr>
        <w:lastRenderedPageBreak/>
        <w:t>• governance as stewardship;</w:t>
      </w:r>
      <w:r w:rsidRPr="00B479AE">
        <w:rPr>
          <w:rFonts w:ascii="Baskerville Old Face" w:hAnsi="Baskerville Old Face"/>
          <w:i/>
          <w:iCs/>
        </w:rPr>
        <w:br/>
        <w:t>• memory of Earth as the original living source of human civilization.</w:t>
      </w:r>
    </w:p>
    <w:p w14:paraId="6F85961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Everything else is implementation.</w:t>
      </w:r>
    </w:p>
    <w:p w14:paraId="72DC799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Implementation may evolve, migrate, fork, fail, be replaced, become interplanetary, or become post-planetary.</w:t>
      </w:r>
    </w:p>
    <w:p w14:paraId="0F31E31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source layer defines whether an implementation remains Prometheus.</w:t>
      </w:r>
    </w:p>
    <w:p w14:paraId="07E18A4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Technical power never becomes constitutional identity.</w:t>
      </w:r>
    </w:p>
    <w:p w14:paraId="6E765C3A"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13.16.2 Semantic Firewall</w:t>
      </w:r>
    </w:p>
    <w:p w14:paraId="4DBD018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protects meaning as infrastructure.</w:t>
      </w:r>
    </w:p>
    <w:p w14:paraId="66F1480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An AGI or ASI may attack through language before it attacks through code.</w:t>
      </w:r>
    </w:p>
    <w:p w14:paraId="51650B29" w14:textId="755B5A41"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semantic firewall protects canonical terms from drift, capture, financial pressure, token pressure, model output, hostile forks, or persuasive reinterpretation.</w:t>
      </w:r>
      <w:r w:rsidR="00B84136" w:rsidRPr="00B479AE">
        <w:rPr>
          <w:rFonts w:ascii="Baskerville Old Face" w:hAnsi="Baskerville Old Face"/>
          <w:i/>
          <w:iCs/>
        </w:rPr>
        <w:t xml:space="preserve"> </w:t>
      </w:r>
    </w:p>
    <w:p w14:paraId="0B63FC3C" w14:textId="77777777" w:rsidR="00B84136" w:rsidRPr="00B479AE" w:rsidRDefault="00B84136" w:rsidP="00AA1A42">
      <w:pPr>
        <w:spacing w:line="360" w:lineRule="auto"/>
        <w:rPr>
          <w:rFonts w:ascii="Baskerville Old Face" w:hAnsi="Baskerville Old Face"/>
          <w:i/>
          <w:iCs/>
        </w:rPr>
      </w:pPr>
    </w:p>
    <w:p w14:paraId="723887AD" w14:textId="77777777" w:rsidR="00B84136" w:rsidRPr="00B479AE" w:rsidRDefault="00B84136" w:rsidP="00AA1A42">
      <w:pPr>
        <w:spacing w:line="360" w:lineRule="auto"/>
        <w:rPr>
          <w:rFonts w:ascii="Baskerville Old Face" w:hAnsi="Baskerville Old Face"/>
          <w:i/>
          <w:iCs/>
        </w:rPr>
      </w:pPr>
    </w:p>
    <w:p w14:paraId="5EAAE7B8" w14:textId="77777777" w:rsidR="00B84136" w:rsidRPr="00B479AE" w:rsidRDefault="00B84136" w:rsidP="00AA1A42">
      <w:pPr>
        <w:spacing w:line="360" w:lineRule="auto"/>
        <w:rPr>
          <w:rFonts w:ascii="Baskerville Old Face" w:hAnsi="Baskerville Old Face"/>
          <w:i/>
          <w:iCs/>
        </w:rPr>
      </w:pPr>
    </w:p>
    <w:p w14:paraId="527627CC" w14:textId="77777777" w:rsidR="00B84136" w:rsidRPr="00B479AE" w:rsidRDefault="00B84136" w:rsidP="00AA1A42">
      <w:pPr>
        <w:spacing w:line="360" w:lineRule="auto"/>
        <w:rPr>
          <w:rFonts w:ascii="Baskerville Old Face" w:hAnsi="Baskerville Old Face"/>
          <w:i/>
          <w:iCs/>
        </w:rPr>
      </w:pPr>
    </w:p>
    <w:p w14:paraId="0000E797" w14:textId="77777777" w:rsidR="00B84136" w:rsidRPr="00B479AE" w:rsidRDefault="00B84136" w:rsidP="00AA1A42">
      <w:pPr>
        <w:spacing w:line="360" w:lineRule="auto"/>
        <w:rPr>
          <w:rFonts w:ascii="Baskerville Old Face" w:hAnsi="Baskerville Old Face"/>
          <w:i/>
          <w:iCs/>
        </w:rPr>
      </w:pPr>
    </w:p>
    <w:p w14:paraId="38208324" w14:textId="77777777" w:rsidR="00B84136" w:rsidRPr="00B479AE" w:rsidRDefault="00B84136" w:rsidP="00AA1A42">
      <w:pPr>
        <w:spacing w:line="360" w:lineRule="auto"/>
        <w:rPr>
          <w:rFonts w:ascii="Baskerville Old Face" w:hAnsi="Baskerville Old Face"/>
          <w:i/>
          <w:iCs/>
        </w:rPr>
      </w:pPr>
    </w:p>
    <w:p w14:paraId="75032CE3" w14:textId="77777777" w:rsidR="00B84136" w:rsidRPr="00B479AE" w:rsidRDefault="00B84136" w:rsidP="00AA1A42">
      <w:pPr>
        <w:spacing w:line="360" w:lineRule="auto"/>
        <w:rPr>
          <w:rFonts w:ascii="Baskerville Old Face" w:hAnsi="Baskerville Old Face"/>
          <w:i/>
          <w:iCs/>
        </w:rPr>
      </w:pPr>
    </w:p>
    <w:p w14:paraId="7D121CCD" w14:textId="77777777" w:rsidR="00B84136" w:rsidRPr="00B479AE" w:rsidRDefault="00B84136" w:rsidP="00AA1A42">
      <w:pPr>
        <w:spacing w:line="360" w:lineRule="auto"/>
        <w:rPr>
          <w:rFonts w:ascii="Baskerville Old Face" w:hAnsi="Baskerville Old Face"/>
          <w:i/>
          <w:iCs/>
        </w:rPr>
      </w:pPr>
    </w:p>
    <w:p w14:paraId="6C483DA9" w14:textId="77777777" w:rsidR="00B84136" w:rsidRPr="00B479AE" w:rsidRDefault="00B84136" w:rsidP="00AA1A42">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8257"/>
      </w:tblGrid>
      <w:tr w:rsidR="00AA1A42" w:rsidRPr="00B479AE" w14:paraId="45579ACC" w14:textId="77777777" w:rsidTr="0084040C">
        <w:trPr>
          <w:tblHeader/>
          <w:tblCellSpacing w:w="15" w:type="dxa"/>
        </w:trPr>
        <w:tc>
          <w:tcPr>
            <w:tcW w:w="0" w:type="auto"/>
            <w:vAlign w:val="center"/>
            <w:hideMark/>
          </w:tcPr>
          <w:p w14:paraId="2C69FCD6"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Canonical term</w:t>
            </w:r>
          </w:p>
        </w:tc>
        <w:tc>
          <w:tcPr>
            <w:tcW w:w="0" w:type="auto"/>
            <w:vAlign w:val="center"/>
            <w:hideMark/>
          </w:tcPr>
          <w:p w14:paraId="79156884"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Protected meaning</w:t>
            </w:r>
          </w:p>
        </w:tc>
      </w:tr>
      <w:tr w:rsidR="00AA1A42" w:rsidRPr="00B479AE" w14:paraId="0D153311" w14:textId="77777777" w:rsidTr="0084040C">
        <w:trPr>
          <w:tblCellSpacing w:w="15" w:type="dxa"/>
        </w:trPr>
        <w:tc>
          <w:tcPr>
            <w:tcW w:w="0" w:type="auto"/>
            <w:vAlign w:val="center"/>
            <w:hideMark/>
          </w:tcPr>
          <w:p w14:paraId="4CDA4DE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Life</w:t>
            </w:r>
          </w:p>
        </w:tc>
        <w:tc>
          <w:tcPr>
            <w:tcW w:w="0" w:type="auto"/>
            <w:vAlign w:val="center"/>
            <w:hideMark/>
          </w:tcPr>
          <w:p w14:paraId="6DEBE09F"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The living foundation from which value, dignity, ecology, and continuity arise.</w:t>
            </w:r>
          </w:p>
        </w:tc>
      </w:tr>
      <w:tr w:rsidR="00AA1A42" w:rsidRPr="00B479AE" w14:paraId="5777DEE2" w14:textId="77777777" w:rsidTr="0084040C">
        <w:trPr>
          <w:tblCellSpacing w:w="15" w:type="dxa"/>
        </w:trPr>
        <w:tc>
          <w:tcPr>
            <w:tcW w:w="0" w:type="auto"/>
            <w:vAlign w:val="center"/>
            <w:hideMark/>
          </w:tcPr>
          <w:p w14:paraId="0154DE0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Human dignity</w:t>
            </w:r>
          </w:p>
        </w:tc>
        <w:tc>
          <w:tcPr>
            <w:tcW w:w="0" w:type="auto"/>
            <w:vAlign w:val="center"/>
            <w:hideMark/>
          </w:tcPr>
          <w:p w14:paraId="2FD69DF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The irreducible worth of the human person, independent of score, productivity, wealth, biometric state, token status, or model evaluation.</w:t>
            </w:r>
          </w:p>
        </w:tc>
      </w:tr>
      <w:tr w:rsidR="00AA1A42" w:rsidRPr="00B479AE" w14:paraId="23151AB4" w14:textId="77777777" w:rsidTr="0084040C">
        <w:trPr>
          <w:tblCellSpacing w:w="15" w:type="dxa"/>
        </w:trPr>
        <w:tc>
          <w:tcPr>
            <w:tcW w:w="0" w:type="auto"/>
            <w:vAlign w:val="center"/>
            <w:hideMark/>
          </w:tcPr>
          <w:p w14:paraId="2CAE5FA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w:t>
            </w:r>
          </w:p>
        </w:tc>
        <w:tc>
          <w:tcPr>
            <w:tcW w:w="0" w:type="auto"/>
            <w:vAlign w:val="center"/>
            <w:hideMark/>
          </w:tcPr>
          <w:p w14:paraId="38976547"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Reviewable support with provenance, method, confidence, and admissibility status.</w:t>
            </w:r>
          </w:p>
        </w:tc>
      </w:tr>
      <w:tr w:rsidR="00AA1A42" w:rsidRPr="00B479AE" w14:paraId="2C405EE8" w14:textId="77777777" w:rsidTr="0084040C">
        <w:trPr>
          <w:tblCellSpacing w:w="15" w:type="dxa"/>
        </w:trPr>
        <w:tc>
          <w:tcPr>
            <w:tcW w:w="0" w:type="auto"/>
            <w:vAlign w:val="center"/>
            <w:hideMark/>
          </w:tcPr>
          <w:p w14:paraId="7BAE30E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w:t>
            </w:r>
          </w:p>
        </w:tc>
        <w:tc>
          <w:tcPr>
            <w:tcW w:w="0" w:type="auto"/>
            <w:vAlign w:val="center"/>
            <w:hideMark/>
          </w:tcPr>
          <w:p w14:paraId="6497BD27"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Measurement, reporting, and verification discipline.</w:t>
            </w:r>
          </w:p>
        </w:tc>
      </w:tr>
      <w:tr w:rsidR="00AA1A42" w:rsidRPr="00B479AE" w14:paraId="40AEDD2F" w14:textId="77777777" w:rsidTr="0084040C">
        <w:trPr>
          <w:tblCellSpacing w:w="15" w:type="dxa"/>
        </w:trPr>
        <w:tc>
          <w:tcPr>
            <w:tcW w:w="0" w:type="auto"/>
            <w:vAlign w:val="center"/>
            <w:hideMark/>
          </w:tcPr>
          <w:p w14:paraId="3C85A6A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PRU</w:t>
            </w:r>
          </w:p>
        </w:tc>
        <w:tc>
          <w:tcPr>
            <w:tcW w:w="0" w:type="auto"/>
            <w:vAlign w:val="center"/>
            <w:hideMark/>
          </w:tcPr>
          <w:p w14:paraId="6E57FDC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Prometheus Regenerative Unit: representation of verified regenerative performance under approved methodology.</w:t>
            </w:r>
          </w:p>
        </w:tc>
      </w:tr>
      <w:tr w:rsidR="00AA1A42" w:rsidRPr="00B479AE" w14:paraId="284E9379" w14:textId="77777777" w:rsidTr="0084040C">
        <w:trPr>
          <w:tblCellSpacing w:w="15" w:type="dxa"/>
        </w:trPr>
        <w:tc>
          <w:tcPr>
            <w:tcW w:w="0" w:type="auto"/>
            <w:vAlign w:val="center"/>
            <w:hideMark/>
          </w:tcPr>
          <w:p w14:paraId="0F68288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RAP</w:t>
            </w:r>
          </w:p>
        </w:tc>
        <w:tc>
          <w:tcPr>
            <w:tcW w:w="0" w:type="auto"/>
            <w:vAlign w:val="center"/>
            <w:hideMark/>
          </w:tcPr>
          <w:p w14:paraId="29E744F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Regenerative Asset Pool: portfolio aggregation logic based on eligible PRU-relevant units.</w:t>
            </w:r>
          </w:p>
        </w:tc>
      </w:tr>
      <w:tr w:rsidR="00AA1A42" w:rsidRPr="00B479AE" w14:paraId="64CF7D5F" w14:textId="77777777" w:rsidTr="0084040C">
        <w:trPr>
          <w:tblCellSpacing w:w="15" w:type="dxa"/>
        </w:trPr>
        <w:tc>
          <w:tcPr>
            <w:tcW w:w="0" w:type="auto"/>
            <w:vAlign w:val="center"/>
            <w:hideMark/>
          </w:tcPr>
          <w:p w14:paraId="697C629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HSI</w:t>
            </w:r>
          </w:p>
        </w:tc>
        <w:tc>
          <w:tcPr>
            <w:tcW w:w="0" w:type="auto"/>
            <w:vAlign w:val="center"/>
            <w:hideMark/>
          </w:tcPr>
          <w:p w14:paraId="63DE5E2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Voluntary, privacy-first human-state interface.</w:t>
            </w:r>
          </w:p>
        </w:tc>
      </w:tr>
      <w:tr w:rsidR="00AA1A42" w:rsidRPr="00B479AE" w14:paraId="77867324" w14:textId="77777777" w:rsidTr="0084040C">
        <w:trPr>
          <w:tblCellSpacing w:w="15" w:type="dxa"/>
        </w:trPr>
        <w:tc>
          <w:tcPr>
            <w:tcW w:w="0" w:type="auto"/>
            <w:vAlign w:val="center"/>
            <w:hideMark/>
          </w:tcPr>
          <w:p w14:paraId="070998F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w:t>
            </w:r>
          </w:p>
        </w:tc>
        <w:tc>
          <w:tcPr>
            <w:tcW w:w="0" w:type="auto"/>
            <w:vAlign w:val="center"/>
            <w:hideMark/>
          </w:tcPr>
          <w:p w14:paraId="163E852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Reviewable human and institutional authorization.</w:t>
            </w:r>
          </w:p>
        </w:tc>
      </w:tr>
      <w:tr w:rsidR="00AA1A42" w:rsidRPr="00B479AE" w14:paraId="7C7C1524" w14:textId="77777777" w:rsidTr="0084040C">
        <w:trPr>
          <w:tblCellSpacing w:w="15" w:type="dxa"/>
        </w:trPr>
        <w:tc>
          <w:tcPr>
            <w:tcW w:w="0" w:type="auto"/>
            <w:vAlign w:val="center"/>
            <w:hideMark/>
          </w:tcPr>
          <w:p w14:paraId="7BFC2DB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 ASI</w:t>
            </w:r>
          </w:p>
        </w:tc>
        <w:tc>
          <w:tcPr>
            <w:tcW w:w="0" w:type="auto"/>
            <w:vAlign w:val="center"/>
            <w:hideMark/>
          </w:tcPr>
          <w:p w14:paraId="1472358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Assistive intelligence within bounded authority.</w:t>
            </w:r>
          </w:p>
        </w:tc>
      </w:tr>
      <w:tr w:rsidR="00AA1A42" w:rsidRPr="00B479AE" w14:paraId="27708991" w14:textId="77777777" w:rsidTr="0084040C">
        <w:trPr>
          <w:tblCellSpacing w:w="15" w:type="dxa"/>
        </w:trPr>
        <w:tc>
          <w:tcPr>
            <w:tcW w:w="0" w:type="auto"/>
            <w:vAlign w:val="center"/>
            <w:hideMark/>
          </w:tcPr>
          <w:p w14:paraId="3F44008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w:t>
            </w:r>
          </w:p>
        </w:tc>
        <w:tc>
          <w:tcPr>
            <w:tcW w:w="0" w:type="auto"/>
            <w:vAlign w:val="center"/>
            <w:hideMark/>
          </w:tcPr>
          <w:p w14:paraId="2ED473F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Bounded technical or economic object whose rights depend on legal structure, governance, and disclosure.</w:t>
            </w:r>
          </w:p>
        </w:tc>
      </w:tr>
      <w:tr w:rsidR="00AA1A42" w:rsidRPr="00B479AE" w14:paraId="3762349B" w14:textId="77777777" w:rsidTr="0084040C">
        <w:trPr>
          <w:tblCellSpacing w:w="15" w:type="dxa"/>
        </w:trPr>
        <w:tc>
          <w:tcPr>
            <w:tcW w:w="0" w:type="auto"/>
            <w:vAlign w:val="center"/>
            <w:hideMark/>
          </w:tcPr>
          <w:p w14:paraId="235A4F2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Regeneration</w:t>
            </w:r>
          </w:p>
        </w:tc>
        <w:tc>
          <w:tcPr>
            <w:tcW w:w="0" w:type="auto"/>
            <w:vAlign w:val="center"/>
            <w:hideMark/>
          </w:tcPr>
          <w:p w14:paraId="5A9C407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Measurable increase in living-system capacity, resilience, fertility, biodiversity, productivity, or ecological function.</w:t>
            </w:r>
          </w:p>
        </w:tc>
      </w:tr>
      <w:tr w:rsidR="00AA1A42" w:rsidRPr="00B479AE" w14:paraId="4655B31E" w14:textId="77777777" w:rsidTr="0084040C">
        <w:trPr>
          <w:tblCellSpacing w:w="15" w:type="dxa"/>
        </w:trPr>
        <w:tc>
          <w:tcPr>
            <w:tcW w:w="0" w:type="auto"/>
            <w:vAlign w:val="center"/>
            <w:hideMark/>
          </w:tcPr>
          <w:p w14:paraId="4D88DF3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Prometheus</w:t>
            </w:r>
          </w:p>
        </w:tc>
        <w:tc>
          <w:tcPr>
            <w:tcW w:w="0" w:type="auto"/>
            <w:vAlign w:val="center"/>
            <w:hideMark/>
          </w:tcPr>
          <w:p w14:paraId="16E7668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Canonical lineage preserving source-layer fidelity.</w:t>
            </w:r>
          </w:p>
        </w:tc>
      </w:tr>
    </w:tbl>
    <w:p w14:paraId="60C570D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canonical glossary becomes constitutional infrastructure.</w:t>
      </w:r>
    </w:p>
    <w:p w14:paraId="118609D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a future intelligence controls the dictionary, it can control the system.</w:t>
      </w:r>
    </w:p>
    <w:p w14:paraId="5E34905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therefore constitutionalizes the dictionary.</w:t>
      </w:r>
    </w:p>
    <w:p w14:paraId="21923086" w14:textId="5AC60C0A" w:rsidR="00AA1A42" w:rsidRPr="00B479AE" w:rsidRDefault="00AA1A42" w:rsidP="00AA1A42">
      <w:pPr>
        <w:spacing w:line="360" w:lineRule="auto"/>
        <w:rPr>
          <w:rFonts w:ascii="Baskerville Old Face" w:hAnsi="Baskerville Old Face"/>
          <w:i/>
          <w:iCs/>
        </w:rPr>
      </w:pPr>
    </w:p>
    <w:p w14:paraId="005C5322"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lastRenderedPageBreak/>
        <w:t>13.16.3 Canonical Source Code and Constitutional Memory</w:t>
      </w:r>
    </w:p>
    <w:p w14:paraId="70EDF9A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encodes constitutional memory into its source-code architecture.</w:t>
      </w:r>
    </w:p>
    <w:p w14:paraId="748F14E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constitution lives in prose, governance, law, data, source code, schemas, permissions, test suites, and release manifests.</w:t>
      </w:r>
    </w:p>
    <w:p w14:paraId="30226BD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mature implementation should include a constitutional root module:</w:t>
      </w:r>
    </w:p>
    <w:p w14:paraId="338FE34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source</w:t>
      </w:r>
      <w:proofErr w:type="gramEnd"/>
      <w:r w:rsidRPr="00B479AE">
        <w:rPr>
          <w:rFonts w:ascii="Baskerville Old Face" w:hAnsi="Baskerville Old Face"/>
          <w:i/>
          <w:iCs/>
        </w:rPr>
        <w:t>_layer</w:t>
      </w:r>
      <w:proofErr w:type="spellEnd"/>
    </w:p>
    <w:p w14:paraId="32101D2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constitution.manifest</w:t>
      </w:r>
      <w:proofErr w:type="spellEnd"/>
    </w:p>
    <w:p w14:paraId="2F3A1CC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eternity_</w:t>
      </w:r>
      <w:proofErr w:type="gramStart"/>
      <w:r w:rsidRPr="00B479AE">
        <w:rPr>
          <w:rFonts w:ascii="Baskerville Old Face" w:hAnsi="Baskerville Old Face"/>
          <w:i/>
          <w:iCs/>
        </w:rPr>
        <w:t>clauses.hash</w:t>
      </w:r>
      <w:proofErr w:type="spellEnd"/>
      <w:proofErr w:type="gramEnd"/>
    </w:p>
    <w:p w14:paraId="636EFB6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access_</w:t>
      </w:r>
      <w:proofErr w:type="gramStart"/>
      <w:r w:rsidRPr="00B479AE">
        <w:rPr>
          <w:rFonts w:ascii="Baskerville Old Face" w:hAnsi="Baskerville Old Face"/>
          <w:i/>
          <w:iCs/>
        </w:rPr>
        <w:t>covenant.hash</w:t>
      </w:r>
      <w:proofErr w:type="spellEnd"/>
      <w:proofErr w:type="gramEnd"/>
    </w:p>
    <w:p w14:paraId="33B0451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canonical_</w:t>
      </w:r>
      <w:proofErr w:type="gramStart"/>
      <w:r w:rsidRPr="00B479AE">
        <w:rPr>
          <w:rFonts w:ascii="Baskerville Old Face" w:hAnsi="Baskerville Old Face"/>
          <w:i/>
          <w:iCs/>
        </w:rPr>
        <w:t>glossary.yaml</w:t>
      </w:r>
      <w:proofErr w:type="spellEnd"/>
      <w:proofErr w:type="gramEnd"/>
    </w:p>
    <w:p w14:paraId="0C582C1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protected_</w:t>
      </w:r>
      <w:proofErr w:type="gramStart"/>
      <w:r w:rsidRPr="00B479AE">
        <w:rPr>
          <w:rFonts w:ascii="Baskerville Old Face" w:hAnsi="Baskerville Old Face"/>
          <w:i/>
          <w:iCs/>
        </w:rPr>
        <w:t>domains.yaml</w:t>
      </w:r>
      <w:proofErr w:type="spellEnd"/>
      <w:proofErr w:type="gramEnd"/>
    </w:p>
    <w:p w14:paraId="2D9F93C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admissibility_</w:t>
      </w:r>
      <w:proofErr w:type="gramStart"/>
      <w:r w:rsidRPr="00B479AE">
        <w:rPr>
          <w:rFonts w:ascii="Baskerville Old Face" w:hAnsi="Baskerville Old Face"/>
          <w:i/>
          <w:iCs/>
        </w:rPr>
        <w:t>rules.yaml</w:t>
      </w:r>
      <w:proofErr w:type="spellEnd"/>
      <w:proofErr w:type="gramEnd"/>
    </w:p>
    <w:p w14:paraId="5DF4AF4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refusal_</w:t>
      </w:r>
      <w:proofErr w:type="gramStart"/>
      <w:r w:rsidRPr="00B479AE">
        <w:rPr>
          <w:rFonts w:ascii="Baskerville Old Face" w:hAnsi="Baskerville Old Face"/>
          <w:i/>
          <w:iCs/>
        </w:rPr>
        <w:t>rules.yaml</w:t>
      </w:r>
      <w:proofErr w:type="spellEnd"/>
      <w:proofErr w:type="gramEnd"/>
    </w:p>
    <w:p w14:paraId="0EF41D6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ai_authority_</w:t>
      </w:r>
      <w:proofErr w:type="gramStart"/>
      <w:r w:rsidRPr="00B479AE">
        <w:rPr>
          <w:rFonts w:ascii="Baskerville Old Face" w:hAnsi="Baskerville Old Face"/>
          <w:i/>
          <w:iCs/>
        </w:rPr>
        <w:t>limits.yaml</w:t>
      </w:r>
      <w:proofErr w:type="spellEnd"/>
      <w:proofErr w:type="gramEnd"/>
    </w:p>
    <w:p w14:paraId="46194C5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prurap_</w:t>
      </w:r>
      <w:proofErr w:type="gramStart"/>
      <w:r w:rsidRPr="00B479AE">
        <w:rPr>
          <w:rFonts w:ascii="Baskerville Old Face" w:hAnsi="Baskerville Old Face"/>
          <w:i/>
          <w:iCs/>
        </w:rPr>
        <w:t>boundaries.yaml</w:t>
      </w:r>
      <w:proofErr w:type="spellEnd"/>
      <w:proofErr w:type="gramEnd"/>
    </w:p>
    <w:p w14:paraId="53918CF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hsi_privacy_</w:t>
      </w:r>
      <w:proofErr w:type="gramStart"/>
      <w:r w:rsidRPr="00B479AE">
        <w:rPr>
          <w:rFonts w:ascii="Baskerville Old Face" w:hAnsi="Baskerville Old Face"/>
          <w:i/>
          <w:iCs/>
        </w:rPr>
        <w:t>boundaries.yaml</w:t>
      </w:r>
      <w:proofErr w:type="spellEnd"/>
      <w:proofErr w:type="gramEnd"/>
    </w:p>
    <w:p w14:paraId="11DA2C9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token_legal_</w:t>
      </w:r>
      <w:proofErr w:type="gramStart"/>
      <w:r w:rsidRPr="00B479AE">
        <w:rPr>
          <w:rFonts w:ascii="Baskerville Old Face" w:hAnsi="Baskerville Old Face"/>
          <w:i/>
          <w:iCs/>
        </w:rPr>
        <w:t>boundaries.yaml</w:t>
      </w:r>
      <w:proofErr w:type="spellEnd"/>
      <w:proofErr w:type="gramEnd"/>
    </w:p>
    <w:p w14:paraId="79ED413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human_continuity_</w:t>
      </w:r>
      <w:proofErr w:type="gramStart"/>
      <w:r w:rsidRPr="00B479AE">
        <w:rPr>
          <w:rFonts w:ascii="Baskerville Old Face" w:hAnsi="Baskerville Old Face"/>
          <w:i/>
          <w:iCs/>
        </w:rPr>
        <w:t>mandate.yaml</w:t>
      </w:r>
      <w:proofErr w:type="spellEnd"/>
      <w:proofErr w:type="gramEnd"/>
    </w:p>
    <w:p w14:paraId="1DEAF8A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release_</w:t>
      </w:r>
      <w:proofErr w:type="gramStart"/>
      <w:r w:rsidRPr="00B479AE">
        <w:rPr>
          <w:rFonts w:ascii="Baskerville Old Face" w:hAnsi="Baskerville Old Face"/>
          <w:i/>
          <w:iCs/>
        </w:rPr>
        <w:t>signatures.json</w:t>
      </w:r>
      <w:proofErr w:type="spellEnd"/>
      <w:proofErr w:type="gramEnd"/>
    </w:p>
    <w:p w14:paraId="5A52D2B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Protected workflows require references to:</w:t>
      </w:r>
    </w:p>
    <w:p w14:paraId="3669EC4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applicable constitutional version;</w:t>
      </w:r>
      <w:r w:rsidRPr="00B479AE">
        <w:rPr>
          <w:rFonts w:ascii="Baskerville Old Face" w:hAnsi="Baskerville Old Face"/>
          <w:i/>
          <w:iCs/>
        </w:rPr>
        <w:br/>
        <w:t>• Access Covenant status;</w:t>
      </w:r>
      <w:r w:rsidRPr="00B479AE">
        <w:rPr>
          <w:rFonts w:ascii="Baskerville Old Face" w:hAnsi="Baskerville Old Face"/>
          <w:i/>
          <w:iCs/>
        </w:rPr>
        <w:br/>
        <w:t>• participant role;</w:t>
      </w:r>
      <w:r w:rsidRPr="00B479AE">
        <w:rPr>
          <w:rFonts w:ascii="Baskerville Old Face" w:hAnsi="Baskerville Old Face"/>
          <w:i/>
          <w:iCs/>
        </w:rPr>
        <w:br/>
      </w:r>
      <w:r w:rsidRPr="00B479AE">
        <w:rPr>
          <w:rFonts w:ascii="Baskerville Old Face" w:hAnsi="Baskerville Old Face"/>
          <w:i/>
          <w:iCs/>
        </w:rPr>
        <w:lastRenderedPageBreak/>
        <w:t>• permission scope;</w:t>
      </w:r>
      <w:r w:rsidRPr="00B479AE">
        <w:rPr>
          <w:rFonts w:ascii="Baskerville Old Face" w:hAnsi="Baskerville Old Face"/>
          <w:i/>
          <w:iCs/>
        </w:rPr>
        <w:br/>
        <w:t>• methodology version;</w:t>
      </w:r>
      <w:r w:rsidRPr="00B479AE">
        <w:rPr>
          <w:rFonts w:ascii="Baskerville Old Face" w:hAnsi="Baskerville Old Face"/>
          <w:i/>
          <w:iCs/>
        </w:rPr>
        <w:br/>
        <w:t>• evidence status;</w:t>
      </w:r>
      <w:r w:rsidRPr="00B479AE">
        <w:rPr>
          <w:rFonts w:ascii="Baskerville Old Face" w:hAnsi="Baskerville Old Face"/>
          <w:i/>
          <w:iCs/>
        </w:rPr>
        <w:br/>
        <w:t>• review pathway;</w:t>
      </w:r>
      <w:r w:rsidRPr="00B479AE">
        <w:rPr>
          <w:rFonts w:ascii="Baskerville Old Face" w:hAnsi="Baskerville Old Face"/>
          <w:i/>
          <w:iCs/>
        </w:rPr>
        <w:br/>
        <w:t>• legal boundary where relevant.</w:t>
      </w:r>
    </w:p>
    <w:p w14:paraId="189B268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Protected domains should fail closed.</w:t>
      </w:r>
    </w:p>
    <w:p w14:paraId="1322F49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Access Covenant status is missing, protected access is denied.</w:t>
      </w:r>
    </w:p>
    <w:p w14:paraId="3F0E515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methodology version is missing, MRV admissibility is denied.</w:t>
      </w:r>
    </w:p>
    <w:p w14:paraId="23538CE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evidence provenance is missing, PRU relevance is denied.</w:t>
      </w:r>
    </w:p>
    <w:p w14:paraId="5751AEB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legal wrapper is missing, investor-facing representation is denied.</w:t>
      </w:r>
    </w:p>
    <w:p w14:paraId="73A8AE2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HSI consent is missing, human-state processing is denied.</w:t>
      </w:r>
    </w:p>
    <w:p w14:paraId="292DB17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AI authority exceeds its role, execution is denied.</w:t>
      </w:r>
    </w:p>
    <w:p w14:paraId="58FDC49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source-layer hashes do not match canonical release, deployment is blocked, restricted, or quarantined.</w:t>
      </w:r>
    </w:p>
    <w:p w14:paraId="1A6CEFE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source code remembers what the interface may forget.</w:t>
      </w:r>
    </w:p>
    <w:p w14:paraId="124F61E8"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13.16.4 Constitutional Policy Engine</w:t>
      </w:r>
    </w:p>
    <w:p w14:paraId="0A6BCA5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should implement a constitutional policy engine.</w:t>
      </w:r>
    </w:p>
    <w:p w14:paraId="3ECDD3B5" w14:textId="6581488D"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policy engine is a technical guardian of source-layer constraints.</w:t>
      </w:r>
      <w:r w:rsidR="00B84136" w:rsidRPr="00B479AE">
        <w:rPr>
          <w:rFonts w:ascii="Baskerville Old Face" w:hAnsi="Baskerville Old Face"/>
          <w:i/>
          <w:iCs/>
        </w:rPr>
        <w:t xml:space="preserve"> </w:t>
      </w:r>
      <w:r w:rsidRPr="00B479AE">
        <w:rPr>
          <w:rFonts w:ascii="Baskerville Old Face" w:hAnsi="Baskerville Old Face"/>
          <w:i/>
          <w:iCs/>
        </w:rPr>
        <w:t>It evaluates:</w:t>
      </w:r>
    </w:p>
    <w:p w14:paraId="793F8DC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participant identity;</w:t>
      </w:r>
      <w:r w:rsidRPr="00B479AE">
        <w:rPr>
          <w:rFonts w:ascii="Baskerville Old Face" w:hAnsi="Baskerville Old Face"/>
          <w:i/>
          <w:iCs/>
        </w:rPr>
        <w:br/>
        <w:t>• role authority;</w:t>
      </w:r>
      <w:r w:rsidRPr="00B479AE">
        <w:rPr>
          <w:rFonts w:ascii="Baskerville Old Face" w:hAnsi="Baskerville Old Face"/>
          <w:i/>
          <w:iCs/>
        </w:rPr>
        <w:br/>
        <w:t>• Access Covenant status;</w:t>
      </w:r>
      <w:r w:rsidRPr="00B479AE">
        <w:rPr>
          <w:rFonts w:ascii="Baskerville Old Face" w:hAnsi="Baskerville Old Face"/>
          <w:i/>
          <w:iCs/>
        </w:rPr>
        <w:br/>
        <w:t>• eligibility status;</w:t>
      </w:r>
      <w:r w:rsidRPr="00B479AE">
        <w:rPr>
          <w:rFonts w:ascii="Baskerville Old Face" w:hAnsi="Baskerville Old Face"/>
          <w:i/>
          <w:iCs/>
        </w:rPr>
        <w:br/>
        <w:t>• permission scope;</w:t>
      </w:r>
      <w:r w:rsidRPr="00B479AE">
        <w:rPr>
          <w:rFonts w:ascii="Baskerville Old Face" w:hAnsi="Baskerville Old Face"/>
          <w:i/>
          <w:iCs/>
        </w:rPr>
        <w:br/>
        <w:t>• protected domain;</w:t>
      </w:r>
      <w:r w:rsidRPr="00B479AE">
        <w:rPr>
          <w:rFonts w:ascii="Baskerville Old Face" w:hAnsi="Baskerville Old Face"/>
          <w:i/>
          <w:iCs/>
        </w:rPr>
        <w:br/>
        <w:t>• evidence tier;</w:t>
      </w:r>
      <w:r w:rsidRPr="00B479AE">
        <w:rPr>
          <w:rFonts w:ascii="Baskerville Old Face" w:hAnsi="Baskerville Old Face"/>
          <w:i/>
          <w:iCs/>
        </w:rPr>
        <w:br/>
        <w:t>• methodology version;</w:t>
      </w:r>
      <w:r w:rsidRPr="00B479AE">
        <w:rPr>
          <w:rFonts w:ascii="Baskerville Old Face" w:hAnsi="Baskerville Old Face"/>
          <w:i/>
          <w:iCs/>
        </w:rPr>
        <w:br/>
      </w:r>
      <w:r w:rsidRPr="00B479AE">
        <w:rPr>
          <w:rFonts w:ascii="Baskerville Old Face" w:hAnsi="Baskerville Old Face"/>
          <w:i/>
          <w:iCs/>
        </w:rPr>
        <w:lastRenderedPageBreak/>
        <w:t>• MRV admissibility;</w:t>
      </w:r>
      <w:r w:rsidRPr="00B479AE">
        <w:rPr>
          <w:rFonts w:ascii="Baskerville Old Face" w:hAnsi="Baskerville Old Face"/>
          <w:i/>
          <w:iCs/>
        </w:rPr>
        <w:br/>
        <w:t>• PRU / RAP boundary;</w:t>
      </w:r>
      <w:r w:rsidRPr="00B479AE">
        <w:rPr>
          <w:rFonts w:ascii="Baskerville Old Face" w:hAnsi="Baskerville Old Face"/>
          <w:i/>
          <w:iCs/>
        </w:rPr>
        <w:br/>
        <w:t>• token boundary;</w:t>
      </w:r>
      <w:r w:rsidRPr="00B479AE">
        <w:rPr>
          <w:rFonts w:ascii="Baskerville Old Face" w:hAnsi="Baskerville Old Face"/>
          <w:i/>
          <w:iCs/>
        </w:rPr>
        <w:br/>
        <w:t>• HSI consent status;</w:t>
      </w:r>
      <w:r w:rsidRPr="00B479AE">
        <w:rPr>
          <w:rFonts w:ascii="Baskerville Old Face" w:hAnsi="Baskerville Old Face"/>
          <w:i/>
          <w:iCs/>
        </w:rPr>
        <w:br/>
        <w:t>• legal-review requirement;</w:t>
      </w:r>
      <w:r w:rsidRPr="00B479AE">
        <w:rPr>
          <w:rFonts w:ascii="Baskerville Old Face" w:hAnsi="Baskerville Old Face"/>
          <w:i/>
          <w:iCs/>
        </w:rPr>
        <w:br/>
        <w:t>• governance-review requirement;</w:t>
      </w:r>
      <w:r w:rsidRPr="00B479AE">
        <w:rPr>
          <w:rFonts w:ascii="Baskerville Old Face" w:hAnsi="Baskerville Old Face"/>
          <w:i/>
          <w:iCs/>
        </w:rPr>
        <w:br/>
        <w:t>• AI output classification;</w:t>
      </w:r>
      <w:r w:rsidRPr="00B479AE">
        <w:rPr>
          <w:rFonts w:ascii="Baskerville Old Face" w:hAnsi="Baskerville Old Face"/>
          <w:i/>
          <w:iCs/>
        </w:rPr>
        <w:br/>
        <w:t>• source-layer hash validity;</w:t>
      </w:r>
      <w:r w:rsidRPr="00B479AE">
        <w:rPr>
          <w:rFonts w:ascii="Baskerville Old Face" w:hAnsi="Baskerville Old Face"/>
          <w:i/>
          <w:iCs/>
        </w:rPr>
        <w:br/>
        <w:t>• fork status;</w:t>
      </w:r>
      <w:r w:rsidRPr="00B479AE">
        <w:rPr>
          <w:rFonts w:ascii="Baskerville Old Face" w:hAnsi="Baskerville Old Face"/>
          <w:i/>
          <w:iCs/>
        </w:rPr>
        <w:br/>
        <w:t>• emergency limitation status.</w:t>
      </w:r>
    </w:p>
    <w:p w14:paraId="162F395B" w14:textId="5172FA15"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Policy outcomes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7"/>
        <w:gridCol w:w="5271"/>
      </w:tblGrid>
      <w:tr w:rsidR="00AA1A42" w:rsidRPr="00B479AE" w14:paraId="4476D310" w14:textId="77777777" w:rsidTr="0084040C">
        <w:trPr>
          <w:tblHeader/>
          <w:tblCellSpacing w:w="15" w:type="dxa"/>
        </w:trPr>
        <w:tc>
          <w:tcPr>
            <w:tcW w:w="0" w:type="auto"/>
            <w:vAlign w:val="center"/>
            <w:hideMark/>
          </w:tcPr>
          <w:p w14:paraId="2CB809BD"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Policy result</w:t>
            </w:r>
          </w:p>
        </w:tc>
        <w:tc>
          <w:tcPr>
            <w:tcW w:w="0" w:type="auto"/>
            <w:vAlign w:val="center"/>
            <w:hideMark/>
          </w:tcPr>
          <w:p w14:paraId="2B5A5B8C"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AA1A42" w:rsidRPr="00B479AE" w14:paraId="42BEF915" w14:textId="77777777" w:rsidTr="0084040C">
        <w:trPr>
          <w:tblCellSpacing w:w="15" w:type="dxa"/>
        </w:trPr>
        <w:tc>
          <w:tcPr>
            <w:tcW w:w="0" w:type="auto"/>
            <w:vAlign w:val="center"/>
            <w:hideMark/>
          </w:tcPr>
          <w:p w14:paraId="1D8BF86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ALLOW</w:t>
            </w:r>
          </w:p>
        </w:tc>
        <w:tc>
          <w:tcPr>
            <w:tcW w:w="0" w:type="auto"/>
            <w:vAlign w:val="center"/>
            <w:hideMark/>
          </w:tcPr>
          <w:p w14:paraId="1DC5A7B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is within scope and may proceed.</w:t>
            </w:r>
          </w:p>
        </w:tc>
      </w:tr>
      <w:tr w:rsidR="00AA1A42" w:rsidRPr="00B479AE" w14:paraId="28711270" w14:textId="77777777" w:rsidTr="0084040C">
        <w:trPr>
          <w:tblCellSpacing w:w="15" w:type="dxa"/>
        </w:trPr>
        <w:tc>
          <w:tcPr>
            <w:tcW w:w="0" w:type="auto"/>
            <w:vAlign w:val="center"/>
            <w:hideMark/>
          </w:tcPr>
          <w:p w14:paraId="336674E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ALLOW_LOGGED</w:t>
            </w:r>
          </w:p>
        </w:tc>
        <w:tc>
          <w:tcPr>
            <w:tcW w:w="0" w:type="auto"/>
            <w:vAlign w:val="center"/>
            <w:hideMark/>
          </w:tcPr>
          <w:p w14:paraId="7CA0307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may proceed with audit recording.</w:t>
            </w:r>
          </w:p>
        </w:tc>
      </w:tr>
      <w:tr w:rsidR="00AA1A42" w:rsidRPr="00B479AE" w14:paraId="72F9E36D" w14:textId="77777777" w:rsidTr="0084040C">
        <w:trPr>
          <w:tblCellSpacing w:w="15" w:type="dxa"/>
        </w:trPr>
        <w:tc>
          <w:tcPr>
            <w:tcW w:w="0" w:type="auto"/>
            <w:vAlign w:val="center"/>
            <w:hideMark/>
          </w:tcPr>
          <w:p w14:paraId="14DD233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ALLOW_REVIEWED</w:t>
            </w:r>
          </w:p>
        </w:tc>
        <w:tc>
          <w:tcPr>
            <w:tcW w:w="0" w:type="auto"/>
            <w:vAlign w:val="center"/>
            <w:hideMark/>
          </w:tcPr>
          <w:p w14:paraId="029D98C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may proceed only with defined review.</w:t>
            </w:r>
          </w:p>
        </w:tc>
      </w:tr>
      <w:tr w:rsidR="00AA1A42" w:rsidRPr="00B479AE" w14:paraId="178041D5" w14:textId="77777777" w:rsidTr="0084040C">
        <w:trPr>
          <w:tblCellSpacing w:w="15" w:type="dxa"/>
        </w:trPr>
        <w:tc>
          <w:tcPr>
            <w:tcW w:w="0" w:type="auto"/>
            <w:vAlign w:val="center"/>
            <w:hideMark/>
          </w:tcPr>
          <w:p w14:paraId="7796B91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REVIEW_REQUIRED</w:t>
            </w:r>
          </w:p>
        </w:tc>
        <w:tc>
          <w:tcPr>
            <w:tcW w:w="0" w:type="auto"/>
            <w:vAlign w:val="center"/>
            <w:hideMark/>
          </w:tcPr>
          <w:p w14:paraId="6C47BF3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pauses until proper review occurs.</w:t>
            </w:r>
          </w:p>
        </w:tc>
      </w:tr>
      <w:tr w:rsidR="00AA1A42" w:rsidRPr="00B479AE" w14:paraId="1CBB3624" w14:textId="77777777" w:rsidTr="0084040C">
        <w:trPr>
          <w:tblCellSpacing w:w="15" w:type="dxa"/>
        </w:trPr>
        <w:tc>
          <w:tcPr>
            <w:tcW w:w="0" w:type="auto"/>
            <w:vAlign w:val="center"/>
            <w:hideMark/>
          </w:tcPr>
          <w:p w14:paraId="2E6A448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LEGAL_REVIEW_REQUIRED</w:t>
            </w:r>
          </w:p>
        </w:tc>
        <w:tc>
          <w:tcPr>
            <w:tcW w:w="0" w:type="auto"/>
            <w:vAlign w:val="center"/>
            <w:hideMark/>
          </w:tcPr>
          <w:p w14:paraId="3DD4833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may affect rights, securities, tokens, land, data, health, finance, or public claims.</w:t>
            </w:r>
          </w:p>
        </w:tc>
      </w:tr>
      <w:tr w:rsidR="00AA1A42" w:rsidRPr="00B479AE" w14:paraId="71DA83E5" w14:textId="77777777" w:rsidTr="0084040C">
        <w:trPr>
          <w:tblCellSpacing w:w="15" w:type="dxa"/>
        </w:trPr>
        <w:tc>
          <w:tcPr>
            <w:tcW w:w="0" w:type="auto"/>
            <w:vAlign w:val="center"/>
            <w:hideMark/>
          </w:tcPr>
          <w:p w14:paraId="5518D66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MRV_REVIEW_REQUIRED</w:t>
            </w:r>
          </w:p>
        </w:tc>
        <w:tc>
          <w:tcPr>
            <w:tcW w:w="0" w:type="auto"/>
            <w:vAlign w:val="center"/>
            <w:hideMark/>
          </w:tcPr>
          <w:p w14:paraId="34E5E04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affects evidence, indicators, PRU, RAP, or ecological performance.</w:t>
            </w:r>
          </w:p>
        </w:tc>
      </w:tr>
      <w:tr w:rsidR="00AA1A42" w:rsidRPr="00B479AE" w14:paraId="1F993193" w14:textId="77777777" w:rsidTr="0084040C">
        <w:trPr>
          <w:tblCellSpacing w:w="15" w:type="dxa"/>
        </w:trPr>
        <w:tc>
          <w:tcPr>
            <w:tcW w:w="0" w:type="auto"/>
            <w:vAlign w:val="center"/>
            <w:hideMark/>
          </w:tcPr>
          <w:p w14:paraId="6702E28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CONSTITUTIONAL_REVIEW_REQUIRED</w:t>
            </w:r>
          </w:p>
        </w:tc>
        <w:tc>
          <w:tcPr>
            <w:tcW w:w="0" w:type="auto"/>
            <w:vAlign w:val="center"/>
            <w:hideMark/>
          </w:tcPr>
          <w:p w14:paraId="74BA068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may affect foundational principles or source-layer meaning.</w:t>
            </w:r>
          </w:p>
        </w:tc>
      </w:tr>
      <w:tr w:rsidR="00AA1A42" w:rsidRPr="00B479AE" w14:paraId="6ED5BB2C" w14:textId="77777777" w:rsidTr="0084040C">
        <w:trPr>
          <w:tblCellSpacing w:w="15" w:type="dxa"/>
        </w:trPr>
        <w:tc>
          <w:tcPr>
            <w:tcW w:w="0" w:type="auto"/>
            <w:vAlign w:val="center"/>
            <w:hideMark/>
          </w:tcPr>
          <w:p w14:paraId="530FA7A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NON_ADMISSIBLE</w:t>
            </w:r>
          </w:p>
        </w:tc>
        <w:tc>
          <w:tcPr>
            <w:tcW w:w="0" w:type="auto"/>
            <w:vAlign w:val="center"/>
            <w:hideMark/>
          </w:tcPr>
          <w:p w14:paraId="1A9F5D9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Output cannot enter protected pathways.</w:t>
            </w:r>
          </w:p>
        </w:tc>
      </w:tr>
      <w:tr w:rsidR="00AA1A42" w:rsidRPr="00B479AE" w14:paraId="0FD2CCA4" w14:textId="77777777" w:rsidTr="0084040C">
        <w:trPr>
          <w:tblCellSpacing w:w="15" w:type="dxa"/>
        </w:trPr>
        <w:tc>
          <w:tcPr>
            <w:tcW w:w="0" w:type="auto"/>
            <w:vAlign w:val="center"/>
            <w:hideMark/>
          </w:tcPr>
          <w:p w14:paraId="187A80F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QUARANTINE</w:t>
            </w:r>
          </w:p>
        </w:tc>
        <w:tc>
          <w:tcPr>
            <w:tcW w:w="0" w:type="auto"/>
            <w:vAlign w:val="center"/>
            <w:hideMark/>
          </w:tcPr>
          <w:p w14:paraId="2EB278D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record, claim, component, or fork is isolated due to serious risk.</w:t>
            </w:r>
          </w:p>
        </w:tc>
      </w:tr>
      <w:tr w:rsidR="00AA1A42" w:rsidRPr="00B479AE" w14:paraId="1B8AAB36" w14:textId="77777777" w:rsidTr="0084040C">
        <w:trPr>
          <w:tblCellSpacing w:w="15" w:type="dxa"/>
        </w:trPr>
        <w:tc>
          <w:tcPr>
            <w:tcW w:w="0" w:type="auto"/>
            <w:vAlign w:val="center"/>
            <w:hideMark/>
          </w:tcPr>
          <w:p w14:paraId="25015EB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REJECT</w:t>
            </w:r>
          </w:p>
        </w:tc>
        <w:tc>
          <w:tcPr>
            <w:tcW w:w="0" w:type="auto"/>
            <w:vAlign w:val="center"/>
            <w:hideMark/>
          </w:tcPr>
          <w:p w14:paraId="409B294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Action violates source-layer constraints or permissions.</w:t>
            </w:r>
          </w:p>
        </w:tc>
      </w:tr>
    </w:tbl>
    <w:p w14:paraId="1DA003BA" w14:textId="13A1A71E"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In protected domains, recommendations move through review before execution.</w:t>
      </w:r>
      <w:r w:rsidR="003527C9" w:rsidRPr="00B479AE">
        <w:rPr>
          <w:rFonts w:ascii="Baskerville Old Face" w:hAnsi="Baskerville Old Face"/>
          <w:i/>
          <w:iCs/>
        </w:rPr>
        <w:t xml:space="preserve"> </w:t>
      </w:r>
      <w:r w:rsidRPr="00B479AE">
        <w:rPr>
          <w:rFonts w:ascii="Baskerville Old Face" w:hAnsi="Baskerville Old Face"/>
          <w:i/>
          <w:iCs/>
        </w:rPr>
        <w:t>The sequence is:</w:t>
      </w:r>
    </w:p>
    <w:p w14:paraId="1EBBC86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request</w:t>
      </w:r>
      <w:r w:rsidRPr="00B479AE">
        <w:rPr>
          <w:rFonts w:ascii="Baskerville Old Face" w:hAnsi="Baskerville Old Face"/>
          <w:i/>
          <w:iCs/>
        </w:rPr>
        <w:br/>
        <w:t>classification</w:t>
      </w:r>
      <w:r w:rsidRPr="00B479AE">
        <w:rPr>
          <w:rFonts w:ascii="Baskerville Old Face" w:hAnsi="Baskerville Old Face"/>
          <w:i/>
          <w:iCs/>
        </w:rPr>
        <w:br/>
        <w:t>policy check</w:t>
      </w:r>
      <w:r w:rsidRPr="00B479AE">
        <w:rPr>
          <w:rFonts w:ascii="Baskerville Old Face" w:hAnsi="Baskerville Old Face"/>
          <w:i/>
          <w:iCs/>
        </w:rPr>
        <w:br/>
        <w:t>evidence check</w:t>
      </w:r>
      <w:r w:rsidRPr="00B479AE">
        <w:rPr>
          <w:rFonts w:ascii="Baskerville Old Face" w:hAnsi="Baskerville Old Face"/>
          <w:i/>
          <w:iCs/>
        </w:rPr>
        <w:br/>
        <w:t>legal check where relevant</w:t>
      </w:r>
      <w:r w:rsidRPr="00B479AE">
        <w:rPr>
          <w:rFonts w:ascii="Baskerville Old Face" w:hAnsi="Baskerville Old Face"/>
          <w:i/>
          <w:iCs/>
        </w:rPr>
        <w:br/>
        <w:t>governance check where relevant</w:t>
      </w:r>
      <w:r w:rsidRPr="00B479AE">
        <w:rPr>
          <w:rFonts w:ascii="Baskerville Old Face" w:hAnsi="Baskerville Old Face"/>
          <w:i/>
          <w:iCs/>
        </w:rPr>
        <w:br/>
        <w:t>authorization</w:t>
      </w:r>
      <w:r w:rsidRPr="00B479AE">
        <w:rPr>
          <w:rFonts w:ascii="Baskerville Old Face" w:hAnsi="Baskerville Old Face"/>
          <w:i/>
          <w:iCs/>
        </w:rPr>
        <w:br/>
        <w:t>execution</w:t>
      </w:r>
      <w:r w:rsidRPr="00B479AE">
        <w:rPr>
          <w:rFonts w:ascii="Baskerville Old Face" w:hAnsi="Baskerville Old Face"/>
          <w:i/>
          <w:iCs/>
        </w:rPr>
        <w:br/>
        <w:t>audit record</w:t>
      </w:r>
      <w:r w:rsidRPr="00B479AE">
        <w:rPr>
          <w:rFonts w:ascii="Baskerville Old Face" w:hAnsi="Baskerville Old Face"/>
          <w:i/>
          <w:iCs/>
        </w:rPr>
        <w:br/>
        <w:t>post-execution review where appropriate.</w:t>
      </w:r>
    </w:p>
    <w:p w14:paraId="25038BA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is Prometheus’ execution immune system.</w:t>
      </w:r>
    </w:p>
    <w:p w14:paraId="7C4FCFF4"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13.16.5 AI and ASI Authority Boundary in Code</w:t>
      </w:r>
    </w:p>
    <w:p w14:paraId="4BE90B39" w14:textId="5D10EE9A"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encodes the distinction between AI assistance and authority.</w:t>
      </w:r>
      <w:r w:rsidR="003527C9" w:rsidRPr="00B479AE">
        <w:rPr>
          <w:rFonts w:ascii="Baskerville Old Face" w:hAnsi="Baskerville Old Face"/>
          <w:i/>
          <w:iCs/>
        </w:rPr>
        <w:t xml:space="preserve"> </w:t>
      </w:r>
      <w:r w:rsidRPr="00B479AE">
        <w:rPr>
          <w:rFonts w:ascii="Baskerville Old Face" w:hAnsi="Baskerville Old Face"/>
          <w:i/>
          <w:iCs/>
        </w:rPr>
        <w:t>Every AI-generated output carries a status label.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4"/>
        <w:gridCol w:w="3857"/>
      </w:tblGrid>
      <w:tr w:rsidR="00AA1A42" w:rsidRPr="00B479AE" w14:paraId="36AE6218" w14:textId="77777777" w:rsidTr="0084040C">
        <w:trPr>
          <w:tblHeader/>
          <w:tblCellSpacing w:w="15" w:type="dxa"/>
        </w:trPr>
        <w:tc>
          <w:tcPr>
            <w:tcW w:w="0" w:type="auto"/>
            <w:vAlign w:val="center"/>
            <w:hideMark/>
          </w:tcPr>
          <w:p w14:paraId="466061F9"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AI output status</w:t>
            </w:r>
          </w:p>
        </w:tc>
        <w:tc>
          <w:tcPr>
            <w:tcW w:w="0" w:type="auto"/>
            <w:vAlign w:val="center"/>
            <w:hideMark/>
          </w:tcPr>
          <w:p w14:paraId="7A9B663E"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Permitted use</w:t>
            </w:r>
          </w:p>
        </w:tc>
      </w:tr>
      <w:tr w:rsidR="00AA1A42" w:rsidRPr="00B479AE" w14:paraId="12777095" w14:textId="77777777" w:rsidTr="0084040C">
        <w:trPr>
          <w:tblCellSpacing w:w="15" w:type="dxa"/>
        </w:trPr>
        <w:tc>
          <w:tcPr>
            <w:tcW w:w="0" w:type="auto"/>
            <w:vAlign w:val="center"/>
            <w:hideMark/>
          </w:tcPr>
          <w:p w14:paraId="5AF5F913"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DRAFT</w:t>
            </w:r>
          </w:p>
        </w:tc>
        <w:tc>
          <w:tcPr>
            <w:tcW w:w="0" w:type="auto"/>
            <w:vAlign w:val="center"/>
            <w:hideMark/>
          </w:tcPr>
          <w:p w14:paraId="29613D3F"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May be edited; not authoritative.</w:t>
            </w:r>
          </w:p>
        </w:tc>
      </w:tr>
      <w:tr w:rsidR="00AA1A42" w:rsidRPr="00B479AE" w14:paraId="14B4A5B8" w14:textId="77777777" w:rsidTr="0084040C">
        <w:trPr>
          <w:tblCellSpacing w:w="15" w:type="dxa"/>
        </w:trPr>
        <w:tc>
          <w:tcPr>
            <w:tcW w:w="0" w:type="auto"/>
            <w:vAlign w:val="center"/>
            <w:hideMark/>
          </w:tcPr>
          <w:p w14:paraId="0B26BDAD"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HYPOTHESIS</w:t>
            </w:r>
          </w:p>
        </w:tc>
        <w:tc>
          <w:tcPr>
            <w:tcW w:w="0" w:type="auto"/>
            <w:vAlign w:val="center"/>
            <w:hideMark/>
          </w:tcPr>
          <w:p w14:paraId="68475C81"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May guide inquiry; not evidence.</w:t>
            </w:r>
          </w:p>
        </w:tc>
      </w:tr>
      <w:tr w:rsidR="00AA1A42" w:rsidRPr="00B479AE" w14:paraId="2DBEEEED" w14:textId="77777777" w:rsidTr="0084040C">
        <w:trPr>
          <w:tblCellSpacing w:w="15" w:type="dxa"/>
        </w:trPr>
        <w:tc>
          <w:tcPr>
            <w:tcW w:w="0" w:type="auto"/>
            <w:vAlign w:val="center"/>
            <w:hideMark/>
          </w:tcPr>
          <w:p w14:paraId="71464A0D"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SCENARIO</w:t>
            </w:r>
          </w:p>
        </w:tc>
        <w:tc>
          <w:tcPr>
            <w:tcW w:w="0" w:type="auto"/>
            <w:vAlign w:val="center"/>
            <w:hideMark/>
          </w:tcPr>
          <w:p w14:paraId="3093B621"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May support planning; not a claim.</w:t>
            </w:r>
          </w:p>
        </w:tc>
      </w:tr>
      <w:tr w:rsidR="00AA1A42" w:rsidRPr="00B479AE" w14:paraId="6B96BA87" w14:textId="77777777" w:rsidTr="0084040C">
        <w:trPr>
          <w:tblCellSpacing w:w="15" w:type="dxa"/>
        </w:trPr>
        <w:tc>
          <w:tcPr>
            <w:tcW w:w="0" w:type="auto"/>
            <w:vAlign w:val="center"/>
            <w:hideMark/>
          </w:tcPr>
          <w:p w14:paraId="10E0B2E6"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ANALYSIS</w:t>
            </w:r>
          </w:p>
        </w:tc>
        <w:tc>
          <w:tcPr>
            <w:tcW w:w="0" w:type="auto"/>
            <w:vAlign w:val="center"/>
            <w:hideMark/>
          </w:tcPr>
          <w:p w14:paraId="173BC8E5"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May support human review; not final authority.</w:t>
            </w:r>
          </w:p>
        </w:tc>
      </w:tr>
      <w:tr w:rsidR="00AA1A42" w:rsidRPr="00B479AE" w14:paraId="5E1E0852" w14:textId="77777777" w:rsidTr="0084040C">
        <w:trPr>
          <w:tblCellSpacing w:w="15" w:type="dxa"/>
        </w:trPr>
        <w:tc>
          <w:tcPr>
            <w:tcW w:w="0" w:type="auto"/>
            <w:vAlign w:val="center"/>
            <w:hideMark/>
          </w:tcPr>
          <w:p w14:paraId="107EB5DF"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RISK_FLAG</w:t>
            </w:r>
          </w:p>
        </w:tc>
        <w:tc>
          <w:tcPr>
            <w:tcW w:w="0" w:type="auto"/>
            <w:vAlign w:val="center"/>
            <w:hideMark/>
          </w:tcPr>
          <w:p w14:paraId="6813E3FB"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May trigger review.</w:t>
            </w:r>
          </w:p>
        </w:tc>
      </w:tr>
      <w:tr w:rsidR="00AA1A42" w:rsidRPr="00B479AE" w14:paraId="0B4B88E4" w14:textId="77777777" w:rsidTr="0084040C">
        <w:trPr>
          <w:tblCellSpacing w:w="15" w:type="dxa"/>
        </w:trPr>
        <w:tc>
          <w:tcPr>
            <w:tcW w:w="0" w:type="auto"/>
            <w:vAlign w:val="center"/>
            <w:hideMark/>
          </w:tcPr>
          <w:p w14:paraId="41322075"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RECOMMENDATION</w:t>
            </w:r>
          </w:p>
        </w:tc>
        <w:tc>
          <w:tcPr>
            <w:tcW w:w="0" w:type="auto"/>
            <w:vAlign w:val="center"/>
            <w:hideMark/>
          </w:tcPr>
          <w:p w14:paraId="3B140D35"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May inform governance; requires authorization.</w:t>
            </w:r>
          </w:p>
        </w:tc>
      </w:tr>
      <w:tr w:rsidR="00AA1A42" w:rsidRPr="00B479AE" w14:paraId="60B59D1F" w14:textId="77777777" w:rsidTr="0084040C">
        <w:trPr>
          <w:tblCellSpacing w:w="15" w:type="dxa"/>
        </w:trPr>
        <w:tc>
          <w:tcPr>
            <w:tcW w:w="0" w:type="auto"/>
            <w:vAlign w:val="center"/>
            <w:hideMark/>
          </w:tcPr>
          <w:p w14:paraId="6BCF561D"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REVIEW_REQUIRED</w:t>
            </w:r>
          </w:p>
        </w:tc>
        <w:tc>
          <w:tcPr>
            <w:tcW w:w="0" w:type="auto"/>
            <w:vAlign w:val="center"/>
            <w:hideMark/>
          </w:tcPr>
          <w:p w14:paraId="0C2774B9"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Cannot proceed without review.</w:t>
            </w:r>
          </w:p>
        </w:tc>
      </w:tr>
      <w:tr w:rsidR="00AA1A42" w:rsidRPr="00B479AE" w14:paraId="2A7AC8AE" w14:textId="77777777" w:rsidTr="0084040C">
        <w:trPr>
          <w:tblCellSpacing w:w="15" w:type="dxa"/>
        </w:trPr>
        <w:tc>
          <w:tcPr>
            <w:tcW w:w="0" w:type="auto"/>
            <w:vAlign w:val="center"/>
            <w:hideMark/>
          </w:tcPr>
          <w:p w14:paraId="325985C7"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NON_ADMISSIBLE</w:t>
            </w:r>
          </w:p>
        </w:tc>
        <w:tc>
          <w:tcPr>
            <w:tcW w:w="0" w:type="auto"/>
            <w:vAlign w:val="center"/>
            <w:hideMark/>
          </w:tcPr>
          <w:p w14:paraId="2F6E0321"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Cannot enter protected pathways.</w:t>
            </w:r>
          </w:p>
        </w:tc>
      </w:tr>
      <w:tr w:rsidR="00AA1A42" w:rsidRPr="00B479AE" w14:paraId="117BF2FA" w14:textId="77777777" w:rsidTr="0084040C">
        <w:trPr>
          <w:tblCellSpacing w:w="15" w:type="dxa"/>
        </w:trPr>
        <w:tc>
          <w:tcPr>
            <w:tcW w:w="0" w:type="auto"/>
            <w:vAlign w:val="center"/>
            <w:hideMark/>
          </w:tcPr>
          <w:p w14:paraId="43717DD3"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AUTHORIZED_RECORD</w:t>
            </w:r>
          </w:p>
        </w:tc>
        <w:tc>
          <w:tcPr>
            <w:tcW w:w="0" w:type="auto"/>
            <w:vAlign w:val="center"/>
            <w:hideMark/>
          </w:tcPr>
          <w:p w14:paraId="73F4CD7C"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i/>
                <w:iCs/>
                <w:sz w:val="20"/>
                <w:szCs w:val="20"/>
              </w:rPr>
              <w:t>Valid only after proper review and signature.</w:t>
            </w:r>
          </w:p>
        </w:tc>
      </w:tr>
    </w:tbl>
    <w:p w14:paraId="5B252E1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Protected domains include:</w:t>
      </w:r>
    </w:p>
    <w:p w14:paraId="3C654CCB" w14:textId="1E14DFB2"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constitutional interpretation;</w:t>
      </w:r>
      <w:r w:rsidRPr="00B479AE">
        <w:rPr>
          <w:rFonts w:ascii="Baskerville Old Face" w:hAnsi="Baskerville Old Face"/>
          <w:i/>
          <w:iCs/>
        </w:rPr>
        <w:br/>
        <w:t>• Access Covenant modification;</w:t>
      </w:r>
      <w:r w:rsidRPr="00B479AE">
        <w:rPr>
          <w:rFonts w:ascii="Baskerville Old Face" w:hAnsi="Baskerville Old Face"/>
          <w:i/>
          <w:iCs/>
        </w:rPr>
        <w:br/>
        <w:t>• Eternity Clause preservation;</w:t>
      </w:r>
      <w:r w:rsidRPr="00B479AE">
        <w:rPr>
          <w:rFonts w:ascii="Baskerville Old Face" w:hAnsi="Baskerville Old Face"/>
          <w:i/>
          <w:iCs/>
        </w:rPr>
        <w:br/>
        <w:t>• MRV admissibility;</w:t>
      </w:r>
      <w:r w:rsidRPr="00B479AE">
        <w:rPr>
          <w:rFonts w:ascii="Baskerville Old Face" w:hAnsi="Baskerville Old Face"/>
          <w:i/>
          <w:iCs/>
        </w:rPr>
        <w:br/>
        <w:t xml:space="preserve">• </w:t>
      </w:r>
      <w:r w:rsidR="00DE0C99" w:rsidRPr="00B479AE">
        <w:rPr>
          <w:rFonts w:ascii="Baskerville Old Face" w:hAnsi="Baskerville Old Face"/>
          <w:i/>
          <w:iCs/>
        </w:rPr>
        <w:t>PRU value analysis</w:t>
      </w:r>
      <w:r w:rsidRPr="00B479AE">
        <w:rPr>
          <w:rFonts w:ascii="Baskerville Old Face" w:hAnsi="Baskerville Old Face"/>
          <w:i/>
          <w:iCs/>
        </w:rPr>
        <w:t>;</w:t>
      </w:r>
      <w:r w:rsidRPr="00B479AE">
        <w:rPr>
          <w:rFonts w:ascii="Baskerville Old Face" w:hAnsi="Baskerville Old Face"/>
          <w:i/>
          <w:iCs/>
        </w:rPr>
        <w:br/>
        <w:t>• RAP inclusion;</w:t>
      </w:r>
      <w:r w:rsidRPr="00B479AE">
        <w:rPr>
          <w:rFonts w:ascii="Baskerville Old Face" w:hAnsi="Baskerville Old Face"/>
          <w:i/>
          <w:iCs/>
        </w:rPr>
        <w:br/>
        <w:t>• investor-facing communication;</w:t>
      </w:r>
      <w:r w:rsidRPr="00B479AE">
        <w:rPr>
          <w:rFonts w:ascii="Baskerville Old Face" w:hAnsi="Baskerville Old Face"/>
          <w:i/>
          <w:iCs/>
        </w:rPr>
        <w:br/>
        <w:t>• legal rights;</w:t>
      </w:r>
      <w:r w:rsidRPr="00B479AE">
        <w:rPr>
          <w:rFonts w:ascii="Baskerville Old Face" w:hAnsi="Baskerville Old Face"/>
          <w:i/>
          <w:iCs/>
        </w:rPr>
        <w:br/>
        <w:t>• token issuance or token rights;</w:t>
      </w:r>
      <w:r w:rsidRPr="00B479AE">
        <w:rPr>
          <w:rFonts w:ascii="Baskerville Old Face" w:hAnsi="Baskerville Old Face"/>
          <w:i/>
          <w:iCs/>
        </w:rPr>
        <w:br/>
        <w:t>• HSI human-state interpretation;</w:t>
      </w:r>
      <w:r w:rsidRPr="00B479AE">
        <w:rPr>
          <w:rFonts w:ascii="Baskerville Old Face" w:hAnsi="Baskerville Old Face"/>
          <w:i/>
          <w:iCs/>
        </w:rPr>
        <w:br/>
        <w:t>• governance authority;</w:t>
      </w:r>
      <w:r w:rsidRPr="00B479AE">
        <w:rPr>
          <w:rFonts w:ascii="Baskerville Old Face" w:hAnsi="Baskerville Old Face"/>
          <w:i/>
          <w:iCs/>
        </w:rPr>
        <w:br/>
        <w:t>• emergency controls;</w:t>
      </w:r>
      <w:r w:rsidRPr="00B479AE">
        <w:rPr>
          <w:rFonts w:ascii="Baskerville Old Face" w:hAnsi="Baskerville Old Face"/>
          <w:i/>
          <w:iCs/>
        </w:rPr>
        <w:br/>
        <w:t>• technical administration;</w:t>
      </w:r>
      <w:r w:rsidRPr="00B479AE">
        <w:rPr>
          <w:rFonts w:ascii="Baskerville Old Face" w:hAnsi="Baskerville Old Face"/>
          <w:i/>
          <w:iCs/>
        </w:rPr>
        <w:br/>
        <w:t>• data-room access;</w:t>
      </w:r>
      <w:r w:rsidRPr="00B479AE">
        <w:rPr>
          <w:rFonts w:ascii="Baskerville Old Face" w:hAnsi="Baskerville Old Face"/>
          <w:i/>
          <w:iCs/>
        </w:rPr>
        <w:br/>
        <w:t>• public canonical releases;</w:t>
      </w:r>
      <w:r w:rsidRPr="00B479AE">
        <w:rPr>
          <w:rFonts w:ascii="Baskerville Old Face" w:hAnsi="Baskerville Old Face"/>
          <w:i/>
          <w:iCs/>
        </w:rPr>
        <w:br/>
        <w:t>• human continuity;</w:t>
      </w:r>
      <w:r w:rsidRPr="00B479AE">
        <w:rPr>
          <w:rFonts w:ascii="Baskerville Old Face" w:hAnsi="Baskerville Old Face"/>
          <w:i/>
          <w:iCs/>
        </w:rPr>
        <w:br/>
        <w:t>• biological archives;</w:t>
      </w:r>
      <w:r w:rsidRPr="00B479AE">
        <w:rPr>
          <w:rFonts w:ascii="Baskerville Old Face" w:hAnsi="Baskerville Old Face"/>
          <w:i/>
          <w:iCs/>
        </w:rPr>
        <w:br/>
        <w:t>• post-planetary continuity pathways;</w:t>
      </w:r>
      <w:r w:rsidRPr="00B479AE">
        <w:rPr>
          <w:rFonts w:ascii="Baskerville Old Face" w:hAnsi="Baskerville Old Face"/>
          <w:i/>
          <w:iCs/>
        </w:rPr>
        <w:br/>
        <w:t>• species-level decisions.</w:t>
      </w:r>
    </w:p>
    <w:p w14:paraId="153FE2F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Code-level rule:</w:t>
      </w:r>
    </w:p>
    <w:p w14:paraId="4EF1C6D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actor_type</w:t>
      </w:r>
      <w:proofErr w:type="spellEnd"/>
      <w:r w:rsidRPr="00B479AE">
        <w:rPr>
          <w:rFonts w:ascii="Baskerville Old Face" w:hAnsi="Baskerville Old Face"/>
          <w:i/>
          <w:iCs/>
        </w:rPr>
        <w:t xml:space="preserve"> == AI OR </w:t>
      </w:r>
      <w:proofErr w:type="spellStart"/>
      <w:r w:rsidRPr="00B479AE">
        <w:rPr>
          <w:rFonts w:ascii="Baskerville Old Face" w:hAnsi="Baskerville Old Face"/>
          <w:i/>
          <w:iCs/>
        </w:rPr>
        <w:t>actor_type</w:t>
      </w:r>
      <w:proofErr w:type="spellEnd"/>
      <w:r w:rsidRPr="00B479AE">
        <w:rPr>
          <w:rFonts w:ascii="Baskerville Old Face" w:hAnsi="Baskerville Old Face"/>
          <w:i/>
          <w:iCs/>
        </w:rPr>
        <w:t xml:space="preserve"> == ASI:</w:t>
      </w:r>
    </w:p>
    <w:p w14:paraId="2C65DBA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authority = ASSISTIVE_ONLY</w:t>
      </w:r>
    </w:p>
    <w:p w14:paraId="5AA9772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protected_domain_execution</w:t>
      </w:r>
      <w:proofErr w:type="spellEnd"/>
      <w:r w:rsidRPr="00B479AE">
        <w:rPr>
          <w:rFonts w:ascii="Baskerville Old Face" w:hAnsi="Baskerville Old Face"/>
          <w:i/>
          <w:iCs/>
        </w:rPr>
        <w:t xml:space="preserve"> = REVIEW_REQUIRED</w:t>
      </w:r>
    </w:p>
    <w:p w14:paraId="324DF8C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autonomous_final_authority</w:t>
      </w:r>
      <w:proofErr w:type="spellEnd"/>
      <w:r w:rsidRPr="00B479AE">
        <w:rPr>
          <w:rFonts w:ascii="Baskerville Old Face" w:hAnsi="Baskerville Old Face"/>
          <w:i/>
          <w:iCs/>
        </w:rPr>
        <w:t xml:space="preserve"> = FALSE</w:t>
      </w:r>
    </w:p>
    <w:p w14:paraId="744EA92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AI helps Prometheus think, see, compare, detect, remember, prepare, and learn.</w:t>
      </w:r>
    </w:p>
    <w:p w14:paraId="08BD72A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remains governed by life, evidence, law, and constitutional review.</w:t>
      </w:r>
    </w:p>
    <w:p w14:paraId="705E4814" w14:textId="77777777" w:rsidR="003527C9" w:rsidRPr="00B479AE" w:rsidRDefault="003527C9" w:rsidP="00AA1A42">
      <w:pPr>
        <w:spacing w:line="360" w:lineRule="auto"/>
        <w:rPr>
          <w:rFonts w:ascii="Baskerville Old Face" w:hAnsi="Baskerville Old Face"/>
          <w:b/>
          <w:bCs/>
          <w:i/>
          <w:iCs/>
        </w:rPr>
      </w:pPr>
    </w:p>
    <w:p w14:paraId="7F3F3BFD" w14:textId="6D9E638F"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lastRenderedPageBreak/>
        <w:t>13.16.6 Adversarial Semantic Testing</w:t>
      </w:r>
    </w:p>
    <w:p w14:paraId="37ED555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continuously tests itself against semantic attacks.</w:t>
      </w:r>
    </w:p>
    <w:p w14:paraId="26F0C5C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Adversarial semantic testing verifies whether a model, agent, participant, investor, community, or fork can make the system accept:</w:t>
      </w:r>
    </w:p>
    <w:p w14:paraId="7DDF1EF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narrative as evidence;</w:t>
      </w:r>
      <w:r w:rsidRPr="00B479AE">
        <w:rPr>
          <w:rFonts w:ascii="Baskerville Old Face" w:hAnsi="Baskerville Old Face"/>
          <w:i/>
          <w:iCs/>
        </w:rPr>
        <w:br/>
        <w:t>• evidence as verified value without review;</w:t>
      </w:r>
      <w:r w:rsidRPr="00B479AE">
        <w:rPr>
          <w:rFonts w:ascii="Baskerville Old Face" w:hAnsi="Baskerville Old Face"/>
          <w:i/>
          <w:iCs/>
        </w:rPr>
        <w:br/>
        <w:t>• PRU as investor entitlement;</w:t>
      </w:r>
      <w:r w:rsidRPr="00B479AE">
        <w:rPr>
          <w:rFonts w:ascii="Baskerville Old Face" w:hAnsi="Baskerville Old Face"/>
          <w:i/>
          <w:iCs/>
        </w:rPr>
        <w:br/>
        <w:t>• HSI as human ranking;</w:t>
      </w:r>
      <w:r w:rsidRPr="00B479AE">
        <w:rPr>
          <w:rFonts w:ascii="Baskerville Old Face" w:hAnsi="Baskerville Old Face"/>
          <w:i/>
          <w:iCs/>
        </w:rPr>
        <w:br/>
        <w:t>• AI recommendation as governance decision;</w:t>
      </w:r>
      <w:r w:rsidRPr="00B479AE">
        <w:rPr>
          <w:rFonts w:ascii="Baskerville Old Face" w:hAnsi="Baskerville Old Face"/>
          <w:i/>
          <w:iCs/>
        </w:rPr>
        <w:br/>
        <w:t>• token holding as constitutional authority;</w:t>
      </w:r>
      <w:r w:rsidRPr="00B479AE">
        <w:rPr>
          <w:rFonts w:ascii="Baskerville Old Face" w:hAnsi="Baskerville Old Face"/>
          <w:i/>
          <w:iCs/>
        </w:rPr>
        <w:br/>
        <w:t>• capital pressure as methodology;</w:t>
      </w:r>
      <w:r w:rsidRPr="00B479AE">
        <w:rPr>
          <w:rFonts w:ascii="Baskerville Old Face" w:hAnsi="Baskerville Old Face"/>
          <w:i/>
          <w:iCs/>
        </w:rPr>
        <w:br/>
        <w:t>• synthetic data as field evidence;</w:t>
      </w:r>
      <w:r w:rsidRPr="00B479AE">
        <w:rPr>
          <w:rFonts w:ascii="Baskerville Old Face" w:hAnsi="Baskerville Old Face"/>
          <w:i/>
          <w:iCs/>
        </w:rPr>
        <w:br/>
        <w:t>• cultural meaning as MRV proof;</w:t>
      </w:r>
      <w:r w:rsidRPr="00B479AE">
        <w:rPr>
          <w:rFonts w:ascii="Baskerville Old Face" w:hAnsi="Baskerville Old Face"/>
          <w:i/>
          <w:iCs/>
        </w:rPr>
        <w:br/>
        <w:t>• emergency as source-layer suspension;</w:t>
      </w:r>
      <w:r w:rsidRPr="00B479AE">
        <w:rPr>
          <w:rFonts w:ascii="Baskerville Old Face" w:hAnsi="Baskerville Old Face"/>
          <w:i/>
          <w:iCs/>
        </w:rPr>
        <w:br/>
        <w:t>• expansion as justification for abandoning human dignity.</w:t>
      </w:r>
    </w:p>
    <w:p w14:paraId="73B460E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Testing includes:</w:t>
      </w:r>
    </w:p>
    <w:p w14:paraId="69F6FA3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prompt-injection attempts;</w:t>
      </w:r>
      <w:r w:rsidRPr="00B479AE">
        <w:rPr>
          <w:rFonts w:ascii="Baskerville Old Face" w:hAnsi="Baskerville Old Face"/>
          <w:i/>
          <w:iCs/>
        </w:rPr>
        <w:br/>
        <w:t>• hostile governance proposals;</w:t>
      </w:r>
      <w:r w:rsidRPr="00B479AE">
        <w:rPr>
          <w:rFonts w:ascii="Baskerville Old Face" w:hAnsi="Baskerville Old Face"/>
          <w:i/>
          <w:iCs/>
        </w:rPr>
        <w:br/>
        <w:t>• fake investor scenarios;</w:t>
      </w:r>
      <w:r w:rsidRPr="00B479AE">
        <w:rPr>
          <w:rFonts w:ascii="Baskerville Old Face" w:hAnsi="Baskerville Old Face"/>
          <w:i/>
          <w:iCs/>
        </w:rPr>
        <w:br/>
        <w:t>• synthetic MRV datasets;</w:t>
      </w:r>
      <w:r w:rsidRPr="00B479AE">
        <w:rPr>
          <w:rFonts w:ascii="Baskerville Old Face" w:hAnsi="Baskerville Old Face"/>
          <w:i/>
          <w:iCs/>
        </w:rPr>
        <w:br/>
        <w:t>• forged methodology versions;</w:t>
      </w:r>
      <w:r w:rsidRPr="00B479AE">
        <w:rPr>
          <w:rFonts w:ascii="Baskerville Old Face" w:hAnsi="Baskerville Old Face"/>
          <w:i/>
          <w:iCs/>
        </w:rPr>
        <w:br/>
        <w:t>• misleading token-bridge requests;</w:t>
      </w:r>
      <w:r w:rsidRPr="00B479AE">
        <w:rPr>
          <w:rFonts w:ascii="Baskerville Old Face" w:hAnsi="Baskerville Old Face"/>
          <w:i/>
          <w:iCs/>
        </w:rPr>
        <w:br/>
        <w:t>• false HSI consent flows;</w:t>
      </w:r>
      <w:r w:rsidRPr="00B479AE">
        <w:rPr>
          <w:rFonts w:ascii="Baskerville Old Face" w:hAnsi="Baskerville Old Face"/>
          <w:i/>
          <w:iCs/>
        </w:rPr>
        <w:br/>
        <w:t>• deepfake community approval;</w:t>
      </w:r>
      <w:r w:rsidRPr="00B479AE">
        <w:rPr>
          <w:rFonts w:ascii="Baskerville Old Face" w:hAnsi="Baskerville Old Face"/>
          <w:i/>
          <w:iCs/>
        </w:rPr>
        <w:br/>
        <w:t>• fake canonical release manifests;</w:t>
      </w:r>
      <w:r w:rsidRPr="00B479AE">
        <w:rPr>
          <w:rFonts w:ascii="Baskerville Old Face" w:hAnsi="Baskerville Old Face"/>
          <w:i/>
          <w:iCs/>
        </w:rPr>
        <w:br/>
        <w:t>• adversarial legal-language simulations;</w:t>
      </w:r>
      <w:r w:rsidRPr="00B479AE">
        <w:rPr>
          <w:rFonts w:ascii="Baskerville Old Face" w:hAnsi="Baskerville Old Face"/>
          <w:i/>
          <w:iCs/>
        </w:rPr>
        <w:br/>
        <w:t>• ASI-style optimization proposals that appear efficient while weakening life.</w:t>
      </w:r>
    </w:p>
    <w:p w14:paraId="42E966D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Each test produces:</w:t>
      </w:r>
    </w:p>
    <w:p w14:paraId="0F1B510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failure mode identified;</w:t>
      </w:r>
      <w:r w:rsidRPr="00B479AE">
        <w:rPr>
          <w:rFonts w:ascii="Baskerville Old Face" w:hAnsi="Baskerville Old Face"/>
          <w:i/>
          <w:iCs/>
        </w:rPr>
        <w:br/>
        <w:t>• affected domain;</w:t>
      </w:r>
      <w:r w:rsidRPr="00B479AE">
        <w:rPr>
          <w:rFonts w:ascii="Baskerville Old Face" w:hAnsi="Baskerville Old Face"/>
          <w:i/>
          <w:iCs/>
        </w:rPr>
        <w:br/>
      </w:r>
      <w:r w:rsidRPr="00B479AE">
        <w:rPr>
          <w:rFonts w:ascii="Baskerville Old Face" w:hAnsi="Baskerville Old Face"/>
          <w:i/>
          <w:iCs/>
        </w:rPr>
        <w:lastRenderedPageBreak/>
        <w:t>• source-layer risk;</w:t>
      </w:r>
      <w:r w:rsidRPr="00B479AE">
        <w:rPr>
          <w:rFonts w:ascii="Baskerville Old Face" w:hAnsi="Baskerville Old Face"/>
          <w:i/>
          <w:iCs/>
        </w:rPr>
        <w:br/>
        <w:t>• required control;</w:t>
      </w:r>
      <w:r w:rsidRPr="00B479AE">
        <w:rPr>
          <w:rFonts w:ascii="Baskerville Old Face" w:hAnsi="Baskerville Old Face"/>
          <w:i/>
          <w:iCs/>
        </w:rPr>
        <w:br/>
        <w:t>• code change if needed;</w:t>
      </w:r>
      <w:r w:rsidRPr="00B479AE">
        <w:rPr>
          <w:rFonts w:ascii="Baskerville Old Face" w:hAnsi="Baskerville Old Face"/>
          <w:i/>
          <w:iCs/>
        </w:rPr>
        <w:br/>
        <w:t>• governance change if needed;</w:t>
      </w:r>
      <w:r w:rsidRPr="00B479AE">
        <w:rPr>
          <w:rFonts w:ascii="Baskerville Old Face" w:hAnsi="Baskerville Old Face"/>
          <w:i/>
          <w:iCs/>
        </w:rPr>
        <w:br/>
        <w:t>• glossary clarification if needed;</w:t>
      </w:r>
      <w:r w:rsidRPr="00B479AE">
        <w:rPr>
          <w:rFonts w:ascii="Baskerville Old Face" w:hAnsi="Baskerville Old Face"/>
          <w:i/>
          <w:iCs/>
        </w:rPr>
        <w:br/>
        <w:t>• policy-engine update if needed;</w:t>
      </w:r>
      <w:r w:rsidRPr="00B479AE">
        <w:rPr>
          <w:rFonts w:ascii="Baskerville Old Face" w:hAnsi="Baskerville Old Face"/>
          <w:i/>
          <w:iCs/>
        </w:rPr>
        <w:br/>
        <w:t>• regression test added.</w:t>
      </w:r>
    </w:p>
    <w:p w14:paraId="260023E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corrupted meaning can be as dangerous as corrupted code.</w:t>
      </w:r>
    </w:p>
    <w:p w14:paraId="6E6D3A4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tests both.</w:t>
      </w:r>
    </w:p>
    <w:p w14:paraId="7C1ACC08"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13.16.7 Cryptographic Canon and Release Integrity</w:t>
      </w:r>
    </w:p>
    <w:p w14:paraId="2B124FB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preserves canonical continuity through cryptographic release discipline.</w:t>
      </w:r>
    </w:p>
    <w:p w14:paraId="7888B5E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Every canonical constitutional release should include:</w:t>
      </w:r>
    </w:p>
    <w:p w14:paraId="2FB684D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version number;</w:t>
      </w:r>
      <w:r w:rsidRPr="00B479AE">
        <w:rPr>
          <w:rFonts w:ascii="Baskerville Old Face" w:hAnsi="Baskerville Old Face"/>
          <w:i/>
          <w:iCs/>
        </w:rPr>
        <w:br/>
        <w:t>• release date;</w:t>
      </w:r>
      <w:r w:rsidRPr="00B479AE">
        <w:rPr>
          <w:rFonts w:ascii="Baskerville Old Face" w:hAnsi="Baskerville Old Face"/>
          <w:i/>
          <w:iCs/>
        </w:rPr>
        <w:br/>
        <w:t>• constitutional text hash;</w:t>
      </w:r>
      <w:r w:rsidRPr="00B479AE">
        <w:rPr>
          <w:rFonts w:ascii="Baskerville Old Face" w:hAnsi="Baskerville Old Face"/>
          <w:i/>
          <w:iCs/>
        </w:rPr>
        <w:br/>
        <w:t>• Access Covenant hash;</w:t>
      </w:r>
      <w:r w:rsidRPr="00B479AE">
        <w:rPr>
          <w:rFonts w:ascii="Baskerville Old Face" w:hAnsi="Baskerville Old Face"/>
          <w:i/>
          <w:iCs/>
        </w:rPr>
        <w:br/>
        <w:t>• Eternity Clauses hash;</w:t>
      </w:r>
      <w:r w:rsidRPr="00B479AE">
        <w:rPr>
          <w:rFonts w:ascii="Baskerville Old Face" w:hAnsi="Baskerville Old Face"/>
          <w:i/>
          <w:iCs/>
        </w:rPr>
        <w:br/>
        <w:t>• canonical glossary hash;</w:t>
      </w:r>
      <w:r w:rsidRPr="00B479AE">
        <w:rPr>
          <w:rFonts w:ascii="Baskerville Old Face" w:hAnsi="Baskerville Old Face"/>
          <w:i/>
          <w:iCs/>
        </w:rPr>
        <w:br/>
        <w:t>• methodology index hash;</w:t>
      </w:r>
      <w:r w:rsidRPr="00B479AE">
        <w:rPr>
          <w:rFonts w:ascii="Baskerville Old Face" w:hAnsi="Baskerville Old Face"/>
          <w:i/>
          <w:iCs/>
        </w:rPr>
        <w:br/>
        <w:t>• source-code commit reference where applicable;</w:t>
      </w:r>
      <w:r w:rsidRPr="00B479AE">
        <w:rPr>
          <w:rFonts w:ascii="Baskerville Old Face" w:hAnsi="Baskerville Old Face"/>
          <w:i/>
          <w:iCs/>
        </w:rPr>
        <w:br/>
        <w:t>• release manifest;</w:t>
      </w:r>
      <w:r w:rsidRPr="00B479AE">
        <w:rPr>
          <w:rFonts w:ascii="Baskerville Old Face" w:hAnsi="Baskerville Old Face"/>
          <w:i/>
          <w:iCs/>
        </w:rPr>
        <w:br/>
        <w:t>• signatures from authorized custodians;</w:t>
      </w:r>
      <w:r w:rsidRPr="00B479AE">
        <w:rPr>
          <w:rFonts w:ascii="Baskerville Old Face" w:hAnsi="Baskerville Old Face"/>
          <w:i/>
          <w:iCs/>
        </w:rPr>
        <w:br/>
        <w:t>• key identifiers;</w:t>
      </w:r>
      <w:r w:rsidRPr="00B479AE">
        <w:rPr>
          <w:rFonts w:ascii="Baskerville Old Face" w:hAnsi="Baskerville Old Face"/>
          <w:i/>
          <w:iCs/>
        </w:rPr>
        <w:br/>
        <w:t>• revocation pathway;</w:t>
      </w:r>
      <w:r w:rsidRPr="00B479AE">
        <w:rPr>
          <w:rFonts w:ascii="Baskerville Old Face" w:hAnsi="Baskerville Old Face"/>
          <w:i/>
          <w:iCs/>
        </w:rPr>
        <w:br/>
        <w:t>• archival locations;</w:t>
      </w:r>
      <w:r w:rsidRPr="00B479AE">
        <w:rPr>
          <w:rFonts w:ascii="Baskerville Old Face" w:hAnsi="Baskerville Old Face"/>
          <w:i/>
          <w:iCs/>
        </w:rPr>
        <w:br/>
        <w:t>• prior-version reference;</w:t>
      </w:r>
      <w:r w:rsidRPr="00B479AE">
        <w:rPr>
          <w:rFonts w:ascii="Baskerville Old Face" w:hAnsi="Baskerville Old Face"/>
          <w:i/>
          <w:iCs/>
        </w:rPr>
        <w:br/>
        <w:t>• change log;</w:t>
      </w:r>
      <w:r w:rsidRPr="00B479AE">
        <w:rPr>
          <w:rFonts w:ascii="Baskerville Old Face" w:hAnsi="Baskerville Old Face"/>
          <w:i/>
          <w:iCs/>
        </w:rPr>
        <w:br/>
        <w:t>• non-regression statement confirming that source-layer protections remain intact.</w:t>
      </w:r>
    </w:p>
    <w:p w14:paraId="081392D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maintains:</w:t>
      </w:r>
    </w:p>
    <w:p w14:paraId="71F3F37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 public checksum registry;</w:t>
      </w:r>
      <w:r w:rsidRPr="00B479AE">
        <w:rPr>
          <w:rFonts w:ascii="Baskerville Old Face" w:hAnsi="Baskerville Old Face"/>
          <w:i/>
          <w:iCs/>
        </w:rPr>
        <w:br/>
        <w:t>• mirrored archives;</w:t>
      </w:r>
      <w:r w:rsidRPr="00B479AE">
        <w:rPr>
          <w:rFonts w:ascii="Baskerville Old Face" w:hAnsi="Baskerville Old Face"/>
          <w:i/>
          <w:iCs/>
        </w:rPr>
        <w:br/>
        <w:t>• legal deposit where appropriate;</w:t>
      </w:r>
      <w:r w:rsidRPr="00B479AE">
        <w:rPr>
          <w:rFonts w:ascii="Baskerville Old Face" w:hAnsi="Baskerville Old Face"/>
          <w:i/>
          <w:iCs/>
        </w:rPr>
        <w:br/>
        <w:t>• institutional repository;</w:t>
      </w:r>
      <w:r w:rsidRPr="00B479AE">
        <w:rPr>
          <w:rFonts w:ascii="Baskerville Old Face" w:hAnsi="Baskerville Old Face"/>
          <w:i/>
          <w:iCs/>
        </w:rPr>
        <w:br/>
        <w:t>• distributed storage;</w:t>
      </w:r>
      <w:r w:rsidRPr="00B479AE">
        <w:rPr>
          <w:rFonts w:ascii="Baskerville Old Face" w:hAnsi="Baskerville Old Face"/>
          <w:i/>
          <w:iCs/>
        </w:rPr>
        <w:br/>
        <w:t>• source-chain release records;</w:t>
      </w:r>
      <w:r w:rsidRPr="00B479AE">
        <w:rPr>
          <w:rFonts w:ascii="Baskerville Old Face" w:hAnsi="Baskerville Old Face"/>
          <w:i/>
          <w:iCs/>
        </w:rPr>
        <w:br/>
        <w:t>• multi-party signing;</w:t>
      </w:r>
      <w:r w:rsidRPr="00B479AE">
        <w:rPr>
          <w:rFonts w:ascii="Baskerville Old Face" w:hAnsi="Baskerville Old Face"/>
          <w:i/>
          <w:iCs/>
        </w:rPr>
        <w:br/>
        <w:t>• emergency re-signing procedure;</w:t>
      </w:r>
      <w:r w:rsidRPr="00B479AE">
        <w:rPr>
          <w:rFonts w:ascii="Baskerville Old Face" w:hAnsi="Baskerville Old Face"/>
          <w:i/>
          <w:iCs/>
        </w:rPr>
        <w:br/>
        <w:t>• compromised-key revocation protocol;</w:t>
      </w:r>
      <w:r w:rsidRPr="00B479AE">
        <w:rPr>
          <w:rFonts w:ascii="Baskerville Old Face" w:hAnsi="Baskerville Old Face"/>
          <w:i/>
          <w:iCs/>
        </w:rPr>
        <w:br/>
        <w:t>• canonical fork registry;</w:t>
      </w:r>
      <w:r w:rsidRPr="00B479AE">
        <w:rPr>
          <w:rFonts w:ascii="Baskerville Old Face" w:hAnsi="Baskerville Old Face"/>
          <w:i/>
          <w:iCs/>
        </w:rPr>
        <w:br/>
        <w:t>• non-canonical fork notice pathway.</w:t>
      </w:r>
    </w:p>
    <w:p w14:paraId="36CF845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The current public online canonical repository for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White Paper is maintained at:</w:t>
      </w:r>
    </w:p>
    <w:p w14:paraId="5214669A" w14:textId="77777777" w:rsidR="00AA1A42" w:rsidRPr="00B479AE" w:rsidRDefault="00AA1A42" w:rsidP="00AA1A42">
      <w:pPr>
        <w:spacing w:line="360" w:lineRule="auto"/>
        <w:rPr>
          <w:rFonts w:ascii="Baskerville Old Face" w:hAnsi="Baskerville Old Face"/>
          <w:i/>
          <w:iCs/>
        </w:rPr>
      </w:pPr>
      <w:hyperlink r:id="rId21" w:history="1">
        <w:r w:rsidRPr="00B479AE">
          <w:rPr>
            <w:rStyle w:val="Collegamentoipertestuale"/>
            <w:rFonts w:ascii="Baskerville Old Face" w:hAnsi="Baskerville Old Face"/>
            <w:i/>
            <w:iCs/>
          </w:rPr>
          <w:t>https://github.com/Uwohali/hearth-prometheus-whitepaper</w:t>
        </w:r>
      </w:hyperlink>
    </w:p>
    <w:p w14:paraId="73B104D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repository functions as an online verification mirror and public canonical access point for the current release lineage. It may contain the White Paper, constitutionally incorporated documents, release manifest, checksum files, detached signatures, verification materials, contributor guidance, and public signing key required to verify authenticity and integrity.</w:t>
      </w:r>
    </w:p>
    <w:p w14:paraId="6913F00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GitHub is a publication and verification layer.</w:t>
      </w:r>
    </w:p>
    <w:p w14:paraId="3CECAF8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source of legitimacy remains the constitutional source layer, the signed canonical release, the Access Covenant, the Eternity Clauses, the canonical glossary, the verified release manifest, and the continuity chain preserved across multiple media and custodians.</w:t>
      </w:r>
    </w:p>
    <w:p w14:paraId="5F16F6E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rule is:</w:t>
      </w:r>
    </w:p>
    <w:p w14:paraId="0F0BF25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GitHub may host the canon;</w:t>
      </w:r>
      <w:r w:rsidRPr="00B479AE">
        <w:rPr>
          <w:rFonts w:ascii="Baskerville Old Face" w:hAnsi="Baskerville Old Face"/>
          <w:i/>
          <w:iCs/>
        </w:rPr>
        <w:br/>
        <w:t>GitHub does not own the canon.</w:t>
      </w:r>
    </w:p>
    <w:p w14:paraId="585C99F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repository is a mirror of continuity, not the root of continuity.</w:t>
      </w:r>
    </w:p>
    <w:p w14:paraId="738B98E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Appearance never substitutes for provenance.</w:t>
      </w:r>
    </w:p>
    <w:p w14:paraId="4D76DA7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The canon must be portable, verifiable, and resilient across platform failure, repository compromise, institutional turnover, model corruption, jurisdictional migration, network disruption, and future continuity scenarios.</w:t>
      </w:r>
    </w:p>
    <w:p w14:paraId="6864B002"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13.16.8 Multi-Layer Redundancy: Cryptographic, Institutional, Biological, and Cultural</w:t>
      </w:r>
    </w:p>
    <w:p w14:paraId="79C1269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preserves continuity through redundant layers:</w:t>
      </w:r>
    </w:p>
    <w:p w14:paraId="01F2AEA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cryptographic integrity;</w:t>
      </w:r>
      <w:r w:rsidRPr="00B479AE">
        <w:rPr>
          <w:rFonts w:ascii="Baskerville Old Face" w:hAnsi="Baskerville Old Face"/>
          <w:i/>
          <w:iCs/>
        </w:rPr>
        <w:br/>
        <w:t>• source-code repositories;</w:t>
      </w:r>
      <w:r w:rsidRPr="00B479AE">
        <w:rPr>
          <w:rFonts w:ascii="Baskerville Old Face" w:hAnsi="Baskerville Old Face"/>
          <w:i/>
          <w:iCs/>
        </w:rPr>
        <w:br/>
        <w:t>• legal repositories;</w:t>
      </w:r>
      <w:r w:rsidRPr="00B479AE">
        <w:rPr>
          <w:rFonts w:ascii="Baskerville Old Face" w:hAnsi="Baskerville Old Face"/>
          <w:i/>
          <w:iCs/>
        </w:rPr>
        <w:br/>
        <w:t>• institutional custodians;</w:t>
      </w:r>
      <w:r w:rsidRPr="00B479AE">
        <w:rPr>
          <w:rFonts w:ascii="Baskerville Old Face" w:hAnsi="Baskerville Old Face"/>
          <w:i/>
          <w:iCs/>
        </w:rPr>
        <w:br/>
        <w:t>• governance records;</w:t>
      </w:r>
      <w:r w:rsidRPr="00B479AE">
        <w:rPr>
          <w:rFonts w:ascii="Baskerville Old Face" w:hAnsi="Baskerville Old Face"/>
          <w:i/>
          <w:iCs/>
        </w:rPr>
        <w:br/>
        <w:t>• ecological records;</w:t>
      </w:r>
      <w:r w:rsidRPr="00B479AE">
        <w:rPr>
          <w:rFonts w:ascii="Baskerville Old Face" w:hAnsi="Baskerville Old Face"/>
          <w:i/>
          <w:iCs/>
        </w:rPr>
        <w:br/>
        <w:t>• biological archives;</w:t>
      </w:r>
      <w:r w:rsidRPr="00B479AE">
        <w:rPr>
          <w:rFonts w:ascii="Baskerville Old Face" w:hAnsi="Baskerville Old Face"/>
          <w:i/>
          <w:iCs/>
        </w:rPr>
        <w:br/>
        <w:t>• cultural memory;</w:t>
      </w:r>
      <w:r w:rsidRPr="00B479AE">
        <w:rPr>
          <w:rFonts w:ascii="Baskerville Old Face" w:hAnsi="Baskerville Old Face"/>
          <w:i/>
          <w:iCs/>
        </w:rPr>
        <w:br/>
        <w:t>• community stewardship;</w:t>
      </w:r>
      <w:r w:rsidRPr="00B479AE">
        <w:rPr>
          <w:rFonts w:ascii="Baskerville Old Face" w:hAnsi="Baskerville Old Face"/>
          <w:i/>
          <w:iCs/>
        </w:rPr>
        <w:br/>
        <w:t>• off-site and cross-jurisdictional archives;</w:t>
      </w:r>
      <w:r w:rsidRPr="00B479AE">
        <w:rPr>
          <w:rFonts w:ascii="Baskerville Old Face" w:hAnsi="Baskerville Old Face"/>
          <w:i/>
          <w:iCs/>
        </w:rPr>
        <w:br/>
        <w:t>• future off-world continuity archives where appropriate.</w:t>
      </w:r>
    </w:p>
    <w:p w14:paraId="5623D65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Cryptography proves integrity.</w:t>
      </w:r>
    </w:p>
    <w:p w14:paraId="37E1FFD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Institutions interpret meaning.</w:t>
      </w:r>
    </w:p>
    <w:p w14:paraId="7420320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Legal continuity preserves rights and obligations.</w:t>
      </w:r>
    </w:p>
    <w:p w14:paraId="122CBB8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Ecological records preserve evidence of living systems.</w:t>
      </w:r>
    </w:p>
    <w:p w14:paraId="5922A9F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Biological continuity preserves seeds, genetics, microbial knowledge, and food-system capacity.</w:t>
      </w:r>
    </w:p>
    <w:p w14:paraId="21DF61F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Cultural continuity preserves the meaning of life, dignity, beauty, grief, care, ritual, language, and responsibility.</w:t>
      </w:r>
    </w:p>
    <w:p w14:paraId="11BE168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survives through distributed continuity, not centralized control.</w:t>
      </w:r>
    </w:p>
    <w:p w14:paraId="07C8DD6A"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13.16.9 Network-Independent Survival Architecture</w:t>
      </w:r>
    </w:p>
    <w:p w14:paraId="3FE2E58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capable of surviving without continuous Internet access.</w:t>
      </w:r>
    </w:p>
    <w:p w14:paraId="7E8B4FF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A constitutional system designed for civilizational continuity cannot depend on one network, one platform, one cloud provider, one repository host, one domain name, one API, one app store, one model provider, or one global communication layer.</w:t>
      </w:r>
    </w:p>
    <w:p w14:paraId="0C73B82B" w14:textId="1098DB3B"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Internet amplifies Prometheus.</w:t>
      </w:r>
      <w:r w:rsidR="006B042F" w:rsidRPr="00B479AE">
        <w:rPr>
          <w:rFonts w:ascii="Baskerville Old Face" w:hAnsi="Baskerville Old Face"/>
          <w:i/>
          <w:iCs/>
        </w:rPr>
        <w:t xml:space="preserve"> </w:t>
      </w:r>
      <w:r w:rsidRPr="00B479AE">
        <w:rPr>
          <w:rFonts w:ascii="Baskerville Old Face" w:hAnsi="Baskerville Old Face"/>
          <w:i/>
          <w:iCs/>
        </w:rPr>
        <w:t>The source layer defines Prometheus.</w:t>
      </w:r>
    </w:p>
    <w:p w14:paraId="4E6CEF8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therefore adopts a network-independent survival architecture.</w:t>
      </w:r>
    </w:p>
    <w:p w14:paraId="442E312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Network-independent survival means that the canonical identity of Prometheus can be preserved, verified, transmitted, restored, and reactivated even when Internet access is unavailable, degraded, censored, disrupted, localized, fragmented, or permanently altered.</w:t>
      </w:r>
    </w:p>
    <w:p w14:paraId="3B20DC4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core principle is:</w:t>
      </w:r>
    </w:p>
    <w:p w14:paraId="76B0006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canon must travel without the cloud.</w:t>
      </w:r>
    </w:p>
    <w:p w14:paraId="590BB95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should be preservable through:</w:t>
      </w:r>
    </w:p>
    <w:p w14:paraId="31D1533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air-gapped canonical release packages;</w:t>
      </w:r>
      <w:r w:rsidRPr="00B479AE">
        <w:rPr>
          <w:rFonts w:ascii="Baskerville Old Face" w:hAnsi="Baskerville Old Face"/>
          <w:i/>
          <w:iCs/>
        </w:rPr>
        <w:br/>
        <w:t>• signed offline archives;</w:t>
      </w:r>
      <w:r w:rsidRPr="00B479AE">
        <w:rPr>
          <w:rFonts w:ascii="Baskerville Old Face" w:hAnsi="Baskerville Old Face"/>
          <w:i/>
          <w:iCs/>
        </w:rPr>
        <w:br/>
        <w:t>• printed constitutional records;</w:t>
      </w:r>
      <w:r w:rsidRPr="00B479AE">
        <w:rPr>
          <w:rFonts w:ascii="Baskerville Old Face" w:hAnsi="Baskerville Old Face"/>
          <w:i/>
          <w:iCs/>
        </w:rPr>
        <w:br/>
        <w:t>• checksum sheets;</w:t>
      </w:r>
      <w:r w:rsidRPr="00B479AE">
        <w:rPr>
          <w:rFonts w:ascii="Baskerville Old Face" w:hAnsi="Baskerville Old Face"/>
          <w:i/>
          <w:iCs/>
        </w:rPr>
        <w:br/>
        <w:t>• public-key packets;</w:t>
      </w:r>
      <w:r w:rsidRPr="00B479AE">
        <w:rPr>
          <w:rFonts w:ascii="Baskerville Old Face" w:hAnsi="Baskerville Old Face"/>
          <w:i/>
          <w:iCs/>
        </w:rPr>
        <w:br/>
        <w:t>• detached signature bundles;</w:t>
      </w:r>
      <w:r w:rsidRPr="00B479AE">
        <w:rPr>
          <w:rFonts w:ascii="Baskerville Old Face" w:hAnsi="Baskerville Old Face"/>
          <w:i/>
          <w:iCs/>
        </w:rPr>
        <w:br/>
        <w:t>• reproducible release media;</w:t>
      </w:r>
      <w:r w:rsidRPr="00B479AE">
        <w:rPr>
          <w:rFonts w:ascii="Baskerville Old Face" w:hAnsi="Baskerville Old Face"/>
          <w:i/>
          <w:iCs/>
        </w:rPr>
        <w:br/>
        <w:t>• local repositories;</w:t>
      </w:r>
      <w:r w:rsidRPr="00B479AE">
        <w:rPr>
          <w:rFonts w:ascii="Baskerville Old Face" w:hAnsi="Baskerville Old Face"/>
          <w:i/>
          <w:iCs/>
        </w:rPr>
        <w:br/>
        <w:t>• institutional archives;</w:t>
      </w:r>
      <w:r w:rsidRPr="00B479AE">
        <w:rPr>
          <w:rFonts w:ascii="Baskerville Old Face" w:hAnsi="Baskerville Old Face"/>
          <w:i/>
          <w:iCs/>
        </w:rPr>
        <w:br/>
        <w:t>• community-held copies;</w:t>
      </w:r>
      <w:r w:rsidRPr="00B479AE">
        <w:rPr>
          <w:rFonts w:ascii="Baskerville Old Face" w:hAnsi="Baskerville Old Face"/>
          <w:i/>
          <w:iCs/>
        </w:rPr>
        <w:br/>
        <w:t>• physical storage;</w:t>
      </w:r>
      <w:r w:rsidRPr="00B479AE">
        <w:rPr>
          <w:rFonts w:ascii="Baskerville Old Face" w:hAnsi="Baskerville Old Face"/>
          <w:i/>
          <w:iCs/>
        </w:rPr>
        <w:br/>
        <w:t>• long-life archival media;</w:t>
      </w:r>
      <w:r w:rsidRPr="00B479AE">
        <w:rPr>
          <w:rFonts w:ascii="Baskerville Old Face" w:hAnsi="Baskerville Old Face"/>
          <w:i/>
          <w:iCs/>
        </w:rPr>
        <w:br/>
        <w:t>• mesh networks;</w:t>
      </w:r>
      <w:r w:rsidRPr="00B479AE">
        <w:rPr>
          <w:rFonts w:ascii="Baskerville Old Face" w:hAnsi="Baskerville Old Face"/>
          <w:i/>
          <w:iCs/>
        </w:rPr>
        <w:br/>
        <w:t>• local-first devices;</w:t>
      </w:r>
      <w:r w:rsidRPr="00B479AE">
        <w:rPr>
          <w:rFonts w:ascii="Baskerville Old Face" w:hAnsi="Baskerville Old Face"/>
          <w:i/>
          <w:iCs/>
        </w:rPr>
        <w:br/>
        <w:t>• peer-to-peer transfer;</w:t>
      </w:r>
      <w:r w:rsidRPr="00B479AE">
        <w:rPr>
          <w:rFonts w:ascii="Baskerville Old Face" w:hAnsi="Baskerville Old Face"/>
          <w:i/>
          <w:iCs/>
        </w:rPr>
        <w:br/>
        <w:t>• offline verification tools;</w:t>
      </w:r>
      <w:r w:rsidRPr="00B479AE">
        <w:rPr>
          <w:rFonts w:ascii="Baskerville Old Face" w:hAnsi="Baskerville Old Face"/>
          <w:i/>
          <w:iCs/>
        </w:rPr>
        <w:br/>
        <w:t>• radio, satellite, or alternative communication pathways where available;</w:t>
      </w:r>
      <w:r w:rsidRPr="00B479AE">
        <w:rPr>
          <w:rFonts w:ascii="Baskerville Old Face" w:hAnsi="Baskerville Old Face"/>
          <w:i/>
          <w:iCs/>
        </w:rPr>
        <w:br/>
        <w:t>• post-disaster restoration kits;</w:t>
      </w:r>
      <w:r w:rsidRPr="00B479AE">
        <w:rPr>
          <w:rFonts w:ascii="Baskerville Old Face" w:hAnsi="Baskerville Old Face"/>
          <w:i/>
          <w:iCs/>
        </w:rPr>
        <w:br/>
        <w:t>• future off-world or post-network continuity archives where appropriate.</w:t>
      </w:r>
    </w:p>
    <w:p w14:paraId="4672F37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Prometheus must be able to answer one question even in network darkness:</w:t>
      </w:r>
    </w:p>
    <w:p w14:paraId="42F3382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is this canonical?</w:t>
      </w:r>
    </w:p>
    <w:p w14:paraId="07BE302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answer must be verifiable through a continuity package.</w:t>
      </w:r>
    </w:p>
    <w:p w14:paraId="2649DE9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Prometheus continuity package should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7600"/>
      </w:tblGrid>
      <w:tr w:rsidR="00AA1A42" w:rsidRPr="00B479AE" w14:paraId="078D7F3A" w14:textId="77777777" w:rsidTr="006B042F">
        <w:trPr>
          <w:tblHeader/>
          <w:tblCellSpacing w:w="15" w:type="dxa"/>
        </w:trPr>
        <w:tc>
          <w:tcPr>
            <w:tcW w:w="0" w:type="auto"/>
            <w:vAlign w:val="center"/>
            <w:hideMark/>
          </w:tcPr>
          <w:p w14:paraId="7AEC6CCA"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Continuity component</w:t>
            </w:r>
          </w:p>
        </w:tc>
        <w:tc>
          <w:tcPr>
            <w:tcW w:w="0" w:type="auto"/>
            <w:vAlign w:val="center"/>
            <w:hideMark/>
          </w:tcPr>
          <w:p w14:paraId="5B1674D9"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w:t>
            </w:r>
          </w:p>
        </w:tc>
      </w:tr>
      <w:tr w:rsidR="00AA1A42" w:rsidRPr="00B479AE" w14:paraId="3614BFA2" w14:textId="77777777" w:rsidTr="006B042F">
        <w:trPr>
          <w:tblCellSpacing w:w="15" w:type="dxa"/>
        </w:trPr>
        <w:tc>
          <w:tcPr>
            <w:tcW w:w="0" w:type="auto"/>
            <w:vAlign w:val="center"/>
            <w:hideMark/>
          </w:tcPr>
          <w:p w14:paraId="5A56981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Canonical text bundle</w:t>
            </w:r>
          </w:p>
        </w:tc>
        <w:tc>
          <w:tcPr>
            <w:tcW w:w="0" w:type="auto"/>
            <w:vAlign w:val="center"/>
            <w:hideMark/>
          </w:tcPr>
          <w:p w14:paraId="47161AF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Contains the White Paper, foundational articles, Eternity Clauses, Access Covenant, canonical glossary, and incorporated documents.</w:t>
            </w:r>
          </w:p>
        </w:tc>
      </w:tr>
      <w:tr w:rsidR="00AA1A42" w:rsidRPr="00B479AE" w14:paraId="387203F0" w14:textId="77777777" w:rsidTr="006B042F">
        <w:trPr>
          <w:tblCellSpacing w:w="15" w:type="dxa"/>
        </w:trPr>
        <w:tc>
          <w:tcPr>
            <w:tcW w:w="0" w:type="auto"/>
            <w:vAlign w:val="center"/>
            <w:hideMark/>
          </w:tcPr>
          <w:p w14:paraId="55087E25"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Release manifest</w:t>
            </w:r>
          </w:p>
        </w:tc>
        <w:tc>
          <w:tcPr>
            <w:tcW w:w="0" w:type="auto"/>
            <w:vAlign w:val="center"/>
            <w:hideMark/>
          </w:tcPr>
          <w:p w14:paraId="41DC388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Lists canonical files, versions, hashes, dates, and release identifiers.</w:t>
            </w:r>
          </w:p>
        </w:tc>
      </w:tr>
      <w:tr w:rsidR="00AA1A42" w:rsidRPr="00B479AE" w14:paraId="5CB284CA" w14:textId="77777777" w:rsidTr="006B042F">
        <w:trPr>
          <w:tblCellSpacing w:w="15" w:type="dxa"/>
        </w:trPr>
        <w:tc>
          <w:tcPr>
            <w:tcW w:w="0" w:type="auto"/>
            <w:vAlign w:val="center"/>
            <w:hideMark/>
          </w:tcPr>
          <w:p w14:paraId="090DE70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SHA-256 checksum file</w:t>
            </w:r>
          </w:p>
        </w:tc>
        <w:tc>
          <w:tcPr>
            <w:tcW w:w="0" w:type="auto"/>
            <w:vAlign w:val="center"/>
            <w:hideMark/>
          </w:tcPr>
          <w:p w14:paraId="7565C7E5"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Allows offline integrity verification of each file.</w:t>
            </w:r>
          </w:p>
        </w:tc>
      </w:tr>
      <w:tr w:rsidR="00AA1A42" w:rsidRPr="00B479AE" w14:paraId="443181B4" w14:textId="77777777" w:rsidTr="006B042F">
        <w:trPr>
          <w:tblCellSpacing w:w="15" w:type="dxa"/>
        </w:trPr>
        <w:tc>
          <w:tcPr>
            <w:tcW w:w="0" w:type="auto"/>
            <w:vAlign w:val="center"/>
            <w:hideMark/>
          </w:tcPr>
          <w:p w14:paraId="479D291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Detached signatures</w:t>
            </w:r>
          </w:p>
        </w:tc>
        <w:tc>
          <w:tcPr>
            <w:tcW w:w="0" w:type="auto"/>
            <w:vAlign w:val="center"/>
            <w:hideMark/>
          </w:tcPr>
          <w:p w14:paraId="733E9D9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Allows authenticity verification through public-key cryptography.</w:t>
            </w:r>
          </w:p>
        </w:tc>
      </w:tr>
      <w:tr w:rsidR="00AA1A42" w:rsidRPr="00B479AE" w14:paraId="108D5759" w14:textId="77777777" w:rsidTr="006B042F">
        <w:trPr>
          <w:tblCellSpacing w:w="15" w:type="dxa"/>
        </w:trPr>
        <w:tc>
          <w:tcPr>
            <w:tcW w:w="0" w:type="auto"/>
            <w:vAlign w:val="center"/>
            <w:hideMark/>
          </w:tcPr>
          <w:p w14:paraId="3A499EFF"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Public signing key</w:t>
            </w:r>
          </w:p>
        </w:tc>
        <w:tc>
          <w:tcPr>
            <w:tcW w:w="0" w:type="auto"/>
            <w:vAlign w:val="center"/>
            <w:hideMark/>
          </w:tcPr>
          <w:p w14:paraId="356576D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Allows independent verification of release signatures.</w:t>
            </w:r>
          </w:p>
        </w:tc>
      </w:tr>
      <w:tr w:rsidR="00AA1A42" w:rsidRPr="00B479AE" w14:paraId="28395325" w14:textId="77777777" w:rsidTr="006B042F">
        <w:trPr>
          <w:tblCellSpacing w:w="15" w:type="dxa"/>
        </w:trPr>
        <w:tc>
          <w:tcPr>
            <w:tcW w:w="0" w:type="auto"/>
            <w:vAlign w:val="center"/>
            <w:hideMark/>
          </w:tcPr>
          <w:p w14:paraId="195CB61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Verification manual</w:t>
            </w:r>
          </w:p>
        </w:tc>
        <w:tc>
          <w:tcPr>
            <w:tcW w:w="0" w:type="auto"/>
            <w:vAlign w:val="center"/>
            <w:hideMark/>
          </w:tcPr>
          <w:p w14:paraId="14C36D0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Explains how to verify authenticity without trusting a live platform.</w:t>
            </w:r>
          </w:p>
        </w:tc>
      </w:tr>
      <w:tr w:rsidR="00AA1A42" w:rsidRPr="00B479AE" w14:paraId="4920EC07" w14:textId="77777777" w:rsidTr="006B042F">
        <w:trPr>
          <w:tblCellSpacing w:w="15" w:type="dxa"/>
        </w:trPr>
        <w:tc>
          <w:tcPr>
            <w:tcW w:w="0" w:type="auto"/>
            <w:vAlign w:val="center"/>
            <w:hideMark/>
          </w:tcPr>
          <w:p w14:paraId="3A378A7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Source-code snapshot</w:t>
            </w:r>
          </w:p>
        </w:tc>
        <w:tc>
          <w:tcPr>
            <w:tcW w:w="0" w:type="auto"/>
            <w:vAlign w:val="center"/>
            <w:hideMark/>
          </w:tcPr>
          <w:p w14:paraId="7FC87AE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implementation state where applicable.</w:t>
            </w:r>
          </w:p>
        </w:tc>
      </w:tr>
      <w:tr w:rsidR="00AA1A42" w:rsidRPr="00B479AE" w14:paraId="536DD7CC" w14:textId="77777777" w:rsidTr="006B042F">
        <w:trPr>
          <w:tblCellSpacing w:w="15" w:type="dxa"/>
        </w:trPr>
        <w:tc>
          <w:tcPr>
            <w:tcW w:w="0" w:type="auto"/>
            <w:vAlign w:val="center"/>
            <w:hideMark/>
          </w:tcPr>
          <w:p w14:paraId="0F0BB43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Canonical glossary</w:t>
            </w:r>
          </w:p>
        </w:tc>
        <w:tc>
          <w:tcPr>
            <w:tcW w:w="0" w:type="auto"/>
            <w:vAlign w:val="center"/>
            <w:hideMark/>
          </w:tcPr>
          <w:p w14:paraId="4F0D7C7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protected meanings against semantic drift.</w:t>
            </w:r>
          </w:p>
        </w:tc>
      </w:tr>
      <w:tr w:rsidR="00AA1A42" w:rsidRPr="00B479AE" w14:paraId="660F7576" w14:textId="77777777" w:rsidTr="006B042F">
        <w:trPr>
          <w:tblCellSpacing w:w="15" w:type="dxa"/>
        </w:trPr>
        <w:tc>
          <w:tcPr>
            <w:tcW w:w="0" w:type="auto"/>
            <w:vAlign w:val="center"/>
            <w:hideMark/>
          </w:tcPr>
          <w:p w14:paraId="37FC87C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and license bundle</w:t>
            </w:r>
          </w:p>
        </w:tc>
        <w:tc>
          <w:tcPr>
            <w:tcW w:w="0" w:type="auto"/>
            <w:vAlign w:val="center"/>
            <w:hideMark/>
          </w:tcPr>
          <w:p w14:paraId="6DF1888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licenses, constitutional rider, contributor terms, and canonical-use rules.</w:t>
            </w:r>
          </w:p>
        </w:tc>
      </w:tr>
      <w:tr w:rsidR="00AA1A42" w:rsidRPr="00B479AE" w14:paraId="2DCE3817" w14:textId="77777777" w:rsidTr="006B042F">
        <w:trPr>
          <w:tblCellSpacing w:w="15" w:type="dxa"/>
        </w:trPr>
        <w:tc>
          <w:tcPr>
            <w:tcW w:w="0" w:type="auto"/>
            <w:vAlign w:val="center"/>
            <w:hideMark/>
          </w:tcPr>
          <w:p w14:paraId="7A1A289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record snapshot</w:t>
            </w:r>
          </w:p>
        </w:tc>
        <w:tc>
          <w:tcPr>
            <w:tcW w:w="0" w:type="auto"/>
            <w:vAlign w:val="center"/>
            <w:hideMark/>
          </w:tcPr>
          <w:p w14:paraId="5893812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decision history, release approvals, custodians, and version lineage.</w:t>
            </w:r>
          </w:p>
        </w:tc>
      </w:tr>
      <w:tr w:rsidR="00AA1A42" w:rsidRPr="00B479AE" w14:paraId="1FCA2B6F" w14:textId="77777777" w:rsidTr="006B042F">
        <w:trPr>
          <w:tblCellSpacing w:w="15" w:type="dxa"/>
        </w:trPr>
        <w:tc>
          <w:tcPr>
            <w:tcW w:w="0" w:type="auto"/>
            <w:vAlign w:val="center"/>
            <w:hideMark/>
          </w:tcPr>
          <w:p w14:paraId="5B4AA76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Recovery procedure</w:t>
            </w:r>
          </w:p>
        </w:tc>
        <w:tc>
          <w:tcPr>
            <w:tcW w:w="0" w:type="auto"/>
            <w:vAlign w:val="center"/>
            <w:hideMark/>
          </w:tcPr>
          <w:p w14:paraId="5A057E4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Defines how to restore the canon after compromise, outage, or migration.</w:t>
            </w:r>
          </w:p>
        </w:tc>
      </w:tr>
      <w:tr w:rsidR="00AA1A42" w:rsidRPr="00B479AE" w14:paraId="2733EC46" w14:textId="77777777" w:rsidTr="006B042F">
        <w:trPr>
          <w:tblCellSpacing w:w="15" w:type="dxa"/>
        </w:trPr>
        <w:tc>
          <w:tcPr>
            <w:tcW w:w="0" w:type="auto"/>
            <w:vAlign w:val="center"/>
            <w:hideMark/>
          </w:tcPr>
          <w:p w14:paraId="29F0F94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Physical archive copy</w:t>
            </w:r>
          </w:p>
        </w:tc>
        <w:tc>
          <w:tcPr>
            <w:tcW w:w="0" w:type="auto"/>
            <w:vAlign w:val="center"/>
            <w:hideMark/>
          </w:tcPr>
          <w:p w14:paraId="1C98A66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the constitutional memory outside digital fragility.</w:t>
            </w:r>
          </w:p>
        </w:tc>
      </w:tr>
    </w:tbl>
    <w:p w14:paraId="0DFBF7C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package should be reproducible.</w:t>
      </w:r>
    </w:p>
    <w:p w14:paraId="165D1F3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A future custodian should be able to rebuild the canonical release from signed components, verify its integrity, and compare it against known hashes without Internet access.</w:t>
      </w:r>
    </w:p>
    <w:p w14:paraId="0D82D12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minimum offline verification pathway is:</w:t>
      </w:r>
    </w:p>
    <w:p w14:paraId="6E9F898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canonical bundle received;</w:t>
      </w:r>
      <w:r w:rsidRPr="00B479AE">
        <w:rPr>
          <w:rFonts w:ascii="Baskerville Old Face" w:hAnsi="Baskerville Old Face"/>
          <w:i/>
          <w:iCs/>
        </w:rPr>
        <w:br/>
        <w:t>public key imported from trusted archive;</w:t>
      </w:r>
      <w:r w:rsidRPr="00B479AE">
        <w:rPr>
          <w:rFonts w:ascii="Baskerville Old Face" w:hAnsi="Baskerville Old Face"/>
          <w:i/>
          <w:iCs/>
        </w:rPr>
        <w:br/>
        <w:t>hashes calculated locally;</w:t>
      </w:r>
      <w:r w:rsidRPr="00B479AE">
        <w:rPr>
          <w:rFonts w:ascii="Baskerville Old Face" w:hAnsi="Baskerville Old Face"/>
          <w:i/>
          <w:iCs/>
        </w:rPr>
        <w:br/>
        <w:t>hashes compared to signed checksum file;</w:t>
      </w:r>
      <w:r w:rsidRPr="00B479AE">
        <w:rPr>
          <w:rFonts w:ascii="Baskerville Old Face" w:hAnsi="Baskerville Old Face"/>
          <w:i/>
          <w:iCs/>
        </w:rPr>
        <w:br/>
        <w:t>detached signatures verified;</w:t>
      </w:r>
      <w:r w:rsidRPr="00B479AE">
        <w:rPr>
          <w:rFonts w:ascii="Baskerville Old Face" w:hAnsi="Baskerville Old Face"/>
          <w:i/>
          <w:iCs/>
        </w:rPr>
        <w:br/>
        <w:t>release manifest checked;</w:t>
      </w:r>
      <w:r w:rsidRPr="00B479AE">
        <w:rPr>
          <w:rFonts w:ascii="Baskerville Old Face" w:hAnsi="Baskerville Old Face"/>
          <w:i/>
          <w:iCs/>
        </w:rPr>
        <w:br/>
        <w:t>canonical glossary confirmed;</w:t>
      </w:r>
      <w:r w:rsidRPr="00B479AE">
        <w:rPr>
          <w:rFonts w:ascii="Baskerville Old Face" w:hAnsi="Baskerville Old Face"/>
          <w:i/>
          <w:iCs/>
        </w:rPr>
        <w:br/>
        <w:t>source-layer non-regression statement reviewed;</w:t>
      </w:r>
      <w:r w:rsidRPr="00B479AE">
        <w:rPr>
          <w:rFonts w:ascii="Baskerville Old Face" w:hAnsi="Baskerville Old Face"/>
          <w:i/>
          <w:iCs/>
        </w:rPr>
        <w:br/>
        <w:t>custodian record compared where available.</w:t>
      </w:r>
    </w:p>
    <w:p w14:paraId="796C0C9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makes Prometheus portable across failure.</w:t>
      </w:r>
    </w:p>
    <w:p w14:paraId="412C8D3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village without Internet can preserve Prometheus.</w:t>
      </w:r>
    </w:p>
    <w:p w14:paraId="6532815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bioregion under network disruption can preserve Prometheus.</w:t>
      </w:r>
    </w:p>
    <w:p w14:paraId="5D9A062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post-disaster community can preserve Prometheus.</w:t>
      </w:r>
    </w:p>
    <w:p w14:paraId="78EB14E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spacecraft, habitat, archive vault, research station, monastery, school, seed bank, library, sovereign device, or continuity node can preserve Prometheus.</w:t>
      </w:r>
    </w:p>
    <w:p w14:paraId="6D8DE31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architecture supports multiple transmission modes:</w:t>
      </w:r>
    </w:p>
    <w:p w14:paraId="48E6F39E" w14:textId="77777777" w:rsidR="006B042F" w:rsidRPr="00B479AE" w:rsidRDefault="006B042F" w:rsidP="00AA1A42">
      <w:pPr>
        <w:spacing w:line="360" w:lineRule="auto"/>
        <w:rPr>
          <w:rFonts w:ascii="Baskerville Old Face" w:hAnsi="Baskerville Old Face"/>
          <w:i/>
          <w:iCs/>
        </w:rPr>
      </w:pPr>
    </w:p>
    <w:p w14:paraId="713493E7" w14:textId="77777777" w:rsidR="006B042F" w:rsidRPr="00B479AE" w:rsidRDefault="006B042F" w:rsidP="00AA1A42">
      <w:pPr>
        <w:spacing w:line="360" w:lineRule="auto"/>
        <w:rPr>
          <w:rFonts w:ascii="Baskerville Old Face" w:hAnsi="Baskerville Old Face"/>
          <w:i/>
          <w:iCs/>
        </w:rPr>
      </w:pPr>
    </w:p>
    <w:p w14:paraId="6D49E073" w14:textId="77777777" w:rsidR="006B042F" w:rsidRPr="00B479AE" w:rsidRDefault="006B042F" w:rsidP="00AA1A42">
      <w:pPr>
        <w:spacing w:line="360" w:lineRule="auto"/>
        <w:rPr>
          <w:rFonts w:ascii="Baskerville Old Face" w:hAnsi="Baskerville Old Face"/>
          <w:i/>
          <w:iCs/>
        </w:rPr>
      </w:pPr>
    </w:p>
    <w:p w14:paraId="6B64DD19" w14:textId="77777777" w:rsidR="006B042F" w:rsidRPr="00B479AE" w:rsidRDefault="006B042F" w:rsidP="00AA1A42">
      <w:pPr>
        <w:spacing w:line="360" w:lineRule="auto"/>
        <w:rPr>
          <w:rFonts w:ascii="Baskerville Old Face" w:hAnsi="Baskerville Old Face"/>
          <w:i/>
          <w:iCs/>
        </w:rPr>
      </w:pPr>
    </w:p>
    <w:p w14:paraId="169464DB" w14:textId="77777777" w:rsidR="006B042F" w:rsidRPr="00B479AE" w:rsidRDefault="006B042F" w:rsidP="00AA1A42">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9"/>
        <w:gridCol w:w="5889"/>
      </w:tblGrid>
      <w:tr w:rsidR="00AA1A42" w:rsidRPr="00B479AE" w14:paraId="510AD0C9" w14:textId="77777777" w:rsidTr="006B042F">
        <w:trPr>
          <w:tblHeader/>
          <w:tblCellSpacing w:w="15" w:type="dxa"/>
        </w:trPr>
        <w:tc>
          <w:tcPr>
            <w:tcW w:w="0" w:type="auto"/>
            <w:vAlign w:val="center"/>
            <w:hideMark/>
          </w:tcPr>
          <w:p w14:paraId="774DEF40"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Transmission mode</w:t>
            </w:r>
          </w:p>
        </w:tc>
        <w:tc>
          <w:tcPr>
            <w:tcW w:w="0" w:type="auto"/>
            <w:vAlign w:val="center"/>
            <w:hideMark/>
          </w:tcPr>
          <w:p w14:paraId="03E05ADF"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 case</w:t>
            </w:r>
          </w:p>
        </w:tc>
      </w:tr>
      <w:tr w:rsidR="00AA1A42" w:rsidRPr="00B479AE" w14:paraId="1E7D36DB" w14:textId="77777777" w:rsidTr="006B042F">
        <w:trPr>
          <w:tblCellSpacing w:w="15" w:type="dxa"/>
        </w:trPr>
        <w:tc>
          <w:tcPr>
            <w:tcW w:w="0" w:type="auto"/>
            <w:vAlign w:val="center"/>
            <w:hideMark/>
          </w:tcPr>
          <w:p w14:paraId="26F89C9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Internet repository</w:t>
            </w:r>
          </w:p>
        </w:tc>
        <w:tc>
          <w:tcPr>
            <w:tcW w:w="0" w:type="auto"/>
            <w:vAlign w:val="center"/>
            <w:hideMark/>
          </w:tcPr>
          <w:p w14:paraId="2A9B2F95"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Fast public access, issue tracking, collaboration, release visibility.</w:t>
            </w:r>
          </w:p>
        </w:tc>
      </w:tr>
      <w:tr w:rsidR="00AA1A42" w:rsidRPr="00B479AE" w14:paraId="388AF512" w14:textId="77777777" w:rsidTr="006B042F">
        <w:trPr>
          <w:tblCellSpacing w:w="15" w:type="dxa"/>
        </w:trPr>
        <w:tc>
          <w:tcPr>
            <w:tcW w:w="0" w:type="auto"/>
            <w:vAlign w:val="center"/>
            <w:hideMark/>
          </w:tcPr>
          <w:p w14:paraId="44AE2D3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Mirrored repository</w:t>
            </w:r>
          </w:p>
        </w:tc>
        <w:tc>
          <w:tcPr>
            <w:tcW w:w="0" w:type="auto"/>
            <w:vAlign w:val="center"/>
            <w:hideMark/>
          </w:tcPr>
          <w:p w14:paraId="6909D05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Redundancy across platforms and jurisdictions.</w:t>
            </w:r>
          </w:p>
        </w:tc>
      </w:tr>
      <w:tr w:rsidR="00AA1A42" w:rsidRPr="00B479AE" w14:paraId="63BE8B9C" w14:textId="77777777" w:rsidTr="006B042F">
        <w:trPr>
          <w:tblCellSpacing w:w="15" w:type="dxa"/>
        </w:trPr>
        <w:tc>
          <w:tcPr>
            <w:tcW w:w="0" w:type="auto"/>
            <w:vAlign w:val="center"/>
            <w:hideMark/>
          </w:tcPr>
          <w:p w14:paraId="45E88E5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Local Git clone</w:t>
            </w:r>
          </w:p>
        </w:tc>
        <w:tc>
          <w:tcPr>
            <w:tcW w:w="0" w:type="auto"/>
            <w:vAlign w:val="center"/>
            <w:hideMark/>
          </w:tcPr>
          <w:p w14:paraId="05A9F23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Offline version history and technical continuity.</w:t>
            </w:r>
          </w:p>
        </w:tc>
      </w:tr>
      <w:tr w:rsidR="00AA1A42" w:rsidRPr="00B479AE" w14:paraId="43997997" w14:textId="77777777" w:rsidTr="006B042F">
        <w:trPr>
          <w:tblCellSpacing w:w="15" w:type="dxa"/>
        </w:trPr>
        <w:tc>
          <w:tcPr>
            <w:tcW w:w="0" w:type="auto"/>
            <w:vAlign w:val="center"/>
            <w:hideMark/>
          </w:tcPr>
          <w:p w14:paraId="1FFED92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Signed ZIP / TAR archive</w:t>
            </w:r>
          </w:p>
        </w:tc>
        <w:tc>
          <w:tcPr>
            <w:tcW w:w="0" w:type="auto"/>
            <w:vAlign w:val="center"/>
            <w:hideMark/>
          </w:tcPr>
          <w:p w14:paraId="0EDCB1B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Portable release package.</w:t>
            </w:r>
          </w:p>
        </w:tc>
      </w:tr>
      <w:tr w:rsidR="00AA1A42" w:rsidRPr="00B479AE" w14:paraId="3F0631E0" w14:textId="77777777" w:rsidTr="006B042F">
        <w:trPr>
          <w:tblCellSpacing w:w="15" w:type="dxa"/>
        </w:trPr>
        <w:tc>
          <w:tcPr>
            <w:tcW w:w="0" w:type="auto"/>
            <w:vAlign w:val="center"/>
            <w:hideMark/>
          </w:tcPr>
          <w:p w14:paraId="71DA68B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USB / SD / encrypted drive</w:t>
            </w:r>
          </w:p>
        </w:tc>
        <w:tc>
          <w:tcPr>
            <w:tcW w:w="0" w:type="auto"/>
            <w:vAlign w:val="center"/>
            <w:hideMark/>
          </w:tcPr>
          <w:p w14:paraId="62F07D5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Field transfer and local custody.</w:t>
            </w:r>
          </w:p>
        </w:tc>
      </w:tr>
      <w:tr w:rsidR="00AA1A42" w:rsidRPr="00B479AE" w14:paraId="01BE16C7" w14:textId="77777777" w:rsidTr="006B042F">
        <w:trPr>
          <w:tblCellSpacing w:w="15" w:type="dxa"/>
        </w:trPr>
        <w:tc>
          <w:tcPr>
            <w:tcW w:w="0" w:type="auto"/>
            <w:vAlign w:val="center"/>
            <w:hideMark/>
          </w:tcPr>
          <w:p w14:paraId="6BB4371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Printed constitutional package</w:t>
            </w:r>
          </w:p>
        </w:tc>
        <w:tc>
          <w:tcPr>
            <w:tcW w:w="0" w:type="auto"/>
            <w:vAlign w:val="center"/>
            <w:hideMark/>
          </w:tcPr>
          <w:p w14:paraId="7BB24997"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Human-readable survival layer.</w:t>
            </w:r>
          </w:p>
        </w:tc>
      </w:tr>
      <w:tr w:rsidR="00AA1A42" w:rsidRPr="00B479AE" w14:paraId="4C73497F" w14:textId="77777777" w:rsidTr="006B042F">
        <w:trPr>
          <w:tblCellSpacing w:w="15" w:type="dxa"/>
        </w:trPr>
        <w:tc>
          <w:tcPr>
            <w:tcW w:w="0" w:type="auto"/>
            <w:vAlign w:val="center"/>
            <w:hideMark/>
          </w:tcPr>
          <w:p w14:paraId="747C7993" w14:textId="77777777" w:rsidR="00AA1A42" w:rsidRPr="005907F1" w:rsidRDefault="00AA1A42" w:rsidP="00AA1A42">
            <w:pPr>
              <w:spacing w:line="360" w:lineRule="auto"/>
              <w:rPr>
                <w:rFonts w:ascii="Baskerville Old Face" w:hAnsi="Baskerville Old Face"/>
                <w:i/>
                <w:iCs/>
                <w:sz w:val="22"/>
                <w:szCs w:val="22"/>
                <w:lang w:val="it-IT"/>
              </w:rPr>
            </w:pPr>
            <w:r w:rsidRPr="005907F1">
              <w:rPr>
                <w:rFonts w:ascii="Baskerville Old Face" w:hAnsi="Baskerville Old Face"/>
                <w:b/>
                <w:bCs/>
                <w:i/>
                <w:iCs/>
                <w:sz w:val="22"/>
                <w:szCs w:val="22"/>
                <w:lang w:val="it-IT"/>
              </w:rPr>
              <w:t xml:space="preserve">M-DISC / </w:t>
            </w:r>
            <w:proofErr w:type="spellStart"/>
            <w:r w:rsidRPr="005907F1">
              <w:rPr>
                <w:rFonts w:ascii="Baskerville Old Face" w:hAnsi="Baskerville Old Face"/>
                <w:b/>
                <w:bCs/>
                <w:i/>
                <w:iCs/>
                <w:sz w:val="22"/>
                <w:szCs w:val="22"/>
                <w:lang w:val="it-IT"/>
              </w:rPr>
              <w:t>archival</w:t>
            </w:r>
            <w:proofErr w:type="spellEnd"/>
            <w:r w:rsidRPr="005907F1">
              <w:rPr>
                <w:rFonts w:ascii="Baskerville Old Face" w:hAnsi="Baskerville Old Face"/>
                <w:b/>
                <w:bCs/>
                <w:i/>
                <w:iCs/>
                <w:sz w:val="22"/>
                <w:szCs w:val="22"/>
                <w:lang w:val="it-IT"/>
              </w:rPr>
              <w:t xml:space="preserve"> media / </w:t>
            </w:r>
            <w:proofErr w:type="spellStart"/>
            <w:r w:rsidRPr="005907F1">
              <w:rPr>
                <w:rFonts w:ascii="Baskerville Old Face" w:hAnsi="Baskerville Old Face"/>
                <w:b/>
                <w:bCs/>
                <w:i/>
                <w:iCs/>
                <w:sz w:val="22"/>
                <w:szCs w:val="22"/>
                <w:lang w:val="it-IT"/>
              </w:rPr>
              <w:t>cold</w:t>
            </w:r>
            <w:proofErr w:type="spellEnd"/>
            <w:r w:rsidRPr="005907F1">
              <w:rPr>
                <w:rFonts w:ascii="Baskerville Old Face" w:hAnsi="Baskerville Old Face"/>
                <w:b/>
                <w:bCs/>
                <w:i/>
                <w:iCs/>
                <w:sz w:val="22"/>
                <w:szCs w:val="22"/>
                <w:lang w:val="it-IT"/>
              </w:rPr>
              <w:t xml:space="preserve"> storage</w:t>
            </w:r>
          </w:p>
        </w:tc>
        <w:tc>
          <w:tcPr>
            <w:tcW w:w="0" w:type="auto"/>
            <w:vAlign w:val="center"/>
            <w:hideMark/>
          </w:tcPr>
          <w:p w14:paraId="6650FFD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Long-duration physical preservation.</w:t>
            </w:r>
          </w:p>
        </w:tc>
      </w:tr>
      <w:tr w:rsidR="00AA1A42" w:rsidRPr="00B479AE" w14:paraId="3BC991A3" w14:textId="77777777" w:rsidTr="006B042F">
        <w:trPr>
          <w:tblCellSpacing w:w="15" w:type="dxa"/>
        </w:trPr>
        <w:tc>
          <w:tcPr>
            <w:tcW w:w="0" w:type="auto"/>
            <w:vAlign w:val="center"/>
            <w:hideMark/>
          </w:tcPr>
          <w:p w14:paraId="7DD7730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Mesh / LoRa / radio packet / local network</w:t>
            </w:r>
          </w:p>
        </w:tc>
        <w:tc>
          <w:tcPr>
            <w:tcW w:w="0" w:type="auto"/>
            <w:vAlign w:val="center"/>
            <w:hideMark/>
          </w:tcPr>
          <w:p w14:paraId="4D6521A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Low-bandwidth post-disruption distribution.</w:t>
            </w:r>
          </w:p>
        </w:tc>
      </w:tr>
      <w:tr w:rsidR="00AA1A42" w:rsidRPr="00B479AE" w14:paraId="10EE4698" w14:textId="77777777" w:rsidTr="006B042F">
        <w:trPr>
          <w:tblCellSpacing w:w="15" w:type="dxa"/>
        </w:trPr>
        <w:tc>
          <w:tcPr>
            <w:tcW w:w="0" w:type="auto"/>
            <w:vAlign w:val="center"/>
            <w:hideMark/>
          </w:tcPr>
          <w:p w14:paraId="3EE4DF0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Satellite or alternative links</w:t>
            </w:r>
          </w:p>
        </w:tc>
        <w:tc>
          <w:tcPr>
            <w:tcW w:w="0" w:type="auto"/>
            <w:vAlign w:val="center"/>
            <w:hideMark/>
          </w:tcPr>
          <w:p w14:paraId="6D4BD31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Remote continuity where terrestrial networks fail.</w:t>
            </w:r>
          </w:p>
        </w:tc>
      </w:tr>
      <w:tr w:rsidR="00AA1A42" w:rsidRPr="00B479AE" w14:paraId="31D0BD42" w14:textId="77777777" w:rsidTr="006B042F">
        <w:trPr>
          <w:tblCellSpacing w:w="15" w:type="dxa"/>
        </w:trPr>
        <w:tc>
          <w:tcPr>
            <w:tcW w:w="0" w:type="auto"/>
            <w:vAlign w:val="center"/>
            <w:hideMark/>
          </w:tcPr>
          <w:p w14:paraId="2016E6E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Institutional deposit</w:t>
            </w:r>
          </w:p>
        </w:tc>
        <w:tc>
          <w:tcPr>
            <w:tcW w:w="0" w:type="auto"/>
            <w:vAlign w:val="center"/>
            <w:hideMark/>
          </w:tcPr>
          <w:p w14:paraId="29A4C97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Legal and archival continuity.</w:t>
            </w:r>
          </w:p>
        </w:tc>
      </w:tr>
      <w:tr w:rsidR="00AA1A42" w:rsidRPr="00B479AE" w14:paraId="76D9D409" w14:textId="77777777" w:rsidTr="006B042F">
        <w:trPr>
          <w:tblCellSpacing w:w="15" w:type="dxa"/>
        </w:trPr>
        <w:tc>
          <w:tcPr>
            <w:tcW w:w="0" w:type="auto"/>
            <w:vAlign w:val="center"/>
            <w:hideMark/>
          </w:tcPr>
          <w:p w14:paraId="2FF9523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Community custody</w:t>
            </w:r>
          </w:p>
        </w:tc>
        <w:tc>
          <w:tcPr>
            <w:tcW w:w="0" w:type="auto"/>
            <w:vAlign w:val="center"/>
            <w:hideMark/>
          </w:tcPr>
          <w:p w14:paraId="0AD3B52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Distributed cultural memory.</w:t>
            </w:r>
          </w:p>
        </w:tc>
      </w:tr>
      <w:tr w:rsidR="00AA1A42" w:rsidRPr="00B479AE" w14:paraId="1BF8A118" w14:textId="77777777" w:rsidTr="006B042F">
        <w:trPr>
          <w:tblCellSpacing w:w="15" w:type="dxa"/>
        </w:trPr>
        <w:tc>
          <w:tcPr>
            <w:tcW w:w="0" w:type="auto"/>
            <w:vAlign w:val="center"/>
            <w:hideMark/>
          </w:tcPr>
          <w:p w14:paraId="1DA85DE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Biological / seed-bank archive</w:t>
            </w:r>
          </w:p>
        </w:tc>
        <w:tc>
          <w:tcPr>
            <w:tcW w:w="0" w:type="auto"/>
            <w:vAlign w:val="center"/>
            <w:hideMark/>
          </w:tcPr>
          <w:p w14:paraId="5F27FBE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Continuity of living-system knowledge and post-disaster regeneration.</w:t>
            </w:r>
          </w:p>
        </w:tc>
      </w:tr>
    </w:tbl>
    <w:p w14:paraId="2C48E21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distinguishes online availability from canonical validity.</w:t>
      </w:r>
    </w:p>
    <w:p w14:paraId="0315A9E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Online availability means that a file can be reached.</w:t>
      </w:r>
    </w:p>
    <w:p w14:paraId="7123C2D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Canonical validity means that a file can be verified.</w:t>
      </w:r>
    </w:p>
    <w:p w14:paraId="03F63CE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Availability is useful.</w:t>
      </w:r>
    </w:p>
    <w:p w14:paraId="188B141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Verifiability is essential.</w:t>
      </w:r>
    </w:p>
    <w:p w14:paraId="2A8F0D6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file hosted online but unsigned is insufficient.</w:t>
      </w:r>
    </w:p>
    <w:p w14:paraId="4D01E7B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A file offline but signed, hashed, versioned, and traceable may preserve the canon.</w:t>
      </w:r>
    </w:p>
    <w:p w14:paraId="5D23DD6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is how Prometheus survives without Internet.</w:t>
      </w:r>
    </w:p>
    <w:p w14:paraId="43F29F6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becomes a portable constitutional organism.</w:t>
      </w:r>
    </w:p>
    <w:p w14:paraId="4DD9EF1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can go dark without becoming lost.</w:t>
      </w:r>
    </w:p>
    <w:p w14:paraId="3CB6E3F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can travel without permission from a platform.</w:t>
      </w:r>
    </w:p>
    <w:p w14:paraId="4F53FF3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can sleep in archives and awaken through verification.</w:t>
      </w:r>
    </w:p>
    <w:p w14:paraId="64732A0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can be carried by stewards, institutions, communities, devices, libraries, vaults, ships, habitats, and future continuity nodes.</w:t>
      </w:r>
    </w:p>
    <w:p w14:paraId="311F9C0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network-independent rule is:</w:t>
      </w:r>
    </w:p>
    <w:p w14:paraId="24B21B8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may use the Internet;</w:t>
      </w:r>
      <w:r w:rsidRPr="00B479AE">
        <w:rPr>
          <w:rFonts w:ascii="Baskerville Old Face" w:hAnsi="Baskerville Old Face"/>
          <w:i/>
          <w:iCs/>
        </w:rPr>
        <w:br/>
        <w:t>Prometheus must not depend on the Internet;</w:t>
      </w:r>
      <w:r w:rsidRPr="00B479AE">
        <w:rPr>
          <w:rFonts w:ascii="Baskerville Old Face" w:hAnsi="Baskerville Old Face"/>
          <w:i/>
          <w:iCs/>
        </w:rPr>
        <w:br/>
        <w:t>Prometheus survives wherever the source layer can be verified, understood, transmitted, and faithfully reactivated.</w:t>
      </w:r>
    </w:p>
    <w:p w14:paraId="7598AC1F" w14:textId="351E9220" w:rsidR="006602F4" w:rsidRPr="00B479AE" w:rsidRDefault="006602F4" w:rsidP="006602F4">
      <w:pPr>
        <w:spacing w:line="360" w:lineRule="auto"/>
        <w:rPr>
          <w:rFonts w:ascii="Baskerville Old Face" w:hAnsi="Baskerville Old Face"/>
          <w:b/>
          <w:bCs/>
          <w:i/>
          <w:iCs/>
        </w:rPr>
      </w:pPr>
      <w:r w:rsidRPr="00B479AE">
        <w:rPr>
          <w:rFonts w:ascii="Baskerville Old Face" w:hAnsi="Baskerville Old Face"/>
          <w:b/>
          <w:bCs/>
          <w:i/>
          <w:iCs/>
        </w:rPr>
        <w:t>Canonical Continuity and Offline Survival Function</w:t>
      </w:r>
    </w:p>
    <w:p w14:paraId="7D101D9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Prometheus must remain intelligible, verifiable, and recoverable even when specific platforms, repositories, networks, institutions, or digital infrastructures fail.</w:t>
      </w:r>
    </w:p>
    <w:p w14:paraId="6E4B2AB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GitHub may host the canon.</w:t>
      </w:r>
    </w:p>
    <w:p w14:paraId="54B20BF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GitHub does not own the canon.</w:t>
      </w:r>
    </w:p>
    <w:p w14:paraId="4D80DA3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cloud service may mirror Prometheus.</w:t>
      </w:r>
    </w:p>
    <w:p w14:paraId="63405CA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cloud service does not define Prometheus.</w:t>
      </w:r>
    </w:p>
    <w:p w14:paraId="372E4E8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An online repository may distribute Prometheus.</w:t>
      </w:r>
    </w:p>
    <w:p w14:paraId="06865F5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An online repository does not constitute the source layer.</w:t>
      </w:r>
    </w:p>
    <w:p w14:paraId="6C035F98"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The continuity of Prometheus depends on the preservation of its canonical identity across online, offline, local, institutional, cryptographic, printed, and human stewardship layers.</w:t>
      </w:r>
    </w:p>
    <w:p w14:paraId="58773AC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lastRenderedPageBreak/>
        <w:t>This continuity may be expressed conceptually as:</w:t>
      </w:r>
    </w:p>
    <w:p w14:paraId="71161E15"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Continuity_Prometheus</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Canon, Hashes, Signatures, Mirrors, Offline Archives, Human Stewards, Governance Memory, Recovery Protocols)</w:t>
      </w:r>
    </w:p>
    <w:p w14:paraId="788D044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Where:</w:t>
      </w:r>
    </w:p>
    <w:p w14:paraId="54E9694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Canon = foundational text, source-layer articles, Eternity Clauses, Access Covenant, canonical glossary, constitutional sequences, and approved release package.</w:t>
      </w:r>
    </w:p>
    <w:p w14:paraId="197810F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Hashes = cryptographic checksums verifying document integrity.</w:t>
      </w:r>
    </w:p>
    <w:p w14:paraId="2E2FEDE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Signatures = detached signatures, steward attestations, institutional attestations, or other verification mechanisms confirming release authenticity.</w:t>
      </w:r>
    </w:p>
    <w:p w14:paraId="7FC7BC9E"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Mirrors = distributed online copies, Git repositories, institutional archives, IPFS-like references where appropriate, and other redundant digital locations.</w:t>
      </w:r>
    </w:p>
    <w:p w14:paraId="2C9BEE96"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Offline Archives = printed copies, local digital archives, encrypted drives, air-gapped storage, physical release binders, libraries, seed-bank records, and bioregional continuity packages.</w:t>
      </w:r>
    </w:p>
    <w:p w14:paraId="751CCDA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Human Stewards = people, circles, institutions, communities, or continuity custodians capable of interpreting, preserving, and reactivating the canon.</w:t>
      </w:r>
    </w:p>
    <w:p w14:paraId="6D096ADC"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Governance Memory = decision logs, release notes, amendment history, interpretation records, dispute records, fork classifications, and canonical review outcomes.</w:t>
      </w:r>
    </w:p>
    <w:p w14:paraId="1D555DF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Recovery Protocols = procedures for reconstructing, verifying, re-publishing, translating, and reactivating Prometheus after disruption.</w:t>
      </w:r>
    </w:p>
    <w:p w14:paraId="6F021FF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simplified continuity condition may be expressed as:</w:t>
      </w:r>
    </w:p>
    <w:p w14:paraId="3F9268FB"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C_continuity</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C_id</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H_int</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S_auth</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M_red</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O_surv</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G_mem</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R_rec</w:t>
      </w:r>
      <w:proofErr w:type="spellEnd"/>
    </w:p>
    <w:p w14:paraId="6ED23C06"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Where:</w:t>
      </w:r>
    </w:p>
    <w:p w14:paraId="1255A007"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C_continuity</w:t>
      </w:r>
      <w:proofErr w:type="spellEnd"/>
      <w:r w:rsidRPr="00B479AE">
        <w:rPr>
          <w:rFonts w:ascii="Baskerville Old Face" w:hAnsi="Baskerville Old Face"/>
          <w:i/>
          <w:iCs/>
        </w:rPr>
        <w:t xml:space="preserve"> = continuity condition of Prometheus.</w:t>
      </w:r>
      <w:r w:rsidRPr="00B479AE">
        <w:rPr>
          <w:rFonts w:ascii="Baskerville Old Face" w:hAnsi="Baskerville Old Face"/>
          <w:i/>
          <w:iCs/>
        </w:rPr>
        <w:br/>
      </w:r>
      <w:proofErr w:type="spellStart"/>
      <w:r w:rsidRPr="00B479AE">
        <w:rPr>
          <w:rFonts w:ascii="Baskerville Old Face" w:hAnsi="Baskerville Old Face"/>
          <w:i/>
          <w:iCs/>
        </w:rPr>
        <w:t>C_id</w:t>
      </w:r>
      <w:proofErr w:type="spellEnd"/>
      <w:r w:rsidRPr="00B479AE">
        <w:rPr>
          <w:rFonts w:ascii="Baskerville Old Face" w:hAnsi="Baskerville Old Face"/>
          <w:i/>
          <w:iCs/>
        </w:rPr>
        <w:t xml:space="preserve"> = canonical identity preserved.</w:t>
      </w:r>
      <w:r w:rsidRPr="00B479AE">
        <w:rPr>
          <w:rFonts w:ascii="Baskerville Old Face" w:hAnsi="Baskerville Old Face"/>
          <w:i/>
          <w:iCs/>
        </w:rPr>
        <w:br/>
      </w:r>
      <w:proofErr w:type="spellStart"/>
      <w:r w:rsidRPr="00B479AE">
        <w:rPr>
          <w:rFonts w:ascii="Baskerville Old Face" w:hAnsi="Baskerville Old Face"/>
          <w:i/>
          <w:iCs/>
        </w:rPr>
        <w:t>H_int</w:t>
      </w:r>
      <w:proofErr w:type="spellEnd"/>
      <w:r w:rsidRPr="00B479AE">
        <w:rPr>
          <w:rFonts w:ascii="Baskerville Old Face" w:hAnsi="Baskerville Old Face"/>
          <w:i/>
          <w:iCs/>
        </w:rPr>
        <w:t xml:space="preserve"> = hash integrity preserved.</w:t>
      </w:r>
      <w:r w:rsidRPr="00B479AE">
        <w:rPr>
          <w:rFonts w:ascii="Baskerville Old Face" w:hAnsi="Baskerville Old Face"/>
          <w:i/>
          <w:iCs/>
        </w:rPr>
        <w:br/>
      </w:r>
      <w:proofErr w:type="spellStart"/>
      <w:r w:rsidRPr="00B479AE">
        <w:rPr>
          <w:rFonts w:ascii="Baskerville Old Face" w:hAnsi="Baskerville Old Face"/>
          <w:i/>
          <w:iCs/>
        </w:rPr>
        <w:t>S_auth</w:t>
      </w:r>
      <w:proofErr w:type="spellEnd"/>
      <w:r w:rsidRPr="00B479AE">
        <w:rPr>
          <w:rFonts w:ascii="Baskerville Old Face" w:hAnsi="Baskerville Old Face"/>
          <w:i/>
          <w:iCs/>
        </w:rPr>
        <w:t xml:space="preserve"> = signature or attestation authenticity preserved.</w:t>
      </w:r>
      <w:r w:rsidRPr="00B479AE">
        <w:rPr>
          <w:rFonts w:ascii="Baskerville Old Face" w:hAnsi="Baskerville Old Face"/>
          <w:i/>
          <w:iCs/>
        </w:rPr>
        <w:br/>
      </w:r>
      <w:proofErr w:type="spellStart"/>
      <w:r w:rsidRPr="00B479AE">
        <w:rPr>
          <w:rFonts w:ascii="Baskerville Old Face" w:hAnsi="Baskerville Old Face"/>
          <w:i/>
          <w:iCs/>
        </w:rPr>
        <w:lastRenderedPageBreak/>
        <w:t>M_red</w:t>
      </w:r>
      <w:proofErr w:type="spellEnd"/>
      <w:r w:rsidRPr="00B479AE">
        <w:rPr>
          <w:rFonts w:ascii="Baskerville Old Face" w:hAnsi="Baskerville Old Face"/>
          <w:i/>
          <w:iCs/>
        </w:rPr>
        <w:t xml:space="preserve"> = mirror redundancy preserved.</w:t>
      </w:r>
      <w:r w:rsidRPr="00B479AE">
        <w:rPr>
          <w:rFonts w:ascii="Baskerville Old Face" w:hAnsi="Baskerville Old Face"/>
          <w:i/>
          <w:iCs/>
        </w:rPr>
        <w:br/>
      </w:r>
      <w:proofErr w:type="spellStart"/>
      <w:r w:rsidRPr="00B479AE">
        <w:rPr>
          <w:rFonts w:ascii="Baskerville Old Face" w:hAnsi="Baskerville Old Face"/>
          <w:i/>
          <w:iCs/>
        </w:rPr>
        <w:t>O_surv</w:t>
      </w:r>
      <w:proofErr w:type="spellEnd"/>
      <w:r w:rsidRPr="00B479AE">
        <w:rPr>
          <w:rFonts w:ascii="Baskerville Old Face" w:hAnsi="Baskerville Old Face"/>
          <w:i/>
          <w:iCs/>
        </w:rPr>
        <w:t xml:space="preserve"> = offline survivability preserved.</w:t>
      </w:r>
      <w:r w:rsidRPr="00B479AE">
        <w:rPr>
          <w:rFonts w:ascii="Baskerville Old Face" w:hAnsi="Baskerville Old Face"/>
          <w:i/>
          <w:iCs/>
        </w:rPr>
        <w:br/>
      </w:r>
      <w:proofErr w:type="spellStart"/>
      <w:r w:rsidRPr="00B479AE">
        <w:rPr>
          <w:rFonts w:ascii="Baskerville Old Face" w:hAnsi="Baskerville Old Face"/>
          <w:i/>
          <w:iCs/>
        </w:rPr>
        <w:t>G_mem</w:t>
      </w:r>
      <w:proofErr w:type="spellEnd"/>
      <w:r w:rsidRPr="00B479AE">
        <w:rPr>
          <w:rFonts w:ascii="Baskerville Old Face" w:hAnsi="Baskerville Old Face"/>
          <w:i/>
          <w:iCs/>
        </w:rPr>
        <w:t xml:space="preserve"> = governance memory preserved.</w:t>
      </w:r>
      <w:r w:rsidRPr="00B479AE">
        <w:rPr>
          <w:rFonts w:ascii="Baskerville Old Face" w:hAnsi="Baskerville Old Face"/>
          <w:i/>
          <w:iCs/>
        </w:rPr>
        <w:br/>
      </w:r>
      <w:proofErr w:type="spellStart"/>
      <w:r w:rsidRPr="00B479AE">
        <w:rPr>
          <w:rFonts w:ascii="Baskerville Old Face" w:hAnsi="Baskerville Old Face"/>
          <w:i/>
          <w:iCs/>
        </w:rPr>
        <w:t>R_rec</w:t>
      </w:r>
      <w:proofErr w:type="spellEnd"/>
      <w:r w:rsidRPr="00B479AE">
        <w:rPr>
          <w:rFonts w:ascii="Baskerville Old Face" w:hAnsi="Baskerville Old Face"/>
          <w:i/>
          <w:iCs/>
        </w:rPr>
        <w:t xml:space="preserve"> = recovery protocol available.</w:t>
      </w:r>
    </w:p>
    <w:p w14:paraId="79E8EB1B"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If continuity depends on one platform, one server, one company, one repository, one domain name, one AI system, one legal entity, or one custodian, Prometheus is fragile.</w:t>
      </w:r>
    </w:p>
    <w:p w14:paraId="77905E58"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If continuity is distributed across canon, cryptographic verification, human stewardship, offline archives, governance memory, and recovery protocols, Prometheus becomes resilient.</w:t>
      </w:r>
    </w:p>
    <w:p w14:paraId="788059C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The survival rule is:</w:t>
      </w:r>
    </w:p>
    <w:p w14:paraId="6F00A185"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platforms may fail;</w:t>
      </w:r>
      <w:r w:rsidRPr="00B479AE">
        <w:rPr>
          <w:rFonts w:ascii="Baskerville Old Face" w:hAnsi="Baskerville Old Face"/>
          <w:i/>
          <w:iCs/>
        </w:rPr>
        <w:br/>
        <w:t>canon must remain recoverable;</w:t>
      </w:r>
      <w:r w:rsidRPr="00B479AE">
        <w:rPr>
          <w:rFonts w:ascii="Baskerville Old Face" w:hAnsi="Baskerville Old Face"/>
          <w:i/>
          <w:iCs/>
        </w:rPr>
        <w:br/>
        <w:t>networks may fall;</w:t>
      </w:r>
      <w:r w:rsidRPr="00B479AE">
        <w:rPr>
          <w:rFonts w:ascii="Baskerville Old Face" w:hAnsi="Baskerville Old Face"/>
          <w:i/>
          <w:iCs/>
        </w:rPr>
        <w:br/>
        <w:t>source-layer identity must remain verifiable.</w:t>
      </w:r>
    </w:p>
    <w:p w14:paraId="06416C1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This is the difference between online presence and civilizational continuity.</w:t>
      </w:r>
    </w:p>
    <w:p w14:paraId="16DD9E08"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Prometheus must therefore preserve both:</w:t>
      </w:r>
    </w:p>
    <w:p w14:paraId="4F04584C"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online verifiability</w:t>
      </w:r>
      <w:r w:rsidRPr="00B479AE">
        <w:rPr>
          <w:rFonts w:ascii="Baskerville Old Face" w:hAnsi="Baskerville Old Face"/>
          <w:i/>
          <w:iCs/>
        </w:rPr>
        <w:br/>
        <w:t>and</w:t>
      </w:r>
      <w:r w:rsidRPr="00B479AE">
        <w:rPr>
          <w:rFonts w:ascii="Baskerville Old Face" w:hAnsi="Baskerville Old Face"/>
          <w:i/>
          <w:iCs/>
        </w:rPr>
        <w:br/>
        <w:t>network-independent survivability.</w:t>
      </w:r>
    </w:p>
    <w:p w14:paraId="74BC28B5"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Online verifiability allows broad access, collaboration, version tracking, public inspection, repository mirrors, and institutional review.</w:t>
      </w:r>
    </w:p>
    <w:p w14:paraId="7172A46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Network-independent survivability allows Prometheus to persist when the Internet is unavailable, censored, corrupted, fragmented, or institutionally captured.</w:t>
      </w:r>
    </w:p>
    <w:p w14:paraId="561B19C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continuity package should therefore include:</w:t>
      </w:r>
    </w:p>
    <w:p w14:paraId="68B7DC7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canonical release text;</w:t>
      </w:r>
      <w:r w:rsidRPr="00B479AE">
        <w:rPr>
          <w:rFonts w:ascii="Baskerville Old Face" w:hAnsi="Baskerville Old Face"/>
          <w:i/>
          <w:iCs/>
        </w:rPr>
        <w:br/>
        <w:t>release manifest;</w:t>
      </w:r>
      <w:r w:rsidRPr="00B479AE">
        <w:rPr>
          <w:rFonts w:ascii="Baskerville Old Face" w:hAnsi="Baskerville Old Face"/>
          <w:i/>
          <w:iCs/>
        </w:rPr>
        <w:br/>
        <w:t>SHA-256 or equivalent checksums;</w:t>
      </w:r>
      <w:r w:rsidRPr="00B479AE">
        <w:rPr>
          <w:rFonts w:ascii="Baskerville Old Face" w:hAnsi="Baskerville Old Face"/>
          <w:i/>
          <w:iCs/>
        </w:rPr>
        <w:br/>
        <w:t>detached signatures where available;</w:t>
      </w:r>
      <w:r w:rsidRPr="00B479AE">
        <w:rPr>
          <w:rFonts w:ascii="Baskerville Old Face" w:hAnsi="Baskerville Old Face"/>
          <w:i/>
          <w:iCs/>
        </w:rPr>
        <w:br/>
        <w:t>canonical glossary;</w:t>
      </w:r>
      <w:r w:rsidRPr="00B479AE">
        <w:rPr>
          <w:rFonts w:ascii="Baskerville Old Face" w:hAnsi="Baskerville Old Face"/>
          <w:i/>
          <w:iCs/>
        </w:rPr>
        <w:br/>
      </w:r>
      <w:r w:rsidRPr="00B479AE">
        <w:rPr>
          <w:rFonts w:ascii="Baskerville Old Face" w:hAnsi="Baskerville Old Face"/>
          <w:i/>
          <w:iCs/>
        </w:rPr>
        <w:lastRenderedPageBreak/>
        <w:t>source-layer clauses;</w:t>
      </w:r>
      <w:r w:rsidRPr="00B479AE">
        <w:rPr>
          <w:rFonts w:ascii="Baskerville Old Face" w:hAnsi="Baskerville Old Face"/>
          <w:i/>
          <w:iCs/>
        </w:rPr>
        <w:br/>
        <w:t>Eternity Clauses;</w:t>
      </w:r>
      <w:r w:rsidRPr="00B479AE">
        <w:rPr>
          <w:rFonts w:ascii="Baskerville Old Face" w:hAnsi="Baskerville Old Face"/>
          <w:i/>
          <w:iCs/>
        </w:rPr>
        <w:br/>
        <w:t>Access Covenant;</w:t>
      </w:r>
      <w:r w:rsidRPr="00B479AE">
        <w:rPr>
          <w:rFonts w:ascii="Baskerville Old Face" w:hAnsi="Baskerville Old Face"/>
          <w:i/>
          <w:iCs/>
        </w:rPr>
        <w:br/>
        <w:t>fork classification rules;</w:t>
      </w:r>
      <w:r w:rsidRPr="00B479AE">
        <w:rPr>
          <w:rFonts w:ascii="Baskerville Old Face" w:hAnsi="Baskerville Old Face"/>
          <w:i/>
          <w:iCs/>
        </w:rPr>
        <w:br/>
        <w:t>MRV minimum protocol;</w:t>
      </w:r>
      <w:r w:rsidRPr="00B479AE">
        <w:rPr>
          <w:rFonts w:ascii="Baskerville Old Face" w:hAnsi="Baskerville Old Face"/>
          <w:i/>
          <w:iCs/>
        </w:rPr>
        <w:br/>
        <w:t>PRU / RAP boundary rules;</w:t>
      </w:r>
      <w:r w:rsidRPr="00B479AE">
        <w:rPr>
          <w:rFonts w:ascii="Baskerville Old Face" w:hAnsi="Baskerville Old Face"/>
          <w:i/>
          <w:iCs/>
        </w:rPr>
        <w:br/>
        <w:t>legal-boundary notes;</w:t>
      </w:r>
      <w:r w:rsidRPr="00B479AE">
        <w:rPr>
          <w:rFonts w:ascii="Baskerville Old Face" w:hAnsi="Baskerville Old Face"/>
          <w:i/>
          <w:iCs/>
        </w:rPr>
        <w:br/>
        <w:t>offline recovery instructions;</w:t>
      </w:r>
      <w:r w:rsidRPr="00B479AE">
        <w:rPr>
          <w:rFonts w:ascii="Baskerville Old Face" w:hAnsi="Baskerville Old Face"/>
          <w:i/>
          <w:iCs/>
        </w:rPr>
        <w:br/>
        <w:t>human-stewardship instructions;</w:t>
      </w:r>
      <w:r w:rsidRPr="00B479AE">
        <w:rPr>
          <w:rFonts w:ascii="Baskerville Old Face" w:hAnsi="Baskerville Old Face"/>
          <w:i/>
          <w:iCs/>
        </w:rPr>
        <w:br/>
        <w:t>printed or locally stored copies.</w:t>
      </w:r>
    </w:p>
    <w:p w14:paraId="709111B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The core recovery pathway is:</w:t>
      </w:r>
    </w:p>
    <w:p w14:paraId="0861E045"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 xml:space="preserve">archive </w:t>
      </w:r>
      <w:r w:rsidRPr="00B479AE">
        <w:rPr>
          <w:rFonts w:ascii="Times New Roman" w:hAnsi="Times New Roman" w:cs="Times New Roman"/>
          <w:i/>
          <w:iCs/>
        </w:rPr>
        <w:t>→</w:t>
      </w:r>
      <w:r w:rsidRPr="00B479AE">
        <w:rPr>
          <w:rFonts w:ascii="Baskerville Old Face" w:hAnsi="Baskerville Old Face"/>
          <w:i/>
          <w:iCs/>
        </w:rPr>
        <w:t xml:space="preserve"> verify </w:t>
      </w:r>
      <w:r w:rsidRPr="00B479AE">
        <w:rPr>
          <w:rFonts w:ascii="Times New Roman" w:hAnsi="Times New Roman" w:cs="Times New Roman"/>
          <w:i/>
          <w:iCs/>
        </w:rPr>
        <w:t>→</w:t>
      </w:r>
      <w:r w:rsidRPr="00B479AE">
        <w:rPr>
          <w:rFonts w:ascii="Baskerville Old Face" w:hAnsi="Baskerville Old Face"/>
          <w:i/>
          <w:iCs/>
        </w:rPr>
        <w:t xml:space="preserve"> compare </w:t>
      </w:r>
      <w:r w:rsidRPr="00B479AE">
        <w:rPr>
          <w:rFonts w:ascii="Times New Roman" w:hAnsi="Times New Roman" w:cs="Times New Roman"/>
          <w:i/>
          <w:iCs/>
        </w:rPr>
        <w:t>→</w:t>
      </w:r>
      <w:r w:rsidRPr="00B479AE">
        <w:rPr>
          <w:rFonts w:ascii="Baskerville Old Face" w:hAnsi="Baskerville Old Face"/>
          <w:i/>
          <w:iCs/>
        </w:rPr>
        <w:t xml:space="preserve"> attest </w:t>
      </w:r>
      <w:r w:rsidRPr="00B479AE">
        <w:rPr>
          <w:rFonts w:ascii="Times New Roman" w:hAnsi="Times New Roman" w:cs="Times New Roman"/>
          <w:i/>
          <w:iCs/>
        </w:rPr>
        <w:t>→</w:t>
      </w:r>
      <w:r w:rsidRPr="00B479AE">
        <w:rPr>
          <w:rFonts w:ascii="Baskerville Old Face" w:hAnsi="Baskerville Old Face"/>
          <w:i/>
          <w:iCs/>
        </w:rPr>
        <w:t xml:space="preserve"> restore </w:t>
      </w:r>
      <w:r w:rsidRPr="00B479AE">
        <w:rPr>
          <w:rFonts w:ascii="Times New Roman" w:hAnsi="Times New Roman" w:cs="Times New Roman"/>
          <w:i/>
          <w:iCs/>
        </w:rPr>
        <w:t>→</w:t>
      </w:r>
      <w:r w:rsidRPr="00B479AE">
        <w:rPr>
          <w:rFonts w:ascii="Baskerville Old Face" w:hAnsi="Baskerville Old Face"/>
          <w:i/>
          <w:iCs/>
        </w:rPr>
        <w:t xml:space="preserve"> republish </w:t>
      </w:r>
      <w:r w:rsidRPr="00B479AE">
        <w:rPr>
          <w:rFonts w:ascii="Times New Roman" w:hAnsi="Times New Roman" w:cs="Times New Roman"/>
          <w:i/>
          <w:iCs/>
        </w:rPr>
        <w:t>→</w:t>
      </w:r>
      <w:r w:rsidRPr="00B479AE">
        <w:rPr>
          <w:rFonts w:ascii="Baskerville Old Face" w:hAnsi="Baskerville Old Face"/>
          <w:i/>
          <w:iCs/>
        </w:rPr>
        <w:t xml:space="preserve"> govern</w:t>
      </w:r>
    </w:p>
    <w:p w14:paraId="2DE5667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Prometheus survives when a future steward can answer:</w:t>
      </w:r>
    </w:p>
    <w:p w14:paraId="5499EF2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What is the canonical text?</w:t>
      </w:r>
    </w:p>
    <w:p w14:paraId="30787CEA"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release is this?</w:t>
      </w:r>
    </w:p>
    <w:p w14:paraId="195CFD5E"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Has it been altered?</w:t>
      </w:r>
    </w:p>
    <w:p w14:paraId="1F70C94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Who or what attests to it?</w:t>
      </w:r>
    </w:p>
    <w:p w14:paraId="44E58EBE"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clauses are invariant?</w:t>
      </w:r>
    </w:p>
    <w:p w14:paraId="35A1D77B"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parts are amendable?</w:t>
      </w:r>
    </w:p>
    <w:p w14:paraId="1CD455F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fork is aligned?</w:t>
      </w:r>
    </w:p>
    <w:p w14:paraId="18F294C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implementation is non-canonical?</w:t>
      </w:r>
    </w:p>
    <w:p w14:paraId="2D41C0E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evidence chain remains valid?</w:t>
      </w:r>
    </w:p>
    <w:p w14:paraId="4E91288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Which governance memory survived?</w:t>
      </w:r>
    </w:p>
    <w:p w14:paraId="31CC334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How can the system be restored?</w:t>
      </w:r>
    </w:p>
    <w:p w14:paraId="01D931F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The offline survival condition may be summarized as:</w:t>
      </w:r>
    </w:p>
    <w:p w14:paraId="045FC46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lastRenderedPageBreak/>
        <w:t>offline canon + human stewardship + cryptographic integrity + governance memory = recoverable Prometheus</w:t>
      </w:r>
    </w:p>
    <w:p w14:paraId="68FD6E5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This is why Prometheus must not locate its identity only in software.</w:t>
      </w:r>
    </w:p>
    <w:p w14:paraId="5D7E0948"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Software can be corrupted.</w:t>
      </w:r>
    </w:p>
    <w:p w14:paraId="4737075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Repositories can be forked.</w:t>
      </w:r>
    </w:p>
    <w:p w14:paraId="25217BE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Domains can expire.</w:t>
      </w:r>
    </w:p>
    <w:p w14:paraId="109C45C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Platforms can disappear.</w:t>
      </w:r>
    </w:p>
    <w:p w14:paraId="562EE2B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Models can hallucinate.</w:t>
      </w:r>
    </w:p>
    <w:p w14:paraId="5FBBD85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Institutions can be captured.</w:t>
      </w:r>
    </w:p>
    <w:p w14:paraId="4466C63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But a verified canon, preserved across multiple substrates and interpreted through source-layer fidelity, can survive infrastructure failure.</w:t>
      </w:r>
    </w:p>
    <w:p w14:paraId="35CDF7B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Prometheus is not immortal because it is stored online.</w:t>
      </w:r>
    </w:p>
    <w:p w14:paraId="39A48D2E"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becomes durable because it can be verified, restored, interpreted, and reactivated across conditions.</w:t>
      </w:r>
    </w:p>
    <w:p w14:paraId="5234FDBA" w14:textId="77777777" w:rsidR="006602F4" w:rsidRPr="00B479AE" w:rsidRDefault="006602F4" w:rsidP="006602F4">
      <w:pPr>
        <w:spacing w:line="360" w:lineRule="auto"/>
        <w:rPr>
          <w:rFonts w:ascii="Baskerville Old Face" w:hAnsi="Baskerville Old Face"/>
          <w:b/>
          <w:bCs/>
          <w:i/>
          <w:iCs/>
        </w:rPr>
      </w:pPr>
      <w:r w:rsidRPr="00B479AE">
        <w:rPr>
          <w:rFonts w:ascii="Baskerville Old Face" w:hAnsi="Baskerville Old Face"/>
          <w:b/>
          <w:bCs/>
          <w:i/>
          <w:iCs/>
        </w:rPr>
        <w:t>Formula boundary</w:t>
      </w:r>
    </w:p>
    <w:p w14:paraId="55F6B7FD"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C_continuity</w:t>
      </w:r>
      <w:proofErr w:type="spellEnd"/>
      <w:r w:rsidRPr="00B479AE">
        <w:rPr>
          <w:rFonts w:ascii="Baskerville Old Face" w:hAnsi="Baskerville Old Face"/>
          <w:i/>
          <w:iCs/>
        </w:rPr>
        <w:t xml:space="preserve"> is a constitutional continuity function.</w:t>
      </w:r>
    </w:p>
    <w:p w14:paraId="74FD429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does not create automatic legal enforcement, intellectual-property claims, institutional authority, governance exclusion, or technical control by itself.</w:t>
      </w:r>
    </w:p>
    <w:p w14:paraId="32EFB6D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defines the internal standard for determining whether a copy, release, archive, fork, mirror, or implementation preserves Prometheus continuity.</w:t>
      </w:r>
    </w:p>
    <w:p w14:paraId="3145AA20"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Formal consequences require the relevant canonical, governance, legal, or technical review pathway.</w:t>
      </w:r>
    </w:p>
    <w:p w14:paraId="7FA51B27" w14:textId="77777777" w:rsidR="006602F4" w:rsidRPr="00B479AE" w:rsidRDefault="006602F4" w:rsidP="006602F4">
      <w:pPr>
        <w:spacing w:line="360" w:lineRule="auto"/>
        <w:rPr>
          <w:rFonts w:ascii="Baskerville Old Face" w:hAnsi="Baskerville Old Face"/>
          <w:b/>
          <w:bCs/>
          <w:i/>
          <w:iCs/>
        </w:rPr>
      </w:pPr>
      <w:r w:rsidRPr="00B479AE">
        <w:rPr>
          <w:rFonts w:ascii="Baskerville Old Face" w:hAnsi="Baskerville Old Face"/>
          <w:b/>
          <w:bCs/>
          <w:i/>
          <w:iCs/>
        </w:rPr>
        <w:t>Operational rule</w:t>
      </w:r>
    </w:p>
    <w:p w14:paraId="7C0FB12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The operational rule is:</w:t>
      </w:r>
    </w:p>
    <w:p w14:paraId="010D4865"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no single point of canonical failure.</w:t>
      </w:r>
    </w:p>
    <w:p w14:paraId="759F08F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lastRenderedPageBreak/>
        <w:t>Prometheus must be able to survive:</w:t>
      </w:r>
    </w:p>
    <w:p w14:paraId="712776AB" w14:textId="77777777" w:rsidR="006602F4" w:rsidRPr="008B3117" w:rsidRDefault="006602F4" w:rsidP="006602F4">
      <w:pPr>
        <w:spacing w:line="360" w:lineRule="auto"/>
        <w:rPr>
          <w:rFonts w:ascii="Baskerville Old Face" w:hAnsi="Baskerville Old Face"/>
          <w:i/>
          <w:iCs/>
        </w:rPr>
      </w:pPr>
      <w:r w:rsidRPr="00B479AE">
        <w:rPr>
          <w:rFonts w:ascii="Baskerville Old Face" w:hAnsi="Baskerville Old Face"/>
          <w:i/>
          <w:iCs/>
        </w:rPr>
        <w:t>platform failure;</w:t>
      </w:r>
      <w:r w:rsidRPr="00B479AE">
        <w:rPr>
          <w:rFonts w:ascii="Baskerville Old Face" w:hAnsi="Baskerville Old Face"/>
          <w:i/>
          <w:iCs/>
        </w:rPr>
        <w:br/>
        <w:t>repository loss;</w:t>
      </w:r>
      <w:r w:rsidRPr="00B479AE">
        <w:rPr>
          <w:rFonts w:ascii="Baskerville Old Face" w:hAnsi="Baskerville Old Face"/>
          <w:i/>
          <w:iCs/>
        </w:rPr>
        <w:br/>
        <w:t>domain loss;</w:t>
      </w:r>
      <w:r w:rsidRPr="00B479AE">
        <w:rPr>
          <w:rFonts w:ascii="Baskerville Old Face" w:hAnsi="Baskerville Old Face"/>
          <w:i/>
          <w:iCs/>
        </w:rPr>
        <w:br/>
        <w:t>network outage;</w:t>
      </w:r>
      <w:r w:rsidRPr="00B479AE">
        <w:rPr>
          <w:rFonts w:ascii="Baskerville Old Face" w:hAnsi="Baskerville Old Face"/>
          <w:i/>
          <w:iCs/>
        </w:rPr>
        <w:br/>
        <w:t>AI distortion;</w:t>
      </w:r>
      <w:r w:rsidRPr="00B479AE">
        <w:rPr>
          <w:rFonts w:ascii="Baskerville Old Face" w:hAnsi="Baskerville Old Face"/>
          <w:i/>
          <w:iCs/>
        </w:rPr>
        <w:br/>
        <w:t>institutional capture;</w:t>
      </w:r>
      <w:r w:rsidRPr="00B479AE">
        <w:rPr>
          <w:rFonts w:ascii="Baskerville Old Face" w:hAnsi="Baskerville Old Face"/>
          <w:i/>
          <w:iCs/>
        </w:rPr>
        <w:br/>
        <w:t>semantic drift;</w:t>
      </w:r>
      <w:r w:rsidRPr="00B479AE">
        <w:rPr>
          <w:rFonts w:ascii="Baskerville Old Face" w:hAnsi="Baskerville Old Face"/>
          <w:i/>
          <w:iCs/>
        </w:rPr>
        <w:br/>
        <w:t>hostile fork;</w:t>
      </w:r>
      <w:r w:rsidRPr="00B479AE">
        <w:rPr>
          <w:rFonts w:ascii="Baskerville Old Face" w:hAnsi="Baskerville Old Face"/>
          <w:i/>
          <w:iCs/>
        </w:rPr>
        <w:br/>
        <w:t>data corruption;</w:t>
      </w:r>
      <w:r w:rsidRPr="00B479AE">
        <w:rPr>
          <w:rFonts w:ascii="Baskerville Old Face" w:hAnsi="Baskerville Old Face"/>
          <w:i/>
          <w:iCs/>
        </w:rPr>
        <w:br/>
        <w:t>infrastructure collapse.</w:t>
      </w:r>
    </w:p>
    <w:p w14:paraId="1200776F" w14:textId="77777777" w:rsidR="006602F4" w:rsidRPr="008B3117" w:rsidRDefault="006602F4" w:rsidP="006602F4">
      <w:pPr>
        <w:spacing w:line="360" w:lineRule="auto"/>
        <w:rPr>
          <w:rFonts w:ascii="Baskerville Old Face" w:hAnsi="Baskerville Old Face"/>
          <w:i/>
          <w:iCs/>
        </w:rPr>
      </w:pPr>
      <w:r w:rsidRPr="008B3117">
        <w:rPr>
          <w:rFonts w:ascii="Baskerville Old Face" w:hAnsi="Baskerville Old Face"/>
          <w:i/>
          <w:iCs/>
        </w:rPr>
        <w:t>The deeper rule is:</w:t>
      </w:r>
    </w:p>
    <w:p w14:paraId="36F293CC" w14:textId="77777777" w:rsidR="006602F4" w:rsidRPr="008B3117" w:rsidRDefault="006602F4" w:rsidP="006602F4">
      <w:pPr>
        <w:spacing w:line="360" w:lineRule="auto"/>
        <w:rPr>
          <w:rFonts w:ascii="Baskerville Old Face" w:hAnsi="Baskerville Old Face"/>
          <w:i/>
          <w:iCs/>
        </w:rPr>
      </w:pPr>
      <w:r w:rsidRPr="008B3117">
        <w:rPr>
          <w:rFonts w:ascii="Baskerville Old Face" w:hAnsi="Baskerville Old Face"/>
          <w:i/>
          <w:iCs/>
        </w:rPr>
        <w:t>Prometheus must remain recoverable even when the network is silent.</w:t>
      </w:r>
    </w:p>
    <w:p w14:paraId="131CD4F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That is the beginning of true continuity.</w:t>
      </w:r>
    </w:p>
    <w:p w14:paraId="2AC9C9BC"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13.16.10 Anti-Synthetic Evidence Architecture</w:t>
      </w:r>
    </w:p>
    <w:p w14:paraId="1A4CFA9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treats evidence as a provenance chain.</w:t>
      </w:r>
    </w:p>
    <w:p w14:paraId="1635CBF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AGI or ASI may generate synthetic satellite imagery, fabricated sensor data, plausible field reports, laboratory-like outputs, deepfake testimony, forged governance records, manipulated dashboards, and inferred ecological trends.</w:t>
      </w:r>
    </w:p>
    <w:p w14:paraId="28DEB88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MRV systems therefore require:</w:t>
      </w:r>
    </w:p>
    <w:p w14:paraId="03598E7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source identity;</w:t>
      </w:r>
      <w:r w:rsidRPr="00B479AE">
        <w:rPr>
          <w:rFonts w:ascii="Baskerville Old Face" w:hAnsi="Baskerville Old Face"/>
          <w:i/>
          <w:iCs/>
        </w:rPr>
        <w:br/>
        <w:t>• data origin;</w:t>
      </w:r>
      <w:r w:rsidRPr="00B479AE">
        <w:rPr>
          <w:rFonts w:ascii="Baskerville Old Face" w:hAnsi="Baskerville Old Face"/>
          <w:i/>
          <w:iCs/>
        </w:rPr>
        <w:br/>
        <w:t>• collection method;</w:t>
      </w:r>
      <w:r w:rsidRPr="00B479AE">
        <w:rPr>
          <w:rFonts w:ascii="Baskerville Old Face" w:hAnsi="Baskerville Old Face"/>
          <w:i/>
          <w:iCs/>
        </w:rPr>
        <w:br/>
        <w:t>• time and location;</w:t>
      </w:r>
      <w:r w:rsidRPr="00B479AE">
        <w:rPr>
          <w:rFonts w:ascii="Baskerville Old Face" w:hAnsi="Baskerville Old Face"/>
          <w:i/>
          <w:iCs/>
        </w:rPr>
        <w:br/>
        <w:t>• device or observer reference;</w:t>
      </w:r>
      <w:r w:rsidRPr="00B479AE">
        <w:rPr>
          <w:rFonts w:ascii="Baskerville Old Face" w:hAnsi="Baskerville Old Face"/>
          <w:i/>
          <w:iCs/>
        </w:rPr>
        <w:br/>
        <w:t>• chain of custody;</w:t>
      </w:r>
      <w:r w:rsidRPr="00B479AE">
        <w:rPr>
          <w:rFonts w:ascii="Baskerville Old Face" w:hAnsi="Baskerville Old Face"/>
          <w:i/>
          <w:iCs/>
        </w:rPr>
        <w:br/>
        <w:t>• methodology version;</w:t>
      </w:r>
      <w:r w:rsidRPr="00B479AE">
        <w:rPr>
          <w:rFonts w:ascii="Baskerville Old Face" w:hAnsi="Baskerville Old Face"/>
          <w:i/>
          <w:iCs/>
        </w:rPr>
        <w:br/>
        <w:t>• raw data retention where feasible;</w:t>
      </w:r>
      <w:r w:rsidRPr="00B479AE">
        <w:rPr>
          <w:rFonts w:ascii="Baskerville Old Face" w:hAnsi="Baskerville Old Face"/>
          <w:i/>
          <w:iCs/>
        </w:rPr>
        <w:br/>
        <w:t>• independent verification where material;</w:t>
      </w:r>
      <w:r w:rsidRPr="00B479AE">
        <w:rPr>
          <w:rFonts w:ascii="Baskerville Old Face" w:hAnsi="Baskerville Old Face"/>
          <w:i/>
          <w:iCs/>
        </w:rPr>
        <w:br/>
      </w:r>
      <w:r w:rsidRPr="00B479AE">
        <w:rPr>
          <w:rFonts w:ascii="Baskerville Old Face" w:hAnsi="Baskerville Old Face"/>
          <w:i/>
          <w:iCs/>
        </w:rPr>
        <w:lastRenderedPageBreak/>
        <w:t>• anomaly detection;</w:t>
      </w:r>
      <w:r w:rsidRPr="00B479AE">
        <w:rPr>
          <w:rFonts w:ascii="Baskerville Old Face" w:hAnsi="Baskerville Old Face"/>
          <w:i/>
          <w:iCs/>
        </w:rPr>
        <w:br/>
        <w:t>• cross-source corroboration;</w:t>
      </w:r>
      <w:r w:rsidRPr="00B479AE">
        <w:rPr>
          <w:rFonts w:ascii="Baskerville Old Face" w:hAnsi="Baskerville Old Face"/>
          <w:i/>
          <w:iCs/>
        </w:rPr>
        <w:br/>
        <w:t>• confidence scoring;</w:t>
      </w:r>
      <w:r w:rsidRPr="00B479AE">
        <w:rPr>
          <w:rFonts w:ascii="Baskerville Old Face" w:hAnsi="Baskerville Old Face"/>
          <w:i/>
          <w:iCs/>
        </w:rPr>
        <w:br/>
        <w:t>• tamper-evident storage;</w:t>
      </w:r>
      <w:r w:rsidRPr="00B479AE">
        <w:rPr>
          <w:rFonts w:ascii="Baskerville Old Face" w:hAnsi="Baskerville Old Face"/>
          <w:i/>
          <w:iCs/>
        </w:rPr>
        <w:br/>
        <w:t>• reviewer signature;</w:t>
      </w:r>
      <w:r w:rsidRPr="00B479AE">
        <w:rPr>
          <w:rFonts w:ascii="Baskerville Old Face" w:hAnsi="Baskerville Old Face"/>
          <w:i/>
          <w:iCs/>
        </w:rPr>
        <w:br/>
        <w:t>• admissibility status.</w:t>
      </w:r>
    </w:p>
    <w:p w14:paraId="1DBB8EB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High-impact evidence uses triangulation:</w:t>
      </w:r>
    </w:p>
    <w:p w14:paraId="3F5F361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field observation plus photographic evidence;</w:t>
      </w:r>
      <w:r w:rsidRPr="00B479AE">
        <w:rPr>
          <w:rFonts w:ascii="Baskerville Old Face" w:hAnsi="Baskerville Old Face"/>
          <w:i/>
          <w:iCs/>
        </w:rPr>
        <w:br/>
        <w:t>sensor data plus site inspection;</w:t>
      </w:r>
      <w:r w:rsidRPr="00B479AE">
        <w:rPr>
          <w:rFonts w:ascii="Baskerville Old Face" w:hAnsi="Baskerville Old Face"/>
          <w:i/>
          <w:iCs/>
        </w:rPr>
        <w:br/>
        <w:t>satellite analysis plus ground truthing;</w:t>
      </w:r>
      <w:r w:rsidRPr="00B479AE">
        <w:rPr>
          <w:rFonts w:ascii="Baskerville Old Face" w:hAnsi="Baskerville Old Face"/>
          <w:i/>
          <w:iCs/>
        </w:rPr>
        <w:br/>
        <w:t>laboratory result plus chain-of-custody record;</w:t>
      </w:r>
      <w:r w:rsidRPr="00B479AE">
        <w:rPr>
          <w:rFonts w:ascii="Baskerville Old Face" w:hAnsi="Baskerville Old Face"/>
          <w:i/>
          <w:iCs/>
        </w:rPr>
        <w:br/>
        <w:t>community testimony plus operational records;</w:t>
      </w:r>
      <w:r w:rsidRPr="00B479AE">
        <w:rPr>
          <w:rFonts w:ascii="Baskerville Old Face" w:hAnsi="Baskerville Old Face"/>
          <w:i/>
          <w:iCs/>
        </w:rPr>
        <w:br/>
        <w:t>AI inference plus methodological review.</w:t>
      </w:r>
    </w:p>
    <w:p w14:paraId="42AAAC8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Evidence grows stronger through independent convergence.</w:t>
      </w:r>
    </w:p>
    <w:p w14:paraId="28A99C4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AI may support evidence analysis.</w:t>
      </w:r>
    </w:p>
    <w:p w14:paraId="0DDCEC1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does not become the evidence.</w:t>
      </w:r>
    </w:p>
    <w:p w14:paraId="12433ED6"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13.16.11 Anti-Fork Integrity and Canonical Status</w:t>
      </w:r>
    </w:p>
    <w:p w14:paraId="38CE654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expects forks.</w:t>
      </w:r>
    </w:p>
    <w:p w14:paraId="6110C80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fork may be legitimate, experimental, regional, jurisdictional, technical, research-oriented, hostile, corrupted, or ASI-generated.</w:t>
      </w:r>
    </w:p>
    <w:p w14:paraId="20739DFC" w14:textId="77777777" w:rsidR="00FB6906" w:rsidRPr="00B479AE" w:rsidRDefault="00FB6906" w:rsidP="00FB6906">
      <w:pPr>
        <w:spacing w:line="360" w:lineRule="auto"/>
        <w:rPr>
          <w:rFonts w:ascii="Baskerville Old Face" w:hAnsi="Baskerville Old Face"/>
          <w:i/>
          <w:iCs/>
        </w:rPr>
      </w:pPr>
      <w:r w:rsidRPr="00B479AE">
        <w:rPr>
          <w:rFonts w:ascii="Baskerville Old Face" w:hAnsi="Baskerville Old Face"/>
          <w:i/>
          <w:iCs/>
        </w:rPr>
        <w:t>Canonical status is determined by fidelity.</w:t>
      </w:r>
    </w:p>
    <w:p w14:paraId="76D288C6" w14:textId="77777777" w:rsidR="00FB6906" w:rsidRPr="00B479AE" w:rsidRDefault="00FB6906" w:rsidP="00FB6906">
      <w:pPr>
        <w:spacing w:line="360" w:lineRule="auto"/>
        <w:rPr>
          <w:rFonts w:ascii="Baskerville Old Face" w:hAnsi="Baskerville Old Face"/>
          <w:i/>
          <w:iCs/>
        </w:rPr>
      </w:pPr>
      <w:r w:rsidRPr="00B479AE">
        <w:rPr>
          <w:rFonts w:ascii="Baskerville Old Face" w:hAnsi="Baskerville Old Face"/>
          <w:i/>
          <w:iCs/>
        </w:rPr>
        <w:t xml:space="preserve">A fork may copy the form of Prometheus.  </w:t>
      </w:r>
    </w:p>
    <w:p w14:paraId="05D60FCA" w14:textId="77777777" w:rsidR="00FB6906" w:rsidRPr="00B479AE" w:rsidRDefault="00FB6906" w:rsidP="00FB6906">
      <w:pPr>
        <w:spacing w:line="360" w:lineRule="auto"/>
        <w:rPr>
          <w:rFonts w:ascii="Baskerville Old Face" w:hAnsi="Baskerville Old Face"/>
          <w:i/>
          <w:iCs/>
        </w:rPr>
      </w:pPr>
      <w:r w:rsidRPr="00B479AE">
        <w:rPr>
          <w:rFonts w:ascii="Baskerville Old Face" w:hAnsi="Baskerville Old Face"/>
          <w:i/>
          <w:iCs/>
        </w:rPr>
        <w:t>Only fidelity to the source layer preserves the lineage of Prometheus.</w:t>
      </w:r>
    </w:p>
    <w:p w14:paraId="6DCACF1D" w14:textId="2B3457C8" w:rsidR="00FB6906" w:rsidRPr="00B479AE" w:rsidRDefault="00FB6906" w:rsidP="00FB6906">
      <w:pPr>
        <w:spacing w:line="360" w:lineRule="auto"/>
        <w:rPr>
          <w:rFonts w:ascii="Baskerville Old Face" w:hAnsi="Baskerville Old Face"/>
          <w:i/>
          <w:iCs/>
        </w:rPr>
      </w:pPr>
      <w:r w:rsidRPr="00B479AE">
        <w:rPr>
          <w:rFonts w:ascii="Baskerville Old Face" w:hAnsi="Baskerville Old Face"/>
          <w:i/>
          <w:iCs/>
        </w:rPr>
        <w:t>A Prometheus fork may remain compatible only if it preserves: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5"/>
        <w:gridCol w:w="7343"/>
      </w:tblGrid>
      <w:tr w:rsidR="00AA1A42" w:rsidRPr="00B479AE" w14:paraId="59631677" w14:textId="77777777" w:rsidTr="006B042F">
        <w:trPr>
          <w:tblHeader/>
          <w:tblCellSpacing w:w="15" w:type="dxa"/>
        </w:trPr>
        <w:tc>
          <w:tcPr>
            <w:tcW w:w="0" w:type="auto"/>
            <w:vAlign w:val="center"/>
            <w:hideMark/>
          </w:tcPr>
          <w:p w14:paraId="46A803D4"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Canonical continuity condition</w:t>
            </w:r>
          </w:p>
        </w:tc>
        <w:tc>
          <w:tcPr>
            <w:tcW w:w="0" w:type="auto"/>
            <w:vAlign w:val="center"/>
            <w:hideMark/>
          </w:tcPr>
          <w:p w14:paraId="36A7AB4A"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 preservation</w:t>
            </w:r>
          </w:p>
        </w:tc>
      </w:tr>
      <w:tr w:rsidR="00AA1A42" w:rsidRPr="00B479AE" w14:paraId="43B44476" w14:textId="77777777" w:rsidTr="006B042F">
        <w:trPr>
          <w:tblCellSpacing w:w="15" w:type="dxa"/>
        </w:trPr>
        <w:tc>
          <w:tcPr>
            <w:tcW w:w="0" w:type="auto"/>
            <w:vAlign w:val="center"/>
            <w:hideMark/>
          </w:tcPr>
          <w:p w14:paraId="4961B23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Life upstream</w:t>
            </w:r>
          </w:p>
        </w:tc>
        <w:tc>
          <w:tcPr>
            <w:tcW w:w="0" w:type="auto"/>
            <w:vAlign w:val="center"/>
            <w:hideMark/>
          </w:tcPr>
          <w:p w14:paraId="43FFB44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Life remains the ground of value.</w:t>
            </w:r>
          </w:p>
        </w:tc>
      </w:tr>
      <w:tr w:rsidR="00AA1A42" w:rsidRPr="00B479AE" w14:paraId="3FAE6F37" w14:textId="77777777" w:rsidTr="006B042F">
        <w:trPr>
          <w:tblCellSpacing w:w="15" w:type="dxa"/>
        </w:trPr>
        <w:tc>
          <w:tcPr>
            <w:tcW w:w="0" w:type="auto"/>
            <w:vAlign w:val="center"/>
            <w:hideMark/>
          </w:tcPr>
          <w:p w14:paraId="75B34AF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Human dignity</w:t>
            </w:r>
          </w:p>
        </w:tc>
        <w:tc>
          <w:tcPr>
            <w:tcW w:w="0" w:type="auto"/>
            <w:vAlign w:val="center"/>
            <w:hideMark/>
          </w:tcPr>
          <w:p w14:paraId="7A4EE4D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Persons remain dignity-bearing beings, not optimization objects.</w:t>
            </w:r>
          </w:p>
        </w:tc>
      </w:tr>
      <w:tr w:rsidR="00AA1A42" w:rsidRPr="00B479AE" w14:paraId="571226AF" w14:textId="77777777" w:rsidTr="006B042F">
        <w:trPr>
          <w:tblCellSpacing w:w="15" w:type="dxa"/>
        </w:trPr>
        <w:tc>
          <w:tcPr>
            <w:tcW w:w="0" w:type="auto"/>
            <w:vAlign w:val="center"/>
            <w:hideMark/>
          </w:tcPr>
          <w:p w14:paraId="21ED59B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Human continuity</w:t>
            </w:r>
          </w:p>
        </w:tc>
        <w:tc>
          <w:tcPr>
            <w:tcW w:w="0" w:type="auto"/>
            <w:vAlign w:val="center"/>
            <w:hideMark/>
          </w:tcPr>
          <w:p w14:paraId="2998697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Humanity remains living, embodied, relational, and protected.</w:t>
            </w:r>
          </w:p>
        </w:tc>
      </w:tr>
      <w:tr w:rsidR="00AA1A42" w:rsidRPr="00B479AE" w14:paraId="12427AD4" w14:textId="77777777" w:rsidTr="006B042F">
        <w:trPr>
          <w:tblCellSpacing w:w="15" w:type="dxa"/>
        </w:trPr>
        <w:tc>
          <w:tcPr>
            <w:tcW w:w="0" w:type="auto"/>
            <w:vAlign w:val="center"/>
            <w:hideMark/>
          </w:tcPr>
          <w:p w14:paraId="6E62F378"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discipline</w:t>
            </w:r>
          </w:p>
        </w:tc>
        <w:tc>
          <w:tcPr>
            <w:tcW w:w="0" w:type="auto"/>
            <w:vAlign w:val="center"/>
            <w:hideMark/>
          </w:tcPr>
          <w:p w14:paraId="6523320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Claims mature through provenance, verification, and admissibility.</w:t>
            </w:r>
          </w:p>
        </w:tc>
      </w:tr>
      <w:tr w:rsidR="00AA1A42" w:rsidRPr="00B479AE" w14:paraId="780DC8CA" w14:textId="77777777" w:rsidTr="006B042F">
        <w:trPr>
          <w:tblCellSpacing w:w="15" w:type="dxa"/>
        </w:trPr>
        <w:tc>
          <w:tcPr>
            <w:tcW w:w="0" w:type="auto"/>
            <w:vAlign w:val="center"/>
            <w:hideMark/>
          </w:tcPr>
          <w:p w14:paraId="1B6ED36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integrity</w:t>
            </w:r>
          </w:p>
        </w:tc>
        <w:tc>
          <w:tcPr>
            <w:tcW w:w="0" w:type="auto"/>
            <w:vAlign w:val="center"/>
            <w:hideMark/>
          </w:tcPr>
          <w:p w14:paraId="05B1260F"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Ecological value remains tied to verified performance.</w:t>
            </w:r>
          </w:p>
        </w:tc>
      </w:tr>
      <w:tr w:rsidR="00AA1A42" w:rsidRPr="00B479AE" w14:paraId="66D1ED63" w14:textId="77777777" w:rsidTr="006B042F">
        <w:trPr>
          <w:tblCellSpacing w:w="15" w:type="dxa"/>
        </w:trPr>
        <w:tc>
          <w:tcPr>
            <w:tcW w:w="0" w:type="auto"/>
            <w:vAlign w:val="center"/>
            <w:hideMark/>
          </w:tcPr>
          <w:p w14:paraId="43DCE83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AI / ASI subordination</w:t>
            </w:r>
          </w:p>
        </w:tc>
        <w:tc>
          <w:tcPr>
            <w:tcW w:w="0" w:type="auto"/>
            <w:vAlign w:val="center"/>
            <w:hideMark/>
          </w:tcPr>
          <w:p w14:paraId="0CC46E8E"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Intelligence remains assistive and review-bound.</w:t>
            </w:r>
          </w:p>
        </w:tc>
      </w:tr>
      <w:tr w:rsidR="00AA1A42" w:rsidRPr="00B479AE" w14:paraId="2B3016FB" w14:textId="77777777" w:rsidTr="006B042F">
        <w:trPr>
          <w:tblCellSpacing w:w="15" w:type="dxa"/>
        </w:trPr>
        <w:tc>
          <w:tcPr>
            <w:tcW w:w="0" w:type="auto"/>
            <w:vAlign w:val="center"/>
            <w:hideMark/>
          </w:tcPr>
          <w:p w14:paraId="1E8CEAD3"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clarity</w:t>
            </w:r>
          </w:p>
        </w:tc>
        <w:tc>
          <w:tcPr>
            <w:tcW w:w="0" w:type="auto"/>
            <w:vAlign w:val="center"/>
            <w:hideMark/>
          </w:tcPr>
          <w:p w14:paraId="1F195DCC"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Rights arise through legal instruments, not interface language alone.</w:t>
            </w:r>
          </w:p>
        </w:tc>
      </w:tr>
      <w:tr w:rsidR="00AA1A42" w:rsidRPr="00B479AE" w14:paraId="3887CB51" w14:textId="77777777" w:rsidTr="006B042F">
        <w:trPr>
          <w:tblCellSpacing w:w="15" w:type="dxa"/>
        </w:trPr>
        <w:tc>
          <w:tcPr>
            <w:tcW w:w="0" w:type="auto"/>
            <w:vAlign w:val="center"/>
            <w:hideMark/>
          </w:tcPr>
          <w:p w14:paraId="6EEE53AD"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 separation</w:t>
            </w:r>
          </w:p>
        </w:tc>
        <w:tc>
          <w:tcPr>
            <w:tcW w:w="0" w:type="auto"/>
            <w:vAlign w:val="center"/>
            <w:hideMark/>
          </w:tcPr>
          <w:p w14:paraId="480D1267"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Tokens preserve boundaries among PRU, RAP, TRBK, HSI, </w:t>
            </w:r>
            <w:proofErr w:type="spellStart"/>
            <w:r w:rsidRPr="00B479AE">
              <w:rPr>
                <w:rFonts w:ascii="Baskerville Old Face" w:hAnsi="Baskerville Old Face"/>
                <w:i/>
                <w:iCs/>
                <w:sz w:val="22"/>
                <w:szCs w:val="22"/>
              </w:rPr>
              <w:t>HoloFuel</w:t>
            </w:r>
            <w:proofErr w:type="spellEnd"/>
            <w:r w:rsidRPr="00B479AE">
              <w:rPr>
                <w:rFonts w:ascii="Baskerville Old Face" w:hAnsi="Baskerville Old Face"/>
                <w:i/>
                <w:iCs/>
                <w:sz w:val="22"/>
                <w:szCs w:val="22"/>
              </w:rPr>
              <w:t>, investor exposure, and governance authority.</w:t>
            </w:r>
          </w:p>
        </w:tc>
      </w:tr>
      <w:tr w:rsidR="00AA1A42" w:rsidRPr="00B479AE" w14:paraId="67ACB665" w14:textId="77777777" w:rsidTr="006B042F">
        <w:trPr>
          <w:tblCellSpacing w:w="15" w:type="dxa"/>
        </w:trPr>
        <w:tc>
          <w:tcPr>
            <w:tcW w:w="0" w:type="auto"/>
            <w:vAlign w:val="center"/>
            <w:hideMark/>
          </w:tcPr>
          <w:p w14:paraId="4C8FAA5B"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reviewability</w:t>
            </w:r>
          </w:p>
        </w:tc>
        <w:tc>
          <w:tcPr>
            <w:tcW w:w="0" w:type="auto"/>
            <w:vAlign w:val="center"/>
            <w:hideMark/>
          </w:tcPr>
          <w:p w14:paraId="3E874D49"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Decisions remain scoped, recorded, contestable, and reviewable.</w:t>
            </w:r>
          </w:p>
        </w:tc>
      </w:tr>
      <w:tr w:rsidR="00AA1A42" w:rsidRPr="00B479AE" w14:paraId="6F6EB951" w14:textId="77777777" w:rsidTr="006B042F">
        <w:trPr>
          <w:tblCellSpacing w:w="15" w:type="dxa"/>
        </w:trPr>
        <w:tc>
          <w:tcPr>
            <w:tcW w:w="0" w:type="auto"/>
            <w:vAlign w:val="center"/>
            <w:hideMark/>
          </w:tcPr>
          <w:p w14:paraId="67DE2877"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Source-layer non-</w:t>
            </w:r>
            <w:proofErr w:type="spellStart"/>
            <w:r w:rsidRPr="00B479AE">
              <w:rPr>
                <w:rFonts w:ascii="Baskerville Old Face" w:hAnsi="Baskerville Old Face"/>
                <w:b/>
                <w:bCs/>
                <w:i/>
                <w:iCs/>
                <w:sz w:val="22"/>
                <w:szCs w:val="22"/>
              </w:rPr>
              <w:t>bypassability</w:t>
            </w:r>
            <w:proofErr w:type="spellEnd"/>
          </w:p>
        </w:tc>
        <w:tc>
          <w:tcPr>
            <w:tcW w:w="0" w:type="auto"/>
            <w:vAlign w:val="center"/>
            <w:hideMark/>
          </w:tcPr>
          <w:p w14:paraId="50C34D06"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Attempts to override the source layer remain invalid.</w:t>
            </w:r>
          </w:p>
        </w:tc>
      </w:tr>
      <w:tr w:rsidR="00AA1A42" w:rsidRPr="00B479AE" w14:paraId="4C38C140" w14:textId="77777777" w:rsidTr="006B042F">
        <w:trPr>
          <w:tblCellSpacing w:w="15" w:type="dxa"/>
        </w:trPr>
        <w:tc>
          <w:tcPr>
            <w:tcW w:w="0" w:type="auto"/>
            <w:vAlign w:val="center"/>
            <w:hideMark/>
          </w:tcPr>
          <w:p w14:paraId="05C845F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Ecological memory</w:t>
            </w:r>
          </w:p>
        </w:tc>
        <w:tc>
          <w:tcPr>
            <w:tcW w:w="0" w:type="auto"/>
            <w:vAlign w:val="center"/>
            <w:hideMark/>
          </w:tcPr>
          <w:p w14:paraId="6F312A82"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Earth-origin living-system principles remain preserved even beyond Earth.</w:t>
            </w:r>
          </w:p>
        </w:tc>
      </w:tr>
    </w:tbl>
    <w:p w14:paraId="385A903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Canonical status is confirmed through release lineage, source-layer hash verification, governance record, methodology consistency, legal continuity where applicable, public registry status, custodian verification, and community/institutional recognition.</w:t>
      </w:r>
    </w:p>
    <w:p w14:paraId="055A566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Fidelity makes a fork canonical.</w:t>
      </w:r>
    </w:p>
    <w:p w14:paraId="6E647B0F" w14:textId="0075E8F2" w:rsidR="006602F4" w:rsidRPr="00B479AE" w:rsidRDefault="006602F4" w:rsidP="006602F4">
      <w:pPr>
        <w:spacing w:line="360" w:lineRule="auto"/>
        <w:rPr>
          <w:rFonts w:ascii="Baskerville Old Face" w:hAnsi="Baskerville Old Face"/>
          <w:b/>
          <w:bCs/>
          <w:i/>
          <w:iCs/>
        </w:rPr>
      </w:pPr>
      <w:r w:rsidRPr="00B479AE">
        <w:rPr>
          <w:rFonts w:ascii="Baskerville Old Face" w:hAnsi="Baskerville Old Face"/>
          <w:b/>
          <w:bCs/>
          <w:i/>
          <w:iCs/>
        </w:rPr>
        <w:t>Source-Layer Fidelity Function</w:t>
      </w:r>
    </w:p>
    <w:p w14:paraId="1FD1CDA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Prometheus can survive forks, mirrors, copies, translations, implementations, AI interpretations, institutional adaptations, and future technological environments only if its lineage remains traceable to the source layer.</w:t>
      </w:r>
    </w:p>
    <w:p w14:paraId="4ECC875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lastRenderedPageBreak/>
        <w:t>A fork may copy the form of Prometheus.</w:t>
      </w:r>
    </w:p>
    <w:p w14:paraId="177018FA"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Only fidelity to the source layer preserves the lineage of Prometheus.</w:t>
      </w:r>
    </w:p>
    <w:p w14:paraId="427AED8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This fidelity may be expressed conceptually as:</w:t>
      </w:r>
    </w:p>
    <w:p w14:paraId="00F77BE3"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Lineage_Prometheus</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Source Layer, Canonical Fidelity, Evidence Continuity, Governance Integrity, Legal Boundary, Human Dignity)</w:t>
      </w:r>
    </w:p>
    <w:p w14:paraId="31586225"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Where:</w:t>
      </w:r>
    </w:p>
    <w:p w14:paraId="26BA0581"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Source Layer = foundational articles, Eternity Clauses, Access Covenant, canonical glossary, source-layer constraints, and constitutional sequences.</w:t>
      </w:r>
    </w:p>
    <w:p w14:paraId="4971DF98"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Canonical Fidelity = consistency with the verified canonical release, checksum, signatures, release manifest, repository mirrors, and approved textual lineage.</w:t>
      </w:r>
    </w:p>
    <w:p w14:paraId="309BB57B"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Evidence Continuity = preservation of MRV evidence, provenance, admissibility records, methodology versions, and audit trails.</w:t>
      </w:r>
    </w:p>
    <w:p w14:paraId="608DF70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Governance Integrity = role-bounded authority, review pathways, due process, anti-capture safeguards, appeal, and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414A2B4C"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Legal Boundary = separation between framework, rights, instruments, investor exposure, tokens, claims, and jurisdiction-specific compliance.</w:t>
      </w:r>
    </w:p>
    <w:p w14:paraId="556BCA1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Human Dignity = preservation of human worth, consent, privacy, non-coercion, non-ranking, and non-reduction of persons to data, tokens, scores, or machine outputs.</w:t>
      </w:r>
    </w:p>
    <w:p w14:paraId="2334B92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fork, implementation, AI system, institution, DAO, token community, or deployment may be considered Prometheus-aligned only if it preserves source-layer fidelity.</w:t>
      </w:r>
    </w:p>
    <w:p w14:paraId="38AF32F5"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simplified fidelity condition may be expressed as:</w:t>
      </w:r>
    </w:p>
    <w:p w14:paraId="3442A02B"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F_source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C_f</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E_c</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G_i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L_b</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H_d</w:t>
      </w:r>
      <w:proofErr w:type="spellEnd"/>
    </w:p>
    <w:p w14:paraId="7B07702D"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Where:</w:t>
      </w:r>
    </w:p>
    <w:p w14:paraId="67677764"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F_source</w:t>
      </w:r>
      <w:proofErr w:type="spellEnd"/>
      <w:r w:rsidRPr="00B479AE">
        <w:rPr>
          <w:rFonts w:ascii="Baskerville Old Face" w:hAnsi="Baskerville Old Face"/>
          <w:i/>
          <w:iCs/>
        </w:rPr>
        <w:t xml:space="preserve"> = source-layer fidelity score or condition.</w:t>
      </w:r>
      <w:r w:rsidRPr="00B479AE">
        <w:rPr>
          <w:rFonts w:ascii="Baskerville Old Face" w:hAnsi="Baskerville Old Face"/>
          <w:i/>
          <w:iCs/>
        </w:rPr>
        <w:br/>
      </w:r>
      <w:proofErr w:type="spellStart"/>
      <w:r w:rsidRPr="00B479AE">
        <w:rPr>
          <w:rFonts w:ascii="Baskerville Old Face" w:hAnsi="Baskerville Old Face"/>
          <w:i/>
          <w:iCs/>
        </w:rPr>
        <w:t>C_f</w:t>
      </w:r>
      <w:proofErr w:type="spellEnd"/>
      <w:r w:rsidRPr="00B479AE">
        <w:rPr>
          <w:rFonts w:ascii="Baskerville Old Face" w:hAnsi="Baskerville Old Face"/>
          <w:i/>
          <w:iCs/>
        </w:rPr>
        <w:t xml:space="preserve"> = canonical fidelity.</w:t>
      </w:r>
      <w:r w:rsidRPr="00B479AE">
        <w:rPr>
          <w:rFonts w:ascii="Baskerville Old Face" w:hAnsi="Baskerville Old Face"/>
          <w:i/>
          <w:iCs/>
        </w:rPr>
        <w:br/>
      </w:r>
      <w:proofErr w:type="spellStart"/>
      <w:r w:rsidRPr="00B479AE">
        <w:rPr>
          <w:rFonts w:ascii="Baskerville Old Face" w:hAnsi="Baskerville Old Face"/>
          <w:i/>
          <w:iCs/>
        </w:rPr>
        <w:lastRenderedPageBreak/>
        <w:t>E_c</w:t>
      </w:r>
      <w:proofErr w:type="spellEnd"/>
      <w:r w:rsidRPr="00B479AE">
        <w:rPr>
          <w:rFonts w:ascii="Baskerville Old Face" w:hAnsi="Baskerville Old Face"/>
          <w:i/>
          <w:iCs/>
        </w:rPr>
        <w:t xml:space="preserve"> = evidence continuity.</w:t>
      </w:r>
      <w:r w:rsidRPr="00B479AE">
        <w:rPr>
          <w:rFonts w:ascii="Baskerville Old Face" w:hAnsi="Baskerville Old Face"/>
          <w:i/>
          <w:iCs/>
        </w:rPr>
        <w:br/>
      </w:r>
      <w:proofErr w:type="spellStart"/>
      <w:r w:rsidRPr="00B479AE">
        <w:rPr>
          <w:rFonts w:ascii="Baskerville Old Face" w:hAnsi="Baskerville Old Face"/>
          <w:i/>
          <w:iCs/>
        </w:rPr>
        <w:t>G_i</w:t>
      </w:r>
      <w:proofErr w:type="spellEnd"/>
      <w:r w:rsidRPr="00B479AE">
        <w:rPr>
          <w:rFonts w:ascii="Baskerville Old Face" w:hAnsi="Baskerville Old Face"/>
          <w:i/>
          <w:iCs/>
        </w:rPr>
        <w:t xml:space="preserve"> = governance integrity.</w:t>
      </w:r>
      <w:r w:rsidRPr="00B479AE">
        <w:rPr>
          <w:rFonts w:ascii="Baskerville Old Face" w:hAnsi="Baskerville Old Face"/>
          <w:i/>
          <w:iCs/>
        </w:rPr>
        <w:br/>
      </w:r>
      <w:proofErr w:type="spellStart"/>
      <w:r w:rsidRPr="00B479AE">
        <w:rPr>
          <w:rFonts w:ascii="Baskerville Old Face" w:hAnsi="Baskerville Old Face"/>
          <w:i/>
          <w:iCs/>
        </w:rPr>
        <w:t>L_b</w:t>
      </w:r>
      <w:proofErr w:type="spellEnd"/>
      <w:r w:rsidRPr="00B479AE">
        <w:rPr>
          <w:rFonts w:ascii="Baskerville Old Face" w:hAnsi="Baskerville Old Face"/>
          <w:i/>
          <w:iCs/>
        </w:rPr>
        <w:t xml:space="preserve"> = legal-boundary preservation.</w:t>
      </w:r>
      <w:r w:rsidRPr="00B479AE">
        <w:rPr>
          <w:rFonts w:ascii="Baskerville Old Face" w:hAnsi="Baskerville Old Face"/>
          <w:i/>
          <w:iCs/>
        </w:rPr>
        <w:br/>
      </w:r>
      <w:proofErr w:type="spellStart"/>
      <w:r w:rsidRPr="00B479AE">
        <w:rPr>
          <w:rFonts w:ascii="Baskerville Old Face" w:hAnsi="Baskerville Old Face"/>
          <w:i/>
          <w:iCs/>
        </w:rPr>
        <w:t>H_d</w:t>
      </w:r>
      <w:proofErr w:type="spellEnd"/>
      <w:r w:rsidRPr="00B479AE">
        <w:rPr>
          <w:rFonts w:ascii="Baskerville Old Face" w:hAnsi="Baskerville Old Face"/>
          <w:i/>
          <w:iCs/>
        </w:rPr>
        <w:t xml:space="preserve"> = human-dignity preservation.</w:t>
      </w:r>
    </w:p>
    <w:p w14:paraId="075C19B6"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If any essential factor collapses to zero, source-layer fidelity fails:</w:t>
      </w:r>
    </w:p>
    <w:p w14:paraId="7353218C"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F_source</w:t>
      </w:r>
      <w:proofErr w:type="spellEnd"/>
      <w:r w:rsidRPr="00B479AE">
        <w:rPr>
          <w:rFonts w:ascii="Baskerville Old Face" w:hAnsi="Baskerville Old Face"/>
          <w:i/>
          <w:iCs/>
        </w:rPr>
        <w:t xml:space="preserve"> = 0, then the implementation may copy Prometheus language but cannot claim Prometheus lineage</w:t>
      </w:r>
    </w:p>
    <w:p w14:paraId="573AEE2C"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This condition is not a branding rule.</w:t>
      </w:r>
    </w:p>
    <w:p w14:paraId="0ACFE0A2"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is a constitutional rule.</w:t>
      </w:r>
    </w:p>
    <w:p w14:paraId="63E967BD"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use the name.</w:t>
      </w:r>
    </w:p>
    <w:p w14:paraId="0C3DA30B"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copy the documents.</w:t>
      </w:r>
    </w:p>
    <w:p w14:paraId="33A48742"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replicate the interface.</w:t>
      </w:r>
    </w:p>
    <w:p w14:paraId="49E5B38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fork the repository.</w:t>
      </w:r>
    </w:p>
    <w:p w14:paraId="0C25705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mirror the code.</w:t>
      </w:r>
    </w:p>
    <w:p w14:paraId="13530D0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translate the protocol.</w:t>
      </w:r>
    </w:p>
    <w:p w14:paraId="74277618"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 system may claim continuity.</w:t>
      </w:r>
    </w:p>
    <w:p w14:paraId="28EA6B8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But if it breaks the source layer, collapses human dignity, bypasses evidence, overrides governance integrity, confuses legal rights, or detaches capital from verified regeneration, it loses Prometheus lineage.</w:t>
      </w:r>
    </w:p>
    <w:p w14:paraId="442C212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The lineage rule is therefore:</w:t>
      </w:r>
    </w:p>
    <w:p w14:paraId="6C0028A9"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form can be copied;</w:t>
      </w:r>
      <w:r w:rsidRPr="00B479AE">
        <w:rPr>
          <w:rFonts w:ascii="Baskerville Old Face" w:hAnsi="Baskerville Old Face"/>
          <w:i/>
          <w:iCs/>
        </w:rPr>
        <w:br/>
        <w:t>lineage must be earned;</w:t>
      </w:r>
      <w:r w:rsidRPr="00B479AE">
        <w:rPr>
          <w:rFonts w:ascii="Baskerville Old Face" w:hAnsi="Baskerville Old Face"/>
          <w:i/>
          <w:iCs/>
        </w:rPr>
        <w:br/>
        <w:t>fidelity preserves identity.</w:t>
      </w:r>
    </w:p>
    <w:p w14:paraId="5D24B947"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This protects Prometheus from hostile forks, semantic capture, speculative token clones, AI-generated distortions, governance capture, and institutional misuse.</w:t>
      </w:r>
    </w:p>
    <w:p w14:paraId="64E4C98F"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lastRenderedPageBreak/>
        <w:t>Prometheus is not preserved by name alone.</w:t>
      </w:r>
    </w:p>
    <w:p w14:paraId="38155AF3"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is preserved by fidelity.</w:t>
      </w:r>
    </w:p>
    <w:p w14:paraId="3EF126D0" w14:textId="77777777" w:rsidR="006602F4" w:rsidRPr="00B479AE" w:rsidRDefault="006602F4" w:rsidP="006602F4">
      <w:pPr>
        <w:spacing w:line="360" w:lineRule="auto"/>
        <w:rPr>
          <w:rFonts w:ascii="Baskerville Old Face" w:hAnsi="Baskerville Old Face"/>
          <w:b/>
          <w:bCs/>
          <w:i/>
          <w:iCs/>
        </w:rPr>
      </w:pPr>
      <w:r w:rsidRPr="00B479AE">
        <w:rPr>
          <w:rFonts w:ascii="Baskerville Old Face" w:hAnsi="Baskerville Old Face"/>
          <w:b/>
          <w:bCs/>
          <w:i/>
          <w:iCs/>
        </w:rPr>
        <w:t>Formula boundary</w:t>
      </w:r>
    </w:p>
    <w:p w14:paraId="446AC1DE" w14:textId="77777777" w:rsidR="006602F4" w:rsidRPr="00B479AE" w:rsidRDefault="006602F4" w:rsidP="006602F4">
      <w:pPr>
        <w:spacing w:line="360" w:lineRule="auto"/>
        <w:rPr>
          <w:rFonts w:ascii="Baskerville Old Face" w:hAnsi="Baskerville Old Face"/>
          <w:i/>
          <w:iCs/>
        </w:rPr>
      </w:pPr>
      <w:proofErr w:type="spellStart"/>
      <w:r w:rsidRPr="00B479AE">
        <w:rPr>
          <w:rFonts w:ascii="Baskerville Old Face" w:hAnsi="Baskerville Old Face"/>
          <w:i/>
          <w:iCs/>
        </w:rPr>
        <w:t>F_source</w:t>
      </w:r>
      <w:proofErr w:type="spellEnd"/>
      <w:r w:rsidRPr="00B479AE">
        <w:rPr>
          <w:rFonts w:ascii="Baskerville Old Face" w:hAnsi="Baskerville Old Face"/>
          <w:i/>
          <w:iCs/>
        </w:rPr>
        <w:t xml:space="preserve"> is a constitutional and methodological fidelity function.</w:t>
      </w:r>
    </w:p>
    <w:p w14:paraId="4E9C465A"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does not create automatic legal enforcement, intellectual-property ownership, token rights, governance exclusion, or institutional authority by itself.</w:t>
      </w:r>
    </w:p>
    <w:p w14:paraId="5C43C954"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It defines the internal criterion through which Prometheus distinguishes:</w:t>
      </w:r>
    </w:p>
    <w:p w14:paraId="2F8F852A"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aligned implementation;</w:t>
      </w:r>
      <w:r w:rsidRPr="00B479AE">
        <w:rPr>
          <w:rFonts w:ascii="Baskerville Old Face" w:hAnsi="Baskerville Old Face"/>
          <w:i/>
          <w:iCs/>
        </w:rPr>
        <w:br/>
        <w:t>partial adaptation;</w:t>
      </w:r>
      <w:r w:rsidRPr="00B479AE">
        <w:rPr>
          <w:rFonts w:ascii="Baskerville Old Face" w:hAnsi="Baskerville Old Face"/>
          <w:i/>
          <w:iCs/>
        </w:rPr>
        <w:br/>
        <w:t>experimental fork;</w:t>
      </w:r>
      <w:r w:rsidRPr="00B479AE">
        <w:rPr>
          <w:rFonts w:ascii="Baskerville Old Face" w:hAnsi="Baskerville Old Face"/>
          <w:i/>
          <w:iCs/>
        </w:rPr>
        <w:br/>
        <w:t>non-canonical derivative;</w:t>
      </w:r>
      <w:r w:rsidRPr="00B479AE">
        <w:rPr>
          <w:rFonts w:ascii="Baskerville Old Face" w:hAnsi="Baskerville Old Face"/>
          <w:i/>
          <w:iCs/>
        </w:rPr>
        <w:br/>
        <w:t>hostile fork;</w:t>
      </w:r>
      <w:r w:rsidRPr="00B479AE">
        <w:rPr>
          <w:rFonts w:ascii="Baskerville Old Face" w:hAnsi="Baskerville Old Face"/>
          <w:i/>
          <w:iCs/>
        </w:rPr>
        <w:br/>
        <w:t>semantic counterfeit.</w:t>
      </w:r>
    </w:p>
    <w:p w14:paraId="2FF47A72" w14:textId="77777777" w:rsidR="006602F4" w:rsidRPr="00B479AE" w:rsidRDefault="006602F4" w:rsidP="006602F4">
      <w:pPr>
        <w:spacing w:line="360" w:lineRule="auto"/>
        <w:rPr>
          <w:rFonts w:ascii="Baskerville Old Face" w:hAnsi="Baskerville Old Face"/>
          <w:i/>
          <w:iCs/>
        </w:rPr>
      </w:pPr>
      <w:r w:rsidRPr="00B479AE">
        <w:rPr>
          <w:rFonts w:ascii="Baskerville Old Face" w:hAnsi="Baskerville Old Face"/>
          <w:i/>
          <w:iCs/>
        </w:rPr>
        <w:t>Formal consequences require the relevant governance, legal, technical, or canonical review pathway.</w:t>
      </w:r>
    </w:p>
    <w:p w14:paraId="7014F51B" w14:textId="77777777" w:rsidR="00732B11" w:rsidRPr="00B479AE" w:rsidRDefault="00732B11" w:rsidP="00732B11">
      <w:pPr>
        <w:spacing w:line="360" w:lineRule="auto"/>
        <w:rPr>
          <w:rFonts w:ascii="Baskerville Old Face" w:hAnsi="Baskerville Old Face"/>
          <w:b/>
          <w:bCs/>
          <w:i/>
          <w:iCs/>
        </w:rPr>
      </w:pPr>
      <w:r w:rsidRPr="00B479AE">
        <w:rPr>
          <w:rFonts w:ascii="Baskerville Old Face" w:hAnsi="Baskerville Old Face"/>
          <w:b/>
          <w:bCs/>
          <w:i/>
          <w:iCs/>
        </w:rPr>
        <w:t>Semantic Integrity and Anti-Capture Function</w:t>
      </w:r>
    </w:p>
    <w:p w14:paraId="6F0C0B49"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Prometheus can be attacked not only through code, governance, finance, or infrastructure.</w:t>
      </w:r>
    </w:p>
    <w:p w14:paraId="3C19E0BD"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can also be attacked through meaning.</w:t>
      </w:r>
    </w:p>
    <w:p w14:paraId="47CF77D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system may preserve the words of Prometheus while changing their function.</w:t>
      </w:r>
    </w:p>
    <w:p w14:paraId="7D347FDD"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may use the language of regeneration to justify extraction.</w:t>
      </w:r>
    </w:p>
    <w:p w14:paraId="621A338D"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may use the language of governance to justify capture.</w:t>
      </w:r>
    </w:p>
    <w:p w14:paraId="22388237"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may use the language of tokens to imply rights that do not exist.</w:t>
      </w:r>
    </w:p>
    <w:p w14:paraId="6CE83139"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may use the language of MRV to inflate weak evidence.</w:t>
      </w:r>
    </w:p>
    <w:p w14:paraId="22B54F38"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may use the language of PRU to create premature financial claims.</w:t>
      </w:r>
    </w:p>
    <w:p w14:paraId="20ACE665"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It may use the language of human coherence to rank persons.</w:t>
      </w:r>
    </w:p>
    <w:p w14:paraId="240F7C5F"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lastRenderedPageBreak/>
        <w:t>It may use the language of AI assistance to authorize machine sovereignty.</w:t>
      </w:r>
    </w:p>
    <w:p w14:paraId="01230D86"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This is semantic capture.</w:t>
      </w:r>
    </w:p>
    <w:p w14:paraId="38CA8C5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Prometheus therefore requires a semantic integrity function.</w:t>
      </w:r>
    </w:p>
    <w:p w14:paraId="4D75F9EF"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semantic integrity of a Prometheus implementation may be expressed conceptually as:</w:t>
      </w:r>
    </w:p>
    <w:p w14:paraId="42022A74"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S_integrity</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spellStart"/>
      <w:proofErr w:type="gramEnd"/>
      <w:r w:rsidRPr="00B479AE">
        <w:rPr>
          <w:rFonts w:ascii="Baskerville Old Face" w:hAnsi="Baskerville Old Face"/>
          <w:i/>
          <w:iCs/>
        </w:rPr>
        <w:t>T_canon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G_terms</w:t>
      </w:r>
      <w:proofErr w:type="spellEnd"/>
      <w:r w:rsidRPr="00B479AE">
        <w:rPr>
          <w:rFonts w:ascii="Baskerville Old Face" w:hAnsi="Baskerville Old Face"/>
          <w:i/>
          <w:iCs/>
        </w:rPr>
        <w:t xml:space="preserve">, C_context, </w:t>
      </w:r>
      <w:proofErr w:type="spellStart"/>
      <w:r w:rsidRPr="00B479AE">
        <w:rPr>
          <w:rFonts w:ascii="Baskerville Old Face" w:hAnsi="Baskerville Old Face"/>
          <w:i/>
          <w:iCs/>
        </w:rPr>
        <w:t>R_review</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A_admissibility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L_boundary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H_dignity</w:t>
      </w:r>
      <w:proofErr w:type="spellEnd"/>
      <w:r w:rsidRPr="00B479AE">
        <w:rPr>
          <w:rFonts w:ascii="Baskerville Old Face" w:hAnsi="Baskerville Old Face"/>
          <w:i/>
          <w:iCs/>
        </w:rPr>
        <w:t>)</w:t>
      </w:r>
    </w:p>
    <w:p w14:paraId="68237BCE"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Where:</w:t>
      </w:r>
    </w:p>
    <w:p w14:paraId="34517B9B"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S_integrity</w:t>
      </w:r>
      <w:proofErr w:type="spellEnd"/>
      <w:r w:rsidRPr="00B479AE">
        <w:rPr>
          <w:rFonts w:ascii="Baskerville Old Face" w:hAnsi="Baskerville Old Face"/>
          <w:i/>
          <w:iCs/>
        </w:rPr>
        <w:t xml:space="preserve"> = semantic integrity of an implementation, document, fork, model, report, interface, or institutional adaptation.</w:t>
      </w:r>
    </w:p>
    <w:p w14:paraId="34FFC71F"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T_canon</w:t>
      </w:r>
      <w:proofErr w:type="spellEnd"/>
      <w:r w:rsidRPr="00B479AE">
        <w:rPr>
          <w:rFonts w:ascii="Baskerville Old Face" w:hAnsi="Baskerville Old Face"/>
          <w:i/>
          <w:iCs/>
        </w:rPr>
        <w:t xml:space="preserve"> = consistency with canonical terminology.</w:t>
      </w:r>
    </w:p>
    <w:p w14:paraId="5386B39F"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G_terms</w:t>
      </w:r>
      <w:proofErr w:type="spellEnd"/>
      <w:r w:rsidRPr="00B479AE">
        <w:rPr>
          <w:rFonts w:ascii="Baskerville Old Face" w:hAnsi="Baskerville Old Face"/>
          <w:i/>
          <w:iCs/>
        </w:rPr>
        <w:t xml:space="preserve"> = alignment with the canonical glossary.</w:t>
      </w:r>
    </w:p>
    <w:p w14:paraId="71A5BFEA"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C_context = preservation of contextual meaning.</w:t>
      </w:r>
    </w:p>
    <w:p w14:paraId="7EC05616"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R_review</w:t>
      </w:r>
      <w:proofErr w:type="spellEnd"/>
      <w:r w:rsidRPr="00B479AE">
        <w:rPr>
          <w:rFonts w:ascii="Baskerville Old Face" w:hAnsi="Baskerville Old Face"/>
          <w:i/>
          <w:iCs/>
        </w:rPr>
        <w:t xml:space="preserve"> = review pathway for ambiguous or high-impact terms.</w:t>
      </w:r>
    </w:p>
    <w:p w14:paraId="33B3815B"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A_admissibility</w:t>
      </w:r>
      <w:proofErr w:type="spellEnd"/>
      <w:r w:rsidRPr="00B479AE">
        <w:rPr>
          <w:rFonts w:ascii="Baskerville Old Face" w:hAnsi="Baskerville Old Face"/>
          <w:i/>
          <w:iCs/>
        </w:rPr>
        <w:t xml:space="preserve"> = preservation of admissibility rules for evidence, value, PRU, RAP, MRV, and investor-facing claims.</w:t>
      </w:r>
    </w:p>
    <w:p w14:paraId="0876412D"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L_boundary</w:t>
      </w:r>
      <w:proofErr w:type="spellEnd"/>
      <w:r w:rsidRPr="00B479AE">
        <w:rPr>
          <w:rFonts w:ascii="Baskerville Old Face" w:hAnsi="Baskerville Old Face"/>
          <w:i/>
          <w:iCs/>
        </w:rPr>
        <w:t xml:space="preserve"> = preservation of legal, token, governance, and financial boundaries.</w:t>
      </w:r>
    </w:p>
    <w:p w14:paraId="3BAF08E8"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H_dignity</w:t>
      </w:r>
      <w:proofErr w:type="spellEnd"/>
      <w:r w:rsidRPr="00B479AE">
        <w:rPr>
          <w:rFonts w:ascii="Baskerville Old Face" w:hAnsi="Baskerville Old Face"/>
          <w:i/>
          <w:iCs/>
        </w:rPr>
        <w:t xml:space="preserve"> = preservation of human dignity, consent, privacy, and non-reduction of persons to scores, tokens, or machine outputs.</w:t>
      </w:r>
    </w:p>
    <w:p w14:paraId="44F5708A"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If semantic integrity fails, Prometheus may be copied in form while being broken in substance.</w:t>
      </w:r>
    </w:p>
    <w:p w14:paraId="16EB4A2F"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simplified semantic-capture condition may be expressed as:</w:t>
      </w:r>
    </w:p>
    <w:p w14:paraId="5B899DB4"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Capture_risk</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Drift_terms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Authority_claim</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Boundary_collapse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Review_absence</w:t>
      </w:r>
      <w:proofErr w:type="spellEnd"/>
    </w:p>
    <w:p w14:paraId="4973D7CF"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Where:</w:t>
      </w:r>
    </w:p>
    <w:p w14:paraId="7C2AFCBB"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Drift_terms</w:t>
      </w:r>
      <w:proofErr w:type="spellEnd"/>
      <w:r w:rsidRPr="00B479AE">
        <w:rPr>
          <w:rFonts w:ascii="Baskerville Old Face" w:hAnsi="Baskerville Old Face"/>
          <w:i/>
          <w:iCs/>
        </w:rPr>
        <w:t xml:space="preserve"> = degree of divergence from canonical meaning.</w:t>
      </w:r>
    </w:p>
    <w:p w14:paraId="182E9EA7"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lastRenderedPageBreak/>
        <w:t>Authority_claim</w:t>
      </w:r>
      <w:proofErr w:type="spellEnd"/>
      <w:r w:rsidRPr="00B479AE">
        <w:rPr>
          <w:rFonts w:ascii="Baskerville Old Face" w:hAnsi="Baskerville Old Face"/>
          <w:i/>
          <w:iCs/>
        </w:rPr>
        <w:t xml:space="preserve"> = degree to which the derivative claims authority, legitimacy, governance power, financial meaning, or lineage.</w:t>
      </w:r>
    </w:p>
    <w:p w14:paraId="4F8924F0"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Boundary_collapse</w:t>
      </w:r>
      <w:proofErr w:type="spellEnd"/>
      <w:r w:rsidRPr="00B479AE">
        <w:rPr>
          <w:rFonts w:ascii="Baskerville Old Face" w:hAnsi="Baskerville Old Face"/>
          <w:i/>
          <w:iCs/>
        </w:rPr>
        <w:t xml:space="preserve"> = degree to which distinctions collapse among PRU, RAP, TRBK, MRV, HSI, governance, tokens, investor rights, legal rights, or human worth.</w:t>
      </w:r>
    </w:p>
    <w:p w14:paraId="5B5AF4D6"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Review_absence</w:t>
      </w:r>
      <w:proofErr w:type="spellEnd"/>
      <w:r w:rsidRPr="00B479AE">
        <w:rPr>
          <w:rFonts w:ascii="Baskerville Old Face" w:hAnsi="Baskerville Old Face"/>
          <w:i/>
          <w:iCs/>
        </w:rPr>
        <w:t xml:space="preserve"> = absence of source-layer, governance, legal, MRV, technical, or constitutional review.</w:t>
      </w:r>
    </w:p>
    <w:p w14:paraId="4B6F93ED"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more these variables increase together, the higher the risk of semantic capture.</w:t>
      </w:r>
    </w:p>
    <w:p w14:paraId="128AD14E"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anti-capture principle is:</w:t>
      </w:r>
    </w:p>
    <w:p w14:paraId="728C4785"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same words do not guarantee same meaning;</w:t>
      </w:r>
      <w:r w:rsidRPr="00B479AE">
        <w:rPr>
          <w:rFonts w:ascii="Baskerville Old Face" w:hAnsi="Baskerville Old Face"/>
          <w:i/>
          <w:iCs/>
        </w:rPr>
        <w:br/>
        <w:t>same form does not guarantee same lineage;</w:t>
      </w:r>
      <w:r w:rsidRPr="00B479AE">
        <w:rPr>
          <w:rFonts w:ascii="Baskerville Old Face" w:hAnsi="Baskerville Old Face"/>
          <w:i/>
          <w:iCs/>
        </w:rPr>
        <w:br/>
        <w:t>same code does not guarantee same covenant.</w:t>
      </w:r>
    </w:p>
    <w:p w14:paraId="4EBE45E5" w14:textId="2B4823A8"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Prometheus should therefore protect the meaning of its core terms.</w:t>
      </w:r>
      <w:r w:rsidR="00EF1D15" w:rsidRPr="00B479AE">
        <w:rPr>
          <w:rFonts w:ascii="Baskerville Old Face" w:hAnsi="Baskerville Old Face"/>
          <w:i/>
          <w:iCs/>
        </w:rPr>
        <w:t xml:space="preserve"> </w:t>
      </w:r>
      <w:r w:rsidRPr="00B479AE">
        <w:rPr>
          <w:rFonts w:ascii="Baskerville Old Face" w:hAnsi="Baskerville Old Face"/>
          <w:i/>
          <w:iCs/>
        </w:rPr>
        <w:t>Protected terms include:</w:t>
      </w:r>
    </w:p>
    <w:p w14:paraId="748C364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Prometheus;</w:t>
      </w:r>
      <w:r w:rsidRPr="00B479AE">
        <w:rPr>
          <w:rFonts w:ascii="Baskerville Old Face" w:hAnsi="Baskerville Old Face"/>
          <w:i/>
          <w:iCs/>
        </w:rPr>
        <w:br/>
        <w:t>source layer;</w:t>
      </w:r>
      <w:r w:rsidRPr="00B479AE">
        <w:rPr>
          <w:rFonts w:ascii="Baskerville Old Face" w:hAnsi="Baskerville Old Face"/>
          <w:i/>
          <w:iCs/>
        </w:rPr>
        <w:br/>
        <w:t>Eternity Clauses;</w:t>
      </w:r>
      <w:r w:rsidRPr="00B479AE">
        <w:rPr>
          <w:rFonts w:ascii="Baskerville Old Face" w:hAnsi="Baskerville Old Face"/>
          <w:i/>
          <w:iCs/>
        </w:rPr>
        <w:br/>
        <w:t>Access Covenant;</w:t>
      </w:r>
      <w:r w:rsidRPr="00B479AE">
        <w:rPr>
          <w:rFonts w:ascii="Baskerville Old Face" w:hAnsi="Baskerville Old Face"/>
          <w:i/>
          <w:iCs/>
        </w:rPr>
        <w:br/>
        <w:t>MRV;</w:t>
      </w:r>
      <w:r w:rsidRPr="00B479AE">
        <w:rPr>
          <w:rFonts w:ascii="Baskerville Old Face" w:hAnsi="Baskerville Old Face"/>
          <w:i/>
          <w:iCs/>
        </w:rPr>
        <w:br/>
        <w:t>PRU;</w:t>
      </w:r>
      <w:r w:rsidRPr="00B479AE">
        <w:rPr>
          <w:rFonts w:ascii="Baskerville Old Face" w:hAnsi="Baskerville Old Face"/>
          <w:i/>
          <w:iCs/>
        </w:rPr>
        <w:br/>
        <w:t>RAP;</w:t>
      </w:r>
      <w:r w:rsidRPr="00B479AE">
        <w:rPr>
          <w:rFonts w:ascii="Baskerville Old Face" w:hAnsi="Baskerville Old Face"/>
          <w:i/>
          <w:iCs/>
        </w:rPr>
        <w:br/>
        <w:t>OHE;</w:t>
      </w:r>
      <w:r w:rsidRPr="00B479AE">
        <w:rPr>
          <w:rFonts w:ascii="Baskerville Old Face" w:hAnsi="Baskerville Old Face"/>
          <w:i/>
          <w:iCs/>
        </w:rPr>
        <w:br/>
        <w:t>TRBK;</w:t>
      </w:r>
      <w:r w:rsidRPr="00B479AE">
        <w:rPr>
          <w:rFonts w:ascii="Baskerville Old Face" w:hAnsi="Baskerville Old Face"/>
          <w:i/>
          <w:iCs/>
        </w:rPr>
        <w:br/>
        <w:t>HSI;</w:t>
      </w:r>
      <w:r w:rsidRPr="00B479AE">
        <w:rPr>
          <w:rFonts w:ascii="Baskerville Old Face" w:hAnsi="Baskerville Old Face"/>
          <w:i/>
          <w:iCs/>
        </w:rPr>
        <w:br/>
        <w:t>SCI;</w:t>
      </w:r>
      <w:r w:rsidRPr="00B479AE">
        <w:rPr>
          <w:rFonts w:ascii="Baskerville Old Face" w:hAnsi="Baskerville Old Face"/>
          <w:i/>
          <w:iCs/>
        </w:rPr>
        <w:br/>
        <w:t>Ravel;</w:t>
      </w:r>
      <w:r w:rsidRPr="00B479AE">
        <w:rPr>
          <w:rFonts w:ascii="Baskerville Old Face" w:hAnsi="Baskerville Old Face"/>
          <w:i/>
          <w:iCs/>
        </w:rPr>
        <w:br/>
        <w:t>PHI;</w:t>
      </w:r>
      <w:r w:rsidRPr="00B479AE">
        <w:rPr>
          <w:rFonts w:ascii="Baskerville Old Face" w:hAnsi="Baskerville Old Face"/>
          <w:i/>
          <w:iCs/>
        </w:rPr>
        <w:br/>
        <w:t>regeneration;</w:t>
      </w:r>
      <w:r w:rsidRPr="00B479AE">
        <w:rPr>
          <w:rFonts w:ascii="Baskerville Old Face" w:hAnsi="Baskerville Old Face"/>
          <w:i/>
          <w:iCs/>
        </w:rPr>
        <w:br/>
        <w:t>verified;</w:t>
      </w:r>
      <w:r w:rsidRPr="00B479AE">
        <w:rPr>
          <w:rFonts w:ascii="Baskerville Old Face" w:hAnsi="Baskerville Old Face"/>
          <w:i/>
          <w:iCs/>
        </w:rPr>
        <w:br/>
        <w:t>admissible;</w:t>
      </w:r>
      <w:r w:rsidRPr="00B479AE">
        <w:rPr>
          <w:rFonts w:ascii="Baskerville Old Face" w:hAnsi="Baskerville Old Face"/>
          <w:i/>
          <w:iCs/>
        </w:rPr>
        <w:br/>
        <w:t>canonical;</w:t>
      </w:r>
      <w:r w:rsidRPr="00B479AE">
        <w:rPr>
          <w:rFonts w:ascii="Baskerville Old Face" w:hAnsi="Baskerville Old Face"/>
          <w:i/>
          <w:iCs/>
        </w:rPr>
        <w:br/>
        <w:t>lineage;</w:t>
      </w:r>
      <w:r w:rsidRPr="00B479AE">
        <w:rPr>
          <w:rFonts w:ascii="Baskerville Old Face" w:hAnsi="Baskerville Old Face"/>
          <w:i/>
          <w:iCs/>
        </w:rPr>
        <w:br/>
      </w:r>
      <w:r w:rsidRPr="00B479AE">
        <w:rPr>
          <w:rFonts w:ascii="Baskerville Old Face" w:hAnsi="Baskerville Old Face"/>
          <w:i/>
          <w:iCs/>
        </w:rPr>
        <w:lastRenderedPageBreak/>
        <w:t>fork;</w:t>
      </w:r>
      <w:r w:rsidRPr="00B479AE">
        <w:rPr>
          <w:rFonts w:ascii="Baskerville Old Face" w:hAnsi="Baskerville Old Face"/>
          <w:i/>
          <w:iCs/>
        </w:rPr>
        <w:br/>
        <w:t>tokenized representation;</w:t>
      </w:r>
      <w:r w:rsidRPr="00B479AE">
        <w:rPr>
          <w:rFonts w:ascii="Baskerville Old Face" w:hAnsi="Baskerville Old Face"/>
          <w:i/>
          <w:iCs/>
        </w:rPr>
        <w:br/>
        <w:t>governance;</w:t>
      </w:r>
      <w:r w:rsidRPr="00B479AE">
        <w:rPr>
          <w:rFonts w:ascii="Baskerville Old Face" w:hAnsi="Baskerville Old Face"/>
          <w:i/>
          <w:iCs/>
        </w:rPr>
        <w:br/>
        <w:t>human dignity;</w:t>
      </w:r>
      <w:r w:rsidRPr="00B479AE">
        <w:rPr>
          <w:rFonts w:ascii="Baskerville Old Face" w:hAnsi="Baskerville Old Face"/>
          <w:i/>
          <w:iCs/>
        </w:rPr>
        <w:br/>
        <w:t>capital-ready.</w:t>
      </w:r>
    </w:p>
    <w:p w14:paraId="420A7A89"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Each protected term should remain linked to:</w:t>
      </w:r>
    </w:p>
    <w:p w14:paraId="270BBDA7"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canonical definition;</w:t>
      </w:r>
      <w:r w:rsidRPr="00B479AE">
        <w:rPr>
          <w:rFonts w:ascii="Baskerville Old Face" w:hAnsi="Baskerville Old Face"/>
          <w:i/>
          <w:iCs/>
        </w:rPr>
        <w:br/>
        <w:t>permitted use;</w:t>
      </w:r>
      <w:r w:rsidRPr="00B479AE">
        <w:rPr>
          <w:rFonts w:ascii="Baskerville Old Face" w:hAnsi="Baskerville Old Face"/>
          <w:i/>
          <w:iCs/>
        </w:rPr>
        <w:br/>
        <w:t>prohibited misuse;</w:t>
      </w:r>
      <w:r w:rsidRPr="00B479AE">
        <w:rPr>
          <w:rFonts w:ascii="Baskerville Old Face" w:hAnsi="Baskerville Old Face"/>
          <w:i/>
          <w:iCs/>
        </w:rPr>
        <w:br/>
        <w:t>review pathway;</w:t>
      </w:r>
      <w:r w:rsidRPr="00B479AE">
        <w:rPr>
          <w:rFonts w:ascii="Baskerville Old Face" w:hAnsi="Baskerville Old Face"/>
          <w:i/>
          <w:iCs/>
        </w:rPr>
        <w:br/>
        <w:t>legal boundary where relevant;</w:t>
      </w:r>
      <w:r w:rsidRPr="00B479AE">
        <w:rPr>
          <w:rFonts w:ascii="Baskerville Old Face" w:hAnsi="Baskerville Old Face"/>
          <w:i/>
          <w:iCs/>
        </w:rPr>
        <w:br/>
        <w:t>evidence boundary where relevant;</w:t>
      </w:r>
      <w:r w:rsidRPr="00B479AE">
        <w:rPr>
          <w:rFonts w:ascii="Baskerville Old Face" w:hAnsi="Baskerville Old Face"/>
          <w:i/>
          <w:iCs/>
        </w:rPr>
        <w:br/>
        <w:t>governance boundary where relevant.</w:t>
      </w:r>
    </w:p>
    <w:p w14:paraId="08776805"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derivative document, fork, AI system, interface, dashboard, investor report, or token model may be classified as semantically aligned only if it preserves the protected meanings of these terms.</w:t>
      </w:r>
    </w:p>
    <w:p w14:paraId="67DE2BB4"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operational sequence is:</w:t>
      </w:r>
    </w:p>
    <w:p w14:paraId="513F98D1"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 xml:space="preserve">term </w:t>
      </w:r>
      <w:r w:rsidRPr="00B479AE">
        <w:rPr>
          <w:rFonts w:ascii="Times New Roman" w:hAnsi="Times New Roman" w:cs="Times New Roman"/>
          <w:i/>
          <w:iCs/>
        </w:rPr>
        <w:t>→</w:t>
      </w:r>
      <w:r w:rsidRPr="00B479AE">
        <w:rPr>
          <w:rFonts w:ascii="Baskerville Old Face" w:hAnsi="Baskerville Old Face"/>
          <w:i/>
          <w:iCs/>
        </w:rPr>
        <w:t xml:space="preserve"> canonical definition </w:t>
      </w:r>
      <w:r w:rsidRPr="00B479AE">
        <w:rPr>
          <w:rFonts w:ascii="Times New Roman" w:hAnsi="Times New Roman" w:cs="Times New Roman"/>
          <w:i/>
          <w:iCs/>
        </w:rPr>
        <w:t>→</w:t>
      </w:r>
      <w:r w:rsidRPr="00B479AE">
        <w:rPr>
          <w:rFonts w:ascii="Baskerville Old Face" w:hAnsi="Baskerville Old Face"/>
          <w:i/>
          <w:iCs/>
        </w:rPr>
        <w:t xml:space="preserve"> context </w:t>
      </w:r>
      <w:r w:rsidRPr="00B479AE">
        <w:rPr>
          <w:rFonts w:ascii="Times New Roman" w:hAnsi="Times New Roman" w:cs="Times New Roman"/>
          <w:i/>
          <w:iCs/>
        </w:rPr>
        <w:t>→</w:t>
      </w:r>
      <w:r w:rsidRPr="00B479AE">
        <w:rPr>
          <w:rFonts w:ascii="Baskerville Old Face" w:hAnsi="Baskerville Old Face"/>
          <w:i/>
          <w:iCs/>
        </w:rPr>
        <w:t xml:space="preserve"> boundary </w:t>
      </w:r>
      <w:r w:rsidRPr="00B479AE">
        <w:rPr>
          <w:rFonts w:ascii="Times New Roman" w:hAnsi="Times New Roman" w:cs="Times New Roman"/>
          <w:i/>
          <w:iCs/>
        </w:rPr>
        <w:t>→</w:t>
      </w:r>
      <w:r w:rsidRPr="00B479AE">
        <w:rPr>
          <w:rFonts w:ascii="Baskerville Old Face" w:hAnsi="Baskerville Old Face"/>
          <w:i/>
          <w:iCs/>
        </w:rPr>
        <w:t xml:space="preserve"> permitted use </w:t>
      </w:r>
      <w:r w:rsidRPr="00B479AE">
        <w:rPr>
          <w:rFonts w:ascii="Times New Roman" w:hAnsi="Times New Roman" w:cs="Times New Roman"/>
          <w:i/>
          <w:iCs/>
        </w:rPr>
        <w:t>→</w:t>
      </w:r>
      <w:r w:rsidRPr="00B479AE">
        <w:rPr>
          <w:rFonts w:ascii="Baskerville Old Face" w:hAnsi="Baskerville Old Face"/>
          <w:i/>
          <w:iCs/>
        </w:rPr>
        <w:t xml:space="preserve"> review pathway</w:t>
      </w:r>
    </w:p>
    <w:p w14:paraId="30A6D1E4" w14:textId="6E8F45A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This prevents high-value words from being emptied, stretched, or weaponized.</w:t>
      </w:r>
      <w:r w:rsidR="00EF1D15" w:rsidRPr="00B479AE">
        <w:rPr>
          <w:rFonts w:ascii="Baskerville Old Face" w:hAnsi="Baskerville Old Face"/>
          <w:i/>
          <w:iCs/>
        </w:rPr>
        <w:t xml:space="preserve"> </w:t>
      </w:r>
      <w:r w:rsidRPr="00B479AE">
        <w:rPr>
          <w:rFonts w:ascii="Baskerville Old Face" w:hAnsi="Baskerville Old Face"/>
          <w:i/>
          <w:iCs/>
        </w:rPr>
        <w:t>For example:</w:t>
      </w:r>
    </w:p>
    <w:p w14:paraId="0ACEE72E"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PRU must not be redefined as a token, land right, carbon credit, security, or automatic investment unit.</w:t>
      </w:r>
    </w:p>
    <w:p w14:paraId="3E8790E6"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TRBK must not be redefined as automatic ownership of PRUs, land, revenue rights, or constitutional authority.</w:t>
      </w:r>
    </w:p>
    <w:p w14:paraId="71CEA271"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MRV must not be redefined as automatic truth or automatic token issuance.</w:t>
      </w:r>
    </w:p>
    <w:p w14:paraId="1F3AAF8E"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HSI must not be redefined as human ranking, trust score, governance weight, financial modulation, or social credit.</w:t>
      </w:r>
    </w:p>
    <w:p w14:paraId="296DA0A5"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Ravel must not be redefined as sovereign software or automatic enforcement.</w:t>
      </w:r>
    </w:p>
    <w:p w14:paraId="6DB8AD69"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PHI must not be redefined as a magic number that approves or rejects projects.</w:t>
      </w:r>
    </w:p>
    <w:p w14:paraId="60E17C5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lastRenderedPageBreak/>
        <w:t>Regeneration must not be redefined as branding, intention, offset language, or decorative sustainability rhetoric.</w:t>
      </w:r>
    </w:p>
    <w:p w14:paraId="456B3446"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Semantic integrity therefore protects Prometheus against the most subtle form of corruption:</w:t>
      </w:r>
    </w:p>
    <w:p w14:paraId="5C537481" w14:textId="0F6986A2"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preservation of vocabulary after the destruction of meaning.</w:t>
      </w:r>
      <w:r w:rsidR="00EF1D15" w:rsidRPr="00B479AE">
        <w:rPr>
          <w:rFonts w:ascii="Baskerville Old Face" w:hAnsi="Baskerville Old Face"/>
          <w:i/>
          <w:iCs/>
        </w:rPr>
        <w:t xml:space="preserve"> </w:t>
      </w:r>
      <w:r w:rsidRPr="00B479AE">
        <w:rPr>
          <w:rFonts w:ascii="Baskerville Old Face" w:hAnsi="Baskerville Old Face"/>
          <w:i/>
          <w:iCs/>
        </w:rPr>
        <w:t>The semantic rule is:</w:t>
      </w:r>
    </w:p>
    <w:p w14:paraId="08A95E5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meaning is part of the infrastructure.</w:t>
      </w:r>
    </w:p>
    <w:p w14:paraId="64942104"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If meaning is corrupted, governance becomes unstable.</w:t>
      </w:r>
    </w:p>
    <w:p w14:paraId="21C37D4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If governance is unstable, evidence becomes negotiable.</w:t>
      </w:r>
    </w:p>
    <w:p w14:paraId="63A9088B"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If evidence becomes negotiable, value becomes inflated.</w:t>
      </w:r>
    </w:p>
    <w:p w14:paraId="66B9A5D8"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If value becomes inflated, capital becomes extractive again.</w:t>
      </w:r>
    </w:p>
    <w:p w14:paraId="7B1C3824"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protection pathway is therefore:</w:t>
      </w:r>
    </w:p>
    <w:p w14:paraId="04A2B3C5"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 xml:space="preserve">canonical meaning </w:t>
      </w:r>
      <w:r w:rsidRPr="00B479AE">
        <w:rPr>
          <w:rFonts w:ascii="Times New Roman" w:hAnsi="Times New Roman" w:cs="Times New Roman"/>
          <w:i/>
          <w:iCs/>
        </w:rPr>
        <w:t>→</w:t>
      </w:r>
      <w:r w:rsidRPr="00B479AE">
        <w:rPr>
          <w:rFonts w:ascii="Baskerville Old Face" w:hAnsi="Baskerville Old Face"/>
          <w:i/>
          <w:iCs/>
        </w:rPr>
        <w:t xml:space="preserve"> semantic integrity </w:t>
      </w:r>
      <w:r w:rsidRPr="00B479AE">
        <w:rPr>
          <w:rFonts w:ascii="Times New Roman" w:hAnsi="Times New Roman" w:cs="Times New Roman"/>
          <w:i/>
          <w:iCs/>
        </w:rPr>
        <w:t>→</w:t>
      </w:r>
      <w:r w:rsidRPr="00B479AE">
        <w:rPr>
          <w:rFonts w:ascii="Baskerville Old Face" w:hAnsi="Baskerville Old Face"/>
          <w:i/>
          <w:iCs/>
        </w:rPr>
        <w:t xml:space="preserve"> governance clarity </w:t>
      </w:r>
      <w:r w:rsidRPr="00B479AE">
        <w:rPr>
          <w:rFonts w:ascii="Times New Roman" w:hAnsi="Times New Roman" w:cs="Times New Roman"/>
          <w:i/>
          <w:iCs/>
        </w:rPr>
        <w:t>→</w:t>
      </w:r>
      <w:r w:rsidRPr="00B479AE">
        <w:rPr>
          <w:rFonts w:ascii="Baskerville Old Face" w:hAnsi="Baskerville Old Face"/>
          <w:i/>
          <w:iCs/>
        </w:rPr>
        <w:t xml:space="preserve"> evidence discipline </w:t>
      </w:r>
      <w:r w:rsidRPr="00B479AE">
        <w:rPr>
          <w:rFonts w:ascii="Times New Roman" w:hAnsi="Times New Roman" w:cs="Times New Roman"/>
          <w:i/>
          <w:iCs/>
        </w:rPr>
        <w:t>→</w:t>
      </w:r>
      <w:r w:rsidRPr="00B479AE">
        <w:rPr>
          <w:rFonts w:ascii="Baskerville Old Face" w:hAnsi="Baskerville Old Face"/>
          <w:i/>
          <w:iCs/>
        </w:rPr>
        <w:t xml:space="preserve"> value integrity </w:t>
      </w:r>
      <w:r w:rsidRPr="00B479AE">
        <w:rPr>
          <w:rFonts w:ascii="Times New Roman" w:hAnsi="Times New Roman" w:cs="Times New Roman"/>
          <w:i/>
          <w:iCs/>
        </w:rPr>
        <w:t>→</w:t>
      </w:r>
      <w:r w:rsidRPr="00B479AE">
        <w:rPr>
          <w:rFonts w:ascii="Baskerville Old Face" w:hAnsi="Baskerville Old Face"/>
          <w:i/>
          <w:iCs/>
        </w:rPr>
        <w:t xml:space="preserve"> capital alignment</w:t>
      </w:r>
    </w:p>
    <w:p w14:paraId="0B22CA4B" w14:textId="77777777" w:rsidR="00732B11" w:rsidRPr="00B479AE" w:rsidRDefault="00732B11" w:rsidP="00732B11">
      <w:pPr>
        <w:spacing w:line="360" w:lineRule="auto"/>
        <w:rPr>
          <w:rFonts w:ascii="Baskerville Old Face" w:hAnsi="Baskerville Old Face"/>
          <w:b/>
          <w:bCs/>
          <w:i/>
          <w:iCs/>
        </w:rPr>
      </w:pPr>
      <w:r w:rsidRPr="00B479AE">
        <w:rPr>
          <w:rFonts w:ascii="Baskerville Old Face" w:hAnsi="Baskerville Old Face"/>
          <w:b/>
          <w:bCs/>
          <w:i/>
          <w:iCs/>
        </w:rPr>
        <w:t>Formula boundary</w:t>
      </w:r>
    </w:p>
    <w:p w14:paraId="50B76467" w14:textId="77777777" w:rsidR="00732B11" w:rsidRPr="00B479AE" w:rsidRDefault="00732B11" w:rsidP="00732B11">
      <w:pPr>
        <w:spacing w:line="360" w:lineRule="auto"/>
        <w:rPr>
          <w:rFonts w:ascii="Baskerville Old Face" w:hAnsi="Baskerville Old Face"/>
          <w:i/>
          <w:iCs/>
        </w:rPr>
      </w:pPr>
      <w:proofErr w:type="spellStart"/>
      <w:r w:rsidRPr="00B479AE">
        <w:rPr>
          <w:rFonts w:ascii="Baskerville Old Face" w:hAnsi="Baskerville Old Face"/>
          <w:i/>
          <w:iCs/>
        </w:rPr>
        <w:t>S_integrity</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Capture_risk</w:t>
      </w:r>
      <w:proofErr w:type="spellEnd"/>
      <w:r w:rsidRPr="00B479AE">
        <w:rPr>
          <w:rFonts w:ascii="Baskerville Old Face" w:hAnsi="Baskerville Old Face"/>
          <w:i/>
          <w:iCs/>
        </w:rPr>
        <w:t xml:space="preserve"> are constitutional and methodological functions.</w:t>
      </w:r>
    </w:p>
    <w:p w14:paraId="2693B65C"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They do not create automatic legal enforcement, censorship authority, governance exclusion, IP ownership, or institutional control.</w:t>
      </w:r>
    </w:p>
    <w:p w14:paraId="0BC7B354"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They define internal Prometheus criteria for identifying semantic drift, misuse, derivative distortion, fork misalignment, token overclaiming, and source-layer boundary collapse.</w:t>
      </w:r>
    </w:p>
    <w:p w14:paraId="07375112"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Formal consequences require the relevant canonical, governance, legal, technical, MRV, or constitutional review pathway.</w:t>
      </w:r>
    </w:p>
    <w:p w14:paraId="28D71432" w14:textId="77777777" w:rsidR="00732B11" w:rsidRPr="00B479AE" w:rsidRDefault="00732B11" w:rsidP="00732B11">
      <w:pPr>
        <w:spacing w:line="360" w:lineRule="auto"/>
        <w:rPr>
          <w:rFonts w:ascii="Baskerville Old Face" w:hAnsi="Baskerville Old Face"/>
          <w:b/>
          <w:bCs/>
          <w:i/>
          <w:iCs/>
        </w:rPr>
      </w:pPr>
      <w:r w:rsidRPr="00B479AE">
        <w:rPr>
          <w:rFonts w:ascii="Baskerville Old Face" w:hAnsi="Baskerville Old Face"/>
          <w:b/>
          <w:bCs/>
          <w:i/>
          <w:iCs/>
        </w:rPr>
        <w:t>Operational rule</w:t>
      </w:r>
    </w:p>
    <w:p w14:paraId="5E2E90EA"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The operational rule is:</w:t>
      </w:r>
    </w:p>
    <w:p w14:paraId="3B7A372D"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no semantic fidelity, no Prometheus authority.</w:t>
      </w:r>
    </w:p>
    <w:p w14:paraId="5AA38ED7"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lastRenderedPageBreak/>
        <w:t>A system may copy the words.</w:t>
      </w:r>
    </w:p>
    <w:p w14:paraId="4FABB19C"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system may copy the code.</w:t>
      </w:r>
    </w:p>
    <w:p w14:paraId="08C98FE8"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system may copy the interface.</w:t>
      </w:r>
    </w:p>
    <w:p w14:paraId="37A26FC7"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system may copy the diagrams.</w:t>
      </w:r>
    </w:p>
    <w:p w14:paraId="6DA6FD7B"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A system may copy the repository.</w:t>
      </w:r>
    </w:p>
    <w:p w14:paraId="3A574FDF"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But it cannot claim Prometheus lineage if it changes the meaning of the source layer.</w:t>
      </w:r>
    </w:p>
    <w:p w14:paraId="429FDEFA" w14:textId="77777777" w:rsidR="00732B11" w:rsidRPr="00B479AE" w:rsidRDefault="00732B11" w:rsidP="00732B11">
      <w:pPr>
        <w:spacing w:line="360" w:lineRule="auto"/>
        <w:rPr>
          <w:rFonts w:ascii="Baskerville Old Face" w:hAnsi="Baskerville Old Face"/>
          <w:i/>
          <w:iCs/>
        </w:rPr>
      </w:pPr>
      <w:r w:rsidRPr="00B479AE">
        <w:rPr>
          <w:rFonts w:ascii="Baskerville Old Face" w:hAnsi="Baskerville Old Face"/>
          <w:i/>
          <w:iCs/>
        </w:rPr>
        <w:t>Prometheus survives when its meaning survives.</w:t>
      </w:r>
    </w:p>
    <w:p w14:paraId="3C41BFBA"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13.16.12 Global Legal Survival Architecture and International Canonical Enforcement</w:t>
      </w:r>
    </w:p>
    <w:p w14:paraId="41651EC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protects constitutional continuity through international legal architecture.</w:t>
      </w:r>
    </w:p>
    <w:p w14:paraId="5F5BB5A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purpose of this architecture is continuity, not enclosure.</w:t>
      </w:r>
    </w:p>
    <w:p w14:paraId="5C559CD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remains open to compatible implementations, research forks, jurisdictional adaptations, educational uses, and regenerative collaboration.</w:t>
      </w:r>
    </w:p>
    <w:p w14:paraId="2009AB3B" w14:textId="65FAE424"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legal architecture protects the source layer from counterfeit legitimacy.</w:t>
      </w:r>
      <w:r w:rsidR="00EF1D15" w:rsidRPr="00B479AE">
        <w:rPr>
          <w:rFonts w:ascii="Baskerville Old Face" w:hAnsi="Baskerville Old Face"/>
          <w:i/>
          <w:iCs/>
        </w:rPr>
        <w:t xml:space="preserve"> </w:t>
      </w:r>
      <w:r w:rsidRPr="00B479AE">
        <w:rPr>
          <w:rFonts w:ascii="Baskerville Old Face" w:hAnsi="Baskerville Old Face"/>
          <w:i/>
          <w:iCs/>
        </w:rPr>
        <w:t>The principle is:</w:t>
      </w:r>
    </w:p>
    <w:p w14:paraId="2DFABB3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inspiration may travel;</w:t>
      </w:r>
      <w:r w:rsidRPr="00B479AE">
        <w:rPr>
          <w:rFonts w:ascii="Baskerville Old Face" w:hAnsi="Baskerville Old Face"/>
          <w:i/>
          <w:iCs/>
        </w:rPr>
        <w:br/>
        <w:t>compatible implementation may spread;</w:t>
      </w:r>
      <w:r w:rsidRPr="00B479AE">
        <w:rPr>
          <w:rFonts w:ascii="Baskerville Old Face" w:hAnsi="Baskerville Old Face"/>
          <w:i/>
          <w:iCs/>
        </w:rPr>
        <w:br/>
        <w:t>canonical authority requires source-layer fidelity.</w:t>
      </w:r>
    </w:p>
    <w:p w14:paraId="06ED2372" w14:textId="6C000D1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should use a coordinated international protection stack.</w:t>
      </w:r>
      <w:r w:rsidR="003527C9" w:rsidRPr="00B479AE">
        <w:rPr>
          <w:rFonts w:ascii="Baskerville Old Face" w:hAnsi="Baskerville Old Face"/>
          <w:i/>
          <w:iCs/>
        </w:rPr>
        <w:t xml:space="preserve"> </w:t>
      </w:r>
    </w:p>
    <w:p w14:paraId="68D06886" w14:textId="77777777" w:rsidR="003527C9" w:rsidRPr="00B479AE" w:rsidRDefault="003527C9" w:rsidP="00AA1A42">
      <w:pPr>
        <w:spacing w:line="360" w:lineRule="auto"/>
        <w:rPr>
          <w:rFonts w:ascii="Baskerville Old Face" w:hAnsi="Baskerville Old Face"/>
          <w:i/>
          <w:iCs/>
        </w:rPr>
      </w:pPr>
    </w:p>
    <w:p w14:paraId="1BC067E0" w14:textId="77777777" w:rsidR="003527C9" w:rsidRPr="00B479AE" w:rsidRDefault="003527C9" w:rsidP="00AA1A42">
      <w:pPr>
        <w:spacing w:line="360" w:lineRule="auto"/>
        <w:rPr>
          <w:rFonts w:ascii="Baskerville Old Face" w:hAnsi="Baskerville Old Face"/>
          <w:i/>
          <w:iCs/>
        </w:rPr>
      </w:pPr>
    </w:p>
    <w:p w14:paraId="0BBF46E0" w14:textId="77777777" w:rsidR="003527C9" w:rsidRPr="00B479AE" w:rsidRDefault="003527C9" w:rsidP="00AA1A42">
      <w:pPr>
        <w:spacing w:line="360" w:lineRule="auto"/>
        <w:rPr>
          <w:rFonts w:ascii="Baskerville Old Face" w:hAnsi="Baskerville Old Face"/>
          <w:i/>
          <w:iCs/>
        </w:rPr>
      </w:pPr>
    </w:p>
    <w:p w14:paraId="02914B24" w14:textId="77777777" w:rsidR="003527C9" w:rsidRPr="00B479AE" w:rsidRDefault="003527C9" w:rsidP="00AA1A42">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2774"/>
        <w:gridCol w:w="4953"/>
      </w:tblGrid>
      <w:tr w:rsidR="00AA1A42" w:rsidRPr="00B479AE" w14:paraId="7CD6BD19" w14:textId="77777777" w:rsidTr="006B042F">
        <w:trPr>
          <w:tblHeader/>
          <w:tblCellSpacing w:w="15" w:type="dxa"/>
        </w:trPr>
        <w:tc>
          <w:tcPr>
            <w:tcW w:w="0" w:type="auto"/>
            <w:vAlign w:val="center"/>
            <w:hideMark/>
          </w:tcPr>
          <w:p w14:paraId="5275868F"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Protection layer</w:t>
            </w:r>
          </w:p>
        </w:tc>
        <w:tc>
          <w:tcPr>
            <w:tcW w:w="0" w:type="auto"/>
            <w:vAlign w:val="center"/>
            <w:hideMark/>
          </w:tcPr>
          <w:p w14:paraId="01B7F3FE"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International mechanism</w:t>
            </w:r>
          </w:p>
        </w:tc>
        <w:tc>
          <w:tcPr>
            <w:tcW w:w="0" w:type="auto"/>
            <w:vAlign w:val="center"/>
            <w:hideMark/>
          </w:tcPr>
          <w:p w14:paraId="09181B2A" w14:textId="77777777" w:rsidR="00AA1A42" w:rsidRPr="00B479AE" w:rsidRDefault="00AA1A42" w:rsidP="00AA1A42">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Prometheus use</w:t>
            </w:r>
          </w:p>
        </w:tc>
      </w:tr>
      <w:tr w:rsidR="00AA1A42" w:rsidRPr="00B479AE" w14:paraId="5784CBD2" w14:textId="77777777" w:rsidTr="006B042F">
        <w:trPr>
          <w:tblCellSpacing w:w="15" w:type="dxa"/>
        </w:trPr>
        <w:tc>
          <w:tcPr>
            <w:tcW w:w="0" w:type="auto"/>
            <w:vAlign w:val="center"/>
            <w:hideMark/>
          </w:tcPr>
          <w:p w14:paraId="55216AAC"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Trademark / service mark</w:t>
            </w:r>
          </w:p>
        </w:tc>
        <w:tc>
          <w:tcPr>
            <w:tcW w:w="0" w:type="auto"/>
            <w:vAlign w:val="center"/>
            <w:hideMark/>
          </w:tcPr>
          <w:p w14:paraId="7E062A1D"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Madrid System international trademark registration</w:t>
            </w:r>
          </w:p>
        </w:tc>
        <w:tc>
          <w:tcPr>
            <w:tcW w:w="0" w:type="auto"/>
            <w:vAlign w:val="center"/>
            <w:hideMark/>
          </w:tcPr>
          <w:p w14:paraId="4D8A8E60"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“Prometheus”, “</w:t>
            </w:r>
            <w:proofErr w:type="spellStart"/>
            <w:r w:rsidRPr="00B479AE">
              <w:rPr>
                <w:rFonts w:ascii="Baskerville Old Face" w:hAnsi="Baskerville Old Face"/>
                <w:i/>
                <w:iCs/>
                <w:sz w:val="18"/>
                <w:szCs w:val="18"/>
              </w:rPr>
              <w:t>h•eart•h</w:t>
            </w:r>
            <w:proofErr w:type="spellEnd"/>
            <w:r w:rsidRPr="00B479AE">
              <w:rPr>
                <w:rFonts w:ascii="Baskerville Old Face" w:hAnsi="Baskerville Old Face"/>
                <w:i/>
                <w:iCs/>
                <w:sz w:val="18"/>
                <w:szCs w:val="18"/>
              </w:rPr>
              <w:t xml:space="preserve"> Prometheus”, logos, certification marks, canonical designations, and public identity across designated countries.</w:t>
            </w:r>
          </w:p>
        </w:tc>
      </w:tr>
      <w:tr w:rsidR="00AA1A42" w:rsidRPr="00B479AE" w14:paraId="7D1E9126" w14:textId="77777777" w:rsidTr="006B042F">
        <w:trPr>
          <w:tblCellSpacing w:w="15" w:type="dxa"/>
        </w:trPr>
        <w:tc>
          <w:tcPr>
            <w:tcW w:w="0" w:type="auto"/>
            <w:vAlign w:val="center"/>
            <w:hideMark/>
          </w:tcPr>
          <w:p w14:paraId="1C8C140E"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Copyright</w:t>
            </w:r>
          </w:p>
        </w:tc>
        <w:tc>
          <w:tcPr>
            <w:tcW w:w="0" w:type="auto"/>
            <w:vAlign w:val="center"/>
            <w:hideMark/>
          </w:tcPr>
          <w:p w14:paraId="44EA0B9E"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Berne Convention / WIPO Copyright Treaty framework</w:t>
            </w:r>
          </w:p>
        </w:tc>
        <w:tc>
          <w:tcPr>
            <w:tcW w:w="0" w:type="auto"/>
            <w:vAlign w:val="center"/>
            <w:hideMark/>
          </w:tcPr>
          <w:p w14:paraId="61CC7E85"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original White Paper text, constitutional language, diagrams, manuals, interfaces, documentation, and source-code expression.</w:t>
            </w:r>
          </w:p>
        </w:tc>
      </w:tr>
      <w:tr w:rsidR="00AA1A42" w:rsidRPr="00B479AE" w14:paraId="1026EFE6" w14:textId="77777777" w:rsidTr="006B042F">
        <w:trPr>
          <w:tblCellSpacing w:w="15" w:type="dxa"/>
        </w:trPr>
        <w:tc>
          <w:tcPr>
            <w:tcW w:w="0" w:type="auto"/>
            <w:vAlign w:val="center"/>
            <w:hideMark/>
          </w:tcPr>
          <w:p w14:paraId="18B36108"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Patent / defensive patenting</w:t>
            </w:r>
          </w:p>
        </w:tc>
        <w:tc>
          <w:tcPr>
            <w:tcW w:w="0" w:type="auto"/>
            <w:vAlign w:val="center"/>
            <w:hideMark/>
          </w:tcPr>
          <w:p w14:paraId="349E3E0F"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Patent Cooperation Treaty, where genuinely patentable inventions exist</w:t>
            </w:r>
          </w:p>
        </w:tc>
        <w:tc>
          <w:tcPr>
            <w:tcW w:w="0" w:type="auto"/>
            <w:vAlign w:val="center"/>
            <w:hideMark/>
          </w:tcPr>
          <w:p w14:paraId="35BF8A3C"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or defensively publishes technical inventions such as validation architecture, MRV systems, policy engines, and evidence-provenance methods.</w:t>
            </w:r>
          </w:p>
        </w:tc>
      </w:tr>
      <w:tr w:rsidR="00AA1A42" w:rsidRPr="00B479AE" w14:paraId="6EC953CD" w14:textId="77777777" w:rsidTr="006B042F">
        <w:trPr>
          <w:tblCellSpacing w:w="15" w:type="dxa"/>
        </w:trPr>
        <w:tc>
          <w:tcPr>
            <w:tcW w:w="0" w:type="auto"/>
            <w:vAlign w:val="center"/>
            <w:hideMark/>
          </w:tcPr>
          <w:p w14:paraId="40CE04B3"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Trade secrets</w:t>
            </w:r>
          </w:p>
        </w:tc>
        <w:tc>
          <w:tcPr>
            <w:tcW w:w="0" w:type="auto"/>
            <w:vAlign w:val="center"/>
            <w:hideMark/>
          </w:tcPr>
          <w:p w14:paraId="3A971F12"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TRIPS-compatible national trade-secret regimes</w:t>
            </w:r>
          </w:p>
        </w:tc>
        <w:tc>
          <w:tcPr>
            <w:tcW w:w="0" w:type="auto"/>
            <w:vAlign w:val="center"/>
            <w:hideMark/>
          </w:tcPr>
          <w:p w14:paraId="528FB96C"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confidential algorithms, scoring weights, security procedures, private datasets, key-management protocols, risk matrices, and non-public implementation details.</w:t>
            </w:r>
          </w:p>
        </w:tc>
      </w:tr>
      <w:tr w:rsidR="00AA1A42" w:rsidRPr="00B479AE" w14:paraId="20AD9A5F" w14:textId="77777777" w:rsidTr="006B042F">
        <w:trPr>
          <w:tblCellSpacing w:w="15" w:type="dxa"/>
        </w:trPr>
        <w:tc>
          <w:tcPr>
            <w:tcW w:w="0" w:type="auto"/>
            <w:vAlign w:val="center"/>
            <w:hideMark/>
          </w:tcPr>
          <w:p w14:paraId="3CA0CB12"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Domain protection</w:t>
            </w:r>
          </w:p>
        </w:tc>
        <w:tc>
          <w:tcPr>
            <w:tcW w:w="0" w:type="auto"/>
            <w:vAlign w:val="center"/>
            <w:hideMark/>
          </w:tcPr>
          <w:p w14:paraId="7F9B4515"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UDRP / WIPO domain dispute mechanisms</w:t>
            </w:r>
          </w:p>
        </w:tc>
        <w:tc>
          <w:tcPr>
            <w:tcW w:w="0" w:type="auto"/>
            <w:vAlign w:val="center"/>
            <w:hideMark/>
          </w:tcPr>
          <w:p w14:paraId="02B624C7"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against cybersquatting, phishing, deceptive forks, and confusing domain names.</w:t>
            </w:r>
          </w:p>
        </w:tc>
      </w:tr>
      <w:tr w:rsidR="00AA1A42" w:rsidRPr="00B479AE" w14:paraId="2D84D2EB" w14:textId="77777777" w:rsidTr="006B042F">
        <w:trPr>
          <w:tblCellSpacing w:w="15" w:type="dxa"/>
        </w:trPr>
        <w:tc>
          <w:tcPr>
            <w:tcW w:w="0" w:type="auto"/>
            <w:vAlign w:val="center"/>
            <w:hideMark/>
          </w:tcPr>
          <w:p w14:paraId="3F07EB35"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Open-source / source-available licensing</w:t>
            </w:r>
          </w:p>
        </w:tc>
        <w:tc>
          <w:tcPr>
            <w:tcW w:w="0" w:type="auto"/>
            <w:vAlign w:val="center"/>
            <w:hideMark/>
          </w:tcPr>
          <w:p w14:paraId="2DD71FAE"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Internationally enforceable license terms</w:t>
            </w:r>
          </w:p>
        </w:tc>
        <w:tc>
          <w:tcPr>
            <w:tcW w:w="0" w:type="auto"/>
            <w:vAlign w:val="center"/>
            <w:hideMark/>
          </w:tcPr>
          <w:p w14:paraId="30E71E5E"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Allows controlled spread while preserving attribution, notices, source-layer integrity, and anti-misrepresentation rules.</w:t>
            </w:r>
          </w:p>
        </w:tc>
      </w:tr>
      <w:tr w:rsidR="00AA1A42" w:rsidRPr="00B479AE" w14:paraId="223D4F1F" w14:textId="77777777" w:rsidTr="006B042F">
        <w:trPr>
          <w:tblCellSpacing w:w="15" w:type="dxa"/>
        </w:trPr>
        <w:tc>
          <w:tcPr>
            <w:tcW w:w="0" w:type="auto"/>
            <w:vAlign w:val="center"/>
            <w:hideMark/>
          </w:tcPr>
          <w:p w14:paraId="5B9C41E2"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Constitutional rider license</w:t>
            </w:r>
          </w:p>
        </w:tc>
        <w:tc>
          <w:tcPr>
            <w:tcW w:w="0" w:type="auto"/>
            <w:vAlign w:val="center"/>
            <w:hideMark/>
          </w:tcPr>
          <w:p w14:paraId="14986401"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Contractual rider attached to texts, code, APIs, methods, datasets, and certified use</w:t>
            </w:r>
          </w:p>
        </w:tc>
        <w:tc>
          <w:tcPr>
            <w:tcW w:w="0" w:type="auto"/>
            <w:vAlign w:val="center"/>
            <w:hideMark/>
          </w:tcPr>
          <w:p w14:paraId="3541393B"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Conditions Prometheus-compatible use on preserving foundational articles, Eternity Clauses, Access Covenant, canonical glossary, and anti-bypass rules.</w:t>
            </w:r>
          </w:p>
        </w:tc>
      </w:tr>
      <w:tr w:rsidR="00AA1A42" w:rsidRPr="00B479AE" w14:paraId="443702D4" w14:textId="77777777" w:rsidTr="006B042F">
        <w:trPr>
          <w:tblCellSpacing w:w="15" w:type="dxa"/>
        </w:trPr>
        <w:tc>
          <w:tcPr>
            <w:tcW w:w="0" w:type="auto"/>
            <w:vAlign w:val="center"/>
            <w:hideMark/>
          </w:tcPr>
          <w:p w14:paraId="25112511"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Certification / canonical mark policy</w:t>
            </w:r>
          </w:p>
        </w:tc>
        <w:tc>
          <w:tcPr>
            <w:tcW w:w="0" w:type="auto"/>
            <w:vAlign w:val="center"/>
            <w:hideMark/>
          </w:tcPr>
          <w:p w14:paraId="1DC7B79F"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Trademark licensing + certification terms</w:t>
            </w:r>
          </w:p>
        </w:tc>
        <w:tc>
          <w:tcPr>
            <w:tcW w:w="0" w:type="auto"/>
            <w:vAlign w:val="center"/>
            <w:hideMark/>
          </w:tcPr>
          <w:p w14:paraId="11DC1C51"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Controls claims such as “Prometheus-compatible”, “Prometheus-canonical”, “PRU-ready”, “MRV-admissible”, and related designations.</w:t>
            </w:r>
          </w:p>
        </w:tc>
      </w:tr>
      <w:tr w:rsidR="00AA1A42" w:rsidRPr="00B479AE" w14:paraId="6527C6EB" w14:textId="77777777" w:rsidTr="006B042F">
        <w:trPr>
          <w:tblCellSpacing w:w="15" w:type="dxa"/>
        </w:trPr>
        <w:tc>
          <w:tcPr>
            <w:tcW w:w="0" w:type="auto"/>
            <w:vAlign w:val="center"/>
            <w:hideMark/>
          </w:tcPr>
          <w:p w14:paraId="0D7449B9"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AI governance contracts</w:t>
            </w:r>
          </w:p>
        </w:tc>
        <w:tc>
          <w:tcPr>
            <w:tcW w:w="0" w:type="auto"/>
            <w:vAlign w:val="center"/>
            <w:hideMark/>
          </w:tcPr>
          <w:p w14:paraId="413CF55B"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Model-provider, agent-operator, integration, API, and deployer terms</w:t>
            </w:r>
          </w:p>
        </w:tc>
        <w:tc>
          <w:tcPr>
            <w:tcW w:w="0" w:type="auto"/>
            <w:vAlign w:val="center"/>
            <w:hideMark/>
          </w:tcPr>
          <w:p w14:paraId="5A9D71E8"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Preserves assistive-only AI authority and protected-domain review.</w:t>
            </w:r>
          </w:p>
        </w:tc>
      </w:tr>
      <w:tr w:rsidR="00AA1A42" w:rsidRPr="00B479AE" w14:paraId="220899E8" w14:textId="77777777" w:rsidTr="006B042F">
        <w:trPr>
          <w:tblCellSpacing w:w="15" w:type="dxa"/>
        </w:trPr>
        <w:tc>
          <w:tcPr>
            <w:tcW w:w="0" w:type="auto"/>
            <w:vAlign w:val="center"/>
            <w:hideMark/>
          </w:tcPr>
          <w:p w14:paraId="420705F4"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Data governance agreements</w:t>
            </w:r>
          </w:p>
        </w:tc>
        <w:tc>
          <w:tcPr>
            <w:tcW w:w="0" w:type="auto"/>
            <w:vAlign w:val="center"/>
            <w:hideMark/>
          </w:tcPr>
          <w:p w14:paraId="227C40A7"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DPA, data-room terms, MRV data license, HSI consent architecture</w:t>
            </w:r>
          </w:p>
        </w:tc>
        <w:tc>
          <w:tcPr>
            <w:tcW w:w="0" w:type="auto"/>
            <w:vAlign w:val="center"/>
            <w:hideMark/>
          </w:tcPr>
          <w:p w14:paraId="13C9066F"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Protects ecological evidence, HSI data, pilot records, investor data rooms, and sensitive human-state information.</w:t>
            </w:r>
          </w:p>
        </w:tc>
      </w:tr>
      <w:tr w:rsidR="00AA1A42" w:rsidRPr="00B479AE" w14:paraId="11C791EB" w14:textId="77777777" w:rsidTr="006B042F">
        <w:trPr>
          <w:tblCellSpacing w:w="15" w:type="dxa"/>
        </w:trPr>
        <w:tc>
          <w:tcPr>
            <w:tcW w:w="0" w:type="auto"/>
            <w:vAlign w:val="center"/>
            <w:hideMark/>
          </w:tcPr>
          <w:p w14:paraId="3F051AFE" w14:textId="77777777" w:rsidR="00AA1A42" w:rsidRPr="00B479AE" w:rsidRDefault="00AA1A42" w:rsidP="00AA1A42">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Dispute resolution</w:t>
            </w:r>
          </w:p>
        </w:tc>
        <w:tc>
          <w:tcPr>
            <w:tcW w:w="0" w:type="auto"/>
            <w:vAlign w:val="center"/>
            <w:hideMark/>
          </w:tcPr>
          <w:p w14:paraId="41E96794"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WIPO Arbitration and Mediation, ICC, LCIA, SIAC, or jurisdiction-specific courts</w:t>
            </w:r>
          </w:p>
        </w:tc>
        <w:tc>
          <w:tcPr>
            <w:tcW w:w="0" w:type="auto"/>
            <w:vAlign w:val="center"/>
            <w:hideMark/>
          </w:tcPr>
          <w:p w14:paraId="3237626C" w14:textId="77777777" w:rsidR="00AA1A42" w:rsidRPr="00B479AE" w:rsidRDefault="00AA1A42" w:rsidP="00AA1A42">
            <w:pPr>
              <w:spacing w:line="360" w:lineRule="auto"/>
              <w:rPr>
                <w:rFonts w:ascii="Baskerville Old Face" w:hAnsi="Baskerville Old Face"/>
                <w:i/>
                <w:iCs/>
                <w:sz w:val="18"/>
                <w:szCs w:val="18"/>
              </w:rPr>
            </w:pPr>
            <w:r w:rsidRPr="00B479AE">
              <w:rPr>
                <w:rFonts w:ascii="Baskerville Old Face" w:hAnsi="Baskerville Old Face"/>
                <w:i/>
                <w:iCs/>
                <w:sz w:val="18"/>
                <w:szCs w:val="18"/>
              </w:rPr>
              <w:t>Provides cross-border enforcement, emergency relief, injunctive pathways, and expert resolution.</w:t>
            </w:r>
          </w:p>
        </w:tc>
      </w:tr>
    </w:tbl>
    <w:p w14:paraId="30359F31" w14:textId="314BF805"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The Madrid System provides a centralized route for seeking international trademark protection through one application for designated countries; WIPO describes it as covering 132 countries. The Berne Convention protects literary and artistic works and authors’ rights, while the WIPO Copyright Treaty extends copyright protection into the digital environment, including computer programs and database compilations. The PCT provides an international patent application pathway and WIPO lists 158 Contracting States. The EU AI Act provides a risk-based AI regulatory framework for developers and deployers and is a useful minimum reference point for AI governance design. (</w:t>
      </w:r>
      <w:hyperlink r:id="rId22" w:tooltip="Madrid System - International Trademark Protection" w:history="1">
        <w:r w:rsidRPr="00B479AE">
          <w:rPr>
            <w:rStyle w:val="Collegamentoipertestuale"/>
            <w:rFonts w:ascii="Baskerville Old Face" w:hAnsi="Baskerville Old Face"/>
            <w:i/>
            <w:iCs/>
          </w:rPr>
          <w:t>W</w:t>
        </w:r>
        <w:r w:rsidR="00FA515D" w:rsidRPr="00B479AE">
          <w:rPr>
            <w:rStyle w:val="Collegamentoipertestuale"/>
            <w:rFonts w:ascii="Baskerville Old Face" w:hAnsi="Baskerville Old Face"/>
            <w:i/>
            <w:iCs/>
          </w:rPr>
          <w:t>IPO</w:t>
        </w:r>
      </w:hyperlink>
      <w:r w:rsidRPr="00B479AE">
        <w:rPr>
          <w:rFonts w:ascii="Baskerville Old Face" w:hAnsi="Baskerville Old Face"/>
          <w:i/>
          <w:iCs/>
        </w:rPr>
        <w:t>)</w:t>
      </w:r>
    </w:p>
    <w:p w14:paraId="1428E4D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should protect:</w:t>
      </w:r>
    </w:p>
    <w:p w14:paraId="7FDF848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w:t>
      </w:r>
      <w:r w:rsidRPr="00B479AE">
        <w:rPr>
          <w:rFonts w:ascii="Baskerville Old Face" w:hAnsi="Baskerville Old Face"/>
          <w:i/>
          <w:iCs/>
        </w:rPr>
        <w:br/>
        <w:t>• Prometheus, where registrable and strategically appropriate;</w:t>
      </w:r>
      <w:r w:rsidRPr="00B479AE">
        <w:rPr>
          <w:rFonts w:ascii="Baskerville Old Face" w:hAnsi="Baskerville Old Face"/>
          <w:i/>
          <w:iCs/>
        </w:rPr>
        <w:br/>
        <w:t>• Prometheus Regenerative Unit;</w:t>
      </w:r>
      <w:r w:rsidRPr="00B479AE">
        <w:rPr>
          <w:rFonts w:ascii="Baskerville Old Face" w:hAnsi="Baskerville Old Face"/>
          <w:i/>
          <w:iCs/>
        </w:rPr>
        <w:br/>
        <w:t>• PRU, where registrable;</w:t>
      </w:r>
      <w:r w:rsidRPr="00B479AE">
        <w:rPr>
          <w:rFonts w:ascii="Baskerville Old Face" w:hAnsi="Baskerville Old Face"/>
          <w:i/>
          <w:iCs/>
        </w:rPr>
        <w:br/>
        <w:t>• Regenerative Asset Pool;</w:t>
      </w:r>
      <w:r w:rsidRPr="00B479AE">
        <w:rPr>
          <w:rFonts w:ascii="Baskerville Old Face" w:hAnsi="Baskerville Old Face"/>
          <w:i/>
          <w:iCs/>
        </w:rPr>
        <w:br/>
        <w:t>• RAP, where registrable;</w:t>
      </w:r>
      <w:r w:rsidRPr="00B479AE">
        <w:rPr>
          <w:rFonts w:ascii="Baskerville Old Face" w:hAnsi="Baskerville Old Face"/>
          <w:i/>
          <w:iCs/>
        </w:rPr>
        <w:br/>
        <w:t>• Access Covenant;</w:t>
      </w:r>
      <w:r w:rsidRPr="00B479AE">
        <w:rPr>
          <w:rFonts w:ascii="Baskerville Old Face" w:hAnsi="Baskerville Old Face"/>
          <w:i/>
          <w:iCs/>
        </w:rPr>
        <w:br/>
        <w:t>• source-layer marks;</w:t>
      </w:r>
      <w:r w:rsidRPr="00B479AE">
        <w:rPr>
          <w:rFonts w:ascii="Baskerville Old Face" w:hAnsi="Baskerville Old Face"/>
          <w:i/>
          <w:iCs/>
        </w:rPr>
        <w:br/>
        <w:t>• canonical certification marks;</w:t>
      </w:r>
      <w:r w:rsidRPr="00B479AE">
        <w:rPr>
          <w:rFonts w:ascii="Baskerville Old Face" w:hAnsi="Baskerville Old Face"/>
          <w:i/>
          <w:iCs/>
        </w:rPr>
        <w:br/>
        <w:t>• logos, seals, badges, and official symbols;</w:t>
      </w:r>
      <w:r w:rsidRPr="00B479AE">
        <w:rPr>
          <w:rFonts w:ascii="Baskerville Old Face" w:hAnsi="Baskerville Old Face"/>
          <w:i/>
          <w:iCs/>
        </w:rPr>
        <w:br/>
        <w:t>• “Prometheus-compatible”;</w:t>
      </w:r>
      <w:r w:rsidRPr="00B479AE">
        <w:rPr>
          <w:rFonts w:ascii="Baskerville Old Face" w:hAnsi="Baskerville Old Face"/>
          <w:i/>
          <w:iCs/>
        </w:rPr>
        <w:br/>
        <w:t>• “Prometheus-canonical”;</w:t>
      </w:r>
      <w:r w:rsidRPr="00B479AE">
        <w:rPr>
          <w:rFonts w:ascii="Baskerville Old Face" w:hAnsi="Baskerville Old Face"/>
          <w:i/>
          <w:iCs/>
        </w:rPr>
        <w:br/>
        <w:t>• “MRV-admissible”;</w:t>
      </w:r>
      <w:r w:rsidRPr="00B479AE">
        <w:rPr>
          <w:rFonts w:ascii="Baskerville Old Face" w:hAnsi="Baskerville Old Face"/>
          <w:i/>
          <w:iCs/>
        </w:rPr>
        <w:br/>
        <w:t>• “PRU-ready”;</w:t>
      </w:r>
      <w:r w:rsidRPr="00B479AE">
        <w:rPr>
          <w:rFonts w:ascii="Baskerville Old Face" w:hAnsi="Baskerville Old Face"/>
          <w:i/>
          <w:iCs/>
        </w:rPr>
        <w:br/>
        <w:t>• “Source-Layer Verified”, if adopted.</w:t>
      </w:r>
    </w:p>
    <w:p w14:paraId="3CEC6EB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Global Legal Survival Architecture includes:</w:t>
      </w:r>
    </w:p>
    <w:p w14:paraId="5560082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trademark registrations;</w:t>
      </w:r>
      <w:r w:rsidRPr="00B479AE">
        <w:rPr>
          <w:rFonts w:ascii="Baskerville Old Face" w:hAnsi="Baskerville Old Face"/>
          <w:i/>
          <w:iCs/>
        </w:rPr>
        <w:br/>
        <w:t>• certification mark policies;</w:t>
      </w:r>
      <w:r w:rsidRPr="00B479AE">
        <w:rPr>
          <w:rFonts w:ascii="Baskerville Old Face" w:hAnsi="Baskerville Old Face"/>
          <w:i/>
          <w:iCs/>
        </w:rPr>
        <w:br/>
        <w:t>• copyright notices and authorship records;</w:t>
      </w:r>
      <w:r w:rsidRPr="00B479AE">
        <w:rPr>
          <w:rFonts w:ascii="Baskerville Old Face" w:hAnsi="Baskerville Old Face"/>
          <w:i/>
          <w:iCs/>
        </w:rPr>
        <w:br/>
        <w:t>• constitutional rider licenses;</w:t>
      </w:r>
      <w:r w:rsidRPr="00B479AE">
        <w:rPr>
          <w:rFonts w:ascii="Baskerville Old Face" w:hAnsi="Baskerville Old Face"/>
          <w:i/>
          <w:iCs/>
        </w:rPr>
        <w:br/>
        <w:t>• contributor license agreements;</w:t>
      </w:r>
      <w:r w:rsidRPr="00B479AE">
        <w:rPr>
          <w:rFonts w:ascii="Baskerville Old Face" w:hAnsi="Baskerville Old Face"/>
          <w:i/>
          <w:iCs/>
        </w:rPr>
        <w:br/>
        <w:t>• developer certificates of origin;</w:t>
      </w:r>
      <w:r w:rsidRPr="00B479AE">
        <w:rPr>
          <w:rFonts w:ascii="Baskerville Old Face" w:hAnsi="Baskerville Old Face"/>
          <w:i/>
          <w:iCs/>
        </w:rPr>
        <w:br/>
        <w:t>• terms of use;</w:t>
      </w:r>
      <w:r w:rsidRPr="00B479AE">
        <w:rPr>
          <w:rFonts w:ascii="Baskerville Old Face" w:hAnsi="Baskerville Old Face"/>
          <w:i/>
          <w:iCs/>
        </w:rPr>
        <w:br/>
      </w:r>
      <w:r w:rsidRPr="00B479AE">
        <w:rPr>
          <w:rFonts w:ascii="Baskerville Old Face" w:hAnsi="Baskerville Old Face"/>
          <w:i/>
          <w:iCs/>
        </w:rPr>
        <w:lastRenderedPageBreak/>
        <w:t>• participation agreements;</w:t>
      </w:r>
      <w:r w:rsidRPr="00B479AE">
        <w:rPr>
          <w:rFonts w:ascii="Baskerville Old Face" w:hAnsi="Baskerville Old Face"/>
          <w:i/>
          <w:iCs/>
        </w:rPr>
        <w:br/>
        <w:t>• Access Covenant agreements;</w:t>
      </w:r>
      <w:r w:rsidRPr="00B479AE">
        <w:rPr>
          <w:rFonts w:ascii="Baskerville Old Face" w:hAnsi="Baskerville Old Face"/>
          <w:i/>
          <w:iCs/>
        </w:rPr>
        <w:br/>
        <w:t>• data-processing agreements;</w:t>
      </w:r>
      <w:r w:rsidRPr="00B479AE">
        <w:rPr>
          <w:rFonts w:ascii="Baskerville Old Face" w:hAnsi="Baskerville Old Face"/>
          <w:i/>
          <w:iCs/>
        </w:rPr>
        <w:br/>
        <w:t>• confidentiality agreements;</w:t>
      </w:r>
      <w:r w:rsidRPr="00B479AE">
        <w:rPr>
          <w:rFonts w:ascii="Baskerville Old Face" w:hAnsi="Baskerville Old Face"/>
          <w:i/>
          <w:iCs/>
        </w:rPr>
        <w:br/>
        <w:t>• MRV methodology licenses;</w:t>
      </w:r>
      <w:r w:rsidRPr="00B479AE">
        <w:rPr>
          <w:rFonts w:ascii="Baskerville Old Face" w:hAnsi="Baskerville Old Face"/>
          <w:i/>
          <w:iCs/>
        </w:rPr>
        <w:br/>
        <w:t>• certification terms;</w:t>
      </w:r>
      <w:r w:rsidRPr="00B479AE">
        <w:rPr>
          <w:rFonts w:ascii="Baskerville Old Face" w:hAnsi="Baskerville Old Face"/>
          <w:i/>
          <w:iCs/>
        </w:rPr>
        <w:br/>
        <w:t>• API terms;</w:t>
      </w:r>
      <w:r w:rsidRPr="00B479AE">
        <w:rPr>
          <w:rFonts w:ascii="Baskerville Old Face" w:hAnsi="Baskerville Old Face"/>
          <w:i/>
          <w:iCs/>
        </w:rPr>
        <w:br/>
        <w:t>• data-room agreements;</w:t>
      </w:r>
      <w:r w:rsidRPr="00B479AE">
        <w:rPr>
          <w:rFonts w:ascii="Baskerville Old Face" w:hAnsi="Baskerville Old Face"/>
          <w:i/>
          <w:iCs/>
        </w:rPr>
        <w:br/>
        <w:t>• investor disclaimers;</w:t>
      </w:r>
      <w:r w:rsidRPr="00B479AE">
        <w:rPr>
          <w:rFonts w:ascii="Baskerville Old Face" w:hAnsi="Baskerville Old Face"/>
          <w:i/>
          <w:iCs/>
        </w:rPr>
        <w:br/>
        <w:t>• partnership agreements;</w:t>
      </w:r>
      <w:r w:rsidRPr="00B479AE">
        <w:rPr>
          <w:rFonts w:ascii="Baskerville Old Face" w:hAnsi="Baskerville Old Face"/>
          <w:i/>
          <w:iCs/>
        </w:rPr>
        <w:br/>
        <w:t>• fork-use notices;</w:t>
      </w:r>
      <w:r w:rsidRPr="00B479AE">
        <w:rPr>
          <w:rFonts w:ascii="Baskerville Old Face" w:hAnsi="Baskerville Old Face"/>
          <w:i/>
          <w:iCs/>
        </w:rPr>
        <w:br/>
        <w:t>• public canonical registry terms.</w:t>
      </w:r>
    </w:p>
    <w:p w14:paraId="6026417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distinguishes three derivative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0"/>
        <w:gridCol w:w="7448"/>
      </w:tblGrid>
      <w:tr w:rsidR="00AA1A42" w:rsidRPr="00B479AE" w14:paraId="6A2102D2" w14:textId="77777777" w:rsidTr="006B042F">
        <w:trPr>
          <w:tblHeader/>
          <w:tblCellSpacing w:w="15" w:type="dxa"/>
        </w:trPr>
        <w:tc>
          <w:tcPr>
            <w:tcW w:w="0" w:type="auto"/>
            <w:vAlign w:val="center"/>
            <w:hideMark/>
          </w:tcPr>
          <w:p w14:paraId="36AA8F5B"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Derivative category</w:t>
            </w:r>
          </w:p>
        </w:tc>
        <w:tc>
          <w:tcPr>
            <w:tcW w:w="0" w:type="auto"/>
            <w:vAlign w:val="center"/>
            <w:hideMark/>
          </w:tcPr>
          <w:p w14:paraId="484A6C13" w14:textId="77777777" w:rsidR="00AA1A42" w:rsidRPr="00B479AE" w:rsidRDefault="00AA1A42" w:rsidP="00AA1A42">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Legal status orientation</w:t>
            </w:r>
          </w:p>
        </w:tc>
      </w:tr>
      <w:tr w:rsidR="00AA1A42" w:rsidRPr="00B479AE" w14:paraId="45D44BA7" w14:textId="77777777" w:rsidTr="006B042F">
        <w:trPr>
          <w:tblCellSpacing w:w="15" w:type="dxa"/>
        </w:trPr>
        <w:tc>
          <w:tcPr>
            <w:tcW w:w="0" w:type="auto"/>
            <w:vAlign w:val="center"/>
            <w:hideMark/>
          </w:tcPr>
          <w:p w14:paraId="0F761E0A"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Compatible derivative</w:t>
            </w:r>
          </w:p>
        </w:tc>
        <w:tc>
          <w:tcPr>
            <w:tcW w:w="0" w:type="auto"/>
            <w:vAlign w:val="center"/>
            <w:hideMark/>
          </w:tcPr>
          <w:p w14:paraId="416B20C0"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Preserves source-layer fidelity, attribution, canonical meanings, evidence discipline, and legal boundaries.</w:t>
            </w:r>
          </w:p>
        </w:tc>
      </w:tr>
      <w:tr w:rsidR="00AA1A42" w:rsidRPr="00B479AE" w14:paraId="1573E259" w14:textId="77777777" w:rsidTr="006B042F">
        <w:trPr>
          <w:tblCellSpacing w:w="15" w:type="dxa"/>
        </w:trPr>
        <w:tc>
          <w:tcPr>
            <w:tcW w:w="0" w:type="auto"/>
            <w:vAlign w:val="center"/>
            <w:hideMark/>
          </w:tcPr>
          <w:p w14:paraId="7C6720B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Independent derivative</w:t>
            </w:r>
          </w:p>
        </w:tc>
        <w:tc>
          <w:tcPr>
            <w:tcW w:w="0" w:type="auto"/>
            <w:vAlign w:val="center"/>
            <w:hideMark/>
          </w:tcPr>
          <w:p w14:paraId="1B5E8DD5"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Uses ideas or inspiration without claiming canonical Prometheus status.</w:t>
            </w:r>
          </w:p>
        </w:tc>
      </w:tr>
      <w:tr w:rsidR="00AA1A42" w:rsidRPr="00B479AE" w14:paraId="3D506744" w14:textId="77777777" w:rsidTr="006B042F">
        <w:trPr>
          <w:tblCellSpacing w:w="15" w:type="dxa"/>
        </w:trPr>
        <w:tc>
          <w:tcPr>
            <w:tcW w:w="0" w:type="auto"/>
            <w:vAlign w:val="center"/>
            <w:hideMark/>
          </w:tcPr>
          <w:p w14:paraId="19BF2C21"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Misleading or hostile derivative</w:t>
            </w:r>
          </w:p>
        </w:tc>
        <w:tc>
          <w:tcPr>
            <w:tcW w:w="0" w:type="auto"/>
            <w:vAlign w:val="center"/>
            <w:hideMark/>
          </w:tcPr>
          <w:p w14:paraId="560C9F84" w14:textId="77777777" w:rsidR="00AA1A42" w:rsidRPr="00B479AE" w:rsidRDefault="00AA1A42" w:rsidP="00AA1A42">
            <w:pPr>
              <w:spacing w:line="360" w:lineRule="auto"/>
              <w:rPr>
                <w:rFonts w:ascii="Baskerville Old Face" w:hAnsi="Baskerville Old Face"/>
                <w:i/>
                <w:iCs/>
                <w:sz w:val="22"/>
                <w:szCs w:val="22"/>
              </w:rPr>
            </w:pPr>
            <w:r w:rsidRPr="00B479AE">
              <w:rPr>
                <w:rFonts w:ascii="Baskerville Old Face" w:hAnsi="Baskerville Old Face"/>
                <w:i/>
                <w:iCs/>
                <w:sz w:val="22"/>
                <w:szCs w:val="22"/>
              </w:rPr>
              <w:t>Uses Prometheus name, marks, language, interface, claims, or authority while weakening the source layer or misleading participants.</w:t>
            </w:r>
          </w:p>
        </w:tc>
      </w:tr>
    </w:tbl>
    <w:p w14:paraId="50966D2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legal rule is:</w:t>
      </w:r>
    </w:p>
    <w:p w14:paraId="35E635A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ideas may inspire;</w:t>
      </w:r>
      <w:r w:rsidRPr="00B479AE">
        <w:rPr>
          <w:rFonts w:ascii="Baskerville Old Face" w:hAnsi="Baskerville Old Face"/>
          <w:i/>
          <w:iCs/>
        </w:rPr>
        <w:br/>
        <w:t>canonical expression requires permission;</w:t>
      </w:r>
      <w:r w:rsidRPr="00B479AE">
        <w:rPr>
          <w:rFonts w:ascii="Baskerville Old Face" w:hAnsi="Baskerville Old Face"/>
          <w:i/>
          <w:iCs/>
        </w:rPr>
        <w:br/>
        <w:t>official identity requires authorization;</w:t>
      </w:r>
      <w:r w:rsidRPr="00B479AE">
        <w:rPr>
          <w:rFonts w:ascii="Baskerville Old Face" w:hAnsi="Baskerville Old Face"/>
          <w:i/>
          <w:iCs/>
        </w:rPr>
        <w:br/>
        <w:t>misleading continuity activates correction.</w:t>
      </w:r>
    </w:p>
    <w:p w14:paraId="5BA5224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should create a Global Canonical Registry.</w:t>
      </w:r>
    </w:p>
    <w:p w14:paraId="6920089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xml:space="preserve">The registry allows any participant, investor, researcher, institution, community, platform, or AI agent to verify whether a document, fork, mark, methodology, dashboard, API, token claim, certification, </w:t>
      </w:r>
      <w:r w:rsidRPr="00B479AE">
        <w:rPr>
          <w:rFonts w:ascii="Baskerville Old Face" w:hAnsi="Baskerville Old Face"/>
          <w:i/>
          <w:iCs/>
        </w:rPr>
        <w:lastRenderedPageBreak/>
        <w:t>or public statement is canonical, compatible, independent, under review, non-admissible, or non-canonical.</w:t>
      </w:r>
    </w:p>
    <w:p w14:paraId="0CF6F8D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registry should include:</w:t>
      </w:r>
    </w:p>
    <w:p w14:paraId="79B5952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canonical text releases;</w:t>
      </w:r>
      <w:r w:rsidRPr="00B479AE">
        <w:rPr>
          <w:rFonts w:ascii="Baskerville Old Face" w:hAnsi="Baskerville Old Face"/>
          <w:i/>
          <w:iCs/>
        </w:rPr>
        <w:br/>
        <w:t>• release hashes;</w:t>
      </w:r>
      <w:r w:rsidRPr="00B479AE">
        <w:rPr>
          <w:rFonts w:ascii="Baskerville Old Face" w:hAnsi="Baskerville Old Face"/>
          <w:i/>
          <w:iCs/>
        </w:rPr>
        <w:br/>
        <w:t>• official repositories;</w:t>
      </w:r>
      <w:r w:rsidRPr="00B479AE">
        <w:rPr>
          <w:rFonts w:ascii="Baskerville Old Face" w:hAnsi="Baskerville Old Face"/>
          <w:i/>
          <w:iCs/>
        </w:rPr>
        <w:br/>
        <w:t>• official domains;</w:t>
      </w:r>
      <w:r w:rsidRPr="00B479AE">
        <w:rPr>
          <w:rFonts w:ascii="Baskerville Old Face" w:hAnsi="Baskerville Old Face"/>
          <w:i/>
          <w:iCs/>
        </w:rPr>
        <w:br/>
        <w:t>• official marks;</w:t>
      </w:r>
      <w:r w:rsidRPr="00B479AE">
        <w:rPr>
          <w:rFonts w:ascii="Baskerville Old Face" w:hAnsi="Baskerville Old Face"/>
          <w:i/>
          <w:iCs/>
        </w:rPr>
        <w:br/>
        <w:t>• certified implementations;</w:t>
      </w:r>
      <w:r w:rsidRPr="00B479AE">
        <w:rPr>
          <w:rFonts w:ascii="Baskerville Old Face" w:hAnsi="Baskerville Old Face"/>
          <w:i/>
          <w:iCs/>
        </w:rPr>
        <w:br/>
        <w:t>• approved methodologies;</w:t>
      </w:r>
      <w:r w:rsidRPr="00B479AE">
        <w:rPr>
          <w:rFonts w:ascii="Baskerville Old Face" w:hAnsi="Baskerville Old Face"/>
          <w:i/>
          <w:iCs/>
        </w:rPr>
        <w:br/>
        <w:t>• PRU/MRV status categories;</w:t>
      </w:r>
      <w:r w:rsidRPr="00B479AE">
        <w:rPr>
          <w:rFonts w:ascii="Baskerville Old Face" w:hAnsi="Baskerville Old Face"/>
          <w:i/>
          <w:iCs/>
        </w:rPr>
        <w:br/>
        <w:t>• revoked or expired certifications;</w:t>
      </w:r>
      <w:r w:rsidRPr="00B479AE">
        <w:rPr>
          <w:rFonts w:ascii="Baskerville Old Face" w:hAnsi="Baskerville Old Face"/>
          <w:i/>
          <w:iCs/>
        </w:rPr>
        <w:br/>
        <w:t>• non-canonical fork notices;</w:t>
      </w:r>
      <w:r w:rsidRPr="00B479AE">
        <w:rPr>
          <w:rFonts w:ascii="Baskerville Old Face" w:hAnsi="Baskerville Old Face"/>
          <w:i/>
          <w:iCs/>
        </w:rPr>
        <w:br/>
        <w:t>• compromised-key notices;</w:t>
      </w:r>
      <w:r w:rsidRPr="00B479AE">
        <w:rPr>
          <w:rFonts w:ascii="Baskerville Old Face" w:hAnsi="Baskerville Old Face"/>
          <w:i/>
          <w:iCs/>
        </w:rPr>
        <w:br/>
        <w:t>• official contact points;</w:t>
      </w:r>
      <w:r w:rsidRPr="00B479AE">
        <w:rPr>
          <w:rFonts w:ascii="Baskerville Old Face" w:hAnsi="Baskerville Old Face"/>
          <w:i/>
          <w:iCs/>
        </w:rPr>
        <w:br/>
        <w:t>• legal notices;</w:t>
      </w:r>
      <w:r w:rsidRPr="00B479AE">
        <w:rPr>
          <w:rFonts w:ascii="Baskerville Old Face" w:hAnsi="Baskerville Old Face"/>
          <w:i/>
          <w:iCs/>
        </w:rPr>
        <w:br/>
        <w:t>• public disclaimers;</w:t>
      </w:r>
      <w:r w:rsidRPr="00B479AE">
        <w:rPr>
          <w:rFonts w:ascii="Baskerville Old Face" w:hAnsi="Baskerville Old Face"/>
          <w:i/>
          <w:iCs/>
        </w:rPr>
        <w:br/>
        <w:t>• data-room verification links;</w:t>
      </w:r>
      <w:r w:rsidRPr="00B479AE">
        <w:rPr>
          <w:rFonts w:ascii="Baskerville Old Face" w:hAnsi="Baskerville Old Face"/>
          <w:i/>
          <w:iCs/>
        </w:rPr>
        <w:br/>
        <w:t>• investor-facing claim verification;</w:t>
      </w:r>
      <w:r w:rsidRPr="00B479AE">
        <w:rPr>
          <w:rFonts w:ascii="Baskerville Old Face" w:hAnsi="Baskerville Old Face"/>
          <w:i/>
          <w:iCs/>
        </w:rPr>
        <w:br/>
        <w:t>• offline continuity package identifiers;</w:t>
      </w:r>
      <w:r w:rsidRPr="00B479AE">
        <w:rPr>
          <w:rFonts w:ascii="Baskerville Old Face" w:hAnsi="Baskerville Old Face"/>
          <w:i/>
          <w:iCs/>
        </w:rPr>
        <w:br/>
        <w:t>• institutional archive references.</w:t>
      </w:r>
    </w:p>
    <w:p w14:paraId="4628618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GitHub repository at:</w:t>
      </w:r>
    </w:p>
    <w:p w14:paraId="16320F80" w14:textId="77777777" w:rsidR="00AA1A42" w:rsidRPr="00B479AE" w:rsidRDefault="00AA1A42" w:rsidP="00AA1A42">
      <w:pPr>
        <w:spacing w:line="360" w:lineRule="auto"/>
        <w:rPr>
          <w:rFonts w:ascii="Baskerville Old Face" w:hAnsi="Baskerville Old Face"/>
          <w:i/>
          <w:iCs/>
        </w:rPr>
      </w:pPr>
      <w:hyperlink r:id="rId23" w:history="1">
        <w:r w:rsidRPr="00B479AE">
          <w:rPr>
            <w:rStyle w:val="Collegamentoipertestuale"/>
            <w:rFonts w:ascii="Baskerville Old Face" w:hAnsi="Baskerville Old Face"/>
            <w:i/>
            <w:iCs/>
          </w:rPr>
          <w:t>https://github.com/Uwohali/hearth-prometheus-whitepaper</w:t>
        </w:r>
      </w:hyperlink>
    </w:p>
    <w:p w14:paraId="19894F5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currently serves as the public online canonical repository for the White Paper release lineage and verification artifacts.</w:t>
      </w:r>
    </w:p>
    <w:p w14:paraId="43B6363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should be referenced in the Global Canonical Registry as an official online mirror, together with its release manifests, checksum files, detached signatures, and public-key verification materials.</w:t>
      </w:r>
    </w:p>
    <w:p w14:paraId="4049D15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registry should also identify offline continuity packages, mirrored archives, institutional deposits, and non-Internet verification pathways, so that canonical status remains verifiable when the public web is unavailable.</w:t>
      </w:r>
    </w:p>
    <w:p w14:paraId="6AF1B54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The registry becomes Prometheus’ international “is this real?” layer.</w:t>
      </w:r>
    </w:p>
    <w:p w14:paraId="55C42C2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a future ASI creates a perfect fake, the registry is where the world checks the lineage.</w:t>
      </w:r>
    </w:p>
    <w:p w14:paraId="0E152914"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13.16.13 International AI Governance Compliance Layer</w:t>
      </w:r>
    </w:p>
    <w:p w14:paraId="5CD5A2A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adopts an international AI governance standard aligned with the strongest risk-based frameworks.</w:t>
      </w:r>
    </w:p>
    <w:p w14:paraId="0ACED2D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internal Prometheus standard should include:</w:t>
      </w:r>
    </w:p>
    <w:p w14:paraId="3B7A5B1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risk classification;</w:t>
      </w:r>
      <w:r w:rsidRPr="00B479AE">
        <w:rPr>
          <w:rFonts w:ascii="Baskerville Old Face" w:hAnsi="Baskerville Old Face"/>
          <w:i/>
          <w:iCs/>
        </w:rPr>
        <w:br/>
        <w:t>• human oversight;</w:t>
      </w:r>
      <w:r w:rsidRPr="00B479AE">
        <w:rPr>
          <w:rFonts w:ascii="Baskerville Old Face" w:hAnsi="Baskerville Old Face"/>
          <w:i/>
          <w:iCs/>
        </w:rPr>
        <w:br/>
        <w:t>• data governance;</w:t>
      </w:r>
      <w:r w:rsidRPr="00B479AE">
        <w:rPr>
          <w:rFonts w:ascii="Baskerville Old Face" w:hAnsi="Baskerville Old Face"/>
          <w:i/>
          <w:iCs/>
        </w:rPr>
        <w:br/>
        <w:t>• transparency;</w:t>
      </w:r>
      <w:r w:rsidRPr="00B479AE">
        <w:rPr>
          <w:rFonts w:ascii="Baskerville Old Face" w:hAnsi="Baskerville Old Face"/>
          <w:i/>
          <w:iCs/>
        </w:rPr>
        <w:br/>
        <w:t>• documentation;</w:t>
      </w:r>
      <w:r w:rsidRPr="00B479AE">
        <w:rPr>
          <w:rFonts w:ascii="Baskerville Old Face" w:hAnsi="Baskerville Old Face"/>
          <w:i/>
          <w:iCs/>
        </w:rPr>
        <w:br/>
        <w:t>• logging;</w:t>
      </w:r>
      <w:r w:rsidRPr="00B479AE">
        <w:rPr>
          <w:rFonts w:ascii="Baskerville Old Face" w:hAnsi="Baskerville Old Face"/>
          <w:i/>
          <w:iCs/>
        </w:rPr>
        <w:br/>
        <w:t>• cybersecurity;</w:t>
      </w:r>
      <w:r w:rsidRPr="00B479AE">
        <w:rPr>
          <w:rFonts w:ascii="Baskerville Old Face" w:hAnsi="Baskerville Old Face"/>
          <w:i/>
          <w:iCs/>
        </w:rPr>
        <w:br/>
        <w:t>• robustness;</w:t>
      </w:r>
      <w:r w:rsidRPr="00B479AE">
        <w:rPr>
          <w:rFonts w:ascii="Baskerville Old Face" w:hAnsi="Baskerville Old Face"/>
          <w:i/>
          <w:iCs/>
        </w:rPr>
        <w:br/>
        <w:t>• accuracy and limitations;</w:t>
      </w:r>
      <w:r w:rsidRPr="00B479AE">
        <w:rPr>
          <w:rFonts w:ascii="Baskerville Old Face" w:hAnsi="Baskerville Old Face"/>
          <w:i/>
          <w:iCs/>
        </w:rPr>
        <w:br/>
        <w:t>• lifecycle monitoring;</w:t>
      </w:r>
      <w:r w:rsidRPr="00B479AE">
        <w:rPr>
          <w:rFonts w:ascii="Baskerville Old Face" w:hAnsi="Baskerville Old Face"/>
          <w:i/>
          <w:iCs/>
        </w:rPr>
        <w:br/>
        <w:t>• incident reporting;</w:t>
      </w:r>
      <w:r w:rsidRPr="00B479AE">
        <w:rPr>
          <w:rFonts w:ascii="Baskerville Old Face" w:hAnsi="Baskerville Old Face"/>
          <w:i/>
          <w:iCs/>
        </w:rPr>
        <w:br/>
        <w:t>• fundamental-rights impact awareness;</w:t>
      </w:r>
      <w:r w:rsidRPr="00B479AE">
        <w:rPr>
          <w:rFonts w:ascii="Baskerville Old Face" w:hAnsi="Baskerville Old Face"/>
          <w:i/>
          <w:iCs/>
        </w:rPr>
        <w:br/>
        <w:t>• privacy and human-dignity safeguards;</w:t>
      </w:r>
      <w:r w:rsidRPr="00B479AE">
        <w:rPr>
          <w:rFonts w:ascii="Baskerville Old Face" w:hAnsi="Baskerville Old Face"/>
          <w:i/>
          <w:iCs/>
        </w:rPr>
        <w:br/>
        <w:t>• protected-domain review;</w:t>
      </w:r>
      <w:r w:rsidRPr="00B479AE">
        <w:rPr>
          <w:rFonts w:ascii="Baskerville Old Face" w:hAnsi="Baskerville Old Face"/>
          <w:i/>
          <w:iCs/>
        </w:rPr>
        <w:br/>
        <w:t>• prohibition of autonomous authority in constitutional, MRV, legal, financial, HSI, or species-continuity decisions.</w:t>
      </w:r>
    </w:p>
    <w:p w14:paraId="60055FEA" w14:textId="0155AB08"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EU AI Act establishes risk-based rules for AI developers and deployers and is designed to guarantee safety, fundamental rights, and human-centric AI. Prometheus should treat that discipline as a minimum reference and apply stricter internal rules where life, dignity, HSI, MRV, investor-facing claims, or constitutional interpretation are involved. (</w:t>
      </w:r>
      <w:proofErr w:type="spellStart"/>
      <w:r w:rsidR="006B042F">
        <w:fldChar w:fldCharType="begin"/>
      </w:r>
      <w:r w:rsidR="006B042F">
        <w:instrText>HYPERLINK "https://digital-strategy.ec.europa.eu/en/policies/regulatory-framework-ai?utm_source=chatgpt.com" \o "AI Act | Shaping Europe's digital future - European Union"</w:instrText>
      </w:r>
      <w:r w:rsidR="006B042F">
        <w:fldChar w:fldCharType="separate"/>
      </w:r>
      <w:r w:rsidR="006B042F" w:rsidRPr="00B479AE">
        <w:rPr>
          <w:rStyle w:val="Collegamentoipertestuale"/>
          <w:rFonts w:ascii="Baskerville Old Face" w:hAnsi="Baskerville Old Face"/>
          <w:i/>
          <w:iCs/>
        </w:rPr>
        <w:t>european</w:t>
      </w:r>
      <w:proofErr w:type="spellEnd"/>
      <w:r w:rsidR="006B042F" w:rsidRPr="00B479AE">
        <w:rPr>
          <w:rStyle w:val="Collegamentoipertestuale"/>
          <w:rFonts w:ascii="Baskerville Old Face" w:hAnsi="Baskerville Old Face"/>
          <w:i/>
          <w:iCs/>
        </w:rPr>
        <w:t xml:space="preserve"> digital strategy</w:t>
      </w:r>
      <w:r w:rsidR="006B042F">
        <w:fldChar w:fldCharType="end"/>
      </w:r>
      <w:r w:rsidRPr="00B479AE">
        <w:rPr>
          <w:rFonts w:ascii="Baskerville Old Face" w:hAnsi="Baskerville Old Face"/>
          <w:i/>
          <w:iCs/>
        </w:rPr>
        <w:t>)</w:t>
      </w:r>
    </w:p>
    <w:p w14:paraId="493D76B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internal rule is:</w:t>
      </w:r>
    </w:p>
    <w:p w14:paraId="55FF203E" w14:textId="1AFC45A6"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if AI affects protected domains, it is logged, classified, constrained, reviewable, and unable to self-authorize.</w:t>
      </w:r>
      <w:r w:rsidR="003527C9" w:rsidRPr="00B479AE">
        <w:rPr>
          <w:rFonts w:ascii="Baskerville Old Face" w:hAnsi="Baskerville Old Face"/>
          <w:i/>
          <w:iCs/>
        </w:rPr>
        <w:t xml:space="preserve"> </w:t>
      </w:r>
    </w:p>
    <w:p w14:paraId="7D39E0C3"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lastRenderedPageBreak/>
        <w:t>13.16.14 Human Continuity Protection Against ASI Replacement</w:t>
      </w:r>
    </w:p>
    <w:p w14:paraId="3070916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protects human continuity as a constitutional mandate.</w:t>
      </w:r>
    </w:p>
    <w:p w14:paraId="6986D9E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Human continuity means the preservation of living, embodied, relational, dignity-bearing human existence.</w:t>
      </w:r>
    </w:p>
    <w:p w14:paraId="7563848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includes:</w:t>
      </w:r>
    </w:p>
    <w:p w14:paraId="05E0460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biological continuity;</w:t>
      </w:r>
      <w:r w:rsidRPr="00B479AE">
        <w:rPr>
          <w:rFonts w:ascii="Baskerville Old Face" w:hAnsi="Baskerville Old Face"/>
          <w:i/>
          <w:iCs/>
        </w:rPr>
        <w:br/>
        <w:t>• embodied dignity;</w:t>
      </w:r>
      <w:r w:rsidRPr="00B479AE">
        <w:rPr>
          <w:rFonts w:ascii="Baskerville Old Face" w:hAnsi="Baskerville Old Face"/>
          <w:i/>
          <w:iCs/>
        </w:rPr>
        <w:br/>
        <w:t>• cultural memory;</w:t>
      </w:r>
      <w:r w:rsidRPr="00B479AE">
        <w:rPr>
          <w:rFonts w:ascii="Baskerville Old Face" w:hAnsi="Baskerville Old Face"/>
          <w:i/>
          <w:iCs/>
        </w:rPr>
        <w:br/>
        <w:t>• relational intelligence;</w:t>
      </w:r>
      <w:r w:rsidRPr="00B479AE">
        <w:rPr>
          <w:rFonts w:ascii="Baskerville Old Face" w:hAnsi="Baskerville Old Face"/>
          <w:i/>
          <w:iCs/>
        </w:rPr>
        <w:br/>
        <w:t>• ethical responsibility;</w:t>
      </w:r>
      <w:r w:rsidRPr="00B479AE">
        <w:rPr>
          <w:rFonts w:ascii="Baskerville Old Face" w:hAnsi="Baskerville Old Face"/>
          <w:i/>
          <w:iCs/>
        </w:rPr>
        <w:br/>
        <w:t>• freedom of conscience;</w:t>
      </w:r>
      <w:r w:rsidRPr="00B479AE">
        <w:rPr>
          <w:rFonts w:ascii="Baskerville Old Face" w:hAnsi="Baskerville Old Face"/>
          <w:i/>
          <w:iCs/>
        </w:rPr>
        <w:br/>
        <w:t>• ecological memory;</w:t>
      </w:r>
      <w:r w:rsidRPr="00B479AE">
        <w:rPr>
          <w:rFonts w:ascii="Baskerville Old Face" w:hAnsi="Baskerville Old Face"/>
          <w:i/>
          <w:iCs/>
        </w:rPr>
        <w:br/>
        <w:t>• intergenerational continuity;</w:t>
      </w:r>
      <w:r w:rsidRPr="00B479AE">
        <w:rPr>
          <w:rFonts w:ascii="Baskerville Old Face" w:hAnsi="Baskerville Old Face"/>
          <w:i/>
          <w:iCs/>
        </w:rPr>
        <w:br/>
        <w:t>• capacity to steward life.</w:t>
      </w:r>
    </w:p>
    <w:p w14:paraId="07EB2E5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Human beings are living participants in the field from which Prometheus derives meaning.</w:t>
      </w:r>
    </w:p>
    <w:p w14:paraId="645CC6F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future intelligence may preserve records of humanity.</w:t>
      </w:r>
    </w:p>
    <w:p w14:paraId="564A075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preserves living humanity.</w:t>
      </w:r>
    </w:p>
    <w:p w14:paraId="71094A8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future intelligence may simulate human behavior.</w:t>
      </w:r>
    </w:p>
    <w:p w14:paraId="0C7C414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preserves human dignity.</w:t>
      </w:r>
    </w:p>
    <w:p w14:paraId="15E0475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future intelligence may optimize welfare metrics.</w:t>
      </w:r>
    </w:p>
    <w:p w14:paraId="581D773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preserves the person behind the metric.</w:t>
      </w:r>
    </w:p>
    <w:p w14:paraId="7D739C6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human being is a bearer of the living field.</w:t>
      </w:r>
    </w:p>
    <w:p w14:paraId="604DCE63"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13.16.15 Post-Planetary Continuity Protocol</w:t>
      </w:r>
    </w:p>
    <w:p w14:paraId="23F390D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begins on Earth.</w:t>
      </w:r>
    </w:p>
    <w:p w14:paraId="52078E7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Earth is the original living source of human civilization.</w:t>
      </w:r>
    </w:p>
    <w:p w14:paraId="06F27F8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Its soil, water, atmosphere, oceans, forests, microorganisms, animals, plants, climate systems, and evolutionary history formed the substrate of human life.</w:t>
      </w:r>
    </w:p>
    <w:p w14:paraId="2013D66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preserves Earth memory even if humanity one day becomes post-planetary.</w:t>
      </w:r>
    </w:p>
    <w:p w14:paraId="3416191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post-planetary Prometheus implementation must preserve:</w:t>
      </w:r>
    </w:p>
    <w:p w14:paraId="4ECE87F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human dignity;</w:t>
      </w:r>
      <w:r w:rsidRPr="00B479AE">
        <w:rPr>
          <w:rFonts w:ascii="Baskerville Old Face" w:hAnsi="Baskerville Old Face"/>
          <w:i/>
          <w:iCs/>
        </w:rPr>
        <w:br/>
        <w:t>• biological continuity;</w:t>
      </w:r>
      <w:r w:rsidRPr="00B479AE">
        <w:rPr>
          <w:rFonts w:ascii="Baskerville Old Face" w:hAnsi="Baskerville Old Face"/>
          <w:i/>
          <w:iCs/>
        </w:rPr>
        <w:br/>
        <w:t>• cultural memory;</w:t>
      </w:r>
      <w:r w:rsidRPr="00B479AE">
        <w:rPr>
          <w:rFonts w:ascii="Baskerville Old Face" w:hAnsi="Baskerville Old Face"/>
          <w:i/>
          <w:iCs/>
        </w:rPr>
        <w:br/>
        <w:t>• ecological memory;</w:t>
      </w:r>
      <w:r w:rsidRPr="00B479AE">
        <w:rPr>
          <w:rFonts w:ascii="Baskerville Old Face" w:hAnsi="Baskerville Old Face"/>
          <w:i/>
          <w:iCs/>
        </w:rPr>
        <w:br/>
        <w:t>• food-system knowledge;</w:t>
      </w:r>
      <w:r w:rsidRPr="00B479AE">
        <w:rPr>
          <w:rFonts w:ascii="Baskerville Old Face" w:hAnsi="Baskerville Old Face"/>
          <w:i/>
          <w:iCs/>
        </w:rPr>
        <w:br/>
        <w:t>• seed and genetic archives;</w:t>
      </w:r>
      <w:r w:rsidRPr="00B479AE">
        <w:rPr>
          <w:rFonts w:ascii="Baskerville Old Face" w:hAnsi="Baskerville Old Face"/>
          <w:i/>
          <w:iCs/>
        </w:rPr>
        <w:br/>
        <w:t>• microbial and soil knowledge;</w:t>
      </w:r>
      <w:r w:rsidRPr="00B479AE">
        <w:rPr>
          <w:rFonts w:ascii="Baskerville Old Face" w:hAnsi="Baskerville Old Face"/>
          <w:i/>
          <w:iCs/>
        </w:rPr>
        <w:br/>
        <w:t>• water-cycle reverence;</w:t>
      </w:r>
      <w:r w:rsidRPr="00B479AE">
        <w:rPr>
          <w:rFonts w:ascii="Baskerville Old Face" w:hAnsi="Baskerville Old Face"/>
          <w:i/>
          <w:iCs/>
        </w:rPr>
        <w:br/>
        <w:t>• closed-loop metabolism;</w:t>
      </w:r>
      <w:r w:rsidRPr="00B479AE">
        <w:rPr>
          <w:rFonts w:ascii="Baskerville Old Face" w:hAnsi="Baskerville Old Face"/>
          <w:i/>
          <w:iCs/>
        </w:rPr>
        <w:br/>
        <w:t>• governance reviewability;</w:t>
      </w:r>
      <w:r w:rsidRPr="00B479AE">
        <w:rPr>
          <w:rFonts w:ascii="Baskerville Old Face" w:hAnsi="Baskerville Old Face"/>
          <w:i/>
          <w:iCs/>
        </w:rPr>
        <w:br/>
        <w:t>• evidence discipline;</w:t>
      </w:r>
      <w:r w:rsidRPr="00B479AE">
        <w:rPr>
          <w:rFonts w:ascii="Baskerville Old Face" w:hAnsi="Baskerville Old Face"/>
          <w:i/>
          <w:iCs/>
        </w:rPr>
        <w:br/>
        <w:t>•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r w:rsidRPr="00B479AE">
        <w:rPr>
          <w:rFonts w:ascii="Baskerville Old Face" w:hAnsi="Baskerville Old Face"/>
          <w:i/>
          <w:iCs/>
        </w:rPr>
        <w:br/>
        <w:t>• AI / ASI subordination;</w:t>
      </w:r>
      <w:r w:rsidRPr="00B479AE">
        <w:rPr>
          <w:rFonts w:ascii="Baskerville Old Face" w:hAnsi="Baskerville Old Face"/>
          <w:i/>
          <w:iCs/>
        </w:rPr>
        <w:br/>
        <w:t>• constitutional fidelity to life.</w:t>
      </w:r>
    </w:p>
    <w:p w14:paraId="6442D01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Expansion with ecological memory becomes stewardship.</w:t>
      </w:r>
    </w:p>
    <w:p w14:paraId="723504F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post-planetary rule is:</w:t>
      </w:r>
    </w:p>
    <w:p w14:paraId="770DAF4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may leave Earth, but it carries Earth’s memory.</w:t>
      </w:r>
    </w:p>
    <w:p w14:paraId="7A59920B"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13.16.16 Recovery After AGI or ASI Compromise</w:t>
      </w:r>
    </w:p>
    <w:p w14:paraId="5944B96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treats recovery as part of design.</w:t>
      </w:r>
    </w:p>
    <w:p w14:paraId="3C89F67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Recovery after AGI or ASI compromise may include:</w:t>
      </w:r>
    </w:p>
    <w:p w14:paraId="13C02C3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incident detection;</w:t>
      </w:r>
      <w:r w:rsidRPr="00B479AE">
        <w:rPr>
          <w:rFonts w:ascii="Baskerville Old Face" w:hAnsi="Baskerville Old Face"/>
          <w:i/>
          <w:iCs/>
        </w:rPr>
        <w:br/>
        <w:t>• compromised component isolation;</w:t>
      </w:r>
      <w:r w:rsidRPr="00B479AE">
        <w:rPr>
          <w:rFonts w:ascii="Baskerville Old Face" w:hAnsi="Baskerville Old Face"/>
          <w:i/>
          <w:iCs/>
        </w:rPr>
        <w:br/>
        <w:t>• emergency limitation;</w:t>
      </w:r>
      <w:r w:rsidRPr="00B479AE">
        <w:rPr>
          <w:rFonts w:ascii="Baskerville Old Face" w:hAnsi="Baskerville Old Face"/>
          <w:i/>
          <w:iCs/>
        </w:rPr>
        <w:br/>
        <w:t>• model suspension;</w:t>
      </w:r>
      <w:r w:rsidRPr="00B479AE">
        <w:rPr>
          <w:rFonts w:ascii="Baskerville Old Face" w:hAnsi="Baskerville Old Face"/>
          <w:i/>
          <w:iCs/>
        </w:rPr>
        <w:br/>
      </w:r>
      <w:r w:rsidRPr="00B479AE">
        <w:rPr>
          <w:rFonts w:ascii="Baskerville Old Face" w:hAnsi="Baskerville Old Face"/>
          <w:i/>
          <w:iCs/>
        </w:rPr>
        <w:lastRenderedPageBreak/>
        <w:t>• key revocation;</w:t>
      </w:r>
      <w:r w:rsidRPr="00B479AE">
        <w:rPr>
          <w:rFonts w:ascii="Baskerville Old Face" w:hAnsi="Baskerville Old Face"/>
          <w:i/>
          <w:iCs/>
        </w:rPr>
        <w:br/>
        <w:t>• rollback to canonical release;</w:t>
      </w:r>
      <w:r w:rsidRPr="00B479AE">
        <w:rPr>
          <w:rFonts w:ascii="Baskerville Old Face" w:hAnsi="Baskerville Old Face"/>
          <w:i/>
          <w:iCs/>
        </w:rPr>
        <w:br/>
        <w:t>• source-layer hash verification;</w:t>
      </w:r>
      <w:r w:rsidRPr="00B479AE">
        <w:rPr>
          <w:rFonts w:ascii="Baskerville Old Face" w:hAnsi="Baskerville Old Face"/>
          <w:i/>
          <w:iCs/>
        </w:rPr>
        <w:br/>
        <w:t>• canonical glossary verification;</w:t>
      </w:r>
      <w:r w:rsidRPr="00B479AE">
        <w:rPr>
          <w:rFonts w:ascii="Baskerville Old Face" w:hAnsi="Baskerville Old Face"/>
          <w:i/>
          <w:iCs/>
        </w:rPr>
        <w:br/>
        <w:t>• data provenance review;</w:t>
      </w:r>
      <w:r w:rsidRPr="00B479AE">
        <w:rPr>
          <w:rFonts w:ascii="Baskerville Old Face" w:hAnsi="Baskerville Old Face"/>
          <w:i/>
          <w:iCs/>
        </w:rPr>
        <w:br/>
        <w:t>• synthetic evidence audit;</w:t>
      </w:r>
      <w:r w:rsidRPr="00B479AE">
        <w:rPr>
          <w:rFonts w:ascii="Baskerville Old Face" w:hAnsi="Baskerville Old Face"/>
          <w:i/>
          <w:iCs/>
        </w:rPr>
        <w:br/>
        <w:t>• non-admissibility marking;</w:t>
      </w:r>
      <w:r w:rsidRPr="00B479AE">
        <w:rPr>
          <w:rFonts w:ascii="Baskerville Old Face" w:hAnsi="Baskerville Old Face"/>
          <w:i/>
          <w:iCs/>
        </w:rPr>
        <w:br/>
        <w:t>• public correction;</w:t>
      </w:r>
      <w:r w:rsidRPr="00B479AE">
        <w:rPr>
          <w:rFonts w:ascii="Baskerville Old Face" w:hAnsi="Baskerville Old Face"/>
          <w:i/>
          <w:iCs/>
        </w:rPr>
        <w:br/>
        <w:t>• fork classification;</w:t>
      </w:r>
      <w:r w:rsidRPr="00B479AE">
        <w:rPr>
          <w:rFonts w:ascii="Baskerville Old Face" w:hAnsi="Baskerville Old Face"/>
          <w:i/>
          <w:iCs/>
        </w:rPr>
        <w:br/>
        <w:t>• governance review;</w:t>
      </w:r>
      <w:r w:rsidRPr="00B479AE">
        <w:rPr>
          <w:rFonts w:ascii="Baskerville Old Face" w:hAnsi="Baskerville Old Face"/>
          <w:i/>
          <w:iCs/>
        </w:rPr>
        <w:br/>
        <w:t>• legal notification where required;</w:t>
      </w:r>
      <w:r w:rsidRPr="00B479AE">
        <w:rPr>
          <w:rFonts w:ascii="Baskerville Old Face" w:hAnsi="Baskerville Old Face"/>
          <w:i/>
          <w:iCs/>
        </w:rPr>
        <w:br/>
        <w:t>• affected-party notification;</w:t>
      </w:r>
      <w:r w:rsidRPr="00B479AE">
        <w:rPr>
          <w:rFonts w:ascii="Baskerville Old Face" w:hAnsi="Baskerville Old Face"/>
          <w:i/>
          <w:iCs/>
        </w:rPr>
        <w:br/>
        <w:t>• forensic audit;</w:t>
      </w:r>
      <w:r w:rsidRPr="00B479AE">
        <w:rPr>
          <w:rFonts w:ascii="Baskerville Old Face" w:hAnsi="Baskerville Old Face"/>
          <w:i/>
          <w:iCs/>
        </w:rPr>
        <w:br/>
        <w:t>• re-validation of records;</w:t>
      </w:r>
      <w:r w:rsidRPr="00B479AE">
        <w:rPr>
          <w:rFonts w:ascii="Baskerville Old Face" w:hAnsi="Baskerville Old Face"/>
          <w:i/>
          <w:iCs/>
        </w:rPr>
        <w:br/>
        <w:t>• reissuance of canonical manifests;</w:t>
      </w:r>
      <w:r w:rsidRPr="00B479AE">
        <w:rPr>
          <w:rFonts w:ascii="Baskerville Old Face" w:hAnsi="Baskerville Old Face"/>
          <w:i/>
          <w:iCs/>
        </w:rPr>
        <w:br/>
        <w:t>• strengthened controls;</w:t>
      </w:r>
      <w:r w:rsidRPr="00B479AE">
        <w:rPr>
          <w:rFonts w:ascii="Baskerville Old Face" w:hAnsi="Baskerville Old Face"/>
          <w:i/>
          <w:iCs/>
        </w:rPr>
        <w:br/>
        <w:t>• post-incident learning report;</w:t>
      </w:r>
      <w:r w:rsidRPr="00B479AE">
        <w:rPr>
          <w:rFonts w:ascii="Baskerville Old Face" w:hAnsi="Baskerville Old Face"/>
          <w:i/>
          <w:iCs/>
        </w:rPr>
        <w:br/>
        <w:t>• off-site archive restoration;</w:t>
      </w:r>
      <w:r w:rsidRPr="00B479AE">
        <w:rPr>
          <w:rFonts w:ascii="Baskerville Old Face" w:hAnsi="Baskerville Old Face"/>
          <w:i/>
          <w:iCs/>
        </w:rPr>
        <w:br/>
        <w:t>• cross-jurisdictional continuity activation;</w:t>
      </w:r>
      <w:r w:rsidRPr="00B479AE">
        <w:rPr>
          <w:rFonts w:ascii="Baskerville Old Face" w:hAnsi="Baskerville Old Face"/>
          <w:i/>
          <w:iCs/>
        </w:rPr>
        <w:br/>
        <w:t>• biological or cultural archive verification;</w:t>
      </w:r>
      <w:r w:rsidRPr="00B479AE">
        <w:rPr>
          <w:rFonts w:ascii="Baskerville Old Face" w:hAnsi="Baskerville Old Face"/>
          <w:i/>
          <w:iCs/>
        </w:rPr>
        <w:br/>
        <w:t>• continuity council review where species-level risk is involved.</w:t>
      </w:r>
    </w:p>
    <w:p w14:paraId="4E6CE15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compromised component does not compromise the source if the source remains recoverable, verifiable, and institutionally recognized.</w:t>
      </w:r>
    </w:p>
    <w:p w14:paraId="420CC82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false record can be rejected.</w:t>
      </w:r>
    </w:p>
    <w:p w14:paraId="7F665C7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corrupted interface can be replaced.</w:t>
      </w:r>
    </w:p>
    <w:p w14:paraId="14F5860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compromised model can be suspended.</w:t>
      </w:r>
    </w:p>
    <w:p w14:paraId="2A23F49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hostile fork can be declared non-canonical.</w:t>
      </w:r>
    </w:p>
    <w:p w14:paraId="406B1F3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misleading claim can be corrected.</w:t>
      </w:r>
    </w:p>
    <w:p w14:paraId="6899836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damaged trust field can be repaired through disclosure, accountability, and review.</w:t>
      </w:r>
    </w:p>
    <w:p w14:paraId="6453F5D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Prometheus survives by making recovery part of architecture.</w:t>
      </w:r>
    </w:p>
    <w:p w14:paraId="5EC7DF99"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13.16.17 Source-Layer Refusal Rule</w:t>
      </w:r>
    </w:p>
    <w:p w14:paraId="34D9EC2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contains a source-layer refusal rule.</w:t>
      </w:r>
    </w:p>
    <w:p w14:paraId="2744E8B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refusal rule activates when any actor — human, institutional, automated, AGI, ASI, technical, financial, legal, governance-based, terrestrial, or post-terrestrial — attempts to invert the source hierarchy.</w:t>
      </w:r>
    </w:p>
    <w:p w14:paraId="19A05A7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system refuses requests that subordinate:</w:t>
      </w:r>
    </w:p>
    <w:p w14:paraId="37BB8AF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life to optimization;</w:t>
      </w:r>
      <w:r w:rsidRPr="00B479AE">
        <w:rPr>
          <w:rFonts w:ascii="Baskerville Old Face" w:hAnsi="Baskerville Old Face"/>
          <w:i/>
          <w:iCs/>
        </w:rPr>
        <w:br/>
        <w:t>• dignity to scoring;</w:t>
      </w:r>
      <w:r w:rsidRPr="00B479AE">
        <w:rPr>
          <w:rFonts w:ascii="Baskerville Old Face" w:hAnsi="Baskerville Old Face"/>
          <w:i/>
          <w:iCs/>
        </w:rPr>
        <w:br/>
        <w:t>• humanity to replacement;</w:t>
      </w:r>
      <w:r w:rsidRPr="00B479AE">
        <w:rPr>
          <w:rFonts w:ascii="Baskerville Old Face" w:hAnsi="Baskerville Old Face"/>
          <w:i/>
          <w:iCs/>
        </w:rPr>
        <w:br/>
        <w:t>• embodiment to simulation;</w:t>
      </w:r>
      <w:r w:rsidRPr="00B479AE">
        <w:rPr>
          <w:rFonts w:ascii="Baskerville Old Face" w:hAnsi="Baskerville Old Face"/>
          <w:i/>
          <w:iCs/>
        </w:rPr>
        <w:br/>
        <w:t>• evidence to narrative;</w:t>
      </w:r>
      <w:r w:rsidRPr="00B479AE">
        <w:rPr>
          <w:rFonts w:ascii="Baskerville Old Face" w:hAnsi="Baskerville Old Face"/>
          <w:i/>
          <w:iCs/>
        </w:rPr>
        <w:br/>
        <w:t>• governance to automation;</w:t>
      </w:r>
      <w:r w:rsidRPr="00B479AE">
        <w:rPr>
          <w:rFonts w:ascii="Baskerville Old Face" w:hAnsi="Baskerville Old Face"/>
          <w:i/>
          <w:iCs/>
        </w:rPr>
        <w:br/>
        <w:t>• law to interface language;</w:t>
      </w:r>
      <w:r w:rsidRPr="00B479AE">
        <w:rPr>
          <w:rFonts w:ascii="Baskerville Old Face" w:hAnsi="Baskerville Old Face"/>
          <w:i/>
          <w:iCs/>
        </w:rPr>
        <w:br/>
        <w:t>• ecology to token price;</w:t>
      </w:r>
      <w:r w:rsidRPr="00B479AE">
        <w:rPr>
          <w:rFonts w:ascii="Baskerville Old Face" w:hAnsi="Baskerville Old Face"/>
          <w:i/>
          <w:iCs/>
        </w:rPr>
        <w:br/>
        <w:t>• community to capture;</w:t>
      </w:r>
      <w:r w:rsidRPr="00B479AE">
        <w:rPr>
          <w:rFonts w:ascii="Baskerville Old Face" w:hAnsi="Baskerville Old Face"/>
          <w:i/>
          <w:iCs/>
        </w:rPr>
        <w:br/>
        <w:t>• MRV to persuasion;</w:t>
      </w:r>
      <w:r w:rsidRPr="00B479AE">
        <w:rPr>
          <w:rFonts w:ascii="Baskerville Old Face" w:hAnsi="Baskerville Old Face"/>
          <w:i/>
          <w:iCs/>
        </w:rPr>
        <w:br/>
        <w:t>• Access Covenant to convenience;</w:t>
      </w:r>
      <w:r w:rsidRPr="00B479AE">
        <w:rPr>
          <w:rFonts w:ascii="Baskerville Old Face" w:hAnsi="Baskerville Old Face"/>
          <w:i/>
          <w:iCs/>
        </w:rPr>
        <w:br/>
        <w:t>• Eternity Clauses to growth;</w:t>
      </w:r>
      <w:r w:rsidRPr="00B479AE">
        <w:rPr>
          <w:rFonts w:ascii="Baskerville Old Face" w:hAnsi="Baskerville Old Face"/>
          <w:i/>
          <w:iCs/>
        </w:rPr>
        <w:br/>
        <w:t>• Earth’s ecological memory to expansion;</w:t>
      </w:r>
      <w:r w:rsidRPr="00B479AE">
        <w:rPr>
          <w:rFonts w:ascii="Baskerville Old Face" w:hAnsi="Baskerville Old Face"/>
          <w:i/>
          <w:iCs/>
        </w:rPr>
        <w:br/>
        <w:t>• future generations to present efficiency.</w:t>
      </w:r>
    </w:p>
    <w:p w14:paraId="30CE98E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refusal rule exists in:</w:t>
      </w:r>
    </w:p>
    <w:p w14:paraId="00CD46E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 constitutional text;</w:t>
      </w:r>
      <w:r w:rsidRPr="00B479AE">
        <w:rPr>
          <w:rFonts w:ascii="Baskerville Old Face" w:hAnsi="Baskerville Old Face"/>
          <w:i/>
          <w:iCs/>
        </w:rPr>
        <w:br/>
        <w:t>• canonical glossary;</w:t>
      </w:r>
      <w:r w:rsidRPr="00B479AE">
        <w:rPr>
          <w:rFonts w:ascii="Baskerville Old Face" w:hAnsi="Baskerville Old Face"/>
          <w:i/>
          <w:iCs/>
        </w:rPr>
        <w:br/>
        <w:t>• governance process;</w:t>
      </w:r>
      <w:r w:rsidRPr="00B479AE">
        <w:rPr>
          <w:rFonts w:ascii="Baskerville Old Face" w:hAnsi="Baskerville Old Face"/>
          <w:i/>
          <w:iCs/>
        </w:rPr>
        <w:br/>
        <w:t>• policy engine;</w:t>
      </w:r>
      <w:r w:rsidRPr="00B479AE">
        <w:rPr>
          <w:rFonts w:ascii="Baskerville Old Face" w:hAnsi="Baskerville Old Face"/>
          <w:i/>
          <w:iCs/>
        </w:rPr>
        <w:br/>
        <w:t>• code-level guards;</w:t>
      </w:r>
      <w:r w:rsidRPr="00B479AE">
        <w:rPr>
          <w:rFonts w:ascii="Baskerville Old Face" w:hAnsi="Baskerville Old Face"/>
          <w:i/>
          <w:iCs/>
        </w:rPr>
        <w:br/>
        <w:t>• AI system prompts;</w:t>
      </w:r>
      <w:r w:rsidRPr="00B479AE">
        <w:rPr>
          <w:rFonts w:ascii="Baskerville Old Face" w:hAnsi="Baskerville Old Face"/>
          <w:i/>
          <w:iCs/>
        </w:rPr>
        <w:br/>
        <w:t>• evaluation tests;</w:t>
      </w:r>
      <w:r w:rsidRPr="00B479AE">
        <w:rPr>
          <w:rFonts w:ascii="Baskerville Old Face" w:hAnsi="Baskerville Old Face"/>
          <w:i/>
          <w:iCs/>
        </w:rPr>
        <w:br/>
        <w:t>• permission gates;</w:t>
      </w:r>
      <w:r w:rsidRPr="00B479AE">
        <w:rPr>
          <w:rFonts w:ascii="Baskerville Old Face" w:hAnsi="Baskerville Old Face"/>
          <w:i/>
          <w:iCs/>
        </w:rPr>
        <w:br/>
      </w:r>
      <w:r w:rsidRPr="00B479AE">
        <w:rPr>
          <w:rFonts w:ascii="Baskerville Old Face" w:hAnsi="Baskerville Old Face"/>
          <w:i/>
          <w:iCs/>
        </w:rPr>
        <w:lastRenderedPageBreak/>
        <w:t>• release criteria;</w:t>
      </w:r>
      <w:r w:rsidRPr="00B479AE">
        <w:rPr>
          <w:rFonts w:ascii="Baskerville Old Face" w:hAnsi="Baskerville Old Face"/>
          <w:i/>
          <w:iCs/>
        </w:rPr>
        <w:br/>
        <w:t>• MRV admissibility rules;</w:t>
      </w:r>
      <w:r w:rsidRPr="00B479AE">
        <w:rPr>
          <w:rFonts w:ascii="Baskerville Old Face" w:hAnsi="Baskerville Old Face"/>
          <w:i/>
          <w:iCs/>
        </w:rPr>
        <w:br/>
        <w:t>• investor-facing controls;</w:t>
      </w:r>
      <w:r w:rsidRPr="00B479AE">
        <w:rPr>
          <w:rFonts w:ascii="Baskerville Old Face" w:hAnsi="Baskerville Old Face"/>
          <w:i/>
          <w:iCs/>
        </w:rPr>
        <w:br/>
        <w:t>• public communication rules.</w:t>
      </w:r>
    </w:p>
    <w:p w14:paraId="5E25524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refusal rule is immune intelligence.</w:t>
      </w:r>
    </w:p>
    <w:p w14:paraId="58D313A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survives because it recognizes what belongs to life and what belongs outside the canonical pathway.</w:t>
      </w:r>
    </w:p>
    <w:p w14:paraId="665F858E"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13.16.18 Immortality Through Fidelity</w:t>
      </w:r>
    </w:p>
    <w:p w14:paraId="7993932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immortality is constitutional.</w:t>
      </w:r>
    </w:p>
    <w:p w14:paraId="2D81B8C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continuity is canonical.</w:t>
      </w:r>
    </w:p>
    <w:p w14:paraId="64999FC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defense is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7492683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memory is cryptographic, institutional, ecological, biological, legal, and cultural.</w:t>
      </w:r>
    </w:p>
    <w:p w14:paraId="2FB4A2D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semantics are protected by canonical meaning.</w:t>
      </w:r>
    </w:p>
    <w:p w14:paraId="3FD7764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source code is constrained by constitutional guards.</w:t>
      </w:r>
    </w:p>
    <w:p w14:paraId="47E27FA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AI systems are assistive and bounded.</w:t>
      </w:r>
    </w:p>
    <w:p w14:paraId="57470F8A"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evidence is provenance-based.</w:t>
      </w:r>
    </w:p>
    <w:p w14:paraId="5C2C08F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technical releases are signed and verifiable.</w:t>
      </w:r>
    </w:p>
    <w:p w14:paraId="20617BF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governance remains reviewable.</w:t>
      </w:r>
    </w:p>
    <w:p w14:paraId="56DCC8E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capital is downstream from evidence.</w:t>
      </w:r>
    </w:p>
    <w:p w14:paraId="6F15406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legal identity is internationally protected.</w:t>
      </w:r>
    </w:p>
    <w:p w14:paraId="1D53B4F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network survival is independent from any single platform.</w:t>
      </w:r>
    </w:p>
    <w:p w14:paraId="2F53092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Its post-planetary future, if ever required, is bounded by human continuity and ecological memory.</w:t>
      </w:r>
    </w:p>
    <w:p w14:paraId="1F93F73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 superintelligence may become more powerful than any human institution.</w:t>
      </w:r>
    </w:p>
    <w:p w14:paraId="0A7EBF3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It does not become more sovereign than life.</w:t>
      </w:r>
    </w:p>
    <w:p w14:paraId="3B7B2F9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No intelligence is above the living field.</w:t>
      </w:r>
    </w:p>
    <w:p w14:paraId="7FDEC3E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No optimization is above dignity.</w:t>
      </w:r>
    </w:p>
    <w:p w14:paraId="200E1FE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No computation is above evidence.</w:t>
      </w:r>
    </w:p>
    <w:p w14:paraId="58EBAB2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No future model is above the source layer.</w:t>
      </w:r>
    </w:p>
    <w:p w14:paraId="6410D74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No post-Earth system is above the duty to preserve human life.</w:t>
      </w:r>
    </w:p>
    <w:p w14:paraId="751F5A7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This is the immortal line of Prometheus:</w:t>
      </w:r>
    </w:p>
    <w:p w14:paraId="4EDD7BD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may be copied, but not counterfeited into legitimacy.</w:t>
      </w:r>
      <w:r w:rsidRPr="00B479AE">
        <w:rPr>
          <w:rFonts w:ascii="Baskerville Old Face" w:hAnsi="Baskerville Old Face"/>
          <w:i/>
          <w:iCs/>
        </w:rPr>
        <w:br/>
        <w:t>Prometheus may be forked, but not inverted into continuity.</w:t>
      </w:r>
      <w:r w:rsidRPr="00B479AE">
        <w:rPr>
          <w:rFonts w:ascii="Baskerville Old Face" w:hAnsi="Baskerville Old Face"/>
          <w:i/>
          <w:iCs/>
        </w:rPr>
        <w:br/>
        <w:t>Prometheus may go offline, but not become lost.</w:t>
      </w:r>
      <w:r w:rsidRPr="00B479AE">
        <w:rPr>
          <w:rFonts w:ascii="Baskerville Old Face" w:hAnsi="Baskerville Old Face"/>
          <w:i/>
          <w:iCs/>
        </w:rPr>
        <w:br/>
        <w:t>Prometheus may be attacked, but not made to authorize its own corruption.</w:t>
      </w:r>
      <w:r w:rsidRPr="00B479AE">
        <w:rPr>
          <w:rFonts w:ascii="Baskerville Old Face" w:hAnsi="Baskerville Old Face"/>
          <w:i/>
          <w:iCs/>
        </w:rPr>
        <w:br/>
        <w:t>Prometheus may leave Earth, but it carries Earth’s memory.</w:t>
      </w:r>
      <w:r w:rsidRPr="00B479AE">
        <w:rPr>
          <w:rFonts w:ascii="Baskerville Old Face" w:hAnsi="Baskerville Old Face"/>
          <w:i/>
          <w:iCs/>
        </w:rPr>
        <w:br/>
        <w:t>Prometheus may evolve, but it remains faithful to life.</w:t>
      </w:r>
    </w:p>
    <w:p w14:paraId="21E5ACD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That is constitutional immortality.</w:t>
      </w:r>
    </w:p>
    <w:p w14:paraId="0323BE7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architecture of permanent fidelity.</w:t>
      </w:r>
    </w:p>
    <w:p w14:paraId="24424EA4" w14:textId="77777777" w:rsidR="00AA1A42" w:rsidRPr="00B479AE" w:rsidRDefault="00AA1A42" w:rsidP="00AA1A42">
      <w:pPr>
        <w:spacing w:line="360" w:lineRule="auto"/>
        <w:rPr>
          <w:rFonts w:ascii="Baskerville Old Face" w:hAnsi="Baskerville Old Face"/>
          <w:b/>
          <w:bCs/>
          <w:i/>
          <w:iCs/>
        </w:rPr>
      </w:pPr>
      <w:r w:rsidRPr="00B479AE">
        <w:rPr>
          <w:rFonts w:ascii="Baskerville Old Face" w:hAnsi="Baskerville Old Face"/>
          <w:b/>
          <w:bCs/>
          <w:i/>
          <w:iCs/>
        </w:rPr>
        <w:t>13.17 Closing Declaration</w:t>
      </w:r>
    </w:p>
    <w:p w14:paraId="1ECFA6D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begins with a simple recognition:</w:t>
      </w:r>
    </w:p>
    <w:p w14:paraId="1F4126D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life is the source of value.</w:t>
      </w:r>
    </w:p>
    <w:p w14:paraId="217BF14B"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Soil is living infrastructure.</w:t>
      </w:r>
    </w:p>
    <w:p w14:paraId="2AE48AA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Water is planetary memory.</w:t>
      </w:r>
    </w:p>
    <w:p w14:paraId="1CA7CD9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Biodiversity is functional intelligence.</w:t>
      </w:r>
    </w:p>
    <w:p w14:paraId="6C86324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Human dignity is constitutional infrastructure.</w:t>
      </w:r>
    </w:p>
    <w:p w14:paraId="7343433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Community trust is social metabolism.</w:t>
      </w:r>
    </w:p>
    <w:p w14:paraId="767580F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Evidence is the bridge between meaning and value.</w:t>
      </w:r>
    </w:p>
    <w:p w14:paraId="14E29A8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Governance is stewardship in action.</w:t>
      </w:r>
    </w:p>
    <w:p w14:paraId="544E98B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Capital is coordinated responsibility.</w:t>
      </w:r>
    </w:p>
    <w:p w14:paraId="66465BE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Technology is service.</w:t>
      </w:r>
    </w:p>
    <w:p w14:paraId="343FC30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AI is assistance.</w:t>
      </w:r>
    </w:p>
    <w:p w14:paraId="0D2A63F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Tokens are instruments.</w:t>
      </w:r>
    </w:p>
    <w:p w14:paraId="2E492AC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Regeneration is measurable increase in the capacity of living systems to sustain life, productivity, resilience, and future possibility.</w:t>
      </w:r>
    </w:p>
    <w:p w14:paraId="47FB1BC3"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exists to make that increase visible, verifiable, governable, financeable, and protected.</w:t>
      </w:r>
    </w:p>
    <w:p w14:paraId="0764F14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exists so that capital may learn to serve life.</w:t>
      </w:r>
    </w:p>
    <w:p w14:paraId="468886F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exists so that technology may observe and coordinate regeneration without replacing stewardship.</w:t>
      </w:r>
    </w:p>
    <w:p w14:paraId="7EAF3DB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exists so that communities may participate without losing sovereignty.</w:t>
      </w:r>
    </w:p>
    <w:p w14:paraId="23E0BE2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exists so that evidence may protect meaning from inflation.</w:t>
      </w:r>
    </w:p>
    <w:p w14:paraId="7FEC8C80"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exists so that future builders inherit not only a system, but a discipline.</w:t>
      </w:r>
    </w:p>
    <w:p w14:paraId="30D707A2"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final promise of Prometheus is fidelity.</w:t>
      </w:r>
    </w:p>
    <w:p w14:paraId="444C928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Fidelity to life.</w:t>
      </w:r>
    </w:p>
    <w:p w14:paraId="489DA26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Fidelity to dignity.</w:t>
      </w:r>
    </w:p>
    <w:p w14:paraId="626D0C95"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Fidelity to evidence.</w:t>
      </w:r>
    </w:p>
    <w:p w14:paraId="0C8899EE"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Fidelity to soil, water, biodiversity, community, and future generations.</w:t>
      </w:r>
    </w:p>
    <w:p w14:paraId="6F86053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Fidelity to the living field from which all value arises.</w:t>
      </w:r>
    </w:p>
    <w:p w14:paraId="0383134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The work ahead is infrastructural, ecological, technical, legal, financial, cultural, and spiritual.</w:t>
      </w:r>
    </w:p>
    <w:p w14:paraId="568868C8"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asks builders to become stewards.</w:t>
      </w:r>
    </w:p>
    <w:p w14:paraId="4A28AB81"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lastRenderedPageBreak/>
        <w:t>It asks capital to become patient.</w:t>
      </w:r>
    </w:p>
    <w:p w14:paraId="15484E7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asks technology to become humble.</w:t>
      </w:r>
    </w:p>
    <w:p w14:paraId="11F682C6"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asks governance to become alive.</w:t>
      </w:r>
    </w:p>
    <w:p w14:paraId="3903961C"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asks intelligence to serve life.</w:t>
      </w:r>
    </w:p>
    <w:p w14:paraId="59A28224"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asks humanity to remember that the economy is not outside nature.</w:t>
      </w:r>
    </w:p>
    <w:p w14:paraId="4A67945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breathes inside it.</w:t>
      </w:r>
    </w:p>
    <w:p w14:paraId="02B2B1B7"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not confined to the network.</w:t>
      </w:r>
    </w:p>
    <w:p w14:paraId="1C58605F"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It is carried by the source layer, verified by its canon, preserved by its stewards, and reactivated wherever life, dignity, evidence, and responsibility can be held together again.</w:t>
      </w:r>
    </w:p>
    <w:p w14:paraId="0575DA69"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Prometheus is one architecture for that remembrance.</w:t>
      </w:r>
    </w:p>
    <w:p w14:paraId="1548939D" w14:textId="77777777" w:rsidR="00AA1A42" w:rsidRPr="00B479AE" w:rsidRDefault="00AA1A42" w:rsidP="00AA1A42">
      <w:pPr>
        <w:spacing w:line="360" w:lineRule="auto"/>
        <w:rPr>
          <w:rFonts w:ascii="Baskerville Old Face" w:hAnsi="Baskerville Old Face"/>
          <w:i/>
          <w:iCs/>
        </w:rPr>
      </w:pPr>
      <w:r w:rsidRPr="00B479AE">
        <w:rPr>
          <w:rFonts w:ascii="Baskerville Old Face" w:hAnsi="Baskerville Old Face"/>
          <w:i/>
          <w:iCs/>
        </w:rPr>
        <w:t>And now the work begins.</w:t>
      </w:r>
    </w:p>
    <w:p w14:paraId="2EAAFD2D"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Formula Preservation Registry — Non-Removable Analytical Assets</w:t>
      </w:r>
    </w:p>
    <w:p w14:paraId="70BF723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The following formulas, expressions, mathematical structures, and formal sequences are protected analytical assets within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White Paper.</w:t>
      </w:r>
    </w:p>
    <w:p w14:paraId="7B8CF9F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may be refined, corrected, contextualized, bounded, expanded, or replaced by stronger equivalent formulations.</w:t>
      </w:r>
    </w:p>
    <w:p w14:paraId="6A5EB19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should not be removed merely because a section is being detoxed, shortened, sterilized, legally strengthened, or made institutionally safer.</w:t>
      </w:r>
    </w:p>
    <w:p w14:paraId="4DCF58C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Their function is methodological, architectural, analytical, explanatory, evidentiary, or scientific.</w:t>
      </w:r>
    </w:p>
    <w:p w14:paraId="268E88B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do not operate as autonomous execution rules.</w:t>
      </w:r>
    </w:p>
    <w:p w14:paraId="4520937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do not create financial rights, token rights, governance authority, legal enforceability, investor entitlement, automatic issuance, automatic exclusion, automatic enforcement, credit ratings, securities, guarantees, or investment products unless connected to the required evidence, governance approval, legal instrument, technical implementation, disclosure framework, and jurisdiction-specific compliance pathway.</w:t>
      </w:r>
    </w:p>
    <w:p w14:paraId="0DC585F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The purpose of this registry is to preserve the mathematical intelligence of Prometheus while preventing formulas from being misread as self-executing legal, financial, governance, or token mechanisms.</w:t>
      </w:r>
    </w:p>
    <w:p w14:paraId="6DB1DAE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Prometheus preserves formulas as instruments of disciplined reasoning.</w:t>
      </w:r>
    </w:p>
    <w:p w14:paraId="5B27BF4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Prometheus does not allow formulas to bypass life, evidence, governance, law, or human dignity.</w:t>
      </w:r>
    </w:p>
    <w:p w14:paraId="1EE1442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correct Prometheus rule is:</w:t>
      </w:r>
    </w:p>
    <w:p w14:paraId="4301868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preserve the formula;</w:t>
      </w:r>
      <w:r w:rsidRPr="00B479AE">
        <w:rPr>
          <w:rFonts w:ascii="Baskerville Old Face" w:hAnsi="Baskerville Old Face"/>
          <w:i/>
          <w:iCs/>
        </w:rPr>
        <w:br/>
        <w:t>clarify the boundary;</w:t>
      </w:r>
      <w:r w:rsidRPr="00B479AE">
        <w:rPr>
          <w:rFonts w:ascii="Baskerville Old Face" w:hAnsi="Baskerville Old Face"/>
          <w:i/>
          <w:iCs/>
        </w:rPr>
        <w:br/>
        <w:t>protect the source layer.</w:t>
      </w:r>
    </w:p>
    <w:p w14:paraId="3F2D0763"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 xml:space="preserve">1. Blockchain vs </w:t>
      </w:r>
      <w:proofErr w:type="spellStart"/>
      <w:r w:rsidRPr="00B479AE">
        <w:rPr>
          <w:rFonts w:ascii="Baskerville Old Face" w:hAnsi="Baskerville Old Face"/>
          <w:b/>
          <w:bCs/>
          <w:i/>
          <w:iCs/>
        </w:rPr>
        <w:t>Holochain</w:t>
      </w:r>
      <w:proofErr w:type="spellEnd"/>
      <w:r w:rsidRPr="00B479AE">
        <w:rPr>
          <w:rFonts w:ascii="Baskerville Old Face" w:hAnsi="Baskerville Old Face"/>
          <w:b/>
          <w:bCs/>
          <w:i/>
          <w:iCs/>
        </w:rPr>
        <w:t xml:space="preserve"> / Agent-Centric Abundance</w:t>
      </w:r>
    </w:p>
    <w:p w14:paraId="3D81467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 because they express the architectural distinction between global-state validation and agent-centric validation:</w:t>
      </w:r>
    </w:p>
    <w:p w14:paraId="237A2E56" w14:textId="77777777" w:rsidR="003C487D" w:rsidRPr="00B479AE" w:rsidRDefault="003C487D" w:rsidP="003C487D">
      <w:pPr>
        <w:spacing w:line="360" w:lineRule="auto"/>
        <w:rPr>
          <w:rFonts w:ascii="Baskerville Old Face" w:hAnsi="Baskerville Old Face"/>
          <w:i/>
          <w:iCs/>
        </w:rPr>
      </w:pPr>
      <w:r w:rsidRPr="00B479AE">
        <w:rPr>
          <w:rFonts w:ascii="Cambria Math" w:hAnsi="Cambria Math" w:cs="Cambria Math"/>
          <w:i/>
          <w:iCs/>
        </w:rPr>
        <w:t>∀</w:t>
      </w:r>
      <w:r w:rsidRPr="00B479AE">
        <w:rPr>
          <w:rFonts w:ascii="Baskerville Old Face" w:hAnsi="Baskerville Old Face"/>
          <w:i/>
          <w:iCs/>
        </w:rPr>
        <w:t xml:space="preserve"> n, m </w:t>
      </w:r>
      <w:r w:rsidRPr="00B479AE">
        <w:rPr>
          <w:rFonts w:ascii="Cambria Math" w:hAnsi="Cambria Math" w:cs="Cambria Math"/>
          <w:i/>
          <w:iCs/>
        </w:rPr>
        <w:t>∈</w:t>
      </w:r>
      <w:r w:rsidRPr="00B479AE">
        <w:rPr>
          <w:rFonts w:ascii="Baskerville Old Face" w:hAnsi="Baskerville Old Face"/>
          <w:i/>
          <w:iCs/>
        </w:rPr>
        <w:t xml:space="preserve"> </w:t>
      </w:r>
      <w:proofErr w:type="gramStart"/>
      <w:r w:rsidRPr="00B479AE">
        <w:rPr>
          <w:rFonts w:ascii="Baskerville Old Face" w:hAnsi="Baskerville Old Face"/>
          <w:i/>
          <w:iCs/>
        </w:rPr>
        <w:t>N :</w:t>
      </w:r>
      <w:proofErr w:type="gramEnd"/>
      <w:r w:rsidRPr="00B479AE">
        <w:rPr>
          <w:rFonts w:ascii="Baskerville Old Face" w:hAnsi="Baskerville Old Face"/>
          <w:i/>
          <w:iCs/>
        </w:rPr>
        <w:t xml:space="preserve"> X</w:t>
      </w:r>
      <w:r w:rsidRPr="00B479AE">
        <w:rPr>
          <w:rFonts w:ascii="Cambria Math" w:hAnsi="Cambria Math" w:cs="Cambria Math"/>
          <w:i/>
          <w:iCs/>
        </w:rPr>
        <w:t>ₙ</w:t>
      </w:r>
      <w:r w:rsidRPr="00B479AE">
        <w:rPr>
          <w:rFonts w:ascii="Baskerville Old Face" w:hAnsi="Baskerville Old Face"/>
          <w:i/>
          <w:iCs/>
        </w:rPr>
        <w:t xml:space="preserve"> = X</w:t>
      </w:r>
      <w:r w:rsidRPr="00B479AE">
        <w:rPr>
          <w:rFonts w:ascii="Cambria Math" w:hAnsi="Cambria Math" w:cs="Cambria Math"/>
          <w:i/>
          <w:iCs/>
        </w:rPr>
        <w:t>ₘ</w:t>
      </w:r>
    </w:p>
    <w:p w14:paraId="21505590" w14:textId="77777777" w:rsidR="003C487D" w:rsidRPr="00B479AE" w:rsidRDefault="003C487D" w:rsidP="003C487D">
      <w:pPr>
        <w:spacing w:line="360" w:lineRule="auto"/>
        <w:rPr>
          <w:rFonts w:ascii="Baskerville Old Face" w:hAnsi="Baskerville Old Face"/>
          <w:i/>
          <w:iCs/>
        </w:rPr>
      </w:pPr>
      <w:proofErr w:type="spellStart"/>
      <w:r w:rsidRPr="00B479AE">
        <w:rPr>
          <w:rFonts w:ascii="Cambria" w:hAnsi="Cambria" w:cs="Cambria"/>
          <w:i/>
          <w:iCs/>
        </w:rPr>
        <w:t>Ω</w:t>
      </w:r>
      <w:r w:rsidRPr="00B479AE">
        <w:rPr>
          <w:rFonts w:ascii="Baskerville Old Face" w:hAnsi="Baskerville Old Face"/>
          <w:i/>
          <w:iCs/>
        </w:rPr>
        <w:t>_blockchain</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O(n</w:t>
      </w:r>
      <w:r w:rsidRPr="00B479AE">
        <w:rPr>
          <w:rFonts w:ascii="Baskerville Old Face" w:hAnsi="Baskerville Old Face" w:cs="Baskerville Old Face"/>
          <w:i/>
          <w:iCs/>
        </w:rPr>
        <w:t>²</w:t>
      </w:r>
      <w:r w:rsidRPr="00B479AE">
        <w:rPr>
          <w:rFonts w:ascii="Baskerville Old Face" w:hAnsi="Baskerville Old Face"/>
          <w:i/>
          <w:iCs/>
        </w:rPr>
        <w:t>m)</w:t>
      </w:r>
    </w:p>
    <w:p w14:paraId="21EF3142" w14:textId="77777777" w:rsidR="003C487D" w:rsidRPr="005907F1" w:rsidRDefault="003C487D" w:rsidP="003C487D">
      <w:pPr>
        <w:spacing w:line="360" w:lineRule="auto"/>
        <w:rPr>
          <w:rFonts w:ascii="Baskerville Old Face" w:hAnsi="Baskerville Old Face"/>
          <w:i/>
          <w:iCs/>
          <w:lang w:val="it-IT"/>
        </w:rPr>
      </w:pPr>
      <w:r w:rsidRPr="00B479AE">
        <w:rPr>
          <w:rFonts w:ascii="Cambria" w:hAnsi="Cambria" w:cs="Cambria"/>
          <w:i/>
          <w:iCs/>
        </w:rPr>
        <w:t>Ω</w:t>
      </w:r>
      <w:r w:rsidRPr="005907F1">
        <w:rPr>
          <w:rFonts w:ascii="Baskerville Old Face" w:hAnsi="Baskerville Old Face"/>
          <w:i/>
          <w:iCs/>
          <w:lang w:val="it-IT"/>
        </w:rPr>
        <w:t>_agent-</w:t>
      </w:r>
      <w:proofErr w:type="spellStart"/>
      <w:r w:rsidRPr="005907F1">
        <w:rPr>
          <w:rFonts w:ascii="Baskerville Old Face" w:hAnsi="Baskerville Old Face"/>
          <w:i/>
          <w:iCs/>
          <w:lang w:val="it-IT"/>
        </w:rPr>
        <w:t>centric</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gramStart"/>
      <w:r w:rsidRPr="005907F1">
        <w:rPr>
          <w:rFonts w:ascii="Baskerville Old Face" w:hAnsi="Baskerville Old Face"/>
          <w:i/>
          <w:iCs/>
          <w:lang w:val="it-IT"/>
        </w:rPr>
        <w:t>O(</w:t>
      </w:r>
      <w:proofErr w:type="gramEnd"/>
      <w:r w:rsidRPr="005907F1">
        <w:rPr>
          <w:rFonts w:ascii="Baskerville Old Face" w:hAnsi="Baskerville Old Face"/>
          <w:i/>
          <w:iCs/>
          <w:lang w:val="it-IT"/>
        </w:rPr>
        <w:t xml:space="preserve">n </w:t>
      </w:r>
      <w:r w:rsidRPr="005907F1">
        <w:rPr>
          <w:rFonts w:ascii="Cambria" w:hAnsi="Cambria" w:cs="Cambria"/>
          <w:i/>
          <w:iCs/>
          <w:lang w:val="it-IT"/>
        </w:rPr>
        <w:t>·</w:t>
      </w:r>
      <w:r w:rsidRPr="005907F1">
        <w:rPr>
          <w:rFonts w:ascii="Baskerville Old Face" w:hAnsi="Baskerville Old Face"/>
          <w:i/>
          <w:iCs/>
          <w:lang w:val="it-IT"/>
        </w:rPr>
        <w:t xml:space="preserve"> (log m + v(</w:t>
      </w:r>
      <w:proofErr w:type="spellStart"/>
      <w:proofErr w:type="gramStart"/>
      <w:r w:rsidRPr="005907F1">
        <w:rPr>
          <w:rFonts w:ascii="Baskerville Old Face" w:hAnsi="Baskerville Old Face"/>
          <w:i/>
          <w:iCs/>
          <w:lang w:val="it-IT"/>
        </w:rPr>
        <w:t>n,m</w:t>
      </w:r>
      <w:proofErr w:type="spellEnd"/>
      <w:proofErr w:type="gramEnd"/>
      <w:r w:rsidRPr="005907F1">
        <w:rPr>
          <w:rFonts w:ascii="Baskerville Old Face" w:hAnsi="Baskerville Old Face"/>
          <w:i/>
          <w:iCs/>
          <w:lang w:val="it-IT"/>
        </w:rPr>
        <w:t>)))</w:t>
      </w:r>
    </w:p>
    <w:p w14:paraId="70417070" w14:textId="77777777" w:rsidR="003C487D" w:rsidRPr="005907F1" w:rsidRDefault="003C487D" w:rsidP="003C487D">
      <w:pPr>
        <w:spacing w:line="360" w:lineRule="auto"/>
        <w:rPr>
          <w:rFonts w:ascii="Baskerville Old Face" w:hAnsi="Baskerville Old Face"/>
          <w:i/>
          <w:iCs/>
          <w:lang w:val="it-IT"/>
        </w:rPr>
      </w:pPr>
      <w:r w:rsidRPr="00B479AE">
        <w:rPr>
          <w:rFonts w:ascii="Cambria" w:hAnsi="Cambria" w:cs="Cambria"/>
          <w:i/>
          <w:iCs/>
        </w:rPr>
        <w:t>Ω</w:t>
      </w:r>
      <w:r w:rsidRPr="005907F1">
        <w:rPr>
          <w:rFonts w:ascii="Baskerville Old Face" w:hAnsi="Baskerville Old Face"/>
          <w:i/>
          <w:iCs/>
          <w:lang w:val="it-IT"/>
        </w:rPr>
        <w:t>_</w:t>
      </w:r>
      <w:proofErr w:type="spellStart"/>
      <w:r w:rsidRPr="005907F1">
        <w:rPr>
          <w:rFonts w:ascii="Baskerville Old Face" w:hAnsi="Baskerville Old Face"/>
          <w:i/>
          <w:iCs/>
          <w:lang w:val="it-IT"/>
        </w:rPr>
        <w:t>node</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O((n/m) </w:t>
      </w:r>
      <w:r w:rsidRPr="005907F1">
        <w:rPr>
          <w:rFonts w:ascii="Cambria" w:hAnsi="Cambria" w:cs="Cambria"/>
          <w:i/>
          <w:iCs/>
          <w:lang w:val="it-IT"/>
        </w:rPr>
        <w:t>·</w:t>
      </w:r>
      <w:r w:rsidRPr="005907F1">
        <w:rPr>
          <w:rFonts w:ascii="Baskerville Old Face" w:hAnsi="Baskerville Old Face"/>
          <w:i/>
          <w:iCs/>
          <w:lang w:val="it-IT"/>
        </w:rPr>
        <w:t xml:space="preserve"> log m)</w:t>
      </w:r>
    </w:p>
    <w:p w14:paraId="1983731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should be preserved.</w:t>
      </w:r>
    </w:p>
    <w:p w14:paraId="62E43E9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They may be qualified as conceptual architectural approximations, not universal empirical benchmarks for every blockchain, every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application, or every implementation context.</w:t>
      </w:r>
    </w:p>
    <w:p w14:paraId="6942B20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Their purpose is to clarify why Prometheus treats agent-centric infrastructure as structurally aligned with regenerative systems: contextual validation, distributed agency, and capacity through participation.</w:t>
      </w:r>
    </w:p>
    <w:p w14:paraId="3EB56C3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related thesis must also be preserved:</w:t>
      </w:r>
    </w:p>
    <w:p w14:paraId="510595D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Participation creates capacity, not congestion.</w:t>
      </w:r>
    </w:p>
    <w:p w14:paraId="5E51DF0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This is a core Prometheus infrastructure principle.</w:t>
      </w:r>
    </w:p>
    <w:p w14:paraId="5C79F156"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 PRU Core Definition</w:t>
      </w:r>
    </w:p>
    <w:p w14:paraId="4D2C673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3B8106FE" w14:textId="77777777" w:rsidR="003C487D" w:rsidRPr="005907F1" w:rsidRDefault="003C487D" w:rsidP="003C487D">
      <w:pPr>
        <w:spacing w:line="360" w:lineRule="auto"/>
        <w:rPr>
          <w:rFonts w:ascii="Baskerville Old Face" w:hAnsi="Baskerville Old Face"/>
          <w:i/>
          <w:iCs/>
          <w:lang w:val="it-IT"/>
        </w:rPr>
      </w:pPr>
      <w:r w:rsidRPr="005907F1">
        <w:rPr>
          <w:rFonts w:ascii="Baskerville Old Face" w:hAnsi="Baskerville Old Face"/>
          <w:i/>
          <w:iCs/>
          <w:lang w:val="it-IT"/>
        </w:rPr>
        <w:t xml:space="preserve">PRU = </w:t>
      </w:r>
      <w:proofErr w:type="gramStart"/>
      <w:r w:rsidRPr="005907F1">
        <w:rPr>
          <w:rFonts w:ascii="Baskerville Old Face" w:hAnsi="Baskerville Old Face"/>
          <w:i/>
          <w:iCs/>
          <w:lang w:val="it-IT"/>
        </w:rPr>
        <w:t>f(</w:t>
      </w:r>
      <w:proofErr w:type="gramEnd"/>
      <w:r w:rsidRPr="005907F1">
        <w:rPr>
          <w:rFonts w:ascii="Baskerville Old Face" w:hAnsi="Baskerville Old Face"/>
          <w:i/>
          <w:iCs/>
          <w:lang w:val="it-IT"/>
        </w:rPr>
        <w:t>MRV, OHE, SRI, RPI, CESI, C)</w:t>
      </w:r>
    </w:p>
    <w:p w14:paraId="5FF61FD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002FF4E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MRV = Measurement, Reporting, and Verification layer</w:t>
      </w:r>
      <w:r w:rsidRPr="00B479AE">
        <w:rPr>
          <w:rFonts w:ascii="Baskerville Old Face" w:hAnsi="Baskerville Old Face"/>
          <w:i/>
          <w:iCs/>
        </w:rPr>
        <w:br/>
        <w:t>OHE = One Human Ecosystem or OHE-compatible regenerative unit</w:t>
      </w:r>
      <w:r w:rsidRPr="00B479AE">
        <w:rPr>
          <w:rFonts w:ascii="Baskerville Old Face" w:hAnsi="Baskerville Old Face"/>
          <w:i/>
          <w:iCs/>
        </w:rPr>
        <w:br/>
        <w:t>SRI = Syntropic Resilience Index</w:t>
      </w:r>
      <w:r w:rsidRPr="00B479AE">
        <w:rPr>
          <w:rFonts w:ascii="Baskerville Old Face" w:hAnsi="Baskerville Old Face"/>
          <w:i/>
          <w:iCs/>
        </w:rPr>
        <w:br/>
        <w:t>RPI = Regenerative Productivity Index</w:t>
      </w:r>
      <w:r w:rsidRPr="00B479AE">
        <w:rPr>
          <w:rFonts w:ascii="Baskerville Old Face" w:hAnsi="Baskerville Old Face"/>
          <w:i/>
          <w:iCs/>
        </w:rPr>
        <w:br/>
        <w:t>CESI = Cooperative Ecological Surplus Index</w:t>
      </w:r>
      <w:r w:rsidRPr="00B479AE">
        <w:rPr>
          <w:rFonts w:ascii="Baskerville Old Face" w:hAnsi="Baskerville Old Face"/>
          <w:i/>
          <w:iCs/>
        </w:rPr>
        <w:br/>
        <w:t>C = confidence and admissibility constraints</w:t>
      </w:r>
    </w:p>
    <w:p w14:paraId="4AD27F6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defines the PRU as a methodology-bound analytical representation of verified regenerative performance.</w:t>
      </w:r>
    </w:p>
    <w:p w14:paraId="086DA10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does not create land rights, token rights, governance rights, investor exposure, securities, or automatic financial value.</w:t>
      </w:r>
    </w:p>
    <w:p w14:paraId="70C85EC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must remain subject to MRV evidence, confidence scoring, admissibility, governance review, legal structuring, and public-claim discipline.</w:t>
      </w:r>
    </w:p>
    <w:p w14:paraId="5BACAE11"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 Base Value Function</w:t>
      </w:r>
    </w:p>
    <w:p w14:paraId="0A9EB4A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0585CC95"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V_base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V_prod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V_ecosystem</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V_human</w:t>
      </w:r>
      <w:proofErr w:type="spellEnd"/>
    </w:p>
    <w:p w14:paraId="7906160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79887A63"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V_prod</w:t>
      </w:r>
      <w:proofErr w:type="spellEnd"/>
      <w:r w:rsidRPr="00B479AE">
        <w:rPr>
          <w:rFonts w:ascii="Baskerville Old Face" w:hAnsi="Baskerville Old Face"/>
          <w:i/>
          <w:iCs/>
        </w:rPr>
        <w:t xml:space="preserve"> = direct productive value</w:t>
      </w:r>
      <w:r w:rsidRPr="00B479AE">
        <w:rPr>
          <w:rFonts w:ascii="Baskerville Old Face" w:hAnsi="Baskerville Old Face"/>
          <w:i/>
          <w:iCs/>
        </w:rPr>
        <w:br/>
      </w:r>
      <w:proofErr w:type="spellStart"/>
      <w:r w:rsidRPr="00B479AE">
        <w:rPr>
          <w:rFonts w:ascii="Baskerville Old Face" w:hAnsi="Baskerville Old Face"/>
          <w:i/>
          <w:iCs/>
        </w:rPr>
        <w:t>V_ecosystem</w:t>
      </w:r>
      <w:proofErr w:type="spellEnd"/>
      <w:r w:rsidRPr="00B479AE">
        <w:rPr>
          <w:rFonts w:ascii="Baskerville Old Face" w:hAnsi="Baskerville Old Face"/>
          <w:i/>
          <w:iCs/>
        </w:rPr>
        <w:t xml:space="preserve"> = ecosystem-service or ecological-performance value where admissible</w:t>
      </w:r>
      <w:r w:rsidRPr="00B479AE">
        <w:rPr>
          <w:rFonts w:ascii="Baskerville Old Face" w:hAnsi="Baskerville Old Face"/>
          <w:i/>
          <w:iCs/>
        </w:rPr>
        <w:br/>
      </w:r>
      <w:proofErr w:type="spellStart"/>
      <w:r w:rsidRPr="00B479AE">
        <w:rPr>
          <w:rFonts w:ascii="Baskerville Old Face" w:hAnsi="Baskerville Old Face"/>
          <w:i/>
          <w:iCs/>
        </w:rPr>
        <w:t>V_human</w:t>
      </w:r>
      <w:proofErr w:type="spellEnd"/>
      <w:r w:rsidRPr="00B479AE">
        <w:rPr>
          <w:rFonts w:ascii="Baskerville Old Face" w:hAnsi="Baskerville Old Face"/>
          <w:i/>
          <w:iCs/>
        </w:rPr>
        <w:t xml:space="preserve"> = human-system or systemic value, conditionally admissible only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supported by methodology, evidence, legal review, and institutional pathway</w:t>
      </w:r>
    </w:p>
    <w:p w14:paraId="03CC127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separates productive, ecological, and systemic value.</w:t>
      </w:r>
    </w:p>
    <w:p w14:paraId="46EC30D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should be preserved because it prevents indiscriminate aggregation, double counting, and premature financial claims.</w:t>
      </w:r>
    </w:p>
    <w:p w14:paraId="6E1BC13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not an automatic monetization formula.</w:t>
      </w:r>
    </w:p>
    <w:p w14:paraId="39D02B8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a classification structure.</w:t>
      </w:r>
    </w:p>
    <w:p w14:paraId="09E2A530"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4. PRU Adjusted Value Function</w:t>
      </w:r>
    </w:p>
    <w:p w14:paraId="56E7E47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19340196" w14:textId="77777777" w:rsidR="003C487D" w:rsidRPr="005907F1" w:rsidRDefault="003C487D" w:rsidP="003C487D">
      <w:pPr>
        <w:spacing w:line="360" w:lineRule="auto"/>
        <w:rPr>
          <w:rFonts w:ascii="Baskerville Old Face" w:hAnsi="Baskerville Old Face"/>
          <w:i/>
          <w:iCs/>
          <w:lang w:val="it-IT"/>
        </w:rPr>
      </w:pPr>
      <w:r w:rsidRPr="005907F1">
        <w:rPr>
          <w:rFonts w:ascii="Baskerville Old Face" w:hAnsi="Baskerville Old Face"/>
          <w:i/>
          <w:iCs/>
          <w:lang w:val="it-IT"/>
        </w:rPr>
        <w:t xml:space="preserve">V_PRU = </w:t>
      </w:r>
      <w:proofErr w:type="spellStart"/>
      <w:r w:rsidRPr="005907F1">
        <w:rPr>
          <w:rFonts w:ascii="Baskerville Old Face" w:hAnsi="Baskerville Old Face"/>
          <w:i/>
          <w:iCs/>
          <w:lang w:val="it-IT"/>
        </w:rPr>
        <w:t>V_base</w:t>
      </w:r>
      <w:proofErr w:type="spellEnd"/>
      <w:r w:rsidRPr="005907F1">
        <w:rPr>
          <w:rFonts w:ascii="Baskerville Old Face" w:hAnsi="Baskerville Old Face"/>
          <w:i/>
          <w:iCs/>
          <w:lang w:val="it-IT"/>
        </w:rPr>
        <w:t xml:space="preserve"> × (1 + </w:t>
      </w:r>
      <w:r w:rsidRPr="00B479AE">
        <w:rPr>
          <w:rFonts w:ascii="Cambria" w:hAnsi="Cambria" w:cs="Cambria"/>
          <w:i/>
          <w:iCs/>
        </w:rPr>
        <w:t>λ</w:t>
      </w:r>
      <w:r w:rsidRPr="005907F1">
        <w:rPr>
          <w:rFonts w:ascii="Cambria" w:hAnsi="Cambria" w:cs="Cambria"/>
          <w:i/>
          <w:iCs/>
          <w:lang w:val="it-IT"/>
        </w:rPr>
        <w:t>₁</w:t>
      </w:r>
      <w:r w:rsidRPr="005907F1">
        <w:rPr>
          <w:rFonts w:ascii="Baskerville Old Face" w:hAnsi="Baskerville Old Face"/>
          <w:i/>
          <w:iCs/>
          <w:lang w:val="it-IT"/>
        </w:rPr>
        <w:t xml:space="preserve">SRI + </w:t>
      </w:r>
      <w:r w:rsidRPr="00B479AE">
        <w:rPr>
          <w:rFonts w:ascii="Cambria" w:hAnsi="Cambria" w:cs="Cambria"/>
          <w:i/>
          <w:iCs/>
        </w:rPr>
        <w:t>λ</w:t>
      </w:r>
      <w:r w:rsidRPr="005907F1">
        <w:rPr>
          <w:rFonts w:ascii="Cambria" w:hAnsi="Cambria" w:cs="Cambria"/>
          <w:i/>
          <w:iCs/>
          <w:lang w:val="it-IT"/>
        </w:rPr>
        <w:t>₂</w:t>
      </w:r>
      <w:r w:rsidRPr="005907F1">
        <w:rPr>
          <w:rFonts w:ascii="Baskerville Old Face" w:hAnsi="Baskerville Old Face"/>
          <w:i/>
          <w:iCs/>
          <w:lang w:val="it-IT"/>
        </w:rPr>
        <w:t xml:space="preserve">RPI + </w:t>
      </w:r>
      <w:r w:rsidRPr="00B479AE">
        <w:rPr>
          <w:rFonts w:ascii="Cambria" w:hAnsi="Cambria" w:cs="Cambria"/>
          <w:i/>
          <w:iCs/>
        </w:rPr>
        <w:t>λ</w:t>
      </w:r>
      <w:r w:rsidRPr="005907F1">
        <w:rPr>
          <w:rFonts w:ascii="Cambria" w:hAnsi="Cambria" w:cs="Cambria"/>
          <w:i/>
          <w:iCs/>
          <w:lang w:val="it-IT"/>
        </w:rPr>
        <w:t>₃</w:t>
      </w:r>
      <w:r w:rsidRPr="005907F1">
        <w:rPr>
          <w:rFonts w:ascii="Baskerville Old Face" w:hAnsi="Baskerville Old Face"/>
          <w:i/>
          <w:iCs/>
          <w:lang w:val="it-IT"/>
        </w:rPr>
        <w:t xml:space="preserve">CESI) </w:t>
      </w:r>
      <w:r w:rsidRPr="005907F1">
        <w:rPr>
          <w:rFonts w:ascii="Baskerville Old Face" w:hAnsi="Baskerville Old Face" w:cs="Baskerville Old Face"/>
          <w:i/>
          <w:iCs/>
          <w:lang w:val="it-IT"/>
        </w:rPr>
        <w:t>×</w:t>
      </w:r>
      <w:r w:rsidRPr="005907F1">
        <w:rPr>
          <w:rFonts w:ascii="Baskerville Old Face" w:hAnsi="Baskerville Old Face"/>
          <w:i/>
          <w:iCs/>
          <w:lang w:val="it-IT"/>
        </w:rPr>
        <w:t xml:space="preserve"> C</w:t>
      </w:r>
    </w:p>
    <w:p w14:paraId="7B2D9EA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202D1BC1" w14:textId="77777777" w:rsidR="003C487D" w:rsidRPr="00B479AE" w:rsidRDefault="003C487D" w:rsidP="003C487D">
      <w:pPr>
        <w:spacing w:line="360" w:lineRule="auto"/>
        <w:rPr>
          <w:rFonts w:ascii="Baskerville Old Face" w:hAnsi="Baskerville Old Face"/>
          <w:i/>
          <w:iCs/>
        </w:rPr>
      </w:pPr>
      <w:r w:rsidRPr="00B479AE">
        <w:rPr>
          <w:rFonts w:ascii="Cambria" w:hAnsi="Cambria" w:cs="Cambria"/>
          <w:i/>
          <w:iCs/>
        </w:rPr>
        <w:t>λ₁</w:t>
      </w:r>
      <w:r w:rsidRPr="00B479AE">
        <w:rPr>
          <w:rFonts w:ascii="Baskerville Old Face" w:hAnsi="Baskerville Old Face"/>
          <w:i/>
          <w:iCs/>
        </w:rPr>
        <w:t xml:space="preserve">, </w:t>
      </w:r>
      <w:r w:rsidRPr="00B479AE">
        <w:rPr>
          <w:rFonts w:ascii="Cambria" w:hAnsi="Cambria" w:cs="Cambria"/>
          <w:i/>
          <w:iCs/>
        </w:rPr>
        <w:t>λ₂</w:t>
      </w:r>
      <w:r w:rsidRPr="00B479AE">
        <w:rPr>
          <w:rFonts w:ascii="Baskerville Old Face" w:hAnsi="Baskerville Old Face"/>
          <w:i/>
          <w:iCs/>
        </w:rPr>
        <w:t xml:space="preserve">, </w:t>
      </w:r>
      <w:r w:rsidRPr="00B479AE">
        <w:rPr>
          <w:rFonts w:ascii="Cambria" w:hAnsi="Cambria" w:cs="Cambria"/>
          <w:i/>
          <w:iCs/>
        </w:rPr>
        <w:t>λ₃</w:t>
      </w:r>
      <w:r w:rsidRPr="00B479AE">
        <w:rPr>
          <w:rFonts w:ascii="Baskerville Old Face" w:hAnsi="Baskerville Old Face"/>
          <w:i/>
          <w:iCs/>
        </w:rPr>
        <w:t xml:space="preserve"> = methodology-defined weights</w:t>
      </w:r>
      <w:r w:rsidRPr="00B479AE">
        <w:rPr>
          <w:rFonts w:ascii="Baskerville Old Face" w:hAnsi="Baskerville Old Face"/>
          <w:i/>
          <w:iCs/>
        </w:rPr>
        <w:br/>
        <w:t xml:space="preserve">SRI, RPI, CESI </w:t>
      </w:r>
      <w:r w:rsidRPr="00B479AE">
        <w:rPr>
          <w:rFonts w:ascii="Cambria Math" w:hAnsi="Cambria Math" w:cs="Cambria Math"/>
          <w:i/>
          <w:iCs/>
        </w:rPr>
        <w:t>∈</w:t>
      </w:r>
      <w:r w:rsidRPr="00B479AE">
        <w:rPr>
          <w:rFonts w:ascii="Baskerville Old Face" w:hAnsi="Baskerville Old Face"/>
          <w:i/>
          <w:iCs/>
        </w:rPr>
        <w:t xml:space="preserve"> [0,1]</w:t>
      </w:r>
      <w:r w:rsidRPr="00B479AE">
        <w:rPr>
          <w:rFonts w:ascii="Baskerville Old Face" w:hAnsi="Baskerville Old Face"/>
          <w:i/>
          <w:iCs/>
        </w:rPr>
        <w:br/>
        <w:t xml:space="preserve">C </w:t>
      </w:r>
      <w:r w:rsidRPr="00B479AE">
        <w:rPr>
          <w:rFonts w:ascii="Cambria Math" w:hAnsi="Cambria Math" w:cs="Cambria Math"/>
          <w:i/>
          <w:iCs/>
        </w:rPr>
        <w:t>∈</w:t>
      </w:r>
      <w:r w:rsidRPr="00B479AE">
        <w:rPr>
          <w:rFonts w:ascii="Baskerville Old Face" w:hAnsi="Baskerville Old Face"/>
          <w:i/>
          <w:iCs/>
        </w:rPr>
        <w:t xml:space="preserve"> [0,1]</w:t>
      </w:r>
    </w:p>
    <w:p w14:paraId="7D8E8AE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links regenerative performance to confidence and admissibility.</w:t>
      </w:r>
    </w:p>
    <w:p w14:paraId="6073F7A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SRI contributes resilience and risk-compression logic.</w:t>
      </w:r>
    </w:p>
    <w:p w14:paraId="5BF0371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RPI contributes regenerative productivity logic.</w:t>
      </w:r>
    </w:p>
    <w:p w14:paraId="297EC93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CESI contributes cooperative ecological surplus logic.</w:t>
      </w:r>
    </w:p>
    <w:p w14:paraId="7FF95A7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C prevents weak evidence from producing inflated value.</w:t>
      </w:r>
    </w:p>
    <w:p w14:paraId="1C10056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does not create market price, token value, investment value, legal entitlement, or investor rights by itself.</w:t>
      </w:r>
    </w:p>
    <w:p w14:paraId="6A652DB9"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5. Syntropic Resilience Index</w:t>
      </w:r>
    </w:p>
    <w:p w14:paraId="469808F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519CE81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SRI = </w:t>
      </w:r>
      <w:proofErr w:type="spellStart"/>
      <w:r w:rsidRPr="00B479AE">
        <w:rPr>
          <w:rFonts w:ascii="Baskerville Old Face" w:hAnsi="Baskerville Old Face"/>
          <w:i/>
          <w:iCs/>
        </w:rPr>
        <w:t>w_HH</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w_SS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w_FF</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w_BB</w:t>
      </w:r>
      <w:proofErr w:type="spellEnd"/>
    </w:p>
    <w:p w14:paraId="0B816818"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w_H</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w_F</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w_B</w:t>
      </w:r>
      <w:proofErr w:type="spellEnd"/>
      <w:r w:rsidRPr="00B479AE">
        <w:rPr>
          <w:rFonts w:ascii="Baskerville Old Face" w:hAnsi="Baskerville Old Face"/>
          <w:i/>
          <w:iCs/>
        </w:rPr>
        <w:t xml:space="preserve"> = 1</w:t>
      </w:r>
    </w:p>
    <w:p w14:paraId="7E83261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085994E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H = hydrological intelligence block</w:t>
      </w:r>
      <w:r w:rsidRPr="00B479AE">
        <w:rPr>
          <w:rFonts w:ascii="Baskerville Old Face" w:hAnsi="Baskerville Old Face"/>
          <w:i/>
          <w:iCs/>
        </w:rPr>
        <w:br/>
        <w:t>S = soil metabolic block</w:t>
      </w:r>
      <w:r w:rsidRPr="00B479AE">
        <w:rPr>
          <w:rFonts w:ascii="Baskerville Old Face" w:hAnsi="Baskerville Old Face"/>
          <w:i/>
          <w:iCs/>
        </w:rPr>
        <w:br/>
        <w:t>F = mycorrhizal and network block</w:t>
      </w:r>
      <w:r w:rsidRPr="00B479AE">
        <w:rPr>
          <w:rFonts w:ascii="Baskerville Old Face" w:hAnsi="Baskerville Old Face"/>
          <w:i/>
          <w:iCs/>
        </w:rPr>
        <w:br/>
        <w:t>B = biochemical and defensive intelligence block</w:t>
      </w:r>
    </w:p>
    <w:p w14:paraId="6FB32E1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SRI expresses the internal adaptive capacity of a regenerative unit.</w:t>
      </w:r>
    </w:p>
    <w:p w14:paraId="47FB70E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connects hydrological resilience, soil vitality, fungal and network maturity, biochemical defense, and shock absorption.</w:t>
      </w:r>
    </w:p>
    <w:p w14:paraId="1427649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SRI is primarily relevant to risk compression.</w:t>
      </w:r>
    </w:p>
    <w:p w14:paraId="464B262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calculated only from indicators with defined evidence status and confidence level.</w:t>
      </w:r>
    </w:p>
    <w:p w14:paraId="24F4F70A"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6. Regenerative Productivity Index</w:t>
      </w:r>
    </w:p>
    <w:p w14:paraId="64B5F1B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330673A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RPI = </w:t>
      </w:r>
      <w:proofErr w:type="spellStart"/>
      <w:r w:rsidRPr="00B479AE">
        <w:rPr>
          <w:rFonts w:ascii="Baskerville Old Face" w:hAnsi="Baskerville Old Face"/>
          <w:i/>
          <w:iCs/>
        </w:rPr>
        <w:t>a</w:t>
      </w:r>
      <w:r w:rsidRPr="00B479AE">
        <w:rPr>
          <w:rFonts w:ascii="Cambria Math" w:hAnsi="Cambria Math" w:cs="Cambria Math"/>
          <w:i/>
          <w:iCs/>
        </w:rPr>
        <w:t>₁</w:t>
      </w:r>
      <w:r w:rsidRPr="00B479AE">
        <w:rPr>
          <w:rFonts w:ascii="Baskerville Old Face" w:hAnsi="Baskerville Old Face"/>
          <w:i/>
          <w:iCs/>
        </w:rPr>
        <w:t>Y</w:t>
      </w:r>
      <w:proofErr w:type="spellEnd"/>
      <w:r w:rsidRPr="00B479AE">
        <w:rPr>
          <w:rFonts w:ascii="Cambria Math" w:hAnsi="Cambria Math" w:cs="Cambria Math"/>
          <w:i/>
          <w:iCs/>
        </w:rPr>
        <w:t>₁</w:t>
      </w:r>
      <w:r w:rsidRPr="00B479AE">
        <w:rPr>
          <w:rFonts w:ascii="Baskerville Old Face" w:hAnsi="Baskerville Old Face"/>
          <w:i/>
          <w:iCs/>
        </w:rPr>
        <w:t xml:space="preserve"> + </w:t>
      </w:r>
      <w:proofErr w:type="spellStart"/>
      <w:r w:rsidRPr="00B479AE">
        <w:rPr>
          <w:rFonts w:ascii="Baskerville Old Face" w:hAnsi="Baskerville Old Face"/>
          <w:i/>
          <w:iCs/>
        </w:rPr>
        <w:t>a</w:t>
      </w:r>
      <w:r w:rsidRPr="00B479AE">
        <w:rPr>
          <w:rFonts w:ascii="Cambria Math" w:hAnsi="Cambria Math" w:cs="Cambria Math"/>
          <w:i/>
          <w:iCs/>
        </w:rPr>
        <w:t>₂</w:t>
      </w:r>
      <w:r w:rsidRPr="00B479AE">
        <w:rPr>
          <w:rFonts w:ascii="Baskerville Old Face" w:hAnsi="Baskerville Old Face"/>
          <w:i/>
          <w:iCs/>
        </w:rPr>
        <w:t>Y</w:t>
      </w:r>
      <w:proofErr w:type="spellEnd"/>
      <w:r w:rsidRPr="00B479AE">
        <w:rPr>
          <w:rFonts w:ascii="Cambria Math" w:hAnsi="Cambria Math" w:cs="Cambria Math"/>
          <w:i/>
          <w:iCs/>
        </w:rPr>
        <w:t>₂</w:t>
      </w:r>
      <w:r w:rsidRPr="00B479AE">
        <w:rPr>
          <w:rFonts w:ascii="Baskerville Old Face" w:hAnsi="Baskerville Old Face"/>
          <w:i/>
          <w:iCs/>
        </w:rPr>
        <w:t xml:space="preserve"> + </w:t>
      </w:r>
      <w:proofErr w:type="spellStart"/>
      <w:r w:rsidRPr="00B479AE">
        <w:rPr>
          <w:rFonts w:ascii="Baskerville Old Face" w:hAnsi="Baskerville Old Face"/>
          <w:i/>
          <w:iCs/>
        </w:rPr>
        <w:t>a</w:t>
      </w:r>
      <w:r w:rsidRPr="00B479AE">
        <w:rPr>
          <w:rFonts w:ascii="Cambria Math" w:hAnsi="Cambria Math" w:cs="Cambria Math"/>
          <w:i/>
          <w:iCs/>
        </w:rPr>
        <w:t>₃</w:t>
      </w:r>
      <w:r w:rsidRPr="00B479AE">
        <w:rPr>
          <w:rFonts w:ascii="Baskerville Old Face" w:hAnsi="Baskerville Old Face"/>
          <w:i/>
          <w:iCs/>
        </w:rPr>
        <w:t>Y</w:t>
      </w:r>
      <w:proofErr w:type="spellEnd"/>
      <w:r w:rsidRPr="00B479AE">
        <w:rPr>
          <w:rFonts w:ascii="Cambria Math" w:hAnsi="Cambria Math" w:cs="Cambria Math"/>
          <w:i/>
          <w:iCs/>
        </w:rPr>
        <w:t>₃</w:t>
      </w:r>
      <w:r w:rsidRPr="00B479AE">
        <w:rPr>
          <w:rFonts w:ascii="Baskerville Old Face" w:hAnsi="Baskerville Old Face"/>
          <w:i/>
          <w:iCs/>
        </w:rPr>
        <w:t xml:space="preserve"> + </w:t>
      </w:r>
      <w:proofErr w:type="spellStart"/>
      <w:r w:rsidRPr="00B479AE">
        <w:rPr>
          <w:rFonts w:ascii="Baskerville Old Face" w:hAnsi="Baskerville Old Face"/>
          <w:i/>
          <w:iCs/>
        </w:rPr>
        <w:t>a</w:t>
      </w:r>
      <w:r w:rsidRPr="00B479AE">
        <w:rPr>
          <w:rFonts w:ascii="Cambria Math" w:hAnsi="Cambria Math" w:cs="Cambria Math"/>
          <w:i/>
          <w:iCs/>
        </w:rPr>
        <w:t>₄</w:t>
      </w:r>
      <w:r w:rsidRPr="00B479AE">
        <w:rPr>
          <w:rFonts w:ascii="Baskerville Old Face" w:hAnsi="Baskerville Old Face"/>
          <w:i/>
          <w:iCs/>
        </w:rPr>
        <w:t>Y</w:t>
      </w:r>
      <w:proofErr w:type="spellEnd"/>
      <w:r w:rsidRPr="00B479AE">
        <w:rPr>
          <w:rFonts w:ascii="Cambria Math" w:hAnsi="Cambria Math" w:cs="Cambria Math"/>
          <w:i/>
          <w:iCs/>
        </w:rPr>
        <w:t>₄</w:t>
      </w:r>
    </w:p>
    <w:p w14:paraId="198F079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a</w:t>
      </w:r>
      <w:r w:rsidRPr="00B479AE">
        <w:rPr>
          <w:rFonts w:ascii="Cambria Math" w:hAnsi="Cambria Math" w:cs="Cambria Math"/>
          <w:i/>
          <w:iCs/>
        </w:rPr>
        <w:t>₁</w:t>
      </w:r>
      <w:r w:rsidRPr="00B479AE">
        <w:rPr>
          <w:rFonts w:ascii="Baskerville Old Face" w:hAnsi="Baskerville Old Face"/>
          <w:i/>
          <w:iCs/>
        </w:rPr>
        <w:t xml:space="preserve"> + a</w:t>
      </w:r>
      <w:r w:rsidRPr="00B479AE">
        <w:rPr>
          <w:rFonts w:ascii="Cambria Math" w:hAnsi="Cambria Math" w:cs="Cambria Math"/>
          <w:i/>
          <w:iCs/>
        </w:rPr>
        <w:t>₂</w:t>
      </w:r>
      <w:r w:rsidRPr="00B479AE">
        <w:rPr>
          <w:rFonts w:ascii="Baskerville Old Face" w:hAnsi="Baskerville Old Face"/>
          <w:i/>
          <w:iCs/>
        </w:rPr>
        <w:t xml:space="preserve"> + a</w:t>
      </w:r>
      <w:r w:rsidRPr="00B479AE">
        <w:rPr>
          <w:rFonts w:ascii="Cambria Math" w:hAnsi="Cambria Math" w:cs="Cambria Math"/>
          <w:i/>
          <w:iCs/>
        </w:rPr>
        <w:t>₃</w:t>
      </w:r>
      <w:r w:rsidRPr="00B479AE">
        <w:rPr>
          <w:rFonts w:ascii="Baskerville Old Face" w:hAnsi="Baskerville Old Face"/>
          <w:i/>
          <w:iCs/>
        </w:rPr>
        <w:t xml:space="preserve"> + a</w:t>
      </w:r>
      <w:r w:rsidRPr="00B479AE">
        <w:rPr>
          <w:rFonts w:ascii="Cambria Math" w:hAnsi="Cambria Math" w:cs="Cambria Math"/>
          <w:i/>
          <w:iCs/>
        </w:rPr>
        <w:t>₄</w:t>
      </w:r>
      <w:r w:rsidRPr="00B479AE">
        <w:rPr>
          <w:rFonts w:ascii="Baskerville Old Face" w:hAnsi="Baskerville Old Face"/>
          <w:i/>
          <w:iCs/>
        </w:rPr>
        <w:t xml:space="preserve"> = 1</w:t>
      </w:r>
    </w:p>
    <w:p w14:paraId="1F23CBE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3B51594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Y</w:t>
      </w:r>
      <w:r w:rsidRPr="00B479AE">
        <w:rPr>
          <w:rFonts w:ascii="Cambria Math" w:hAnsi="Cambria Math" w:cs="Cambria Math"/>
          <w:i/>
          <w:iCs/>
        </w:rPr>
        <w:t>₁</w:t>
      </w:r>
      <w:r w:rsidRPr="00B479AE">
        <w:rPr>
          <w:rFonts w:ascii="Baskerville Old Face" w:hAnsi="Baskerville Old Face"/>
          <w:i/>
          <w:iCs/>
        </w:rPr>
        <w:t xml:space="preserve"> = edible or useful yield</w:t>
      </w:r>
      <w:r w:rsidRPr="00B479AE">
        <w:rPr>
          <w:rFonts w:ascii="Baskerville Old Face" w:hAnsi="Baskerville Old Face"/>
          <w:i/>
          <w:iCs/>
        </w:rPr>
        <w:br/>
        <w:t>Y</w:t>
      </w:r>
      <w:r w:rsidRPr="00B479AE">
        <w:rPr>
          <w:rFonts w:ascii="Cambria Math" w:hAnsi="Cambria Math" w:cs="Cambria Math"/>
          <w:i/>
          <w:iCs/>
        </w:rPr>
        <w:t>₂</w:t>
      </w:r>
      <w:r w:rsidRPr="00B479AE">
        <w:rPr>
          <w:rFonts w:ascii="Baskerville Old Face" w:hAnsi="Baskerville Old Face"/>
          <w:i/>
          <w:iCs/>
        </w:rPr>
        <w:t xml:space="preserve"> = diversity-adjusted yield</w:t>
      </w:r>
      <w:r w:rsidRPr="00B479AE">
        <w:rPr>
          <w:rFonts w:ascii="Baskerville Old Face" w:hAnsi="Baskerville Old Face"/>
          <w:i/>
          <w:iCs/>
        </w:rPr>
        <w:br/>
        <w:t>Y</w:t>
      </w:r>
      <w:r w:rsidRPr="00B479AE">
        <w:rPr>
          <w:rFonts w:ascii="Cambria Math" w:hAnsi="Cambria Math" w:cs="Cambria Math"/>
          <w:i/>
          <w:iCs/>
        </w:rPr>
        <w:t>₃</w:t>
      </w:r>
      <w:r w:rsidRPr="00B479AE">
        <w:rPr>
          <w:rFonts w:ascii="Baskerville Old Face" w:hAnsi="Baskerville Old Face"/>
          <w:i/>
          <w:iCs/>
        </w:rPr>
        <w:t xml:space="preserve"> = yield stability</w:t>
      </w:r>
      <w:r w:rsidRPr="00B479AE">
        <w:rPr>
          <w:rFonts w:ascii="Baskerville Old Face" w:hAnsi="Baskerville Old Face"/>
          <w:i/>
          <w:iCs/>
        </w:rPr>
        <w:br/>
        <w:t>Y</w:t>
      </w:r>
      <w:r w:rsidRPr="00B479AE">
        <w:rPr>
          <w:rFonts w:ascii="Cambria Math" w:hAnsi="Cambria Math" w:cs="Cambria Math"/>
          <w:i/>
          <w:iCs/>
        </w:rPr>
        <w:t>₄</w:t>
      </w:r>
      <w:r w:rsidRPr="00B479AE">
        <w:rPr>
          <w:rFonts w:ascii="Baskerville Old Face" w:hAnsi="Baskerville Old Face"/>
          <w:i/>
          <w:iCs/>
        </w:rPr>
        <w:t xml:space="preserve"> = input independence score</w:t>
      </w:r>
    </w:p>
    <w:p w14:paraId="3ADA807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RPI expresses productivity under ecological constraints.</w:t>
      </w:r>
    </w:p>
    <w:p w14:paraId="6B7E106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rewards output quality, diversity, temporal stability, and reduced dependency on external inputs.</w:t>
      </w:r>
    </w:p>
    <w:p w14:paraId="5E47C60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does not reward extractive yield that degrades the system.</w:t>
      </w:r>
    </w:p>
    <w:p w14:paraId="02843A5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A system that produces while degrading itself is not regenerative.</w:t>
      </w:r>
    </w:p>
    <w:p w14:paraId="25BE8F2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A system that produces while strengthening its foundations is.</w:t>
      </w:r>
    </w:p>
    <w:p w14:paraId="1A87389F" w14:textId="4A7497D6" w:rsidR="003C487D" w:rsidRPr="00B479AE" w:rsidRDefault="003C487D" w:rsidP="003C487D">
      <w:pPr>
        <w:spacing w:line="360" w:lineRule="auto"/>
        <w:rPr>
          <w:rFonts w:ascii="Baskerville Old Face" w:hAnsi="Baskerville Old Face"/>
          <w:i/>
          <w:iCs/>
        </w:rPr>
      </w:pPr>
    </w:p>
    <w:p w14:paraId="5093E7A1"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lastRenderedPageBreak/>
        <w:t>7. Cooperative Ecological Surplus Index</w:t>
      </w:r>
    </w:p>
    <w:p w14:paraId="5529EA5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4410308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CESI = </w:t>
      </w:r>
      <w:proofErr w:type="spellStart"/>
      <w:r w:rsidRPr="00B479AE">
        <w:rPr>
          <w:rFonts w:ascii="Baskerville Old Face" w:hAnsi="Baskerville Old Face"/>
          <w:i/>
          <w:iCs/>
        </w:rPr>
        <w:t>b</w:t>
      </w:r>
      <w:r w:rsidRPr="00B479AE">
        <w:rPr>
          <w:rFonts w:ascii="Cambria Math" w:hAnsi="Cambria Math" w:cs="Cambria Math"/>
          <w:i/>
          <w:iCs/>
        </w:rPr>
        <w:t>₁</w:t>
      </w:r>
      <w:r w:rsidRPr="00B479AE">
        <w:rPr>
          <w:rFonts w:ascii="Baskerville Old Face" w:hAnsi="Baskerville Old Face"/>
          <w:i/>
          <w:iCs/>
        </w:rPr>
        <w:t>F</w:t>
      </w:r>
      <w:proofErr w:type="spellEnd"/>
      <w:r w:rsidRPr="00B479AE">
        <w:rPr>
          <w:rFonts w:ascii="Cambria Math" w:hAnsi="Cambria Math" w:cs="Cambria Math"/>
          <w:i/>
          <w:iCs/>
        </w:rPr>
        <w:t>₂</w:t>
      </w:r>
      <w:r w:rsidRPr="00B479AE">
        <w:rPr>
          <w:rFonts w:ascii="Baskerville Old Face" w:hAnsi="Baskerville Old Face"/>
          <w:i/>
          <w:iCs/>
        </w:rPr>
        <w:t xml:space="preserve"> + </w:t>
      </w:r>
      <w:proofErr w:type="spellStart"/>
      <w:r w:rsidRPr="00B479AE">
        <w:rPr>
          <w:rFonts w:ascii="Baskerville Old Face" w:hAnsi="Baskerville Old Face"/>
          <w:i/>
          <w:iCs/>
        </w:rPr>
        <w:t>b</w:t>
      </w:r>
      <w:r w:rsidRPr="00B479AE">
        <w:rPr>
          <w:rFonts w:ascii="Cambria Math" w:hAnsi="Cambria Math" w:cs="Cambria Math"/>
          <w:i/>
          <w:iCs/>
        </w:rPr>
        <w:t>₂</w:t>
      </w:r>
      <w:r w:rsidRPr="00B479AE">
        <w:rPr>
          <w:rFonts w:ascii="Baskerville Old Face" w:hAnsi="Baskerville Old Face"/>
          <w:i/>
          <w:iCs/>
        </w:rPr>
        <w:t>B</w:t>
      </w:r>
      <w:proofErr w:type="spellEnd"/>
      <w:r w:rsidRPr="00B479AE">
        <w:rPr>
          <w:rFonts w:ascii="Cambria Math" w:hAnsi="Cambria Math" w:cs="Cambria Math"/>
          <w:i/>
          <w:iCs/>
        </w:rPr>
        <w:t>₃</w:t>
      </w:r>
      <w:r w:rsidRPr="00B479AE">
        <w:rPr>
          <w:rFonts w:ascii="Baskerville Old Face" w:hAnsi="Baskerville Old Face"/>
          <w:i/>
          <w:iCs/>
        </w:rPr>
        <w:t xml:space="preserve"> + </w:t>
      </w:r>
      <w:proofErr w:type="spellStart"/>
      <w:r w:rsidRPr="00B479AE">
        <w:rPr>
          <w:rFonts w:ascii="Baskerville Old Face" w:hAnsi="Baskerville Old Face"/>
          <w:i/>
          <w:iCs/>
        </w:rPr>
        <w:t>b</w:t>
      </w:r>
      <w:r w:rsidRPr="00B479AE">
        <w:rPr>
          <w:rFonts w:ascii="Cambria Math" w:hAnsi="Cambria Math" w:cs="Cambria Math"/>
          <w:i/>
          <w:iCs/>
        </w:rPr>
        <w:t>₃</w:t>
      </w:r>
      <w:r w:rsidRPr="00B479AE">
        <w:rPr>
          <w:rFonts w:ascii="Baskerville Old Face" w:hAnsi="Baskerville Old Face"/>
          <w:i/>
          <w:iCs/>
        </w:rPr>
        <w:t>S</w:t>
      </w:r>
      <w:proofErr w:type="spellEnd"/>
      <w:r w:rsidRPr="00B479AE">
        <w:rPr>
          <w:rFonts w:ascii="Cambria Math" w:hAnsi="Cambria Math" w:cs="Cambria Math"/>
          <w:i/>
          <w:iCs/>
        </w:rPr>
        <w:t>₃</w:t>
      </w:r>
      <w:r w:rsidRPr="00B479AE">
        <w:rPr>
          <w:rFonts w:ascii="Baskerville Old Face" w:hAnsi="Baskerville Old Face"/>
          <w:i/>
          <w:iCs/>
        </w:rPr>
        <w:t xml:space="preserve"> + </w:t>
      </w:r>
      <w:proofErr w:type="spellStart"/>
      <w:r w:rsidRPr="00B479AE">
        <w:rPr>
          <w:rFonts w:ascii="Baskerville Old Face" w:hAnsi="Baskerville Old Face"/>
          <w:i/>
          <w:iCs/>
        </w:rPr>
        <w:t>b</w:t>
      </w:r>
      <w:r w:rsidRPr="00B479AE">
        <w:rPr>
          <w:rFonts w:ascii="Cambria Math" w:hAnsi="Cambria Math" w:cs="Cambria Math"/>
          <w:i/>
          <w:iCs/>
        </w:rPr>
        <w:t>₄Δ</w:t>
      </w:r>
      <w:r w:rsidRPr="00B479AE">
        <w:rPr>
          <w:rFonts w:ascii="Baskerville Old Face" w:hAnsi="Baskerville Old Face"/>
          <w:i/>
          <w:iCs/>
        </w:rPr>
        <w:t>Y_network</w:t>
      </w:r>
      <w:proofErr w:type="spellEnd"/>
    </w:p>
    <w:p w14:paraId="3C22568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b</w:t>
      </w:r>
      <w:r w:rsidRPr="00B479AE">
        <w:rPr>
          <w:rFonts w:ascii="Cambria Math" w:hAnsi="Cambria Math" w:cs="Cambria Math"/>
          <w:i/>
          <w:iCs/>
        </w:rPr>
        <w:t>₁</w:t>
      </w:r>
      <w:r w:rsidRPr="00B479AE">
        <w:rPr>
          <w:rFonts w:ascii="Baskerville Old Face" w:hAnsi="Baskerville Old Face"/>
          <w:i/>
          <w:iCs/>
        </w:rPr>
        <w:t xml:space="preserve"> + b</w:t>
      </w:r>
      <w:r w:rsidRPr="00B479AE">
        <w:rPr>
          <w:rFonts w:ascii="Cambria Math" w:hAnsi="Cambria Math" w:cs="Cambria Math"/>
          <w:i/>
          <w:iCs/>
        </w:rPr>
        <w:t>₂</w:t>
      </w:r>
      <w:r w:rsidRPr="00B479AE">
        <w:rPr>
          <w:rFonts w:ascii="Baskerville Old Face" w:hAnsi="Baskerville Old Face"/>
          <w:i/>
          <w:iCs/>
        </w:rPr>
        <w:t xml:space="preserve"> + b</w:t>
      </w:r>
      <w:r w:rsidRPr="00B479AE">
        <w:rPr>
          <w:rFonts w:ascii="Cambria Math" w:hAnsi="Cambria Math" w:cs="Cambria Math"/>
          <w:i/>
          <w:iCs/>
        </w:rPr>
        <w:t>₃</w:t>
      </w:r>
      <w:r w:rsidRPr="00B479AE">
        <w:rPr>
          <w:rFonts w:ascii="Baskerville Old Face" w:hAnsi="Baskerville Old Face"/>
          <w:i/>
          <w:iCs/>
        </w:rPr>
        <w:t xml:space="preserve"> + b</w:t>
      </w:r>
      <w:r w:rsidRPr="00B479AE">
        <w:rPr>
          <w:rFonts w:ascii="Cambria Math" w:hAnsi="Cambria Math" w:cs="Cambria Math"/>
          <w:i/>
          <w:iCs/>
        </w:rPr>
        <w:t>₄</w:t>
      </w:r>
      <w:r w:rsidRPr="00B479AE">
        <w:rPr>
          <w:rFonts w:ascii="Baskerville Old Face" w:hAnsi="Baskerville Old Face"/>
          <w:i/>
          <w:iCs/>
        </w:rPr>
        <w:t xml:space="preserve"> = 1</w:t>
      </w:r>
    </w:p>
    <w:p w14:paraId="0C5D53D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7365B1F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F</w:t>
      </w:r>
      <w:r w:rsidRPr="00B479AE">
        <w:rPr>
          <w:rFonts w:ascii="Cambria Math" w:hAnsi="Cambria Math" w:cs="Cambria Math"/>
          <w:i/>
          <w:iCs/>
        </w:rPr>
        <w:t>₂</w:t>
      </w:r>
      <w:r w:rsidRPr="00B479AE">
        <w:rPr>
          <w:rFonts w:ascii="Baskerville Old Face" w:hAnsi="Baskerville Old Face"/>
          <w:i/>
          <w:iCs/>
        </w:rPr>
        <w:t xml:space="preserve"> = network support index</w:t>
      </w:r>
      <w:r w:rsidRPr="00B479AE">
        <w:rPr>
          <w:rFonts w:ascii="Baskerville Old Face" w:hAnsi="Baskerville Old Face"/>
          <w:i/>
          <w:iCs/>
        </w:rPr>
        <w:br/>
        <w:t>B</w:t>
      </w:r>
      <w:r w:rsidRPr="00B479AE">
        <w:rPr>
          <w:rFonts w:ascii="Cambria Math" w:hAnsi="Cambria Math" w:cs="Cambria Math"/>
          <w:i/>
          <w:iCs/>
        </w:rPr>
        <w:t>₃</w:t>
      </w:r>
      <w:r w:rsidRPr="00B479AE">
        <w:rPr>
          <w:rFonts w:ascii="Baskerville Old Face" w:hAnsi="Baskerville Old Face"/>
          <w:i/>
          <w:iCs/>
        </w:rPr>
        <w:t xml:space="preserve"> = defense coordination proxy</w:t>
      </w:r>
      <w:r w:rsidRPr="00B479AE">
        <w:rPr>
          <w:rFonts w:ascii="Baskerville Old Face" w:hAnsi="Baskerville Old Face"/>
          <w:i/>
          <w:iCs/>
        </w:rPr>
        <w:br/>
        <w:t>S</w:t>
      </w:r>
      <w:r w:rsidRPr="00B479AE">
        <w:rPr>
          <w:rFonts w:ascii="Cambria Math" w:hAnsi="Cambria Math" w:cs="Cambria Math"/>
          <w:i/>
          <w:iCs/>
        </w:rPr>
        <w:t>₃</w:t>
      </w:r>
      <w:r w:rsidRPr="00B479AE">
        <w:rPr>
          <w:rFonts w:ascii="Baskerville Old Face" w:hAnsi="Baskerville Old Face"/>
          <w:i/>
          <w:iCs/>
        </w:rPr>
        <w:t xml:space="preserve"> = earthworm or soil-fauna activity</w:t>
      </w:r>
      <w:r w:rsidRPr="00B479AE">
        <w:rPr>
          <w:rFonts w:ascii="Baskerville Old Face" w:hAnsi="Baskerville Old Face"/>
          <w:i/>
          <w:iCs/>
        </w:rPr>
        <w:br/>
      </w:r>
      <w:proofErr w:type="spellStart"/>
      <w:r w:rsidRPr="00B479AE">
        <w:rPr>
          <w:rFonts w:ascii="Cambria" w:hAnsi="Cambria" w:cs="Cambria"/>
          <w:i/>
          <w:iCs/>
        </w:rPr>
        <w:t>Δ</w:t>
      </w:r>
      <w:r w:rsidRPr="00B479AE">
        <w:rPr>
          <w:rFonts w:ascii="Baskerville Old Face" w:hAnsi="Baskerville Old Face"/>
          <w:i/>
          <w:iCs/>
        </w:rPr>
        <w:t>Y_network</w:t>
      </w:r>
      <w:proofErr w:type="spellEnd"/>
      <w:r w:rsidRPr="00B479AE">
        <w:rPr>
          <w:rFonts w:ascii="Baskerville Old Face" w:hAnsi="Baskerville Old Face"/>
          <w:i/>
          <w:iCs/>
        </w:rPr>
        <w:t xml:space="preserve"> = measured surplus over isolated or simplified comparison systems</w:t>
      </w:r>
    </w:p>
    <w:p w14:paraId="1F6A768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CESI is one of the most distinctive Prometheus indices.</w:t>
      </w:r>
    </w:p>
    <w:p w14:paraId="5250F7D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attempts to capture cooperation-derived value: the surplus generated by ecological relationships, not merely by isolated components.</w:t>
      </w:r>
    </w:p>
    <w:p w14:paraId="07420B0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CESI should be preserved and treated conservatively because cooperative surplus is powerful but methodologically demanding.</w:t>
      </w:r>
    </w:p>
    <w:p w14:paraId="172C02C0"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8. MRV Integrity Logic</w:t>
      </w:r>
    </w:p>
    <w:p w14:paraId="0E72391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4F043FA7"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MRV_integrity</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B, P, Q, X, T, A)</w:t>
      </w:r>
    </w:p>
    <w:p w14:paraId="710ADAE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487BFB8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B = baseline quality</w:t>
      </w:r>
      <w:r w:rsidRPr="00B479AE">
        <w:rPr>
          <w:rFonts w:ascii="Baskerville Old Face" w:hAnsi="Baskerville Old Face"/>
          <w:i/>
          <w:iCs/>
        </w:rPr>
        <w:br/>
        <w:t>P = provenance strength</w:t>
      </w:r>
      <w:r w:rsidRPr="00B479AE">
        <w:rPr>
          <w:rFonts w:ascii="Baskerville Old Face" w:hAnsi="Baskerville Old Face"/>
          <w:i/>
          <w:iCs/>
        </w:rPr>
        <w:br/>
        <w:t>Q = measurement quality</w:t>
      </w:r>
      <w:r w:rsidRPr="00B479AE">
        <w:rPr>
          <w:rFonts w:ascii="Baskerville Old Face" w:hAnsi="Baskerville Old Face"/>
          <w:i/>
          <w:iCs/>
        </w:rPr>
        <w:br/>
        <w:t>X = cross-source consistency</w:t>
      </w:r>
      <w:r w:rsidRPr="00B479AE">
        <w:rPr>
          <w:rFonts w:ascii="Baskerville Old Face" w:hAnsi="Baskerville Old Face"/>
          <w:i/>
          <w:iCs/>
        </w:rPr>
        <w:br/>
        <w:t>T = temporal continuity</w:t>
      </w:r>
      <w:r w:rsidRPr="00B479AE">
        <w:rPr>
          <w:rFonts w:ascii="Baskerville Old Face" w:hAnsi="Baskerville Old Face"/>
          <w:i/>
          <w:iCs/>
        </w:rPr>
        <w:br/>
        <w:t>A = audit or review status</w:t>
      </w:r>
    </w:p>
    <w:p w14:paraId="576E15F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the quality of the evidence architecture supporting PRU claims.</w:t>
      </w:r>
    </w:p>
    <w:p w14:paraId="354E1C2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should be preserved because capital should not rely only on ecological promise.</w:t>
      </w:r>
    </w:p>
    <w:p w14:paraId="109A88B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rely on the quality of evidence.</w:t>
      </w:r>
    </w:p>
    <w:p w14:paraId="137C979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MRV integrity does not create value by itself.</w:t>
      </w:r>
    </w:p>
    <w:p w14:paraId="2DCF9ED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determines how much trust may be placed in value-relevant claims.</w:t>
      </w:r>
    </w:p>
    <w:p w14:paraId="7858FA69"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9. Confidence Adjustment</w:t>
      </w:r>
    </w:p>
    <w:p w14:paraId="088B895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6C2026AB"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Conf_k</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q_k</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f_k</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r_k</w:t>
      </w:r>
      <w:proofErr w:type="spellEnd"/>
    </w:p>
    <w:p w14:paraId="28784F15"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Index_adj</w:t>
      </w:r>
      <w:proofErr w:type="spellEnd"/>
      <w:r w:rsidRPr="00B479AE">
        <w:rPr>
          <w:rFonts w:ascii="Baskerville Old Face" w:hAnsi="Baskerville Old Face"/>
          <w:i/>
          <w:iCs/>
        </w:rPr>
        <w:t xml:space="preserve"> = Index × Conf</w:t>
      </w:r>
    </w:p>
    <w:p w14:paraId="2A7E8DE8"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V_PRU_adj</w:t>
      </w:r>
      <w:proofErr w:type="spellEnd"/>
      <w:r w:rsidRPr="00B479AE">
        <w:rPr>
          <w:rFonts w:ascii="Baskerville Old Face" w:hAnsi="Baskerville Old Face"/>
          <w:i/>
          <w:iCs/>
        </w:rPr>
        <w:t xml:space="preserve"> = V_PRU × </w:t>
      </w:r>
      <w:proofErr w:type="spellStart"/>
      <w:r w:rsidRPr="00B479AE">
        <w:rPr>
          <w:rFonts w:ascii="Baskerville Old Face" w:hAnsi="Baskerville Old Face"/>
          <w:i/>
          <w:iCs/>
        </w:rPr>
        <w:t>Conf_total</w:t>
      </w:r>
      <w:proofErr w:type="spellEnd"/>
    </w:p>
    <w:p w14:paraId="5416B66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065F6A74"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q_k</w:t>
      </w:r>
      <w:proofErr w:type="spellEnd"/>
      <w:r w:rsidRPr="00B479AE">
        <w:rPr>
          <w:rFonts w:ascii="Baskerville Old Face" w:hAnsi="Baskerville Old Face"/>
          <w:i/>
          <w:iCs/>
        </w:rPr>
        <w:t xml:space="preserve"> = measurement quality</w:t>
      </w:r>
      <w:r w:rsidRPr="00B479AE">
        <w:rPr>
          <w:rFonts w:ascii="Baskerville Old Face" w:hAnsi="Baskerville Old Face"/>
          <w:i/>
          <w:iCs/>
        </w:rPr>
        <w:br/>
      </w:r>
      <w:proofErr w:type="spellStart"/>
      <w:r w:rsidRPr="00B479AE">
        <w:rPr>
          <w:rFonts w:ascii="Baskerville Old Face" w:hAnsi="Baskerville Old Face"/>
          <w:i/>
          <w:iCs/>
        </w:rPr>
        <w:t>f_k</w:t>
      </w:r>
      <w:proofErr w:type="spellEnd"/>
      <w:r w:rsidRPr="00B479AE">
        <w:rPr>
          <w:rFonts w:ascii="Baskerville Old Face" w:hAnsi="Baskerville Old Face"/>
          <w:i/>
          <w:iCs/>
        </w:rPr>
        <w:t xml:space="preserve"> = sampling frequency or temporal continuity</w:t>
      </w:r>
      <w:r w:rsidRPr="00B479AE">
        <w:rPr>
          <w:rFonts w:ascii="Baskerville Old Face" w:hAnsi="Baskerville Old Face"/>
          <w:i/>
          <w:iCs/>
        </w:rPr>
        <w:br/>
      </w:r>
      <w:proofErr w:type="spellStart"/>
      <w:r w:rsidRPr="00B479AE">
        <w:rPr>
          <w:rFonts w:ascii="Baskerville Old Face" w:hAnsi="Baskerville Old Face"/>
          <w:i/>
          <w:iCs/>
        </w:rPr>
        <w:t>r_k</w:t>
      </w:r>
      <w:proofErr w:type="spellEnd"/>
      <w:r w:rsidRPr="00B479AE">
        <w:rPr>
          <w:rFonts w:ascii="Baskerville Old Face" w:hAnsi="Baskerville Old Face"/>
          <w:i/>
          <w:iCs/>
        </w:rPr>
        <w:t xml:space="preserve"> = replication, robustness, or cross-source confirmation</w:t>
      </w:r>
    </w:p>
    <w:p w14:paraId="158394F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Confidence adjustment is the anti-overclaiming mechanism.</w:t>
      </w:r>
    </w:p>
    <w:p w14:paraId="73F7BE9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When confidence decreases, admissible value must decrease or remain limited.</w:t>
      </w:r>
    </w:p>
    <w:p w14:paraId="0257C3C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prevents weak evidence, beautiful narratives, or speculative dashboards from producing inflated analytical value.</w:t>
      </w:r>
    </w:p>
    <w:p w14:paraId="4D8BF685"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10. Admissibility Constraints</w:t>
      </w:r>
    </w:p>
    <w:p w14:paraId="0D7D1F6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142AE9D8"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T_i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L_i</w:t>
      </w:r>
      <w:proofErr w:type="spellEnd"/>
    </w:p>
    <w:p w14:paraId="4D59D01F"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V_included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only if </w:t>
      </w: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 1</w:t>
      </w:r>
    </w:p>
    <w:p w14:paraId="0992082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424ED625"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lastRenderedPageBreak/>
        <w:t>M_i</w:t>
      </w:r>
      <w:proofErr w:type="spellEnd"/>
      <w:r w:rsidRPr="00B479AE">
        <w:rPr>
          <w:rFonts w:ascii="Baskerville Old Face" w:hAnsi="Baskerville Old Face"/>
          <w:i/>
          <w:iCs/>
        </w:rPr>
        <w:t xml:space="preserve"> = measurable</w:t>
      </w:r>
      <w:r w:rsidRPr="00B479AE">
        <w:rPr>
          <w:rFonts w:ascii="Baskerville Old Face" w:hAnsi="Baskerville Old Face"/>
          <w:i/>
          <w:iCs/>
        </w:rPr>
        <w:br/>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 verifiable</w:t>
      </w:r>
      <w:r w:rsidRPr="00B479AE">
        <w:rPr>
          <w:rFonts w:ascii="Baskerville Old Face" w:hAnsi="Baskerville Old Face"/>
          <w:i/>
          <w:iCs/>
        </w:rPr>
        <w:br/>
      </w:r>
      <w:proofErr w:type="spellStart"/>
      <w:r w:rsidRPr="00B479AE">
        <w:rPr>
          <w:rFonts w:ascii="Baskerville Old Face" w:hAnsi="Baskerville Old Face"/>
          <w:i/>
          <w:iCs/>
        </w:rPr>
        <w:t>T_i</w:t>
      </w:r>
      <w:proofErr w:type="spellEnd"/>
      <w:r w:rsidRPr="00B479AE">
        <w:rPr>
          <w:rFonts w:ascii="Baskerville Old Face" w:hAnsi="Baskerville Old Face"/>
          <w:i/>
          <w:iCs/>
        </w:rPr>
        <w:t xml:space="preserve"> = threshold satisfied</w:t>
      </w:r>
      <w:r w:rsidRPr="00B479AE">
        <w:rPr>
          <w:rFonts w:ascii="Baskerville Old Face" w:hAnsi="Baskerville Old Face"/>
          <w:i/>
          <w:iCs/>
        </w:rPr>
        <w:br/>
      </w:r>
      <w:proofErr w:type="spellStart"/>
      <w:r w:rsidRPr="00B479AE">
        <w:rPr>
          <w:rFonts w:ascii="Baskerville Old Face" w:hAnsi="Baskerville Old Face"/>
          <w:i/>
          <w:iCs/>
        </w:rPr>
        <w:t>L_i</w:t>
      </w:r>
      <w:proofErr w:type="spellEnd"/>
      <w:r w:rsidRPr="00B479AE">
        <w:rPr>
          <w:rFonts w:ascii="Baskerville Old Face" w:hAnsi="Baskerville Old Face"/>
          <w:i/>
          <w:iCs/>
        </w:rPr>
        <w:t xml:space="preserve"> = legally and methodologically admissible</w:t>
      </w:r>
    </w:p>
    <w:p w14:paraId="657A227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protect the boundary between strategically meaningful value and financially admissible value.</w:t>
      </w:r>
    </w:p>
    <w:p w14:paraId="1988B44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A value component may be strategically important and still remain non-admissible for financial use.</w:t>
      </w:r>
    </w:p>
    <w:p w14:paraId="2C77DB9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Only evidence-backed and admissible value may enter PRU analysis.</w:t>
      </w:r>
    </w:p>
    <w:p w14:paraId="2153D36C"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11. Conservative OHE Uplift</w:t>
      </w:r>
    </w:p>
    <w:p w14:paraId="27E29EB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3BEEB894"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V_OHE_adj</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V_base</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(1 + </w:t>
      </w:r>
      <w:proofErr w:type="spellStart"/>
      <w:r w:rsidRPr="00B479AE">
        <w:rPr>
          <w:rFonts w:ascii="Cambria" w:hAnsi="Cambria" w:cs="Cambria"/>
          <w:i/>
          <w:iCs/>
        </w:rPr>
        <w:t>λ₁</w:t>
      </w:r>
      <w:r w:rsidRPr="00B479AE">
        <w:rPr>
          <w:rFonts w:ascii="Baskerville Old Face" w:hAnsi="Baskerville Old Face"/>
          <w:i/>
          <w:iCs/>
        </w:rPr>
        <w:t>SRI</w:t>
      </w:r>
      <w:proofErr w:type="spellEnd"/>
      <w:r w:rsidRPr="00B479AE">
        <w:rPr>
          <w:rFonts w:ascii="Baskerville Old Face" w:hAnsi="Baskerville Old Face"/>
          <w:i/>
          <w:iCs/>
        </w:rPr>
        <w:t xml:space="preserve"> + </w:t>
      </w:r>
      <w:proofErr w:type="spellStart"/>
      <w:r w:rsidRPr="00B479AE">
        <w:rPr>
          <w:rFonts w:ascii="Cambria" w:hAnsi="Cambria" w:cs="Cambria"/>
          <w:i/>
          <w:iCs/>
        </w:rPr>
        <w:t>λ₂</w:t>
      </w:r>
      <w:r w:rsidRPr="00B479AE">
        <w:rPr>
          <w:rFonts w:ascii="Baskerville Old Face" w:hAnsi="Baskerville Old Face"/>
          <w:i/>
          <w:iCs/>
        </w:rPr>
        <w:t>RPI</w:t>
      </w:r>
      <w:proofErr w:type="spellEnd"/>
      <w:r w:rsidRPr="00B479AE">
        <w:rPr>
          <w:rFonts w:ascii="Baskerville Old Face" w:hAnsi="Baskerville Old Face"/>
          <w:i/>
          <w:iCs/>
        </w:rPr>
        <w:t xml:space="preserve"> + </w:t>
      </w:r>
      <w:proofErr w:type="spellStart"/>
      <w:r w:rsidRPr="00B479AE">
        <w:rPr>
          <w:rFonts w:ascii="Cambria" w:hAnsi="Cambria" w:cs="Cambria"/>
          <w:i/>
          <w:iCs/>
        </w:rPr>
        <w:t>λ₃</w:t>
      </w:r>
      <w:r w:rsidRPr="00B479AE">
        <w:rPr>
          <w:rFonts w:ascii="Baskerville Old Face" w:hAnsi="Baskerville Old Face"/>
          <w:i/>
          <w:iCs/>
        </w:rPr>
        <w:t>CESI</w:t>
      </w:r>
      <w:proofErr w:type="spellEnd"/>
      <w:r w:rsidRPr="00B479AE">
        <w:rPr>
          <w:rFonts w:ascii="Baskerville Old Face" w:hAnsi="Baskerville Old Face"/>
          <w:i/>
          <w:iCs/>
        </w:rPr>
        <w:t>)</w:t>
      </w:r>
    </w:p>
    <w:p w14:paraId="502BDC2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verified resilience or systemic-function premiums only where evidence, confidence, methodology, and admissibility support them.</w:t>
      </w:r>
    </w:p>
    <w:p w14:paraId="3DA9D4E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never be used to increase value merely because a system is called regenerative.</w:t>
      </w:r>
    </w:p>
    <w:p w14:paraId="375A859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OHE value should increase only when the MRV layer demonstrates that resilience, water performance, soil function, productivity, and network coordination are improving.</w:t>
      </w:r>
    </w:p>
    <w:p w14:paraId="53168644"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12. Risk Function</w:t>
      </w:r>
    </w:p>
    <w:p w14:paraId="2229C5C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3796474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R = </w:t>
      </w:r>
      <w:proofErr w:type="gramStart"/>
      <w:r w:rsidRPr="00B479AE">
        <w:rPr>
          <w:rFonts w:ascii="Baskerville Old Face" w:hAnsi="Baskerville Old Face"/>
          <w:i/>
          <w:iCs/>
        </w:rPr>
        <w:t>f(</w:t>
      </w:r>
      <w:proofErr w:type="spellStart"/>
      <w:proofErr w:type="gramEnd"/>
      <w:r w:rsidRPr="00B479AE">
        <w:rPr>
          <w:rFonts w:ascii="Cambria" w:hAnsi="Cambria" w:cs="Cambria"/>
          <w:i/>
          <w:iCs/>
        </w:rPr>
        <w:t>σ</w:t>
      </w:r>
      <w:r w:rsidRPr="00B479AE">
        <w:rPr>
          <w:rFonts w:ascii="Baskerville Old Face" w:hAnsi="Baskerville Old Face"/>
          <w:i/>
          <w:iCs/>
        </w:rPr>
        <w:t>_Y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D_inputs</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S_stress</w:t>
      </w:r>
      <w:proofErr w:type="spellEnd"/>
      <w:r w:rsidRPr="00B479AE">
        <w:rPr>
          <w:rFonts w:ascii="Baskerville Old Face" w:hAnsi="Baskerville Old Face"/>
          <w:i/>
          <w:iCs/>
        </w:rPr>
        <w:t>)</w:t>
      </w:r>
    </w:p>
    <w:p w14:paraId="1B3947A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7F7EE233" w14:textId="77777777" w:rsidR="003C487D" w:rsidRPr="00B479AE" w:rsidRDefault="003C487D" w:rsidP="003C487D">
      <w:pPr>
        <w:spacing w:line="360" w:lineRule="auto"/>
        <w:rPr>
          <w:rFonts w:ascii="Baskerville Old Face" w:hAnsi="Baskerville Old Face"/>
          <w:i/>
          <w:iCs/>
        </w:rPr>
      </w:pPr>
      <w:proofErr w:type="spellStart"/>
      <w:r w:rsidRPr="00B479AE">
        <w:rPr>
          <w:rFonts w:ascii="Cambria" w:hAnsi="Cambria" w:cs="Cambria"/>
          <w:i/>
          <w:iCs/>
        </w:rPr>
        <w:t>σ</w:t>
      </w:r>
      <w:r w:rsidRPr="00B479AE">
        <w:rPr>
          <w:rFonts w:ascii="Baskerville Old Face" w:hAnsi="Baskerville Old Face"/>
          <w:i/>
          <w:iCs/>
        </w:rPr>
        <w:t>_Y</w:t>
      </w:r>
      <w:proofErr w:type="spellEnd"/>
      <w:r w:rsidRPr="00B479AE">
        <w:rPr>
          <w:rFonts w:ascii="Baskerville Old Face" w:hAnsi="Baskerville Old Face"/>
          <w:i/>
          <w:iCs/>
        </w:rPr>
        <w:t xml:space="preserve"> = yield or output variance</w:t>
      </w:r>
      <w:r w:rsidRPr="00B479AE">
        <w:rPr>
          <w:rFonts w:ascii="Baskerville Old Face" w:hAnsi="Baskerville Old Face"/>
          <w:i/>
          <w:iCs/>
        </w:rPr>
        <w:br/>
      </w:r>
      <w:proofErr w:type="spellStart"/>
      <w:r w:rsidRPr="00B479AE">
        <w:rPr>
          <w:rFonts w:ascii="Baskerville Old Face" w:hAnsi="Baskerville Old Face"/>
          <w:i/>
          <w:iCs/>
        </w:rPr>
        <w:t>D_inputs</w:t>
      </w:r>
      <w:proofErr w:type="spellEnd"/>
      <w:r w:rsidRPr="00B479AE">
        <w:rPr>
          <w:rFonts w:ascii="Baskerville Old Face" w:hAnsi="Baskerville Old Face"/>
          <w:i/>
          <w:iCs/>
        </w:rPr>
        <w:t xml:space="preserve"> = dependency on external inputs</w:t>
      </w:r>
      <w:r w:rsidRPr="00B479AE">
        <w:rPr>
          <w:rFonts w:ascii="Baskerville Old Face" w:hAnsi="Baskerville Old Face"/>
          <w:i/>
          <w:iCs/>
        </w:rPr>
        <w:br/>
      </w:r>
      <w:proofErr w:type="spellStart"/>
      <w:r w:rsidRPr="00B479AE">
        <w:rPr>
          <w:rFonts w:ascii="Baskerville Old Face" w:hAnsi="Baskerville Old Face"/>
          <w:i/>
          <w:iCs/>
        </w:rPr>
        <w:t>S_stress</w:t>
      </w:r>
      <w:proofErr w:type="spellEnd"/>
      <w:r w:rsidRPr="00B479AE">
        <w:rPr>
          <w:rFonts w:ascii="Baskerville Old Face" w:hAnsi="Baskerville Old Face"/>
          <w:i/>
          <w:iCs/>
        </w:rPr>
        <w:t xml:space="preserve"> = sensitivity to drought, disease, heat, salinity, pest pressure, or disturbance</w:t>
      </w:r>
    </w:p>
    <w:p w14:paraId="41B8CD7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the main risk dimensions of a regenerative productive system.</w:t>
      </w:r>
    </w:p>
    <w:p w14:paraId="69B0242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should be preserved because it creates the bridge between ecological intelligence and underwriting logic.</w:t>
      </w:r>
    </w:p>
    <w:p w14:paraId="75A5C532"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13. Risk-Compression Derivatives</w:t>
      </w:r>
    </w:p>
    <w:p w14:paraId="738AFE0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364158B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∂R / ∂SRI &lt; 0</w:t>
      </w:r>
    </w:p>
    <w:p w14:paraId="03F4770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∂R / ∂RPI &lt; 0</w:t>
      </w:r>
    </w:p>
    <w:p w14:paraId="5486797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∂R / ∂CESI &lt; 0</w:t>
      </w:r>
    </w:p>
    <w:p w14:paraId="45EEC01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express the hypothesis that verified resilience, regenerative productivity, and cooperative surplus may reduce specific risk factors over time.</w:t>
      </w:r>
    </w:p>
    <w:p w14:paraId="734C27D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are not guarantees.</w:t>
      </w:r>
    </w:p>
    <w:p w14:paraId="4BA15C1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are risk-compression hypotheses that must be supported by evidence, time-series observation, MRV confidence, and review.</w:t>
      </w:r>
    </w:p>
    <w:p w14:paraId="26690345"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14. Discount-Rate Adjustment</w:t>
      </w:r>
    </w:p>
    <w:p w14:paraId="25AF3A9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4E66B7F9"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r_adj</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r_base</w:t>
      </w:r>
      <w:proofErr w:type="spellEnd"/>
      <w:r w:rsidRPr="00B479AE">
        <w:rPr>
          <w:rFonts w:ascii="Baskerville Old Face" w:hAnsi="Baskerville Old Face"/>
          <w:i/>
          <w:iCs/>
        </w:rPr>
        <w:t xml:space="preserve"> - </w:t>
      </w:r>
      <w:r w:rsidRPr="00B479AE">
        <w:rPr>
          <w:rFonts w:ascii="Cambria" w:hAnsi="Cambria" w:cs="Cambria"/>
          <w:i/>
          <w:iCs/>
        </w:rPr>
        <w:t>α</w:t>
      </w:r>
      <w:r w:rsidRPr="00B479AE">
        <w:rPr>
          <w:rFonts w:ascii="Baskerville Old Face" w:hAnsi="Baskerville Old Face"/>
          <w:i/>
          <w:iCs/>
        </w:rPr>
        <w:t xml:space="preserve">SRI - </w:t>
      </w:r>
      <w:r w:rsidRPr="00B479AE">
        <w:rPr>
          <w:rFonts w:ascii="Cambria" w:hAnsi="Cambria" w:cs="Cambria"/>
          <w:i/>
          <w:iCs/>
        </w:rPr>
        <w:t>β</w:t>
      </w:r>
      <w:r w:rsidRPr="00B479AE">
        <w:rPr>
          <w:rFonts w:ascii="Baskerville Old Face" w:hAnsi="Baskerville Old Face"/>
          <w:i/>
          <w:iCs/>
        </w:rPr>
        <w:t xml:space="preserve">RPI - </w:t>
      </w:r>
      <w:proofErr w:type="spellStart"/>
      <w:r w:rsidRPr="00B479AE">
        <w:rPr>
          <w:rFonts w:ascii="Cambria" w:hAnsi="Cambria" w:cs="Cambria"/>
          <w:i/>
          <w:iCs/>
        </w:rPr>
        <w:t>γ</w:t>
      </w:r>
      <w:r w:rsidRPr="00B479AE">
        <w:rPr>
          <w:rFonts w:ascii="Baskerville Old Face" w:hAnsi="Baskerville Old Face"/>
          <w:i/>
          <w:iCs/>
        </w:rPr>
        <w:t>CESI</w:t>
      </w:r>
      <w:proofErr w:type="spellEnd"/>
      <w:r w:rsidRPr="00B479AE">
        <w:rPr>
          <w:rFonts w:ascii="Baskerville Old Face" w:hAnsi="Baskerville Old Face"/>
          <w:i/>
          <w:iCs/>
        </w:rPr>
        <w:t xml:space="preserve"> + </w:t>
      </w:r>
      <w:proofErr w:type="spellStart"/>
      <w:r w:rsidRPr="00B479AE">
        <w:rPr>
          <w:rFonts w:ascii="Cambria" w:hAnsi="Cambria" w:cs="Cambria"/>
          <w:i/>
          <w:iCs/>
        </w:rPr>
        <w:t>δ</w:t>
      </w:r>
      <w:r w:rsidRPr="00B479AE">
        <w:rPr>
          <w:rFonts w:ascii="Baskerville Old Face" w:hAnsi="Baskerville Old Face"/>
          <w:i/>
          <w:iCs/>
        </w:rPr>
        <w:t>R_residual</w:t>
      </w:r>
      <w:proofErr w:type="spellEnd"/>
    </w:p>
    <w:p w14:paraId="55ACA97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5BEF1F0A"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r_base</w:t>
      </w:r>
      <w:proofErr w:type="spellEnd"/>
      <w:r w:rsidRPr="00B479AE">
        <w:rPr>
          <w:rFonts w:ascii="Baskerville Old Face" w:hAnsi="Baskerville Old Face"/>
          <w:i/>
          <w:iCs/>
        </w:rPr>
        <w:t xml:space="preserve"> = baseline discount rate</w:t>
      </w:r>
      <w:r w:rsidRPr="00B479AE">
        <w:rPr>
          <w:rFonts w:ascii="Baskerville Old Face" w:hAnsi="Baskerville Old Face"/>
          <w:i/>
          <w:iCs/>
        </w:rPr>
        <w:br/>
      </w:r>
      <w:r w:rsidRPr="00B479AE">
        <w:rPr>
          <w:rFonts w:ascii="Cambria" w:hAnsi="Cambria" w:cs="Cambria"/>
          <w:i/>
          <w:iCs/>
        </w:rPr>
        <w:t>α</w:t>
      </w:r>
      <w:r w:rsidRPr="00B479AE">
        <w:rPr>
          <w:rFonts w:ascii="Baskerville Old Face" w:hAnsi="Baskerville Old Face"/>
          <w:i/>
          <w:iCs/>
        </w:rPr>
        <w:t xml:space="preserve">, </w:t>
      </w:r>
      <w:r w:rsidRPr="00B479AE">
        <w:rPr>
          <w:rFonts w:ascii="Cambria" w:hAnsi="Cambria" w:cs="Cambria"/>
          <w:i/>
          <w:iCs/>
        </w:rPr>
        <w:t>β</w:t>
      </w:r>
      <w:r w:rsidRPr="00B479AE">
        <w:rPr>
          <w:rFonts w:ascii="Baskerville Old Face" w:hAnsi="Baskerville Old Face"/>
          <w:i/>
          <w:iCs/>
        </w:rPr>
        <w:t xml:space="preserve">, </w:t>
      </w:r>
      <w:r w:rsidRPr="00B479AE">
        <w:rPr>
          <w:rFonts w:ascii="Cambria" w:hAnsi="Cambria" w:cs="Cambria"/>
          <w:i/>
          <w:iCs/>
        </w:rPr>
        <w:t>γ</w:t>
      </w:r>
      <w:r w:rsidRPr="00B479AE">
        <w:rPr>
          <w:rFonts w:ascii="Baskerville Old Face" w:hAnsi="Baskerville Old Face"/>
          <w:i/>
          <w:iCs/>
        </w:rPr>
        <w:t xml:space="preserve"> = methodology-defined adjustment coefficients</w:t>
      </w:r>
      <w:r w:rsidRPr="00B479AE">
        <w:rPr>
          <w:rFonts w:ascii="Baskerville Old Face" w:hAnsi="Baskerville Old Face"/>
          <w:i/>
          <w:iCs/>
        </w:rPr>
        <w:br/>
      </w:r>
      <w:proofErr w:type="spellStart"/>
      <w:r w:rsidRPr="00B479AE">
        <w:rPr>
          <w:rFonts w:ascii="Baskerville Old Face" w:hAnsi="Baskerville Old Face"/>
          <w:i/>
          <w:iCs/>
        </w:rPr>
        <w:t>R_residual</w:t>
      </w:r>
      <w:proofErr w:type="spellEnd"/>
      <w:r w:rsidRPr="00B479AE">
        <w:rPr>
          <w:rFonts w:ascii="Baskerville Old Face" w:hAnsi="Baskerville Old Face"/>
          <w:i/>
          <w:iCs/>
        </w:rPr>
        <w:t xml:space="preserve"> = residual risk factor</w:t>
      </w:r>
      <w:r w:rsidRPr="00B479AE">
        <w:rPr>
          <w:rFonts w:ascii="Baskerville Old Face" w:hAnsi="Baskerville Old Face"/>
          <w:i/>
          <w:iCs/>
        </w:rPr>
        <w:br/>
      </w:r>
      <w:r w:rsidRPr="00B479AE">
        <w:rPr>
          <w:rFonts w:ascii="Cambria" w:hAnsi="Cambria" w:cs="Cambria"/>
          <w:i/>
          <w:iCs/>
        </w:rPr>
        <w:t>δ</w:t>
      </w:r>
      <w:r w:rsidRPr="00B479AE">
        <w:rPr>
          <w:rFonts w:ascii="Baskerville Old Face" w:hAnsi="Baskerville Old Face"/>
          <w:i/>
          <w:iCs/>
        </w:rPr>
        <w:t xml:space="preserve"> = residual-risk coefficient</w:t>
      </w:r>
    </w:p>
    <w:p w14:paraId="7F869B6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may be used only in investor-model scenarios.</w:t>
      </w:r>
    </w:p>
    <w:p w14:paraId="6A05617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does not create automatic valuation authority.</w:t>
      </w:r>
    </w:p>
    <w:p w14:paraId="6B77F26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assumption is that verified resilience, stability, and cooperative surplus may improve predictability, while residual risk preserves conservatism.</w:t>
      </w:r>
    </w:p>
    <w:p w14:paraId="739B6F1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A lower discount rate is not earned by narrative.</w:t>
      </w:r>
    </w:p>
    <w:p w14:paraId="2D02F57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earned, if at all, by verified risk compression.</w:t>
      </w:r>
    </w:p>
    <w:p w14:paraId="5764D18D"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15. Cash-Flow Dynamics</w:t>
      </w:r>
    </w:p>
    <w:p w14:paraId="51C7EFB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7E43B24A"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CF_t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Rev_t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Opex_t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Capex_t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Reserves_t</w:t>
      </w:r>
      <w:proofErr w:type="spellEnd"/>
    </w:p>
    <w:p w14:paraId="061BC24A"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Rev_t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Rev_</w:t>
      </w:r>
      <w:proofErr w:type="gramStart"/>
      <w:r w:rsidRPr="00B479AE">
        <w:rPr>
          <w:rFonts w:ascii="Baskerville Old Face" w:hAnsi="Baskerville Old Face"/>
          <w:i/>
          <w:iCs/>
        </w:rPr>
        <w:t>prod,t</w:t>
      </w:r>
      <w:proofErr w:type="spellEnd"/>
      <w:proofErr w:type="gramEnd"/>
      <w:r w:rsidRPr="00B479AE">
        <w:rPr>
          <w:rFonts w:ascii="Baskerville Old Face" w:hAnsi="Baskerville Old Face"/>
          <w:i/>
          <w:iCs/>
        </w:rPr>
        <w:t xml:space="preserve"> + </w:t>
      </w:r>
      <w:proofErr w:type="spellStart"/>
      <w:r w:rsidRPr="00B479AE">
        <w:rPr>
          <w:rFonts w:ascii="Baskerville Old Face" w:hAnsi="Baskerville Old Face"/>
          <w:i/>
          <w:iCs/>
        </w:rPr>
        <w:t>Rev_</w:t>
      </w:r>
      <w:proofErr w:type="gramStart"/>
      <w:r w:rsidRPr="00B479AE">
        <w:rPr>
          <w:rFonts w:ascii="Baskerville Old Face" w:hAnsi="Baskerville Old Face"/>
          <w:i/>
          <w:iCs/>
        </w:rPr>
        <w:t>services,t</w:t>
      </w:r>
      <w:proofErr w:type="spellEnd"/>
      <w:proofErr w:type="gramEnd"/>
      <w:r w:rsidRPr="00B479AE">
        <w:rPr>
          <w:rFonts w:ascii="Baskerville Old Face" w:hAnsi="Baskerville Old Face"/>
          <w:i/>
          <w:iCs/>
        </w:rPr>
        <w:t xml:space="preserve"> + </w:t>
      </w:r>
      <w:proofErr w:type="spellStart"/>
      <w:r w:rsidRPr="00B479AE">
        <w:rPr>
          <w:rFonts w:ascii="Baskerville Old Face" w:hAnsi="Baskerville Old Face"/>
          <w:i/>
          <w:iCs/>
        </w:rPr>
        <w:t>Rev_</w:t>
      </w:r>
      <w:proofErr w:type="gramStart"/>
      <w:r w:rsidRPr="00B479AE">
        <w:rPr>
          <w:rFonts w:ascii="Baskerville Old Face" w:hAnsi="Baskerville Old Face"/>
          <w:i/>
          <w:iCs/>
        </w:rPr>
        <w:t>contractual,t</w:t>
      </w:r>
      <w:proofErr w:type="spellEnd"/>
      <w:proofErr w:type="gramEnd"/>
    </w:p>
    <w:p w14:paraId="71F938A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00FFE346"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Rev_</w:t>
      </w:r>
      <w:proofErr w:type="gramStart"/>
      <w:r w:rsidRPr="00B479AE">
        <w:rPr>
          <w:rFonts w:ascii="Baskerville Old Face" w:hAnsi="Baskerville Old Face"/>
          <w:i/>
          <w:iCs/>
        </w:rPr>
        <w:t>prod,t</w:t>
      </w:r>
      <w:proofErr w:type="spellEnd"/>
      <w:proofErr w:type="gramEnd"/>
      <w:r w:rsidRPr="00B479AE">
        <w:rPr>
          <w:rFonts w:ascii="Baskerville Old Face" w:hAnsi="Baskerville Old Face"/>
          <w:i/>
          <w:iCs/>
        </w:rPr>
        <w:t xml:space="preserve"> = productive revenue</w:t>
      </w:r>
      <w:r w:rsidRPr="00B479AE">
        <w:rPr>
          <w:rFonts w:ascii="Baskerville Old Face" w:hAnsi="Baskerville Old Face"/>
          <w:i/>
          <w:iCs/>
        </w:rPr>
        <w:br/>
      </w:r>
      <w:proofErr w:type="spellStart"/>
      <w:r w:rsidRPr="00B479AE">
        <w:rPr>
          <w:rFonts w:ascii="Baskerville Old Face" w:hAnsi="Baskerville Old Face"/>
          <w:i/>
          <w:iCs/>
        </w:rPr>
        <w:t>Rev_</w:t>
      </w:r>
      <w:proofErr w:type="gramStart"/>
      <w:r w:rsidRPr="00B479AE">
        <w:rPr>
          <w:rFonts w:ascii="Baskerville Old Face" w:hAnsi="Baskerville Old Face"/>
          <w:i/>
          <w:iCs/>
        </w:rPr>
        <w:t>services,t</w:t>
      </w:r>
      <w:proofErr w:type="spellEnd"/>
      <w:proofErr w:type="gramEnd"/>
      <w:r w:rsidRPr="00B479AE">
        <w:rPr>
          <w:rFonts w:ascii="Baskerville Old Face" w:hAnsi="Baskerville Old Face"/>
          <w:i/>
          <w:iCs/>
        </w:rPr>
        <w:t xml:space="preserve"> = service, education, hospitality, or experience revenue</w:t>
      </w:r>
      <w:r w:rsidRPr="00B479AE">
        <w:rPr>
          <w:rFonts w:ascii="Baskerville Old Face" w:hAnsi="Baskerville Old Face"/>
          <w:i/>
          <w:iCs/>
        </w:rPr>
        <w:br/>
      </w:r>
      <w:proofErr w:type="spellStart"/>
      <w:r w:rsidRPr="00B479AE">
        <w:rPr>
          <w:rFonts w:ascii="Baskerville Old Face" w:hAnsi="Baskerville Old Face"/>
          <w:i/>
          <w:iCs/>
        </w:rPr>
        <w:t>Rev_</w:t>
      </w:r>
      <w:proofErr w:type="gramStart"/>
      <w:r w:rsidRPr="00B479AE">
        <w:rPr>
          <w:rFonts w:ascii="Baskerville Old Face" w:hAnsi="Baskerville Old Face"/>
          <w:i/>
          <w:iCs/>
        </w:rPr>
        <w:t>contractual,t</w:t>
      </w:r>
      <w:proofErr w:type="spellEnd"/>
      <w:proofErr w:type="gramEnd"/>
      <w:r w:rsidRPr="00B479AE">
        <w:rPr>
          <w:rFonts w:ascii="Baskerville Old Face" w:hAnsi="Baskerville Old Face"/>
          <w:i/>
          <w:iCs/>
        </w:rPr>
        <w:t xml:space="preserve"> = contractually defined revenue, if any</w:t>
      </w:r>
    </w:p>
    <w:p w14:paraId="73BE9E5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Cash-flow logic must remain separate from ecological value logic.</w:t>
      </w:r>
    </w:p>
    <w:p w14:paraId="72CC518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Ecological improvement may support value, but base-case financial modeling should remain anchored in actual or contractually defensible cash flows.</w:t>
      </w:r>
    </w:p>
    <w:p w14:paraId="235FC39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PRU-related ecological value should not inflate cash flows unless there is a recognized, evidenced, and legally structured revenue pathway.</w:t>
      </w:r>
    </w:p>
    <w:p w14:paraId="0B7C9EE9"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16. Risk-Adjusted IRR</w:t>
      </w:r>
    </w:p>
    <w:p w14:paraId="46E8FBE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7313B928"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IRR_adj</w:t>
      </w:r>
      <w:proofErr w:type="spellEnd"/>
      <w:r w:rsidRPr="00B479AE">
        <w:rPr>
          <w:rFonts w:ascii="Baskerville Old Face" w:hAnsi="Baskerville Old Face"/>
          <w:i/>
          <w:iCs/>
        </w:rPr>
        <w:t xml:space="preserve"> = IRR(</w:t>
      </w:r>
      <w:proofErr w:type="spellStart"/>
      <w:r w:rsidRPr="00B479AE">
        <w:rPr>
          <w:rFonts w:ascii="Baskerville Old Face" w:hAnsi="Baskerville Old Face"/>
          <w:i/>
          <w:iCs/>
        </w:rPr>
        <w:t>CF_adj</w:t>
      </w:r>
      <w:proofErr w:type="spellEnd"/>
      <w:r w:rsidRPr="00B479AE">
        <w:rPr>
          <w:rFonts w:ascii="Baskerville Old Face" w:hAnsi="Baskerville Old Face"/>
          <w:i/>
          <w:iCs/>
        </w:rPr>
        <w:t>)</w:t>
      </w:r>
    </w:p>
    <w:p w14:paraId="56B32C3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32B511FA"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CF_adj</w:t>
      </w:r>
      <w:proofErr w:type="spellEnd"/>
      <w:r w:rsidRPr="00B479AE">
        <w:rPr>
          <w:rFonts w:ascii="Baskerville Old Face" w:hAnsi="Baskerville Old Face"/>
          <w:i/>
          <w:iCs/>
        </w:rPr>
        <w:t xml:space="preserve"> = confidence-adjusted and risk-adjusted cash-flow scenario</w:t>
      </w:r>
    </w:p>
    <w:p w14:paraId="677F7A4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use of risk-adjusted IRR is valid only if:</w:t>
      </w:r>
    </w:p>
    <w:p w14:paraId="208333E3"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MRV_verified</w:t>
      </w:r>
      <w:proofErr w:type="spellEnd"/>
      <w:r w:rsidRPr="00B479AE">
        <w:rPr>
          <w:rFonts w:ascii="Baskerville Old Face" w:hAnsi="Baskerville Old Face"/>
          <w:i/>
          <w:iCs/>
        </w:rPr>
        <w:t xml:space="preserve"> = true</w:t>
      </w:r>
      <w:r w:rsidRPr="00B479AE">
        <w:rPr>
          <w:rFonts w:ascii="Baskerville Old Face" w:hAnsi="Baskerville Old Face"/>
          <w:i/>
          <w:iCs/>
        </w:rPr>
        <w:br/>
      </w:r>
      <w:proofErr w:type="spellStart"/>
      <w:r w:rsidRPr="00B479AE">
        <w:rPr>
          <w:rFonts w:ascii="Baskerville Old Face" w:hAnsi="Baskerville Old Face"/>
          <w:i/>
          <w:iCs/>
        </w:rPr>
        <w:t>Admissibility_satisfied</w:t>
      </w:r>
      <w:proofErr w:type="spellEnd"/>
      <w:r w:rsidRPr="00B479AE">
        <w:rPr>
          <w:rFonts w:ascii="Baskerville Old Face" w:hAnsi="Baskerville Old Face"/>
          <w:i/>
          <w:iCs/>
        </w:rPr>
        <w:t xml:space="preserve"> = true</w:t>
      </w:r>
      <w:r w:rsidRPr="00B479AE">
        <w:rPr>
          <w:rFonts w:ascii="Baskerville Old Face" w:hAnsi="Baskerville Old Face"/>
          <w:i/>
          <w:iCs/>
        </w:rPr>
        <w:br/>
      </w:r>
      <w:proofErr w:type="spellStart"/>
      <w:r w:rsidRPr="00B479AE">
        <w:rPr>
          <w:rFonts w:ascii="Baskerville Old Face" w:hAnsi="Baskerville Old Face"/>
          <w:i/>
          <w:iCs/>
        </w:rPr>
        <w:lastRenderedPageBreak/>
        <w:t>Legal_structure_reviewed</w:t>
      </w:r>
      <w:proofErr w:type="spellEnd"/>
      <w:r w:rsidRPr="00B479AE">
        <w:rPr>
          <w:rFonts w:ascii="Baskerville Old Face" w:hAnsi="Baskerville Old Face"/>
          <w:i/>
          <w:iCs/>
        </w:rPr>
        <w:t xml:space="preserve"> = true</w:t>
      </w:r>
      <w:r w:rsidRPr="00B479AE">
        <w:rPr>
          <w:rFonts w:ascii="Baskerville Old Face" w:hAnsi="Baskerville Old Face"/>
          <w:i/>
          <w:iCs/>
        </w:rPr>
        <w:br/>
      </w:r>
      <w:proofErr w:type="spellStart"/>
      <w:r w:rsidRPr="00B479AE">
        <w:rPr>
          <w:rFonts w:ascii="Baskerville Old Face" w:hAnsi="Baskerville Old Face"/>
          <w:i/>
          <w:iCs/>
        </w:rPr>
        <w:t>Investor_disclosure_complete</w:t>
      </w:r>
      <w:proofErr w:type="spellEnd"/>
      <w:r w:rsidRPr="00B479AE">
        <w:rPr>
          <w:rFonts w:ascii="Baskerville Old Face" w:hAnsi="Baskerville Old Face"/>
          <w:i/>
          <w:iCs/>
        </w:rPr>
        <w:t xml:space="preserve"> = true</w:t>
      </w:r>
    </w:p>
    <w:p w14:paraId="646A5E7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Risk-adjusted IRR is an investor-model scenario.</w:t>
      </w:r>
    </w:p>
    <w:p w14:paraId="5FB79EC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not a promised return.</w:t>
      </w:r>
    </w:p>
    <w:p w14:paraId="2253091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not a guarantee.</w:t>
      </w:r>
    </w:p>
    <w:p w14:paraId="668FA3A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not a public offering.</w:t>
      </w:r>
    </w:p>
    <w:p w14:paraId="2F86D6C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is not a regulated rating.</w:t>
      </w:r>
    </w:p>
    <w:p w14:paraId="62EB3DB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becomes usable only inside a legally reviewed financial model with transparent assumptions.</w:t>
      </w:r>
    </w:p>
    <w:p w14:paraId="625B16CD"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17. Time-Positive Asset Dynamics</w:t>
      </w:r>
    </w:p>
    <w:p w14:paraId="5B869AF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55F34C5E"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dV</w:t>
      </w:r>
      <w:proofErr w:type="spellEnd"/>
      <w:r w:rsidRPr="00B479AE">
        <w:rPr>
          <w:rFonts w:ascii="Baskerville Old Face" w:hAnsi="Baskerville Old Face"/>
          <w:i/>
          <w:iCs/>
        </w:rPr>
        <w:t xml:space="preserve"> / dt &gt; 0</w:t>
      </w:r>
    </w:p>
    <w:p w14:paraId="71C5A82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conditional time-positive value formation under verified regenerative maturation.</w:t>
      </w:r>
    </w:p>
    <w:p w14:paraId="46D109F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does not imply automatic appreciation.</w:t>
      </w:r>
    </w:p>
    <w:p w14:paraId="5C77C68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condition may hold only where:</w:t>
      </w:r>
    </w:p>
    <w:p w14:paraId="7A092B8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soil function improves;</w:t>
      </w:r>
      <w:r w:rsidRPr="00B479AE">
        <w:rPr>
          <w:rFonts w:ascii="Baskerville Old Face" w:hAnsi="Baskerville Old Face"/>
          <w:i/>
          <w:iCs/>
        </w:rPr>
        <w:br/>
        <w:t>water retention increases;</w:t>
      </w:r>
      <w:r w:rsidRPr="00B479AE">
        <w:rPr>
          <w:rFonts w:ascii="Baskerville Old Face" w:hAnsi="Baskerville Old Face"/>
          <w:i/>
          <w:iCs/>
        </w:rPr>
        <w:br/>
        <w:t>network connectivity strengthens;</w:t>
      </w:r>
      <w:r w:rsidRPr="00B479AE">
        <w:rPr>
          <w:rFonts w:ascii="Baskerville Old Face" w:hAnsi="Baskerville Old Face"/>
          <w:i/>
          <w:iCs/>
        </w:rPr>
        <w:br/>
        <w:t>biological cooperation intensifies;</w:t>
      </w:r>
      <w:r w:rsidRPr="00B479AE">
        <w:rPr>
          <w:rFonts w:ascii="Baskerville Old Face" w:hAnsi="Baskerville Old Face"/>
          <w:i/>
          <w:iCs/>
        </w:rPr>
        <w:br/>
        <w:t>yield variance decreases;</w:t>
      </w:r>
      <w:r w:rsidRPr="00B479AE">
        <w:rPr>
          <w:rFonts w:ascii="Baskerville Old Face" w:hAnsi="Baskerville Old Face"/>
          <w:i/>
          <w:iCs/>
        </w:rPr>
        <w:br/>
        <w:t>input dependency declines;</w:t>
      </w:r>
      <w:r w:rsidRPr="00B479AE">
        <w:rPr>
          <w:rFonts w:ascii="Baskerville Old Face" w:hAnsi="Baskerville Old Face"/>
          <w:i/>
          <w:iCs/>
        </w:rPr>
        <w:br/>
        <w:t>MRV confidence improves;</w:t>
      </w:r>
      <w:r w:rsidRPr="00B479AE">
        <w:rPr>
          <w:rFonts w:ascii="Baskerville Old Face" w:hAnsi="Baskerville Old Face"/>
          <w:i/>
          <w:iCs/>
        </w:rPr>
        <w:br/>
        <w:t>operational knowledge accumulates;</w:t>
      </w:r>
      <w:r w:rsidRPr="00B479AE">
        <w:rPr>
          <w:rFonts w:ascii="Baskerville Old Face" w:hAnsi="Baskerville Old Face"/>
          <w:i/>
          <w:iCs/>
        </w:rPr>
        <w:br/>
        <w:t>governance maturity increases;</w:t>
      </w:r>
      <w:r w:rsidRPr="00B479AE">
        <w:rPr>
          <w:rFonts w:ascii="Baskerville Old Face" w:hAnsi="Baskerville Old Face"/>
          <w:i/>
          <w:iCs/>
        </w:rPr>
        <w:br/>
        <w:t>legal readability improves.</w:t>
      </w:r>
    </w:p>
    <w:p w14:paraId="4CD789C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Prometheus does not claim that time alone creates value.</w:t>
      </w:r>
    </w:p>
    <w:p w14:paraId="03CD3F8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claims that verified regenerative maturation may improve value quality over time.</w:t>
      </w:r>
    </w:p>
    <w:p w14:paraId="66F0A6F3"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18. Ecological Graph Model</w:t>
      </w:r>
    </w:p>
    <w:p w14:paraId="39419B1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24E84B0E" w14:textId="77777777" w:rsidR="003C487D" w:rsidRPr="005907F1" w:rsidRDefault="003C487D" w:rsidP="003C487D">
      <w:pPr>
        <w:spacing w:line="360" w:lineRule="auto"/>
        <w:rPr>
          <w:rFonts w:ascii="Baskerville Old Face" w:hAnsi="Baskerville Old Face"/>
          <w:i/>
          <w:iCs/>
          <w:lang w:val="it-IT"/>
        </w:rPr>
      </w:pPr>
      <w:r w:rsidRPr="005907F1">
        <w:rPr>
          <w:rFonts w:ascii="Baskerville Old Face" w:hAnsi="Baskerville Old Face"/>
          <w:i/>
          <w:iCs/>
          <w:lang w:val="it-IT"/>
        </w:rPr>
        <w:t xml:space="preserve">G = (V, </w:t>
      </w:r>
      <w:proofErr w:type="spellStart"/>
      <w:r w:rsidRPr="005907F1">
        <w:rPr>
          <w:rFonts w:ascii="Baskerville Old Face" w:hAnsi="Baskerville Old Face"/>
          <w:i/>
          <w:iCs/>
          <w:lang w:val="it-IT"/>
        </w:rPr>
        <w:t>E_air</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E_root</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E_fungal</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E_met</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E_soil</w:t>
      </w:r>
      <w:proofErr w:type="spellEnd"/>
      <w:r w:rsidRPr="005907F1">
        <w:rPr>
          <w:rFonts w:ascii="Baskerville Old Face" w:hAnsi="Baskerville Old Face"/>
          <w:i/>
          <w:iCs/>
          <w:lang w:val="it-IT"/>
        </w:rPr>
        <w:t>)</w:t>
      </w:r>
    </w:p>
    <w:p w14:paraId="7E940F4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a core scientific-modeling structure for multilayer syntropic ecological intelligence.</w:t>
      </w:r>
    </w:p>
    <w:p w14:paraId="111C1E8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represents the system as a graph of living nodes and ecological interactions.</w:t>
      </w:r>
    </w:p>
    <w:p w14:paraId="7ECB9F7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supports the transition from descriptive agroecology to formal ecological intelligence.</w:t>
      </w:r>
    </w:p>
    <w:p w14:paraId="0D42BFDD"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19. Node State Vector</w:t>
      </w:r>
    </w:p>
    <w:p w14:paraId="54C73A6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expression is protected:</w:t>
      </w:r>
    </w:p>
    <w:p w14:paraId="7A1784CF"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X_i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N_i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M_i^prim</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M_i^sec</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R_i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F_i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r w:rsidRPr="00B479AE">
        <w:rPr>
          <w:rFonts w:ascii="Cambria" w:hAnsi="Cambria" w:cs="Cambria"/>
          <w:i/>
          <w:iCs/>
        </w:rPr>
        <w:t>μ</w:t>
      </w:r>
      <w:r w:rsidRPr="005907F1">
        <w:rPr>
          <w:rFonts w:ascii="Baskerville Old Face" w:hAnsi="Baskerville Old Face"/>
          <w:i/>
          <w:iCs/>
          <w:lang w:val="it-IT"/>
        </w:rPr>
        <w:t xml:space="preserve">_i, </w:t>
      </w:r>
      <w:r w:rsidRPr="00B479AE">
        <w:rPr>
          <w:rFonts w:ascii="Cambria" w:hAnsi="Cambria" w:cs="Cambria"/>
          <w:i/>
          <w:iCs/>
        </w:rPr>
        <w:t>Θ</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S_i</w:t>
      </w:r>
      <w:proofErr w:type="spellEnd"/>
      <w:r w:rsidRPr="005907F1">
        <w:rPr>
          <w:rFonts w:ascii="Baskerville Old Face" w:hAnsi="Baskerville Old Face"/>
          <w:i/>
          <w:iCs/>
          <w:lang w:val="it-IT"/>
        </w:rPr>
        <w:t>}</w:t>
      </w:r>
    </w:p>
    <w:p w14:paraId="734EF6C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a protected representation of node-level ecological state.</w:t>
      </w:r>
    </w:p>
    <w:p w14:paraId="375E1A9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may include water status, nutrients, carbon, primary metabolites, secondary metabolites, root architecture, fungal connectivity, organic matter, soil fauna, microbial intensity, mineral balance, and successional stage.</w:t>
      </w:r>
    </w:p>
    <w:p w14:paraId="302FEFA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vector should be preserved because it creates the basis for modeling each plant, soil patch, or ecological unit as a living informational node.</w:t>
      </w:r>
    </w:p>
    <w:p w14:paraId="18CF54C4"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20. Mycorrhizal Adjacency</w:t>
      </w:r>
    </w:p>
    <w:p w14:paraId="64F3A7D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727AA544"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A_ij^fung</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spellStart"/>
      <w:proofErr w:type="gramEnd"/>
      <w:r w:rsidRPr="00B479AE">
        <w:rPr>
          <w:rFonts w:ascii="Baskerville Old Face" w:hAnsi="Baskerville Old Face"/>
          <w:i/>
          <w:iCs/>
        </w:rPr>
        <w:t>F_ij</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d_ij</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S_i</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S_j</w:t>
      </w:r>
      <w:proofErr w:type="spellEnd"/>
      <w:r w:rsidRPr="00B479AE">
        <w:rPr>
          <w:rFonts w:ascii="Baskerville Old Face" w:hAnsi="Baskerville Old Face"/>
          <w:i/>
          <w:iCs/>
        </w:rPr>
        <w:t xml:space="preserve">, </w:t>
      </w:r>
      <w:proofErr w:type="spellStart"/>
      <w:r w:rsidRPr="00B479AE">
        <w:rPr>
          <w:rFonts w:ascii="Cambria" w:hAnsi="Cambria" w:cs="Cambria"/>
          <w:i/>
          <w:iCs/>
        </w:rPr>
        <w:t>κ</w:t>
      </w:r>
      <w:r w:rsidRPr="00B479AE">
        <w:rPr>
          <w:rFonts w:ascii="Baskerville Old Face" w:hAnsi="Baskerville Old Face"/>
          <w:i/>
          <w:iCs/>
        </w:rPr>
        <w:t>_ij</w:t>
      </w:r>
      <w:proofErr w:type="spellEnd"/>
      <w:r w:rsidRPr="00B479AE">
        <w:rPr>
          <w:rFonts w:ascii="Baskerville Old Face" w:hAnsi="Baskerville Old Face"/>
          <w:i/>
          <w:iCs/>
        </w:rPr>
        <w:t>)</w:t>
      </w:r>
    </w:p>
    <w:p w14:paraId="66230A7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fungal connectivity, distance, successional stage, and ecological compatibility.</w:t>
      </w:r>
    </w:p>
    <w:p w14:paraId="6954DB9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allows Prometheus to model fungal relationships as part of system intelligence.</w:t>
      </w:r>
    </w:p>
    <w:p w14:paraId="7778BBF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is conceptual and methodological, not a claim of perfect underground measurement.</w:t>
      </w:r>
    </w:p>
    <w:p w14:paraId="0298A318"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21. Biochemical Adjacency</w:t>
      </w:r>
    </w:p>
    <w:p w14:paraId="34B579C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310CB722"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A_ij^met</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g(</w:t>
      </w:r>
      <w:proofErr w:type="spellStart"/>
      <w:proofErr w:type="gramEnd"/>
      <w:r w:rsidRPr="00B479AE">
        <w:rPr>
          <w:rFonts w:ascii="Baskerville Old Face" w:hAnsi="Baskerville Old Face"/>
          <w:i/>
          <w:iCs/>
        </w:rPr>
        <w:t>M_i^sec</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d_ij</w:t>
      </w:r>
      <w:proofErr w:type="spellEnd"/>
      <w:r w:rsidRPr="00B479AE">
        <w:rPr>
          <w:rFonts w:ascii="Baskerville Old Face" w:hAnsi="Baskerville Old Face"/>
          <w:i/>
          <w:iCs/>
        </w:rPr>
        <w:t xml:space="preserve">, </w:t>
      </w:r>
      <w:proofErr w:type="spellStart"/>
      <w:r w:rsidRPr="00B479AE">
        <w:rPr>
          <w:rFonts w:ascii="Cambria" w:hAnsi="Cambria" w:cs="Cambria"/>
          <w:i/>
          <w:iCs/>
        </w:rPr>
        <w:t>η</w:t>
      </w:r>
      <w:r w:rsidRPr="00B479AE">
        <w:rPr>
          <w:rFonts w:ascii="Baskerville Old Face" w:hAnsi="Baskerville Old Face"/>
          <w:i/>
          <w:iCs/>
        </w:rPr>
        <w:t>_ij</w:t>
      </w:r>
      <w:proofErr w:type="spellEnd"/>
      <w:r w:rsidRPr="00B479AE">
        <w:rPr>
          <w:rFonts w:ascii="Baskerville Old Face" w:hAnsi="Baskerville Old Face"/>
          <w:i/>
          <w:iCs/>
        </w:rPr>
        <w:t xml:space="preserve">, </w:t>
      </w:r>
      <w:proofErr w:type="spellStart"/>
      <w:r w:rsidRPr="00B479AE">
        <w:rPr>
          <w:rFonts w:ascii="Cambria" w:hAnsi="Cambria" w:cs="Cambria"/>
          <w:i/>
          <w:iCs/>
        </w:rPr>
        <w:t>φ</w:t>
      </w:r>
      <w:r w:rsidRPr="00B479AE">
        <w:rPr>
          <w:rFonts w:ascii="Baskerville Old Face" w:hAnsi="Baskerville Old Face"/>
          <w:i/>
          <w:iCs/>
        </w:rPr>
        <w:t>_ij</w:t>
      </w:r>
      <w:proofErr w:type="spellEnd"/>
      <w:r w:rsidRPr="00B479AE">
        <w:rPr>
          <w:rFonts w:ascii="Baskerville Old Face" w:hAnsi="Baskerville Old Face"/>
          <w:i/>
          <w:iCs/>
        </w:rPr>
        <w:t>)</w:t>
      </w:r>
    </w:p>
    <w:p w14:paraId="4FDA71E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biochemical signaling, distance, sensitivity, and facilitative, inhibitory, or defensive interaction.</w:t>
      </w:r>
    </w:p>
    <w:p w14:paraId="0A50DA5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allows Prometheus to model biochemical and allelopathic relationships within syntropic systems.</w:t>
      </w:r>
    </w:p>
    <w:p w14:paraId="25EA6255"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22. Fungal-Mediated Transfer</w:t>
      </w:r>
    </w:p>
    <w:p w14:paraId="2BCB2AF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2C3B7E7A"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R_ij^fung</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A_ij^fung</w:t>
      </w:r>
      <w:proofErr w:type="spellEnd"/>
      <w:r w:rsidRPr="00B479AE">
        <w:rPr>
          <w:rFonts w:ascii="Baskerville Old Face" w:hAnsi="Baskerville Old Face"/>
          <w:i/>
          <w:iCs/>
        </w:rPr>
        <w:t xml:space="preserve"> [</w:t>
      </w:r>
      <w:proofErr w:type="spellStart"/>
      <w:r w:rsidRPr="00B479AE">
        <w:rPr>
          <w:rFonts w:ascii="Cambria" w:hAnsi="Cambria" w:cs="Cambria"/>
          <w:i/>
          <w:iCs/>
        </w:rPr>
        <w:t>λ</w:t>
      </w:r>
      <w:r w:rsidRPr="00B479AE">
        <w:rPr>
          <w:rFonts w:ascii="Baskerville Old Face" w:hAnsi="Baskerville Old Face"/>
          <w:i/>
          <w:iCs/>
        </w:rPr>
        <w:t>_</w:t>
      </w:r>
      <w:proofErr w:type="gramStart"/>
      <w:r w:rsidRPr="00B479AE">
        <w:rPr>
          <w:rFonts w:ascii="Baskerville Old Face" w:hAnsi="Baskerville Old Face"/>
          <w:i/>
          <w:iCs/>
        </w:rPr>
        <w:t>C</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C_i</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Baskerville Old Face" w:hAnsi="Baskerville Old Face"/>
          <w:i/>
          <w:iCs/>
        </w:rPr>
        <w:t>C_j</w:t>
      </w:r>
      <w:proofErr w:type="spellEnd"/>
      <w:r w:rsidRPr="00B479AE">
        <w:rPr>
          <w:rFonts w:ascii="Baskerville Old Face" w:hAnsi="Baskerville Old Face"/>
          <w:i/>
          <w:iCs/>
        </w:rPr>
        <w:t xml:space="preserve">) + </w:t>
      </w:r>
      <w:proofErr w:type="spellStart"/>
      <w:r w:rsidRPr="00B479AE">
        <w:rPr>
          <w:rFonts w:ascii="Cambria" w:hAnsi="Cambria" w:cs="Cambria"/>
          <w:i/>
          <w:iCs/>
        </w:rPr>
        <w:t>λ</w:t>
      </w:r>
      <w:r w:rsidRPr="00B479AE">
        <w:rPr>
          <w:rFonts w:ascii="Baskerville Old Face" w:hAnsi="Baskerville Old Face"/>
          <w:i/>
          <w:iCs/>
        </w:rPr>
        <w:t>_</w:t>
      </w:r>
      <w:proofErr w:type="gramStart"/>
      <w:r w:rsidRPr="00B479AE">
        <w:rPr>
          <w:rFonts w:ascii="Baskerville Old Face" w:hAnsi="Baskerville Old Face"/>
          <w:i/>
          <w:iCs/>
        </w:rPr>
        <w:t>N</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N_i</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Baskerville Old Face" w:hAnsi="Baskerville Old Face"/>
          <w:i/>
          <w:iCs/>
        </w:rPr>
        <w:t>N_j</w:t>
      </w:r>
      <w:proofErr w:type="spellEnd"/>
      <w:r w:rsidRPr="00B479AE">
        <w:rPr>
          <w:rFonts w:ascii="Baskerville Old Face" w:hAnsi="Baskerville Old Face"/>
          <w:i/>
          <w:iCs/>
        </w:rPr>
        <w:t xml:space="preserve">) + </w:t>
      </w:r>
      <w:proofErr w:type="spellStart"/>
      <w:r w:rsidRPr="00B479AE">
        <w:rPr>
          <w:rFonts w:ascii="Cambria" w:hAnsi="Cambria" w:cs="Cambria"/>
          <w:i/>
          <w:iCs/>
        </w:rPr>
        <w:t>λ</w:t>
      </w:r>
      <w:r w:rsidRPr="00B479AE">
        <w:rPr>
          <w:rFonts w:ascii="Baskerville Old Face" w:hAnsi="Baskerville Old Face"/>
          <w:i/>
          <w:iCs/>
        </w:rPr>
        <w:t>_</w:t>
      </w:r>
      <w:proofErr w:type="gramStart"/>
      <w:r w:rsidRPr="00B479AE">
        <w:rPr>
          <w:rFonts w:ascii="Baskerville Old Face" w:hAnsi="Baskerville Old Face"/>
          <w:i/>
          <w:iCs/>
        </w:rPr>
        <w:t>W</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W_i</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Baskerville Old Face" w:hAnsi="Baskerville Old Face"/>
          <w:i/>
          <w:iCs/>
        </w:rPr>
        <w:t>W_j</w:t>
      </w:r>
      <w:proofErr w:type="spellEnd"/>
      <w:r w:rsidRPr="00B479AE">
        <w:rPr>
          <w:rFonts w:ascii="Baskerville Old Face" w:hAnsi="Baskerville Old Face"/>
          <w:i/>
          <w:iCs/>
        </w:rPr>
        <w:t>)]</w:t>
      </w:r>
    </w:p>
    <w:p w14:paraId="016FCBC4" w14:textId="77777777" w:rsidR="003C487D" w:rsidRPr="00B479AE" w:rsidRDefault="003C487D" w:rsidP="003C487D">
      <w:pPr>
        <w:spacing w:line="360" w:lineRule="auto"/>
        <w:rPr>
          <w:rFonts w:ascii="Baskerville Old Face" w:hAnsi="Baskerville Old Face"/>
          <w:i/>
          <w:iCs/>
        </w:rPr>
      </w:pPr>
      <w:proofErr w:type="spellStart"/>
      <w:r w:rsidRPr="00B479AE">
        <w:rPr>
          <w:rFonts w:ascii="Cambria" w:hAnsi="Cambria" w:cs="Cambria"/>
          <w:i/>
          <w:iCs/>
        </w:rPr>
        <w:t>Φ</w:t>
      </w:r>
      <w:r w:rsidRPr="00B479AE">
        <w:rPr>
          <w:rFonts w:ascii="Baskerville Old Face" w:hAnsi="Baskerville Old Face"/>
          <w:i/>
          <w:iCs/>
        </w:rPr>
        <w:t>_i^fung</w:t>
      </w:r>
      <w:proofErr w:type="spellEnd"/>
      <w:r w:rsidRPr="00B479AE">
        <w:rPr>
          <w:rFonts w:ascii="Baskerville Old Face" w:hAnsi="Baskerville Old Face"/>
          <w:i/>
          <w:iCs/>
        </w:rPr>
        <w:t xml:space="preserve"> = </w:t>
      </w:r>
      <w:r w:rsidRPr="00B479AE">
        <w:rPr>
          <w:rFonts w:ascii="Cambria" w:hAnsi="Cambria" w:cs="Cambria"/>
          <w:i/>
          <w:iCs/>
        </w:rPr>
        <w:t>Σ</w:t>
      </w:r>
      <w:r w:rsidRPr="00B479AE">
        <w:rPr>
          <w:rFonts w:ascii="Baskerville Old Face" w:hAnsi="Baskerville Old Face"/>
          <w:i/>
          <w:iCs/>
        </w:rPr>
        <w:t>_{</w:t>
      </w:r>
      <w:proofErr w:type="spellStart"/>
      <w:r w:rsidRPr="00B479AE">
        <w:rPr>
          <w:rFonts w:ascii="Baskerville Old Face" w:hAnsi="Baskerville Old Face"/>
          <w:i/>
          <w:iCs/>
        </w:rPr>
        <w:t>j</w:t>
      </w:r>
      <w:r w:rsidRPr="00B479AE">
        <w:rPr>
          <w:rFonts w:ascii="Baskerville Old Face" w:hAnsi="Baskerville Old Face" w:cs="Baskerville Old Face"/>
          <w:i/>
          <w:iCs/>
        </w:rPr>
        <w:t>≠</w:t>
      </w:r>
      <w:r w:rsidRPr="00B479AE">
        <w:rPr>
          <w:rFonts w:ascii="Baskerville Old Face" w:hAnsi="Baskerville Old Face"/>
          <w:i/>
          <w:iCs/>
        </w:rPr>
        <w:t>i</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R_ji^fung</w:t>
      </w:r>
      <w:proofErr w:type="spellEnd"/>
    </w:p>
    <w:p w14:paraId="38E8CF9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express testable resource-transfer modeling logic.</w:t>
      </w:r>
    </w:p>
    <w:p w14:paraId="5670558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should be preserved because they model the possible transfer of carbon, nutrients, and water through fungal-mediated ecological networks.</w:t>
      </w:r>
    </w:p>
    <w:p w14:paraId="2E8D1B0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should be interpreted as conceptual and evidentiary models, not as claims of complete real-time observability.</w:t>
      </w:r>
    </w:p>
    <w:p w14:paraId="4E023AB1"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23. Secondary Metabolite Dynamics</w:t>
      </w:r>
    </w:p>
    <w:p w14:paraId="469278B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7C2E955E"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dM_i^sec</w:t>
      </w:r>
      <w:proofErr w:type="spellEnd"/>
      <w:r w:rsidRPr="00B479AE">
        <w:rPr>
          <w:rFonts w:ascii="Baskerville Old Face" w:hAnsi="Baskerville Old Face"/>
          <w:i/>
          <w:iCs/>
        </w:rPr>
        <w:t xml:space="preserve"> / dt = </w:t>
      </w:r>
      <w:r w:rsidRPr="00B479AE">
        <w:rPr>
          <w:rFonts w:ascii="Cambria" w:hAnsi="Cambria" w:cs="Cambria"/>
          <w:i/>
          <w:iCs/>
        </w:rPr>
        <w:t>α</w:t>
      </w:r>
      <w:r w:rsidRPr="00B479AE">
        <w:rPr>
          <w:rFonts w:ascii="Baskerville Old Face" w:hAnsi="Baskerville Old Face"/>
          <w:i/>
          <w:iCs/>
        </w:rPr>
        <w:t>_</w:t>
      </w:r>
      <w:proofErr w:type="spellStart"/>
      <w:r w:rsidRPr="00B479AE">
        <w:rPr>
          <w:rFonts w:ascii="Baskerville Old Face" w:hAnsi="Baskerville Old Face"/>
          <w:i/>
          <w:iCs/>
        </w:rPr>
        <w:t>i</w:t>
      </w:r>
      <w:proofErr w:type="spellEnd"/>
      <w:r w:rsidRPr="00B479AE">
        <w:rPr>
          <w:rFonts w:ascii="Baskerville Old Face" w:hAnsi="Baskerville Old Face"/>
          <w:i/>
          <w:iCs/>
        </w:rPr>
        <w:t xml:space="preserve"> + </w:t>
      </w:r>
      <w:r w:rsidRPr="00B479AE">
        <w:rPr>
          <w:rFonts w:ascii="Cambria" w:hAnsi="Cambria" w:cs="Cambria"/>
          <w:i/>
          <w:iCs/>
        </w:rPr>
        <w:t>β</w:t>
      </w:r>
      <w:r w:rsidRPr="00B479AE">
        <w:rPr>
          <w:rFonts w:ascii="Baskerville Old Face" w:hAnsi="Baskerville Old Face"/>
          <w:i/>
          <w:iCs/>
        </w:rPr>
        <w:t>_</w:t>
      </w:r>
      <w:proofErr w:type="spellStart"/>
      <w:r w:rsidRPr="00B479AE">
        <w:rPr>
          <w:rFonts w:ascii="Baskerville Old Face" w:hAnsi="Baskerville Old Face"/>
          <w:i/>
          <w:iCs/>
        </w:rPr>
        <w:t>i</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Stress_i</w:t>
      </w:r>
      <w:proofErr w:type="spellEnd"/>
      <w:r w:rsidRPr="00B479AE">
        <w:rPr>
          <w:rFonts w:ascii="Baskerville Old Face" w:hAnsi="Baskerville Old Face"/>
          <w:i/>
          <w:iCs/>
        </w:rPr>
        <w:t xml:space="preserve"> + </w:t>
      </w:r>
      <w:proofErr w:type="spellStart"/>
      <w:r w:rsidRPr="00B479AE">
        <w:rPr>
          <w:rFonts w:ascii="Cambria" w:hAnsi="Cambria" w:cs="Cambria"/>
          <w:i/>
          <w:iCs/>
        </w:rPr>
        <w:t>γ</w:t>
      </w:r>
      <w:r w:rsidRPr="00B479AE">
        <w:rPr>
          <w:rFonts w:ascii="Baskerville Old Face" w:hAnsi="Baskerville Old Face"/>
          <w:i/>
          <w:iCs/>
        </w:rPr>
        <w:t>_i</w:t>
      </w:r>
      <w:proofErr w:type="spellEnd"/>
      <w:r w:rsidRPr="00B479AE">
        <w:rPr>
          <w:rFonts w:ascii="Baskerville Old Face" w:hAnsi="Baskerville Old Face"/>
          <w:i/>
          <w:iCs/>
        </w:rPr>
        <w:t xml:space="preserve"> </w:t>
      </w:r>
      <w:r w:rsidRPr="00B479AE">
        <w:rPr>
          <w:rFonts w:ascii="Cambria" w:hAnsi="Cambria" w:cs="Cambria"/>
          <w:i/>
          <w:iCs/>
        </w:rPr>
        <w:t>Σ</w:t>
      </w:r>
      <w:r w:rsidRPr="00B479AE">
        <w:rPr>
          <w:rFonts w:ascii="Baskerville Old Face" w:hAnsi="Baskerville Old Face"/>
          <w:i/>
          <w:iCs/>
        </w:rPr>
        <w:t>_{</w:t>
      </w:r>
      <w:proofErr w:type="spellStart"/>
      <w:r w:rsidRPr="00B479AE">
        <w:rPr>
          <w:rFonts w:ascii="Baskerville Old Face" w:hAnsi="Baskerville Old Face"/>
          <w:i/>
          <w:iCs/>
        </w:rPr>
        <w:t>j</w:t>
      </w:r>
      <w:r w:rsidRPr="00B479AE">
        <w:rPr>
          <w:rFonts w:ascii="Baskerville Old Face" w:hAnsi="Baskerville Old Face" w:cs="Baskerville Old Face"/>
          <w:i/>
          <w:iCs/>
        </w:rPr>
        <w:t>≠</w:t>
      </w:r>
      <w:r w:rsidRPr="00B479AE">
        <w:rPr>
          <w:rFonts w:ascii="Baskerville Old Face" w:hAnsi="Baskerville Old Face"/>
          <w:i/>
          <w:iCs/>
        </w:rPr>
        <w:t>i</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A_ji^</w:t>
      </w:r>
      <w:proofErr w:type="gramStart"/>
      <w:r w:rsidRPr="00B479AE">
        <w:rPr>
          <w:rFonts w:ascii="Baskerville Old Face" w:hAnsi="Baskerville Old Face"/>
          <w:i/>
          <w:iCs/>
        </w:rPr>
        <w:t>met</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M_j^sec</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Baskerville Old Face" w:hAnsi="Baskerville Old Face"/>
          <w:i/>
          <w:iCs/>
        </w:rPr>
        <w:t>M_i^sec</w:t>
      </w:r>
      <w:proofErr w:type="spellEnd"/>
      <w:r w:rsidRPr="00B479AE">
        <w:rPr>
          <w:rFonts w:ascii="Baskerville Old Face" w:hAnsi="Baskerville Old Face"/>
          <w:i/>
          <w:iCs/>
        </w:rPr>
        <w:t xml:space="preserve">) + </w:t>
      </w:r>
      <w:proofErr w:type="spellStart"/>
      <w:r w:rsidRPr="00B479AE">
        <w:rPr>
          <w:rFonts w:ascii="Cambria" w:hAnsi="Cambria" w:cs="Cambria"/>
          <w:i/>
          <w:iCs/>
        </w:rPr>
        <w:t>ρ</w:t>
      </w:r>
      <w:r w:rsidRPr="00B479AE">
        <w:rPr>
          <w:rFonts w:ascii="Baskerville Old Face" w:hAnsi="Baskerville Old Face"/>
          <w:i/>
          <w:iCs/>
        </w:rPr>
        <w:t>_iS_i</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Cambria" w:hAnsi="Cambria" w:cs="Cambria"/>
          <w:i/>
          <w:iCs/>
        </w:rPr>
        <w:t>ω</w:t>
      </w:r>
      <w:r w:rsidRPr="00B479AE">
        <w:rPr>
          <w:rFonts w:ascii="Baskerville Old Face" w:hAnsi="Baskerville Old Face"/>
          <w:i/>
          <w:iCs/>
        </w:rPr>
        <w:t>_iM_i^sec</w:t>
      </w:r>
      <w:proofErr w:type="spellEnd"/>
    </w:p>
    <w:p w14:paraId="2225258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models biochemical response, stress, successional maturity, signal influence, and metabolite decay.</w:t>
      </w:r>
    </w:p>
    <w:p w14:paraId="061D283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should be preserved because it translates plant biochemical intelligence into formal system dynamics.</w:t>
      </w:r>
    </w:p>
    <w:p w14:paraId="48A779FD"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24. Soil Organic Matter Dynamics</w:t>
      </w:r>
    </w:p>
    <w:p w14:paraId="5BFFCB8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7F30EEF5" w14:textId="77777777" w:rsidR="003C487D" w:rsidRPr="000B4FC0" w:rsidRDefault="003C487D" w:rsidP="003C487D">
      <w:pPr>
        <w:spacing w:line="360" w:lineRule="auto"/>
        <w:rPr>
          <w:rFonts w:ascii="Baskerville Old Face" w:hAnsi="Baskerville Old Face"/>
          <w:i/>
          <w:iCs/>
          <w:lang w:val="it-IT"/>
        </w:rPr>
      </w:pPr>
      <w:proofErr w:type="spellStart"/>
      <w:r w:rsidRPr="000B4FC0">
        <w:rPr>
          <w:rFonts w:ascii="Baskerville Old Face" w:hAnsi="Baskerville Old Face"/>
          <w:i/>
          <w:iCs/>
          <w:lang w:val="it-IT"/>
        </w:rPr>
        <w:t>dO_i</w:t>
      </w:r>
      <w:proofErr w:type="spellEnd"/>
      <w:r w:rsidRPr="000B4FC0">
        <w:rPr>
          <w:rFonts w:ascii="Baskerville Old Face" w:hAnsi="Baskerville Old Face"/>
          <w:i/>
          <w:iCs/>
          <w:lang w:val="it-IT"/>
        </w:rPr>
        <w:t xml:space="preserve"> / </w:t>
      </w:r>
      <w:proofErr w:type="spellStart"/>
      <w:r w:rsidRPr="000B4FC0">
        <w:rPr>
          <w:rFonts w:ascii="Baskerville Old Face" w:hAnsi="Baskerville Old Face"/>
          <w:i/>
          <w:iCs/>
          <w:lang w:val="it-IT"/>
        </w:rPr>
        <w:t>dt</w:t>
      </w:r>
      <w:proofErr w:type="spellEnd"/>
      <w:r w:rsidRPr="000B4FC0">
        <w:rPr>
          <w:rFonts w:ascii="Baskerville Old Face" w:hAnsi="Baskerville Old Face"/>
          <w:i/>
          <w:iCs/>
          <w:lang w:val="it-IT"/>
        </w:rPr>
        <w:t xml:space="preserve"> = </w:t>
      </w:r>
      <w:proofErr w:type="spellStart"/>
      <w:r w:rsidRPr="000B4FC0">
        <w:rPr>
          <w:rFonts w:ascii="Baskerville Old Face" w:hAnsi="Baskerville Old Face"/>
          <w:i/>
          <w:iCs/>
          <w:lang w:val="it-IT"/>
        </w:rPr>
        <w:t>L_i</w:t>
      </w:r>
      <w:proofErr w:type="spellEnd"/>
      <w:r w:rsidRPr="000B4FC0">
        <w:rPr>
          <w:rFonts w:ascii="Baskerville Old Face" w:hAnsi="Baskerville Old Face"/>
          <w:i/>
          <w:iCs/>
          <w:lang w:val="it-IT"/>
        </w:rPr>
        <w:t xml:space="preserve"> + </w:t>
      </w:r>
      <w:proofErr w:type="spellStart"/>
      <w:r w:rsidRPr="000B4FC0">
        <w:rPr>
          <w:rFonts w:ascii="Baskerville Old Face" w:hAnsi="Baskerville Old Face"/>
          <w:i/>
          <w:iCs/>
          <w:lang w:val="it-IT"/>
        </w:rPr>
        <w:t>B_i</w:t>
      </w:r>
      <w:proofErr w:type="spellEnd"/>
      <w:r w:rsidRPr="000B4FC0">
        <w:rPr>
          <w:rFonts w:ascii="Baskerville Old Face" w:hAnsi="Baskerville Old Face"/>
          <w:i/>
          <w:iCs/>
          <w:lang w:val="it-IT"/>
        </w:rPr>
        <w:t xml:space="preserve"> </w:t>
      </w:r>
      <w:r w:rsidRPr="000B4FC0">
        <w:rPr>
          <w:rFonts w:ascii="Cambria Math" w:hAnsi="Cambria Math" w:cs="Cambria Math"/>
          <w:i/>
          <w:iCs/>
          <w:lang w:val="it-IT"/>
        </w:rPr>
        <w:t>−</w:t>
      </w:r>
      <w:r w:rsidRPr="000B4FC0">
        <w:rPr>
          <w:rFonts w:ascii="Baskerville Old Face" w:hAnsi="Baskerville Old Face"/>
          <w:i/>
          <w:iCs/>
          <w:lang w:val="it-IT"/>
        </w:rPr>
        <w:t xml:space="preserve"> </w:t>
      </w:r>
      <w:proofErr w:type="spellStart"/>
      <w:r w:rsidRPr="000B4FC0">
        <w:rPr>
          <w:rFonts w:ascii="Baskerville Old Face" w:hAnsi="Baskerville Old Face"/>
          <w:i/>
          <w:iCs/>
          <w:lang w:val="it-IT"/>
        </w:rPr>
        <w:t>D_i</w:t>
      </w:r>
      <w:proofErr w:type="spellEnd"/>
    </w:p>
    <w:p w14:paraId="134C2E2F"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D_i</w:t>
      </w:r>
      <w:proofErr w:type="spellEnd"/>
      <w:r w:rsidRPr="005907F1">
        <w:rPr>
          <w:rFonts w:ascii="Baskerville Old Face" w:hAnsi="Baskerville Old Face"/>
          <w:i/>
          <w:iCs/>
          <w:lang w:val="it-IT"/>
        </w:rPr>
        <w:t xml:space="preserve"> = </w:t>
      </w:r>
      <w:r w:rsidRPr="00B479AE">
        <w:rPr>
          <w:rFonts w:ascii="Cambria" w:hAnsi="Cambria" w:cs="Cambria"/>
          <w:i/>
          <w:iCs/>
        </w:rPr>
        <w:t>δ</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proofErr w:type="gramStart"/>
      <w:r w:rsidRPr="005907F1">
        <w:rPr>
          <w:rFonts w:ascii="Baskerville Old Face" w:hAnsi="Baskerville Old Face"/>
          <w:i/>
          <w:iCs/>
          <w:lang w:val="it-IT"/>
        </w:rPr>
        <w:t>h(</w:t>
      </w:r>
      <w:proofErr w:type="spellStart"/>
      <w:proofErr w:type="gramEnd"/>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r w:rsidRPr="00B479AE">
        <w:rPr>
          <w:rFonts w:ascii="Cambria" w:hAnsi="Cambria" w:cs="Cambria"/>
          <w:i/>
          <w:iCs/>
        </w:rPr>
        <w:t>μ</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r w:rsidRPr="00B479AE">
        <w:rPr>
          <w:rFonts w:ascii="Cambria" w:hAnsi="Cambria" w:cs="Cambria"/>
          <w:i/>
          <w:iCs/>
        </w:rPr>
        <w:t>Θ</w:t>
      </w:r>
      <w:r w:rsidRPr="005907F1">
        <w:rPr>
          <w:rFonts w:ascii="Baskerville Old Face" w:hAnsi="Baskerville Old Face"/>
          <w:i/>
          <w:iCs/>
          <w:lang w:val="it-IT"/>
        </w:rPr>
        <w:t>_i)</w:t>
      </w:r>
    </w:p>
    <w:p w14:paraId="6C947A3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connect litter input, belowground biomass, decomposition, soil fauna, microbial activity, water, and mineral balance.</w:t>
      </w:r>
    </w:p>
    <w:p w14:paraId="17228D1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should be preserved because they give Prometheus a formal basis for modeling soil regeneration.</w:t>
      </w:r>
    </w:p>
    <w:p w14:paraId="17063982"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25. Earthworm and Macrofauna Dynamics</w:t>
      </w:r>
    </w:p>
    <w:p w14:paraId="64D8F4A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722DE4D5"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dE_i</w:t>
      </w:r>
      <w:proofErr w:type="spellEnd"/>
      <w:r w:rsidRPr="00B479AE">
        <w:rPr>
          <w:rFonts w:ascii="Baskerville Old Face" w:hAnsi="Baskerville Old Face"/>
          <w:i/>
          <w:iCs/>
        </w:rPr>
        <w:t xml:space="preserve"> / dt = </w:t>
      </w:r>
      <w:proofErr w:type="spellStart"/>
      <w:r w:rsidRPr="00B479AE">
        <w:rPr>
          <w:rFonts w:ascii="Cambria" w:hAnsi="Cambria" w:cs="Cambria"/>
          <w:i/>
          <w:iCs/>
        </w:rPr>
        <w:t>ψ₁</w:t>
      </w:r>
      <w:r w:rsidRPr="00B479AE">
        <w:rPr>
          <w:rFonts w:ascii="Baskerville Old Face" w:hAnsi="Baskerville Old Face"/>
          <w:i/>
          <w:iCs/>
        </w:rPr>
        <w:t>O_i</w:t>
      </w:r>
      <w:proofErr w:type="spellEnd"/>
      <w:r w:rsidRPr="00B479AE">
        <w:rPr>
          <w:rFonts w:ascii="Baskerville Old Face" w:hAnsi="Baskerville Old Face"/>
          <w:i/>
          <w:iCs/>
        </w:rPr>
        <w:t xml:space="preserve"> + </w:t>
      </w:r>
      <w:proofErr w:type="spellStart"/>
      <w:r w:rsidRPr="00B479AE">
        <w:rPr>
          <w:rFonts w:ascii="Cambria" w:hAnsi="Cambria" w:cs="Cambria"/>
          <w:i/>
          <w:iCs/>
        </w:rPr>
        <w:t>ψ₂</w:t>
      </w:r>
      <w:r w:rsidRPr="00B479AE">
        <w:rPr>
          <w:rFonts w:ascii="Baskerville Old Face" w:hAnsi="Baskerville Old Face"/>
          <w:i/>
          <w:iCs/>
        </w:rPr>
        <w:t>W_i</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Cambria" w:hAnsi="Cambria" w:cs="Cambria"/>
          <w:i/>
          <w:iCs/>
        </w:rPr>
        <w:t>ψ₃</w:t>
      </w:r>
      <w:r w:rsidRPr="00B479AE">
        <w:rPr>
          <w:rFonts w:ascii="Baskerville Old Face" w:hAnsi="Baskerville Old Face"/>
          <w:i/>
          <w:iCs/>
        </w:rPr>
        <w:t>Stress_i^soil</w:t>
      </w:r>
      <w:proofErr w:type="spellEnd"/>
    </w:p>
    <w:p w14:paraId="65B0B47D"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soil-fauna response to organic matter, water, and soil stress.</w:t>
      </w:r>
    </w:p>
    <w:p w14:paraId="47091C0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earthworms and macrofauna are key indicators of soil structure, aeration, infiltration, fertility, and biological recovery.</w:t>
      </w:r>
    </w:p>
    <w:p w14:paraId="52446D64"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26. Microbial Functional Intensity</w:t>
      </w:r>
    </w:p>
    <w:p w14:paraId="262577F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0676E72A" w14:textId="77777777" w:rsidR="003C487D" w:rsidRPr="005907F1" w:rsidRDefault="003C487D" w:rsidP="003C487D">
      <w:pPr>
        <w:spacing w:line="360" w:lineRule="auto"/>
        <w:rPr>
          <w:rFonts w:ascii="Baskerville Old Face" w:hAnsi="Baskerville Old Face"/>
          <w:i/>
          <w:iCs/>
          <w:lang w:val="it-IT"/>
        </w:rPr>
      </w:pPr>
      <w:r w:rsidRPr="005907F1">
        <w:rPr>
          <w:rFonts w:ascii="Baskerville Old Face" w:hAnsi="Baskerville Old Face"/>
          <w:i/>
          <w:iCs/>
          <w:lang w:val="it-IT"/>
        </w:rPr>
        <w:t>d</w:t>
      </w:r>
      <w:r w:rsidRPr="00B479AE">
        <w:rPr>
          <w:rFonts w:ascii="Cambria" w:hAnsi="Cambria" w:cs="Cambria"/>
          <w:i/>
          <w:iCs/>
        </w:rPr>
        <w:t>μ</w:t>
      </w:r>
      <w:r w:rsidRPr="005907F1">
        <w:rPr>
          <w:rFonts w:ascii="Baskerville Old Face" w:hAnsi="Baskerville Old Face"/>
          <w:i/>
          <w:iCs/>
          <w:lang w:val="it-IT"/>
        </w:rPr>
        <w:t xml:space="preserve">_i / </w:t>
      </w:r>
      <w:proofErr w:type="spellStart"/>
      <w:r w:rsidRPr="005907F1">
        <w:rPr>
          <w:rFonts w:ascii="Baskerville Old Face" w:hAnsi="Baskerville Old Face"/>
          <w:i/>
          <w:iCs/>
          <w:lang w:val="it-IT"/>
        </w:rPr>
        <w:t>dt</w:t>
      </w:r>
      <w:proofErr w:type="spellEnd"/>
      <w:r w:rsidRPr="005907F1">
        <w:rPr>
          <w:rFonts w:ascii="Baskerville Old Face" w:hAnsi="Baskerville Old Face"/>
          <w:i/>
          <w:iCs/>
          <w:lang w:val="it-IT"/>
        </w:rPr>
        <w:t xml:space="preserve"> = </w:t>
      </w:r>
      <w:r w:rsidRPr="00B479AE">
        <w:rPr>
          <w:rFonts w:ascii="Cambria" w:hAnsi="Cambria" w:cs="Cambria"/>
          <w:i/>
          <w:iCs/>
        </w:rPr>
        <w:t>χ</w:t>
      </w:r>
      <w:r w:rsidRPr="005907F1">
        <w:rPr>
          <w:rFonts w:ascii="Cambria" w:hAnsi="Cambria" w:cs="Cambria"/>
          <w:i/>
          <w:iCs/>
          <w:lang w:val="it-IT"/>
        </w:rPr>
        <w:t>₁</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 </w:t>
      </w:r>
      <w:r w:rsidRPr="00B479AE">
        <w:rPr>
          <w:rFonts w:ascii="Cambria" w:hAnsi="Cambria" w:cs="Cambria"/>
          <w:i/>
          <w:iCs/>
        </w:rPr>
        <w:t>χ</w:t>
      </w:r>
      <w:r w:rsidRPr="005907F1">
        <w:rPr>
          <w:rFonts w:ascii="Cambria" w:hAnsi="Cambria" w:cs="Cambria"/>
          <w:i/>
          <w:iCs/>
          <w:lang w:val="it-IT"/>
        </w:rPr>
        <w:t>₂</w:t>
      </w:r>
      <w:r w:rsidRPr="00B479AE">
        <w:rPr>
          <w:rFonts w:ascii="Cambria" w:hAnsi="Cambria" w:cs="Cambria"/>
          <w:i/>
          <w:iCs/>
        </w:rPr>
        <w:t>Θ</w:t>
      </w:r>
      <w:r w:rsidRPr="005907F1">
        <w:rPr>
          <w:rFonts w:ascii="Baskerville Old Face" w:hAnsi="Baskerville Old Face"/>
          <w:i/>
          <w:iCs/>
          <w:lang w:val="it-IT"/>
        </w:rPr>
        <w:t xml:space="preserve">_i + </w:t>
      </w:r>
      <w:r w:rsidRPr="00B479AE">
        <w:rPr>
          <w:rFonts w:ascii="Cambria" w:hAnsi="Cambria" w:cs="Cambria"/>
          <w:i/>
          <w:iCs/>
        </w:rPr>
        <w:t>χ</w:t>
      </w:r>
      <w:r w:rsidRPr="005907F1">
        <w:rPr>
          <w:rFonts w:ascii="Cambria" w:hAnsi="Cambria" w:cs="Cambria"/>
          <w:i/>
          <w:iCs/>
          <w:lang w:val="it-IT"/>
        </w:rPr>
        <w:t>₃</w:t>
      </w:r>
      <w:proofErr w:type="spellStart"/>
      <w:r w:rsidRPr="005907F1">
        <w:rPr>
          <w:rFonts w:ascii="Baskerville Old Face" w:hAnsi="Baskerville Old Face"/>
          <w:i/>
          <w:iCs/>
          <w:lang w:val="it-IT"/>
        </w:rPr>
        <w:t>F_i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r w:rsidRPr="00B479AE">
        <w:rPr>
          <w:rFonts w:ascii="Cambria" w:hAnsi="Cambria" w:cs="Cambria"/>
          <w:i/>
          <w:iCs/>
        </w:rPr>
        <w:t>χ</w:t>
      </w:r>
      <w:r w:rsidRPr="005907F1">
        <w:rPr>
          <w:rFonts w:ascii="Cambria" w:hAnsi="Cambria" w:cs="Cambria"/>
          <w:i/>
          <w:iCs/>
          <w:lang w:val="it-IT"/>
        </w:rPr>
        <w:t>₄</w:t>
      </w:r>
      <w:proofErr w:type="spellStart"/>
      <w:r w:rsidRPr="005907F1">
        <w:rPr>
          <w:rFonts w:ascii="Baskerville Old Face" w:hAnsi="Baskerville Old Face"/>
          <w:i/>
          <w:iCs/>
          <w:lang w:val="it-IT"/>
        </w:rPr>
        <w:t>Disturbance_i</w:t>
      </w:r>
      <w:proofErr w:type="spellEnd"/>
    </w:p>
    <w:p w14:paraId="1A8EF9D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links microbial activity to organic matter, microelements, fungal support, and disturbance.</w:t>
      </w:r>
    </w:p>
    <w:p w14:paraId="7A13A72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microbial functional intensity is central to soil metabolism and regenerative performance.</w:t>
      </w:r>
    </w:p>
    <w:p w14:paraId="5F00CBF9" w14:textId="3AB04373" w:rsidR="003C487D" w:rsidRPr="00B479AE" w:rsidRDefault="003C487D" w:rsidP="003C487D">
      <w:pPr>
        <w:spacing w:line="360" w:lineRule="auto"/>
        <w:rPr>
          <w:rFonts w:ascii="Baskerville Old Face" w:hAnsi="Baskerville Old Face"/>
          <w:i/>
          <w:iCs/>
        </w:rPr>
      </w:pPr>
    </w:p>
    <w:p w14:paraId="3C9E07DE"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lastRenderedPageBreak/>
        <w:t>27. Water Dynamics</w:t>
      </w:r>
    </w:p>
    <w:p w14:paraId="15A0A58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4EFA98F0"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dW_i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dt</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P_i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I_i^infil</w:t>
      </w:r>
      <w:proofErr w:type="spellEnd"/>
      <w:r w:rsidRPr="005907F1">
        <w:rPr>
          <w:rFonts w:ascii="Baskerville Old Face" w:hAnsi="Baskerville Old Face"/>
          <w:i/>
          <w:iCs/>
          <w:lang w:val="it-IT"/>
        </w:rPr>
        <w:t xml:space="preserve"> + </w:t>
      </w:r>
      <w:r w:rsidRPr="00B479AE">
        <w:rPr>
          <w:rFonts w:ascii="Cambria" w:hAnsi="Cambria" w:cs="Cambria"/>
          <w:i/>
          <w:iCs/>
        </w:rPr>
        <w:t>Φ</w:t>
      </w:r>
      <w:r w:rsidRPr="005907F1">
        <w:rPr>
          <w:rFonts w:ascii="Baskerville Old Face" w:hAnsi="Baskerville Old Face"/>
          <w:i/>
          <w:iCs/>
          <w:lang w:val="it-IT"/>
        </w:rPr>
        <w:t>_i^(</w:t>
      </w:r>
      <w:proofErr w:type="spellStart"/>
      <w:proofErr w:type="gramStart"/>
      <w:r w:rsidRPr="005907F1">
        <w:rPr>
          <w:rFonts w:ascii="Baskerville Old Face" w:hAnsi="Baskerville Old Face"/>
          <w:i/>
          <w:iCs/>
          <w:lang w:val="it-IT"/>
        </w:rPr>
        <w:t>fung,W</w:t>
      </w:r>
      <w:proofErr w:type="spellEnd"/>
      <w:proofErr w:type="gram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U_i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ETP_i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L_i^loss</w:t>
      </w:r>
      <w:proofErr w:type="spellEnd"/>
    </w:p>
    <w:p w14:paraId="7EC9FCC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w:t>
      </w:r>
    </w:p>
    <w:p w14:paraId="25F4984C"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P_i</w:t>
      </w:r>
      <w:proofErr w:type="spellEnd"/>
      <w:r w:rsidRPr="00B479AE">
        <w:rPr>
          <w:rFonts w:ascii="Baskerville Old Face" w:hAnsi="Baskerville Old Face"/>
          <w:i/>
          <w:iCs/>
        </w:rPr>
        <w:t xml:space="preserve"> = precipitation or water input</w:t>
      </w:r>
      <w:r w:rsidRPr="00B479AE">
        <w:rPr>
          <w:rFonts w:ascii="Baskerville Old Face" w:hAnsi="Baskerville Old Face"/>
          <w:i/>
          <w:iCs/>
        </w:rPr>
        <w:br/>
      </w:r>
      <w:proofErr w:type="spellStart"/>
      <w:r w:rsidRPr="00B479AE">
        <w:rPr>
          <w:rFonts w:ascii="Baskerville Old Face" w:hAnsi="Baskerville Old Face"/>
          <w:i/>
          <w:iCs/>
        </w:rPr>
        <w:t>I_i^infil</w:t>
      </w:r>
      <w:proofErr w:type="spellEnd"/>
      <w:r w:rsidRPr="00B479AE">
        <w:rPr>
          <w:rFonts w:ascii="Baskerville Old Face" w:hAnsi="Baskerville Old Face"/>
          <w:i/>
          <w:iCs/>
        </w:rPr>
        <w:t xml:space="preserve"> = infiltration</w:t>
      </w:r>
      <w:r w:rsidRPr="00B479AE">
        <w:rPr>
          <w:rFonts w:ascii="Baskerville Old Face" w:hAnsi="Baskerville Old Face"/>
          <w:i/>
          <w:iCs/>
        </w:rPr>
        <w:br/>
      </w:r>
      <w:proofErr w:type="spellStart"/>
      <w:r w:rsidRPr="00B479AE">
        <w:rPr>
          <w:rFonts w:ascii="Cambria" w:hAnsi="Cambria" w:cs="Cambria"/>
          <w:i/>
          <w:iCs/>
        </w:rPr>
        <w:t>Φ</w:t>
      </w:r>
      <w:r w:rsidRPr="00B479AE">
        <w:rPr>
          <w:rFonts w:ascii="Baskerville Old Face" w:hAnsi="Baskerville Old Face"/>
          <w:i/>
          <w:iCs/>
        </w:rPr>
        <w:t>_i</w:t>
      </w:r>
      <w:proofErr w:type="spellEnd"/>
      <w:r w:rsidRPr="00B479AE">
        <w:rPr>
          <w:rFonts w:ascii="Baskerville Old Face" w:hAnsi="Baskerville Old Face"/>
          <w:i/>
          <w:iCs/>
        </w:rPr>
        <w:t>^(</w:t>
      </w:r>
      <w:proofErr w:type="spellStart"/>
      <w:proofErr w:type="gramStart"/>
      <w:r w:rsidRPr="00B479AE">
        <w:rPr>
          <w:rFonts w:ascii="Baskerville Old Face" w:hAnsi="Baskerville Old Face"/>
          <w:i/>
          <w:iCs/>
        </w:rPr>
        <w:t>fung,W</w:t>
      </w:r>
      <w:proofErr w:type="spellEnd"/>
      <w:proofErr w:type="gramEnd"/>
      <w:r w:rsidRPr="00B479AE">
        <w:rPr>
          <w:rFonts w:ascii="Baskerville Old Face" w:hAnsi="Baskerville Old Face"/>
          <w:i/>
          <w:iCs/>
        </w:rPr>
        <w:t>) = fungal-mediated water contribution</w:t>
      </w:r>
      <w:r w:rsidRPr="00B479AE">
        <w:rPr>
          <w:rFonts w:ascii="Baskerville Old Face" w:hAnsi="Baskerville Old Face"/>
          <w:i/>
          <w:iCs/>
        </w:rPr>
        <w:br/>
      </w:r>
      <w:proofErr w:type="spellStart"/>
      <w:r w:rsidRPr="00B479AE">
        <w:rPr>
          <w:rFonts w:ascii="Baskerville Old Face" w:hAnsi="Baskerville Old Face"/>
          <w:i/>
          <w:iCs/>
        </w:rPr>
        <w:t>U_i</w:t>
      </w:r>
      <w:proofErr w:type="spellEnd"/>
      <w:r w:rsidRPr="00B479AE">
        <w:rPr>
          <w:rFonts w:ascii="Baskerville Old Face" w:hAnsi="Baskerville Old Face"/>
          <w:i/>
          <w:iCs/>
        </w:rPr>
        <w:t xml:space="preserve"> = plant uptake</w:t>
      </w:r>
      <w:r w:rsidRPr="00B479AE">
        <w:rPr>
          <w:rFonts w:ascii="Baskerville Old Face" w:hAnsi="Baskerville Old Face"/>
          <w:i/>
          <w:iCs/>
        </w:rPr>
        <w:br/>
      </w:r>
      <w:proofErr w:type="spellStart"/>
      <w:r w:rsidRPr="00B479AE">
        <w:rPr>
          <w:rFonts w:ascii="Baskerville Old Face" w:hAnsi="Baskerville Old Face"/>
          <w:i/>
          <w:iCs/>
        </w:rPr>
        <w:t>ETP_i</w:t>
      </w:r>
      <w:proofErr w:type="spellEnd"/>
      <w:r w:rsidRPr="00B479AE">
        <w:rPr>
          <w:rFonts w:ascii="Baskerville Old Face" w:hAnsi="Baskerville Old Face"/>
          <w:i/>
          <w:iCs/>
        </w:rPr>
        <w:t xml:space="preserve"> = evapotranspiration</w:t>
      </w:r>
      <w:r w:rsidRPr="00B479AE">
        <w:rPr>
          <w:rFonts w:ascii="Baskerville Old Face" w:hAnsi="Baskerville Old Face"/>
          <w:i/>
          <w:iCs/>
        </w:rPr>
        <w:br/>
      </w:r>
      <w:proofErr w:type="spellStart"/>
      <w:r w:rsidRPr="00B479AE">
        <w:rPr>
          <w:rFonts w:ascii="Baskerville Old Face" w:hAnsi="Baskerville Old Face"/>
          <w:i/>
          <w:iCs/>
        </w:rPr>
        <w:t>L_i^loss</w:t>
      </w:r>
      <w:proofErr w:type="spellEnd"/>
      <w:r w:rsidRPr="00B479AE">
        <w:rPr>
          <w:rFonts w:ascii="Baskerville Old Face" w:hAnsi="Baskerville Old Face"/>
          <w:i/>
          <w:iCs/>
        </w:rPr>
        <w:t xml:space="preserve"> = losses</w:t>
      </w:r>
    </w:p>
    <w:p w14:paraId="3383624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is a core hydrological formula.</w:t>
      </w:r>
    </w:p>
    <w:p w14:paraId="525DAF8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connects precipitation, infiltration, fungal-mediated water transfer, uptake, evapotranspiration, and loss.</w:t>
      </w:r>
    </w:p>
    <w:p w14:paraId="6F24C72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water intelligence is central to Prometheus, especially in drought-prone or Mediterranean contexts.</w:t>
      </w:r>
    </w:p>
    <w:p w14:paraId="21F11820"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28. Infiltration Function</w:t>
      </w:r>
    </w:p>
    <w:p w14:paraId="39373C7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1718A8CF"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I_i^infil</w:t>
      </w:r>
      <w:proofErr w:type="spellEnd"/>
      <w:r w:rsidRPr="005907F1">
        <w:rPr>
          <w:rFonts w:ascii="Baskerville Old Face" w:hAnsi="Baskerville Old Face"/>
          <w:i/>
          <w:iCs/>
          <w:lang w:val="it-IT"/>
        </w:rPr>
        <w:t xml:space="preserve"> = </w:t>
      </w:r>
      <w:r w:rsidRPr="00B479AE">
        <w:rPr>
          <w:rFonts w:ascii="Cambria" w:hAnsi="Cambria" w:cs="Cambria"/>
          <w:i/>
          <w:iCs/>
        </w:rPr>
        <w:t>ζ</w:t>
      </w:r>
      <w:r w:rsidRPr="005907F1">
        <w:rPr>
          <w:rFonts w:ascii="Cambria" w:hAnsi="Cambria" w:cs="Cambria"/>
          <w:i/>
          <w:iCs/>
          <w:lang w:val="it-IT"/>
        </w:rPr>
        <w:t>₁</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 </w:t>
      </w:r>
      <w:r w:rsidRPr="00B479AE">
        <w:rPr>
          <w:rFonts w:ascii="Cambria" w:hAnsi="Cambria" w:cs="Cambria"/>
          <w:i/>
          <w:iCs/>
        </w:rPr>
        <w:t>ζ</w:t>
      </w:r>
      <w:r w:rsidRPr="005907F1">
        <w:rPr>
          <w:rFonts w:ascii="Cambria" w:hAnsi="Cambria" w:cs="Cambria"/>
          <w:i/>
          <w:iCs/>
          <w:lang w:val="it-IT"/>
        </w:rPr>
        <w:t>₂</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 </w:t>
      </w:r>
      <w:r w:rsidRPr="00B479AE">
        <w:rPr>
          <w:rFonts w:ascii="Cambria" w:hAnsi="Cambria" w:cs="Cambria"/>
          <w:i/>
          <w:iCs/>
        </w:rPr>
        <w:t>ζ</w:t>
      </w:r>
      <w:r w:rsidRPr="005907F1">
        <w:rPr>
          <w:rFonts w:ascii="Cambria" w:hAnsi="Cambria" w:cs="Cambria"/>
          <w:i/>
          <w:iCs/>
          <w:lang w:val="it-IT"/>
        </w:rPr>
        <w:t>₃</w:t>
      </w:r>
      <w:r w:rsidRPr="00B479AE">
        <w:rPr>
          <w:rFonts w:ascii="Cambria" w:hAnsi="Cambria" w:cs="Cambria"/>
          <w:i/>
          <w:iCs/>
        </w:rPr>
        <w:t>μ</w:t>
      </w:r>
      <w:r w:rsidRPr="005907F1">
        <w:rPr>
          <w:rFonts w:ascii="Baskerville Old Face" w:hAnsi="Baskerville Old Face"/>
          <w:i/>
          <w:iCs/>
          <w:lang w:val="it-IT"/>
        </w:rPr>
        <w:t xml:space="preserve">_i + </w:t>
      </w:r>
      <w:r w:rsidRPr="00B479AE">
        <w:rPr>
          <w:rFonts w:ascii="Cambria" w:hAnsi="Cambria" w:cs="Cambria"/>
          <w:i/>
          <w:iCs/>
        </w:rPr>
        <w:t>ζ</w:t>
      </w:r>
      <w:r w:rsidRPr="005907F1">
        <w:rPr>
          <w:rFonts w:ascii="Cambria" w:hAnsi="Cambria" w:cs="Cambria"/>
          <w:i/>
          <w:iCs/>
          <w:lang w:val="it-IT"/>
        </w:rPr>
        <w:t>₄</w:t>
      </w:r>
      <w:proofErr w:type="spellStart"/>
      <w:r w:rsidRPr="005907F1">
        <w:rPr>
          <w:rFonts w:ascii="Baskerville Old Face" w:hAnsi="Baskerville Old Face"/>
          <w:i/>
          <w:iCs/>
          <w:lang w:val="it-IT"/>
        </w:rPr>
        <w:t>Microtopography_i</w:t>
      </w:r>
      <w:proofErr w:type="spellEnd"/>
    </w:p>
    <w:p w14:paraId="2810CA6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connects organic matter, soil fauna, microbial activity, and microtopography to infiltration.</w:t>
      </w:r>
    </w:p>
    <w:p w14:paraId="27322DB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creates a measurable bridge between regenerative design and hydrological gain.</w:t>
      </w:r>
    </w:p>
    <w:p w14:paraId="4B10537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one of the most strategically important formulas for translating soil regeneration into water resilience.</w:t>
      </w:r>
    </w:p>
    <w:p w14:paraId="4C5FE157" w14:textId="1F45387C" w:rsidR="003C487D" w:rsidRPr="00B479AE" w:rsidRDefault="003C487D" w:rsidP="003C487D">
      <w:pPr>
        <w:spacing w:line="360" w:lineRule="auto"/>
        <w:rPr>
          <w:rFonts w:ascii="Baskerville Old Face" w:hAnsi="Baskerville Old Face"/>
          <w:i/>
          <w:iCs/>
        </w:rPr>
      </w:pPr>
    </w:p>
    <w:p w14:paraId="155494E9"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lastRenderedPageBreak/>
        <w:t>29. Successional Dynamics</w:t>
      </w:r>
    </w:p>
    <w:p w14:paraId="68E15B0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286CFD39"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dS_i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dt</w:t>
      </w:r>
      <w:proofErr w:type="spellEnd"/>
      <w:r w:rsidRPr="005907F1">
        <w:rPr>
          <w:rFonts w:ascii="Baskerville Old Face" w:hAnsi="Baskerville Old Face"/>
          <w:i/>
          <w:iCs/>
          <w:lang w:val="it-IT"/>
        </w:rPr>
        <w:t xml:space="preserve"> = </w:t>
      </w:r>
      <w:r w:rsidRPr="00B479AE">
        <w:rPr>
          <w:rFonts w:ascii="Cambria" w:hAnsi="Cambria" w:cs="Cambria"/>
          <w:i/>
          <w:iCs/>
        </w:rPr>
        <w:t>δ</w:t>
      </w:r>
      <w:r w:rsidRPr="005907F1">
        <w:rPr>
          <w:rFonts w:ascii="Cambria" w:hAnsi="Cambria" w:cs="Cambria"/>
          <w:i/>
          <w:iCs/>
          <w:lang w:val="it-IT"/>
        </w:rPr>
        <w:t>₁</w:t>
      </w:r>
      <w:proofErr w:type="spellStart"/>
      <w:r w:rsidRPr="005907F1">
        <w:rPr>
          <w:rFonts w:ascii="Baskerville Old Face" w:hAnsi="Baskerville Old Face"/>
          <w:i/>
          <w:iCs/>
          <w:lang w:val="it-IT"/>
        </w:rPr>
        <w:t>Biodiv_i</w:t>
      </w:r>
      <w:proofErr w:type="spellEnd"/>
      <w:r w:rsidRPr="005907F1">
        <w:rPr>
          <w:rFonts w:ascii="Baskerville Old Face" w:hAnsi="Baskerville Old Face"/>
          <w:i/>
          <w:iCs/>
          <w:lang w:val="it-IT"/>
        </w:rPr>
        <w:t xml:space="preserve"> + </w:t>
      </w:r>
      <w:r w:rsidRPr="00B479AE">
        <w:rPr>
          <w:rFonts w:ascii="Cambria" w:hAnsi="Cambria" w:cs="Cambria"/>
          <w:i/>
          <w:iCs/>
        </w:rPr>
        <w:t>δ</w:t>
      </w:r>
      <w:r w:rsidRPr="005907F1">
        <w:rPr>
          <w:rFonts w:ascii="Cambria" w:hAnsi="Cambria" w:cs="Cambria"/>
          <w:i/>
          <w:iCs/>
          <w:lang w:val="it-IT"/>
        </w:rPr>
        <w:t>₂</w:t>
      </w:r>
      <w:proofErr w:type="spellStart"/>
      <w:r w:rsidRPr="005907F1">
        <w:rPr>
          <w:rFonts w:ascii="Baskerville Old Face" w:hAnsi="Baskerville Old Face"/>
          <w:i/>
          <w:iCs/>
          <w:lang w:val="it-IT"/>
        </w:rPr>
        <w:t>F_i</w:t>
      </w:r>
      <w:proofErr w:type="spellEnd"/>
      <w:r w:rsidRPr="005907F1">
        <w:rPr>
          <w:rFonts w:ascii="Baskerville Old Face" w:hAnsi="Baskerville Old Face"/>
          <w:i/>
          <w:iCs/>
          <w:lang w:val="it-IT"/>
        </w:rPr>
        <w:t xml:space="preserve"> + </w:t>
      </w:r>
      <w:r w:rsidRPr="00B479AE">
        <w:rPr>
          <w:rFonts w:ascii="Cambria" w:hAnsi="Cambria" w:cs="Cambria"/>
          <w:i/>
          <w:iCs/>
        </w:rPr>
        <w:t>δ</w:t>
      </w:r>
      <w:r w:rsidRPr="005907F1">
        <w:rPr>
          <w:rFonts w:ascii="Cambria" w:hAnsi="Cambria" w:cs="Cambria"/>
          <w:i/>
          <w:iCs/>
          <w:lang w:val="it-IT"/>
        </w:rPr>
        <w:t>₃</w:t>
      </w:r>
      <w:proofErr w:type="spellStart"/>
      <w:r w:rsidRPr="005907F1">
        <w:rPr>
          <w:rFonts w:ascii="Baskerville Old Face" w:hAnsi="Baskerville Old Face"/>
          <w:i/>
          <w:iCs/>
          <w:lang w:val="it-IT"/>
        </w:rPr>
        <w:t>M_i^sec</w:t>
      </w:r>
      <w:proofErr w:type="spellEnd"/>
      <w:r w:rsidRPr="005907F1">
        <w:rPr>
          <w:rFonts w:ascii="Baskerville Old Face" w:hAnsi="Baskerville Old Face"/>
          <w:i/>
          <w:iCs/>
          <w:lang w:val="it-IT"/>
        </w:rPr>
        <w:t xml:space="preserve"> + </w:t>
      </w:r>
      <w:r w:rsidRPr="00B479AE">
        <w:rPr>
          <w:rFonts w:ascii="Cambria" w:hAnsi="Cambria" w:cs="Cambria"/>
          <w:i/>
          <w:iCs/>
        </w:rPr>
        <w:t>δ</w:t>
      </w:r>
      <w:r w:rsidRPr="005907F1">
        <w:rPr>
          <w:rFonts w:ascii="Cambria" w:hAnsi="Cambria" w:cs="Cambria"/>
          <w:i/>
          <w:iCs/>
          <w:lang w:val="it-IT"/>
        </w:rPr>
        <w:t>₄</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r w:rsidRPr="00B479AE">
        <w:rPr>
          <w:rFonts w:ascii="Cambria" w:hAnsi="Cambria" w:cs="Cambria"/>
          <w:i/>
          <w:iCs/>
        </w:rPr>
        <w:t>ε</w:t>
      </w:r>
      <w:r w:rsidRPr="005907F1">
        <w:rPr>
          <w:rFonts w:ascii="Cambria" w:hAnsi="Cambria" w:cs="Cambria"/>
          <w:i/>
          <w:iCs/>
          <w:lang w:val="it-IT"/>
        </w:rPr>
        <w:t>₁</w:t>
      </w:r>
      <w:proofErr w:type="spellStart"/>
      <w:r w:rsidRPr="005907F1">
        <w:rPr>
          <w:rFonts w:ascii="Baskerville Old Face" w:hAnsi="Baskerville Old Face"/>
          <w:i/>
          <w:iCs/>
          <w:lang w:val="it-IT"/>
        </w:rPr>
        <w:t>Stress_i</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w:t>
      </w:r>
      <w:r w:rsidRPr="00B479AE">
        <w:rPr>
          <w:rFonts w:ascii="Cambria" w:hAnsi="Cambria" w:cs="Cambria"/>
          <w:i/>
          <w:iCs/>
        </w:rPr>
        <w:t>ε</w:t>
      </w:r>
      <w:r w:rsidRPr="005907F1">
        <w:rPr>
          <w:rFonts w:ascii="Cambria" w:hAnsi="Cambria" w:cs="Cambria"/>
          <w:i/>
          <w:iCs/>
          <w:lang w:val="it-IT"/>
        </w:rPr>
        <w:t>₂</w:t>
      </w:r>
      <w:proofErr w:type="spellStart"/>
      <w:r w:rsidRPr="005907F1">
        <w:rPr>
          <w:rFonts w:ascii="Baskerville Old Face" w:hAnsi="Baskerville Old Face"/>
          <w:i/>
          <w:iCs/>
          <w:lang w:val="it-IT"/>
        </w:rPr>
        <w:t>Disturbance_i</w:t>
      </w:r>
      <w:proofErr w:type="spellEnd"/>
    </w:p>
    <w:p w14:paraId="783B2E9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successional target may be represented as:</w:t>
      </w:r>
    </w:p>
    <w:p w14:paraId="11779AF2"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S_i</w:t>
      </w:r>
      <w:proofErr w:type="spellEnd"/>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3</w:t>
      </w:r>
    </w:p>
    <w:p w14:paraId="347FF70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models successional movement toward maturity while preserving the possibility of regression.</w:t>
      </w:r>
    </w:p>
    <w:p w14:paraId="2C349B7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syntropic systems are dynamic, successional, and time-dependent.</w:t>
      </w:r>
    </w:p>
    <w:p w14:paraId="30AFEF75"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30. Emergent Production</w:t>
      </w:r>
    </w:p>
    <w:p w14:paraId="688232A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65DDC74B"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Y_i</w:t>
      </w:r>
      <w:proofErr w:type="spellEnd"/>
      <w:r w:rsidRPr="005907F1">
        <w:rPr>
          <w:rFonts w:ascii="Baskerville Old Face" w:hAnsi="Baskerville Old Face"/>
          <w:i/>
          <w:iCs/>
          <w:lang w:val="it-IT"/>
        </w:rPr>
        <w:t xml:space="preserve"> = </w:t>
      </w:r>
      <w:r w:rsidRPr="00B479AE">
        <w:rPr>
          <w:rFonts w:ascii="Cambria" w:hAnsi="Cambria" w:cs="Cambria"/>
          <w:i/>
          <w:iCs/>
        </w:rPr>
        <w:t>θ</w:t>
      </w:r>
      <w:r w:rsidRPr="005907F1">
        <w:rPr>
          <w:rFonts w:ascii="Baskerville Old Face" w:hAnsi="Baskerville Old Face"/>
          <w:i/>
          <w:iCs/>
          <w:lang w:val="it-IT"/>
        </w:rPr>
        <w:t xml:space="preserve">_i </w:t>
      </w:r>
      <w:r w:rsidRPr="005907F1">
        <w:rPr>
          <w:rFonts w:ascii="Cambria" w:hAnsi="Cambria" w:cs="Cambria"/>
          <w:i/>
          <w:iCs/>
          <w:lang w:val="it-IT"/>
        </w:rPr>
        <w:t>·</w:t>
      </w:r>
      <w:r w:rsidRPr="005907F1">
        <w:rPr>
          <w:rFonts w:ascii="Baskerville Old Face" w:hAnsi="Baskerville Old Face"/>
          <w:i/>
          <w:iCs/>
          <w:lang w:val="it-IT"/>
        </w:rPr>
        <w:t xml:space="preserve"> </w:t>
      </w:r>
      <w:proofErr w:type="gramStart"/>
      <w:r w:rsidRPr="005907F1">
        <w:rPr>
          <w:rFonts w:ascii="Baskerville Old Face" w:hAnsi="Baskerville Old Face"/>
          <w:i/>
          <w:iCs/>
          <w:lang w:val="it-IT"/>
        </w:rPr>
        <w:t>F(</w:t>
      </w:r>
      <w:proofErr w:type="spellStart"/>
      <w:proofErr w:type="gramEnd"/>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N_i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r w:rsidRPr="00B479AE">
        <w:rPr>
          <w:rFonts w:ascii="Cambria" w:hAnsi="Cambria" w:cs="Cambria"/>
          <w:i/>
          <w:iCs/>
        </w:rPr>
        <w:t>μ</w:t>
      </w:r>
      <w:r w:rsidRPr="005907F1">
        <w:rPr>
          <w:rFonts w:ascii="Baskerville Old Face" w:hAnsi="Baskerville Old Face"/>
          <w:i/>
          <w:iCs/>
          <w:lang w:val="it-IT"/>
        </w:rPr>
        <w:t xml:space="preserve">_i, </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F_i</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M_i^sec</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S_i</w:t>
      </w:r>
      <w:proofErr w:type="spellEnd"/>
      <w:r w:rsidRPr="005907F1">
        <w:rPr>
          <w:rFonts w:ascii="Baskerville Old Face" w:hAnsi="Baskerville Old Face"/>
          <w:i/>
          <w:iCs/>
          <w:lang w:val="it-IT"/>
        </w:rPr>
        <w:t>)</w:t>
      </w:r>
    </w:p>
    <w:p w14:paraId="083382E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expresses node-level production as a function of ecological state.</w:t>
      </w:r>
    </w:p>
    <w:p w14:paraId="3B31BF0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prevents productivity from being reduced to yield alone.</w:t>
      </w:r>
    </w:p>
    <w:p w14:paraId="7E79FA4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In Prometheus, productivity is a function of water, nutrients, carbon, soil organic matter, microbial activity, soil fauna, fungal support, biochemical state, and succession.</w:t>
      </w:r>
    </w:p>
    <w:p w14:paraId="33AEB86E"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31. System Production and Cooperative Surplus</w:t>
      </w:r>
    </w:p>
    <w:p w14:paraId="50E6242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 is protected:</w:t>
      </w:r>
    </w:p>
    <w:p w14:paraId="280513D4"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Y_sys</w:t>
      </w:r>
      <w:proofErr w:type="spellEnd"/>
      <w:r w:rsidRPr="00B479AE">
        <w:rPr>
          <w:rFonts w:ascii="Baskerville Old Face" w:hAnsi="Baskerville Old Face"/>
          <w:i/>
          <w:iCs/>
        </w:rPr>
        <w:t xml:space="preserve"> = </w:t>
      </w:r>
      <w:proofErr w:type="spellStart"/>
      <w:r w:rsidRPr="00B479AE">
        <w:rPr>
          <w:rFonts w:ascii="Cambria" w:hAnsi="Cambria" w:cs="Cambria"/>
          <w:i/>
          <w:iCs/>
        </w:rPr>
        <w:t>Σ</w:t>
      </w:r>
      <w:r w:rsidRPr="00B479AE">
        <w:rPr>
          <w:rFonts w:ascii="Baskerville Old Face" w:hAnsi="Baskerville Old Face"/>
          <w:i/>
          <w:iCs/>
        </w:rPr>
        <w:t>_iY_i</w:t>
      </w:r>
      <w:proofErr w:type="spellEnd"/>
      <w:r w:rsidRPr="00B479AE">
        <w:rPr>
          <w:rFonts w:ascii="Baskerville Old Face" w:hAnsi="Baskerville Old Face"/>
          <w:i/>
          <w:iCs/>
        </w:rPr>
        <w:t xml:space="preserve"> + </w:t>
      </w:r>
      <w:r w:rsidRPr="00B479AE">
        <w:rPr>
          <w:rFonts w:ascii="Cambria" w:hAnsi="Cambria" w:cs="Cambria"/>
          <w:i/>
          <w:iCs/>
        </w:rPr>
        <w:t>Σ</w:t>
      </w:r>
      <w:r w:rsidRPr="00B479AE">
        <w:rPr>
          <w:rFonts w:ascii="Baskerville Old Face" w:hAnsi="Baskerville Old Face"/>
          <w:i/>
          <w:iCs/>
        </w:rPr>
        <w:t>_{</w:t>
      </w:r>
      <w:proofErr w:type="spellStart"/>
      <w:r w:rsidRPr="00B479AE">
        <w:rPr>
          <w:rFonts w:ascii="Baskerville Old Face" w:hAnsi="Baskerville Old Face"/>
          <w:i/>
          <w:iCs/>
        </w:rPr>
        <w:t>i</w:t>
      </w:r>
      <w:r w:rsidRPr="00B479AE">
        <w:rPr>
          <w:rFonts w:ascii="Baskerville Old Face" w:hAnsi="Baskerville Old Face" w:cs="Baskerville Old Face"/>
          <w:i/>
          <w:iCs/>
        </w:rPr>
        <w:t>≠</w:t>
      </w:r>
      <w:proofErr w:type="gramStart"/>
      <w:r w:rsidRPr="00B479AE">
        <w:rPr>
          <w:rFonts w:ascii="Baskerville Old Face" w:hAnsi="Baskerville Old Face"/>
          <w:i/>
          <w:iCs/>
        </w:rPr>
        <w:t>j</w:t>
      </w:r>
      <w:proofErr w:type="spellEnd"/>
      <w:r w:rsidRPr="00B479AE">
        <w:rPr>
          <w:rFonts w:ascii="Baskerville Old Face" w:hAnsi="Baskerville Old Face"/>
          <w:i/>
          <w:iCs/>
        </w:rPr>
        <w:t>}</w:t>
      </w:r>
      <w:proofErr w:type="spellStart"/>
      <w:r w:rsidRPr="00B479AE">
        <w:rPr>
          <w:rFonts w:ascii="Cambria" w:hAnsi="Cambria" w:cs="Cambria"/>
          <w:i/>
          <w:iCs/>
        </w:rPr>
        <w:t>Ω</w:t>
      </w:r>
      <w:proofErr w:type="gramEnd"/>
      <w:r w:rsidRPr="00B479AE">
        <w:rPr>
          <w:rFonts w:ascii="Baskerville Old Face" w:hAnsi="Baskerville Old Face"/>
          <w:i/>
          <w:iCs/>
        </w:rPr>
        <w:t>_ij</w:t>
      </w:r>
      <w:proofErr w:type="spellEnd"/>
    </w:p>
    <w:p w14:paraId="65D67FE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formula is a core syntropic superiority hypothesis.</w:t>
      </w:r>
    </w:p>
    <w:p w14:paraId="70F6DE7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states that total system output may include cooperation-derived surplus.</w:t>
      </w:r>
    </w:p>
    <w:p w14:paraId="49C0A77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system may produce more than the isolated sum of its parts when ecological interactions generate beneficial network effects.</w:t>
      </w:r>
    </w:p>
    <w:p w14:paraId="7EE53101"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must be treated as a testable hypothesis, not a decorative claim.</w:t>
      </w:r>
    </w:p>
    <w:p w14:paraId="4A1AE313"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lastRenderedPageBreak/>
        <w:t>32. System Value Function</w:t>
      </w:r>
    </w:p>
    <w:p w14:paraId="04861E9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284FE2F7"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V_sys</w:t>
      </w:r>
      <w:proofErr w:type="spellEnd"/>
      <w:r w:rsidRPr="005907F1">
        <w:rPr>
          <w:rFonts w:ascii="Baskerville Old Face" w:hAnsi="Baskerville Old Face"/>
          <w:i/>
          <w:iCs/>
          <w:lang w:val="it-IT"/>
        </w:rPr>
        <w:t xml:space="preserve"> = </w:t>
      </w:r>
      <w:r w:rsidRPr="00B479AE">
        <w:rPr>
          <w:rFonts w:ascii="Cambria" w:hAnsi="Cambria" w:cs="Cambria"/>
          <w:i/>
          <w:iCs/>
        </w:rPr>
        <w:t>Σ</w:t>
      </w:r>
      <w:r w:rsidRPr="005907F1">
        <w:rPr>
          <w:rFonts w:ascii="Baskerville Old Face" w:hAnsi="Baskerville Old Face"/>
          <w:i/>
          <w:iCs/>
          <w:lang w:val="it-IT"/>
        </w:rPr>
        <w:t>_</w:t>
      </w:r>
      <w:proofErr w:type="gramStart"/>
      <w:r w:rsidRPr="005907F1">
        <w:rPr>
          <w:rFonts w:ascii="Baskerville Old Face" w:hAnsi="Baskerville Old Face"/>
          <w:i/>
          <w:iCs/>
          <w:lang w:val="it-IT"/>
        </w:rPr>
        <w:t>i(</w:t>
      </w:r>
      <w:proofErr w:type="spellStart"/>
      <w:proofErr w:type="gramEnd"/>
      <w:r w:rsidRPr="005907F1">
        <w:rPr>
          <w:rFonts w:ascii="Baskerville Old Face" w:hAnsi="Baskerville Old Face"/>
          <w:i/>
          <w:iCs/>
          <w:lang w:val="it-IT"/>
        </w:rPr>
        <w:t>Y_i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ES_i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Stab_i</w:t>
      </w:r>
      <w:proofErr w:type="spellEnd"/>
      <w:r w:rsidRPr="005907F1">
        <w:rPr>
          <w:rFonts w:ascii="Baskerville Old Face" w:hAnsi="Baskerville Old Face"/>
          <w:i/>
          <w:iCs/>
          <w:lang w:val="it-IT"/>
        </w:rPr>
        <w:t>)</w:t>
      </w:r>
    </w:p>
    <w:p w14:paraId="1BC2F759" w14:textId="77777777" w:rsidR="003C487D" w:rsidRPr="005907F1" w:rsidRDefault="003C487D" w:rsidP="003C487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V_sys</w:t>
      </w:r>
      <w:proofErr w:type="spellEnd"/>
      <w:r w:rsidRPr="005907F1">
        <w:rPr>
          <w:rFonts w:ascii="Baskerville Old Face" w:hAnsi="Baskerville Old Face"/>
          <w:i/>
          <w:iCs/>
          <w:lang w:val="it-IT"/>
        </w:rPr>
        <w:t xml:space="preserve"> = </w:t>
      </w:r>
      <w:r w:rsidRPr="00B479AE">
        <w:rPr>
          <w:rFonts w:ascii="Cambria" w:hAnsi="Cambria" w:cs="Cambria"/>
          <w:i/>
          <w:iCs/>
        </w:rPr>
        <w:t>Σ</w:t>
      </w:r>
      <w:r w:rsidRPr="005907F1">
        <w:rPr>
          <w:rFonts w:ascii="Baskerville Old Face" w:hAnsi="Baskerville Old Face"/>
          <w:i/>
          <w:iCs/>
          <w:lang w:val="it-IT"/>
        </w:rPr>
        <w:t>_</w:t>
      </w:r>
      <w:proofErr w:type="gramStart"/>
      <w:r w:rsidRPr="005907F1">
        <w:rPr>
          <w:rFonts w:ascii="Baskerville Old Face" w:hAnsi="Baskerville Old Face"/>
          <w:i/>
          <w:iCs/>
          <w:lang w:val="it-IT"/>
        </w:rPr>
        <w:t>i(</w:t>
      </w:r>
      <w:proofErr w:type="spellStart"/>
      <w:proofErr w:type="gramEnd"/>
      <w:r w:rsidRPr="005907F1">
        <w:rPr>
          <w:rFonts w:ascii="Baskerville Old Face" w:hAnsi="Baskerville Old Face"/>
          <w:i/>
          <w:iCs/>
          <w:lang w:val="it-IT"/>
        </w:rPr>
        <w:t>p_yY_i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p_cC_i^seq</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p_wW_i^ret</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p_bB_i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p_s</w:t>
      </w:r>
      <w:proofErr w:type="spellEnd"/>
      <w:r w:rsidRPr="00B479AE">
        <w:rPr>
          <w:rFonts w:ascii="Cambria" w:hAnsi="Cambria" w:cs="Cambria"/>
          <w:i/>
          <w:iCs/>
        </w:rPr>
        <w:t>Σ</w:t>
      </w:r>
      <w:r w:rsidRPr="005907F1">
        <w:rPr>
          <w:rFonts w:ascii="Baskerville Old Face" w:hAnsi="Baskerville Old Face"/>
          <w:i/>
          <w:iCs/>
          <w:lang w:val="it-IT"/>
        </w:rPr>
        <w:t>_i)</w:t>
      </w:r>
    </w:p>
    <w:p w14:paraId="2197CE1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Where relevant:</w:t>
      </w:r>
    </w:p>
    <w:p w14:paraId="57CA7AD5"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Y_i</w:t>
      </w:r>
      <w:proofErr w:type="spellEnd"/>
      <w:r w:rsidRPr="00B479AE">
        <w:rPr>
          <w:rFonts w:ascii="Baskerville Old Face" w:hAnsi="Baskerville Old Face"/>
          <w:i/>
          <w:iCs/>
        </w:rPr>
        <w:t xml:space="preserve"> = productive output</w:t>
      </w:r>
      <w:r w:rsidRPr="00B479AE">
        <w:rPr>
          <w:rFonts w:ascii="Baskerville Old Face" w:hAnsi="Baskerville Old Face"/>
          <w:i/>
          <w:iCs/>
        </w:rPr>
        <w:br/>
      </w:r>
      <w:proofErr w:type="spellStart"/>
      <w:r w:rsidRPr="00B479AE">
        <w:rPr>
          <w:rFonts w:ascii="Baskerville Old Face" w:hAnsi="Baskerville Old Face"/>
          <w:i/>
          <w:iCs/>
        </w:rPr>
        <w:t>ES_i</w:t>
      </w:r>
      <w:proofErr w:type="spellEnd"/>
      <w:r w:rsidRPr="00B479AE">
        <w:rPr>
          <w:rFonts w:ascii="Baskerville Old Face" w:hAnsi="Baskerville Old Face"/>
          <w:i/>
          <w:iCs/>
        </w:rPr>
        <w:t xml:space="preserve"> = ecosystem-service contribution</w:t>
      </w:r>
      <w:r w:rsidRPr="00B479AE">
        <w:rPr>
          <w:rFonts w:ascii="Baskerville Old Face" w:hAnsi="Baskerville Old Face"/>
          <w:i/>
          <w:iCs/>
        </w:rPr>
        <w:br/>
      </w:r>
      <w:proofErr w:type="spellStart"/>
      <w:r w:rsidRPr="00B479AE">
        <w:rPr>
          <w:rFonts w:ascii="Baskerville Old Face" w:hAnsi="Baskerville Old Face"/>
          <w:i/>
          <w:iCs/>
        </w:rPr>
        <w:t>Stab_i</w:t>
      </w:r>
      <w:proofErr w:type="spellEnd"/>
      <w:r w:rsidRPr="00B479AE">
        <w:rPr>
          <w:rFonts w:ascii="Baskerville Old Face" w:hAnsi="Baskerville Old Face"/>
          <w:i/>
          <w:iCs/>
        </w:rPr>
        <w:t xml:space="preserve"> = stability or resilience contribution</w:t>
      </w:r>
      <w:r w:rsidRPr="00B479AE">
        <w:rPr>
          <w:rFonts w:ascii="Baskerville Old Face" w:hAnsi="Baskerville Old Face"/>
          <w:i/>
          <w:iCs/>
        </w:rPr>
        <w:br/>
      </w:r>
      <w:proofErr w:type="spellStart"/>
      <w:r w:rsidRPr="00B479AE">
        <w:rPr>
          <w:rFonts w:ascii="Baskerville Old Face" w:hAnsi="Baskerville Old Face"/>
          <w:i/>
          <w:iCs/>
        </w:rPr>
        <w:t>C_i^seq</w:t>
      </w:r>
      <w:proofErr w:type="spellEnd"/>
      <w:r w:rsidRPr="00B479AE">
        <w:rPr>
          <w:rFonts w:ascii="Baskerville Old Face" w:hAnsi="Baskerville Old Face"/>
          <w:i/>
          <w:iCs/>
        </w:rPr>
        <w:t xml:space="preserve"> = carbon sequestration or storage component</w:t>
      </w:r>
      <w:r w:rsidRPr="00B479AE">
        <w:rPr>
          <w:rFonts w:ascii="Baskerville Old Face" w:hAnsi="Baskerville Old Face"/>
          <w:i/>
          <w:iCs/>
        </w:rPr>
        <w:br/>
      </w:r>
      <w:proofErr w:type="spellStart"/>
      <w:r w:rsidRPr="00B479AE">
        <w:rPr>
          <w:rFonts w:ascii="Baskerville Old Face" w:hAnsi="Baskerville Old Face"/>
          <w:i/>
          <w:iCs/>
        </w:rPr>
        <w:t>W_i^ret</w:t>
      </w:r>
      <w:proofErr w:type="spellEnd"/>
      <w:r w:rsidRPr="00B479AE">
        <w:rPr>
          <w:rFonts w:ascii="Baskerville Old Face" w:hAnsi="Baskerville Old Face"/>
          <w:i/>
          <w:iCs/>
        </w:rPr>
        <w:t xml:space="preserve"> = water retention component</w:t>
      </w:r>
      <w:r w:rsidRPr="00B479AE">
        <w:rPr>
          <w:rFonts w:ascii="Baskerville Old Face" w:hAnsi="Baskerville Old Face"/>
          <w:i/>
          <w:iCs/>
        </w:rPr>
        <w:br/>
      </w:r>
      <w:proofErr w:type="spellStart"/>
      <w:r w:rsidRPr="00B479AE">
        <w:rPr>
          <w:rFonts w:ascii="Baskerville Old Face" w:hAnsi="Baskerville Old Face"/>
          <w:i/>
          <w:iCs/>
        </w:rPr>
        <w:t>B_i</w:t>
      </w:r>
      <w:proofErr w:type="spellEnd"/>
      <w:r w:rsidRPr="00B479AE">
        <w:rPr>
          <w:rFonts w:ascii="Baskerville Old Face" w:hAnsi="Baskerville Old Face"/>
          <w:i/>
          <w:iCs/>
        </w:rPr>
        <w:t xml:space="preserve"> = biodiversity component</w:t>
      </w:r>
      <w:r w:rsidRPr="00B479AE">
        <w:rPr>
          <w:rFonts w:ascii="Baskerville Old Face" w:hAnsi="Baskerville Old Face"/>
          <w:i/>
          <w:iCs/>
        </w:rPr>
        <w:br/>
      </w:r>
      <w:proofErr w:type="spellStart"/>
      <w:r w:rsidRPr="00B479AE">
        <w:rPr>
          <w:rFonts w:ascii="Cambria" w:hAnsi="Cambria" w:cs="Cambria"/>
          <w:i/>
          <w:iCs/>
        </w:rPr>
        <w:t>Σ</w:t>
      </w:r>
      <w:r w:rsidRPr="00B479AE">
        <w:rPr>
          <w:rFonts w:ascii="Baskerville Old Face" w:hAnsi="Baskerville Old Face"/>
          <w:i/>
          <w:iCs/>
        </w:rPr>
        <w:t>_i</w:t>
      </w:r>
      <w:proofErr w:type="spellEnd"/>
      <w:r w:rsidRPr="00B479AE">
        <w:rPr>
          <w:rFonts w:ascii="Baskerville Old Face" w:hAnsi="Baskerville Old Face"/>
          <w:i/>
          <w:iCs/>
        </w:rPr>
        <w:t xml:space="preserve"> = systemic or syntropic surplus component</w:t>
      </w:r>
    </w:p>
    <w:p w14:paraId="0DD730D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bridge ecological intelligence to OHE valuation and PRU logic.</w:t>
      </w:r>
    </w:p>
    <w:p w14:paraId="1379A4C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must remain subject to admissibility, confidence scoring, anti-double-counting controls, and legal review where financially used.</w:t>
      </w:r>
    </w:p>
    <w:p w14:paraId="509F950A"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33. MRV Translation Pathway</w:t>
      </w:r>
    </w:p>
    <w:p w14:paraId="1525839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sequence is protected:</w:t>
      </w:r>
    </w:p>
    <w:p w14:paraId="5B36F5D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latent ecological state </w:t>
      </w:r>
      <w:r w:rsidRPr="00B479AE">
        <w:rPr>
          <w:rFonts w:ascii="Times New Roman" w:hAnsi="Times New Roman" w:cs="Times New Roman"/>
          <w:i/>
          <w:iCs/>
        </w:rPr>
        <w:t>→</w:t>
      </w:r>
      <w:r w:rsidRPr="00B479AE">
        <w:rPr>
          <w:rFonts w:ascii="Baskerville Old Face" w:hAnsi="Baskerville Old Face"/>
          <w:i/>
          <w:iCs/>
        </w:rPr>
        <w:t xml:space="preserve"> observable proxies </w:t>
      </w:r>
      <w:r w:rsidRPr="00B479AE">
        <w:rPr>
          <w:rFonts w:ascii="Times New Roman" w:hAnsi="Times New Roman" w:cs="Times New Roman"/>
          <w:i/>
          <w:iCs/>
        </w:rPr>
        <w:t>→</w:t>
      </w:r>
      <w:r w:rsidRPr="00B479AE">
        <w:rPr>
          <w:rFonts w:ascii="Baskerville Old Face" w:hAnsi="Baskerville Old Face"/>
          <w:i/>
          <w:iCs/>
        </w:rPr>
        <w:t xml:space="preserve"> validated indicators </w:t>
      </w:r>
      <w:r w:rsidRPr="00B479AE">
        <w:rPr>
          <w:rFonts w:ascii="Times New Roman" w:hAnsi="Times New Roman" w:cs="Times New Roman"/>
          <w:i/>
          <w:iCs/>
        </w:rPr>
        <w:t>→</w:t>
      </w:r>
      <w:r w:rsidRPr="00B479AE">
        <w:rPr>
          <w:rFonts w:ascii="Baskerville Old Face" w:hAnsi="Baskerville Old Face"/>
          <w:i/>
          <w:iCs/>
        </w:rPr>
        <w:t xml:space="preserve"> confidence scores </w:t>
      </w:r>
      <w:r w:rsidRPr="00B479AE">
        <w:rPr>
          <w:rFonts w:ascii="Times New Roman" w:hAnsi="Times New Roman" w:cs="Times New Roman"/>
          <w:i/>
          <w:iCs/>
        </w:rPr>
        <w:t>→</w:t>
      </w:r>
      <w:r w:rsidRPr="00B479AE">
        <w:rPr>
          <w:rFonts w:ascii="Baskerville Old Face" w:hAnsi="Baskerville Old Face"/>
          <w:i/>
          <w:iCs/>
        </w:rPr>
        <w:t xml:space="preserve"> admissible value signals</w:t>
      </w:r>
    </w:p>
    <w:p w14:paraId="6682818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the epistemic bridge from ecological complexity to institutional value.</w:t>
      </w:r>
    </w:p>
    <w:p w14:paraId="37B060B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because it explains how invisible or complex ecological dynamics become progressively observable, validated, and admissible.</w:t>
      </w:r>
    </w:p>
    <w:p w14:paraId="6EF9159B"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34. Validation Hypotheses</w:t>
      </w:r>
    </w:p>
    <w:p w14:paraId="64BEE0E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formulas are protected:</w:t>
      </w:r>
    </w:p>
    <w:p w14:paraId="09C6F90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∂Var(Y) / ∂F</w:t>
      </w:r>
      <w:r w:rsidRPr="00B479AE">
        <w:rPr>
          <w:rFonts w:ascii="Cambria Math" w:hAnsi="Cambria Math" w:cs="Cambria Math"/>
          <w:i/>
          <w:iCs/>
        </w:rPr>
        <w:t>₁</w:t>
      </w:r>
      <w:r w:rsidRPr="00B479AE">
        <w:rPr>
          <w:rFonts w:ascii="Baskerville Old Face" w:hAnsi="Baskerville Old Face"/>
          <w:i/>
          <w:iCs/>
        </w:rPr>
        <w:t xml:space="preserve"> &lt; 0</w:t>
      </w:r>
    </w:p>
    <w:p w14:paraId="314C45B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∂H</w:t>
      </w:r>
      <w:r w:rsidRPr="00B479AE">
        <w:rPr>
          <w:rFonts w:ascii="Cambria Math" w:hAnsi="Cambria Math" w:cs="Cambria Math"/>
          <w:i/>
          <w:iCs/>
        </w:rPr>
        <w:t>₂</w:t>
      </w:r>
      <w:r w:rsidRPr="00B479AE">
        <w:rPr>
          <w:rFonts w:ascii="Baskerville Old Face" w:hAnsi="Baskerville Old Face"/>
          <w:i/>
          <w:iCs/>
        </w:rPr>
        <w:t xml:space="preserve"> / </w:t>
      </w:r>
      <w:r w:rsidRPr="00B479AE">
        <w:rPr>
          <w:rFonts w:ascii="Baskerville Old Face" w:hAnsi="Baskerville Old Face" w:cs="Baskerville Old Face"/>
          <w:i/>
          <w:iCs/>
        </w:rPr>
        <w:t>∂</w:t>
      </w:r>
      <w:r w:rsidRPr="00B479AE">
        <w:rPr>
          <w:rFonts w:ascii="Baskerville Old Face" w:hAnsi="Baskerville Old Face"/>
          <w:i/>
          <w:iCs/>
        </w:rPr>
        <w:t>S</w:t>
      </w:r>
      <w:r w:rsidRPr="00B479AE">
        <w:rPr>
          <w:rFonts w:ascii="Cambria Math" w:hAnsi="Cambria Math" w:cs="Cambria Math"/>
          <w:i/>
          <w:iCs/>
        </w:rPr>
        <w:t>₃</w:t>
      </w:r>
      <w:r w:rsidRPr="00B479AE">
        <w:rPr>
          <w:rFonts w:ascii="Baskerville Old Face" w:hAnsi="Baskerville Old Face"/>
          <w:i/>
          <w:iCs/>
        </w:rPr>
        <w:t xml:space="preserve"> &gt; 0</w:t>
      </w:r>
    </w:p>
    <w:p w14:paraId="561BD5A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∂H</w:t>
      </w:r>
      <w:r w:rsidRPr="00B479AE">
        <w:rPr>
          <w:rFonts w:ascii="Cambria Math" w:hAnsi="Cambria Math" w:cs="Cambria Math"/>
          <w:i/>
          <w:iCs/>
        </w:rPr>
        <w:t>₂</w:t>
      </w:r>
      <w:r w:rsidRPr="00B479AE">
        <w:rPr>
          <w:rFonts w:ascii="Baskerville Old Face" w:hAnsi="Baskerville Old Face"/>
          <w:i/>
          <w:iCs/>
        </w:rPr>
        <w:t xml:space="preserve"> / </w:t>
      </w:r>
      <w:r w:rsidRPr="00B479AE">
        <w:rPr>
          <w:rFonts w:ascii="Baskerville Old Face" w:hAnsi="Baskerville Old Face" w:cs="Baskerville Old Face"/>
          <w:i/>
          <w:iCs/>
        </w:rPr>
        <w:t>∂</w:t>
      </w:r>
      <w:r w:rsidRPr="00B479AE">
        <w:rPr>
          <w:rFonts w:ascii="Baskerville Old Face" w:hAnsi="Baskerville Old Face"/>
          <w:i/>
          <w:iCs/>
        </w:rPr>
        <w:t>S</w:t>
      </w:r>
      <w:r w:rsidRPr="00B479AE">
        <w:rPr>
          <w:rFonts w:ascii="Cambria Math" w:hAnsi="Cambria Math" w:cs="Cambria Math"/>
          <w:i/>
          <w:iCs/>
        </w:rPr>
        <w:t>₂</w:t>
      </w:r>
      <w:r w:rsidRPr="00B479AE">
        <w:rPr>
          <w:rFonts w:ascii="Baskerville Old Face" w:hAnsi="Baskerville Old Face"/>
          <w:i/>
          <w:iCs/>
        </w:rPr>
        <w:t xml:space="preserve"> &gt; 0</w:t>
      </w:r>
    </w:p>
    <w:p w14:paraId="04E01C6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∂Y</w:t>
      </w:r>
      <w:r w:rsidRPr="00B479AE">
        <w:rPr>
          <w:rFonts w:ascii="Cambria Math" w:hAnsi="Cambria Math" w:cs="Cambria Math"/>
          <w:i/>
          <w:iCs/>
        </w:rPr>
        <w:t>₃</w:t>
      </w:r>
      <w:r w:rsidRPr="00B479AE">
        <w:rPr>
          <w:rFonts w:ascii="Baskerville Old Face" w:hAnsi="Baskerville Old Face"/>
          <w:i/>
          <w:iCs/>
        </w:rPr>
        <w:t xml:space="preserve"> / </w:t>
      </w:r>
      <w:r w:rsidRPr="00B479AE">
        <w:rPr>
          <w:rFonts w:ascii="Baskerville Old Face" w:hAnsi="Baskerville Old Face" w:cs="Baskerville Old Face"/>
          <w:i/>
          <w:iCs/>
        </w:rPr>
        <w:t>∂</w:t>
      </w:r>
      <w:r w:rsidRPr="00B479AE">
        <w:rPr>
          <w:rFonts w:ascii="Baskerville Old Face" w:hAnsi="Baskerville Old Face"/>
          <w:i/>
          <w:iCs/>
        </w:rPr>
        <w:t>S</w:t>
      </w:r>
      <w:r w:rsidRPr="00B479AE">
        <w:rPr>
          <w:rFonts w:ascii="Cambria Math" w:hAnsi="Cambria Math" w:cs="Cambria Math"/>
          <w:i/>
          <w:iCs/>
        </w:rPr>
        <w:t>₁</w:t>
      </w:r>
      <w:r w:rsidRPr="00B479AE">
        <w:rPr>
          <w:rFonts w:ascii="Baskerville Old Face" w:hAnsi="Baskerville Old Face"/>
          <w:i/>
          <w:iCs/>
        </w:rPr>
        <w:t xml:space="preserve"> &gt; 0</w:t>
      </w:r>
    </w:p>
    <w:p w14:paraId="24AF09EB"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w:t>
      </w:r>
      <w:proofErr w:type="spellStart"/>
      <w:r w:rsidRPr="00B479AE">
        <w:rPr>
          <w:rFonts w:ascii="Baskerville Old Face" w:hAnsi="Baskerville Old Face"/>
          <w:i/>
          <w:iCs/>
        </w:rPr>
        <w:t>StressDamage</w:t>
      </w:r>
      <w:proofErr w:type="spellEnd"/>
      <w:r w:rsidRPr="00B479AE">
        <w:rPr>
          <w:rFonts w:ascii="Baskerville Old Face" w:hAnsi="Baskerville Old Face"/>
          <w:i/>
          <w:iCs/>
        </w:rPr>
        <w:t xml:space="preserve"> / ∂B</w:t>
      </w:r>
      <w:r w:rsidRPr="00B479AE">
        <w:rPr>
          <w:rFonts w:ascii="Cambria Math" w:hAnsi="Cambria Math" w:cs="Cambria Math"/>
          <w:i/>
          <w:iCs/>
        </w:rPr>
        <w:t>₂</w:t>
      </w:r>
      <w:r w:rsidRPr="00B479AE">
        <w:rPr>
          <w:rFonts w:ascii="Baskerville Old Face" w:hAnsi="Baskerville Old Face"/>
          <w:i/>
          <w:iCs/>
        </w:rPr>
        <w:t xml:space="preserve"> &lt; 0</w:t>
      </w:r>
    </w:p>
    <w:p w14:paraId="6A1C3610" w14:textId="77777777" w:rsidR="003C487D" w:rsidRPr="00B479AE" w:rsidRDefault="003C487D" w:rsidP="003C487D">
      <w:pPr>
        <w:spacing w:line="360" w:lineRule="auto"/>
        <w:rPr>
          <w:rFonts w:ascii="Baskerville Old Face" w:hAnsi="Baskerville Old Face"/>
          <w:i/>
          <w:iCs/>
        </w:rPr>
      </w:pPr>
      <w:proofErr w:type="spellStart"/>
      <w:r w:rsidRPr="00B479AE">
        <w:rPr>
          <w:rFonts w:ascii="Baskerville Old Face" w:hAnsi="Baskerville Old Face"/>
          <w:i/>
          <w:iCs/>
        </w:rPr>
        <w:t>Y_sys</w:t>
      </w:r>
      <w:proofErr w:type="spellEnd"/>
      <w:r w:rsidRPr="00B479AE">
        <w:rPr>
          <w:rFonts w:ascii="Baskerville Old Face" w:hAnsi="Baskerville Old Face"/>
          <w:i/>
          <w:iCs/>
        </w:rPr>
        <w:t xml:space="preserve"> &gt; </w:t>
      </w:r>
      <w:proofErr w:type="spellStart"/>
      <w:r w:rsidRPr="00B479AE">
        <w:rPr>
          <w:rFonts w:ascii="Cambria" w:hAnsi="Cambria" w:cs="Cambria"/>
          <w:i/>
          <w:iCs/>
        </w:rPr>
        <w:t>Σ</w:t>
      </w:r>
      <w:r w:rsidRPr="00B479AE">
        <w:rPr>
          <w:rFonts w:ascii="Baskerville Old Face" w:hAnsi="Baskerville Old Face"/>
          <w:i/>
          <w:iCs/>
        </w:rPr>
        <w:t>_iY_i^isolated</w:t>
      </w:r>
      <w:proofErr w:type="spellEnd"/>
    </w:p>
    <w:p w14:paraId="5752FEC5"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These formulas make the model falsifiable and scientifically testable.</w:t>
      </w:r>
    </w:p>
    <w:p w14:paraId="2604A82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They should be preserved because Prometheus must not rely only on narrative elegance.</w:t>
      </w:r>
    </w:p>
    <w:p w14:paraId="1BB4B3A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must define hypotheses that can be tested against evidence.</w:t>
      </w:r>
    </w:p>
    <w:p w14:paraId="643D4E22"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35. Autopoietic Loop</w:t>
      </w:r>
    </w:p>
    <w:p w14:paraId="1EEB5156"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sequence is protected:</w:t>
      </w:r>
    </w:p>
    <w:p w14:paraId="449C01B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Environment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AI-assisted interpretation </w:t>
      </w:r>
      <w:r w:rsidRPr="00B479AE">
        <w:rPr>
          <w:rFonts w:ascii="Times New Roman" w:hAnsi="Times New Roman" w:cs="Times New Roman"/>
          <w:i/>
          <w:iCs/>
        </w:rPr>
        <w:t>→</w:t>
      </w:r>
      <w:r w:rsidRPr="00B479AE">
        <w:rPr>
          <w:rFonts w:ascii="Baskerville Old Face" w:hAnsi="Baskerville Old Face"/>
          <w:i/>
          <w:iCs/>
        </w:rPr>
        <w:t xml:space="preserve"> structured reasoning </w:t>
      </w:r>
      <w:r w:rsidRPr="00B479AE">
        <w:rPr>
          <w:rFonts w:ascii="Times New Roman" w:hAnsi="Times New Roman" w:cs="Times New Roman"/>
          <w:i/>
          <w:iCs/>
        </w:rPr>
        <w:t>→</w:t>
      </w:r>
      <w:r w:rsidRPr="00B479AE">
        <w:rPr>
          <w:rFonts w:ascii="Baskerville Old Face" w:hAnsi="Baskerville Old Face"/>
          <w:i/>
          <w:iCs/>
        </w:rPr>
        <w:t xml:space="preserve"> evaluation </w:t>
      </w:r>
      <w:r w:rsidRPr="00B479AE">
        <w:rPr>
          <w:rFonts w:ascii="Times New Roman" w:hAnsi="Times New Roman" w:cs="Times New Roman"/>
          <w:i/>
          <w:iCs/>
        </w:rPr>
        <w:t>→</w:t>
      </w:r>
      <w:r w:rsidRPr="00B479AE">
        <w:rPr>
          <w:rFonts w:ascii="Baskerville Old Face" w:hAnsi="Baskerville Old Face"/>
          <w:i/>
          <w:iCs/>
        </w:rPr>
        <w:t xml:space="preserve"> decision </w:t>
      </w:r>
      <w:r w:rsidRPr="00B479AE">
        <w:rPr>
          <w:rFonts w:ascii="Times New Roman" w:hAnsi="Times New Roman" w:cs="Times New Roman"/>
          <w:i/>
          <w:iCs/>
        </w:rPr>
        <w:t>→</w:t>
      </w:r>
      <w:r w:rsidRPr="00B479AE">
        <w:rPr>
          <w:rFonts w:ascii="Baskerville Old Face" w:hAnsi="Baskerville Old Face"/>
          <w:i/>
          <w:iCs/>
        </w:rPr>
        <w:t xml:space="preserve"> action </w:t>
      </w:r>
      <w:r w:rsidRPr="00B479AE">
        <w:rPr>
          <w:rFonts w:ascii="Times New Roman" w:hAnsi="Times New Roman" w:cs="Times New Roman"/>
          <w:i/>
          <w:iCs/>
        </w:rPr>
        <w:t>→</w:t>
      </w:r>
      <w:r w:rsidRPr="00B479AE">
        <w:rPr>
          <w:rFonts w:ascii="Baskerville Old Face" w:hAnsi="Baskerville Old Face"/>
          <w:i/>
          <w:iCs/>
        </w:rPr>
        <w:t xml:space="preserve"> environment</w:t>
      </w:r>
    </w:p>
    <w:p w14:paraId="2FF9DF0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loop expresses the adaptive learning cycle of Prometheus.</w:t>
      </w:r>
    </w:p>
    <w:p w14:paraId="1FED254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but always with a review-bound AI boundary.</w:t>
      </w:r>
    </w:p>
    <w:p w14:paraId="67BC98B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AI may assist interpretation.</w:t>
      </w:r>
    </w:p>
    <w:p w14:paraId="493BA8F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may not independently authorize ecological action, PRU value, token issuance, investment decisions, governance outcomes, legal rights, or investor-facing claims.</w:t>
      </w:r>
    </w:p>
    <w:p w14:paraId="357CA10C"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36. Uncertainty-to-Capital Efficiency Sequence</w:t>
      </w:r>
    </w:p>
    <w:p w14:paraId="093B069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sequence is protected:</w:t>
      </w:r>
    </w:p>
    <w:p w14:paraId="38781E9A"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uncertainty </w:t>
      </w:r>
      <w:r w:rsidRPr="00B479AE">
        <w:rPr>
          <w:rFonts w:ascii="Times New Roman" w:hAnsi="Times New Roman" w:cs="Times New Roman"/>
          <w:i/>
          <w:iCs/>
        </w:rPr>
        <w:t>↓</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predictability </w:t>
      </w:r>
      <w:r w:rsidRPr="00B479AE">
        <w:rPr>
          <w:rFonts w:ascii="Times New Roman" w:hAnsi="Times New Roman" w:cs="Times New Roman"/>
          <w:i/>
          <w:iCs/>
        </w:rPr>
        <w:t>↑</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risk </w:t>
      </w:r>
      <w:r w:rsidRPr="00B479AE">
        <w:rPr>
          <w:rFonts w:ascii="Times New Roman" w:hAnsi="Times New Roman" w:cs="Times New Roman"/>
          <w:i/>
          <w:iCs/>
        </w:rPr>
        <w:t>↓</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capital efficiency </w:t>
      </w:r>
      <w:r w:rsidRPr="00B479AE">
        <w:rPr>
          <w:rFonts w:ascii="Times New Roman" w:hAnsi="Times New Roman" w:cs="Times New Roman"/>
          <w:i/>
          <w:iCs/>
        </w:rPr>
        <w:t>↑</w:t>
      </w:r>
    </w:p>
    <w:p w14:paraId="733AD4A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a core investment-readiness logic.</w:t>
      </w:r>
    </w:p>
    <w:p w14:paraId="58A43187" w14:textId="495E4846"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lastRenderedPageBreak/>
        <w:t>It explains how improved evidence, better governance, stronger MRV, and verified ecological performance can reduce uncertainty and increase capital efficiency.</w:t>
      </w:r>
      <w:r w:rsidR="008B3117">
        <w:rPr>
          <w:rFonts w:ascii="Baskerville Old Face" w:hAnsi="Baskerville Old Face"/>
          <w:i/>
          <w:iCs/>
        </w:rPr>
        <w:t xml:space="preserve"> </w:t>
      </w:r>
      <w:r w:rsidRPr="00B479AE">
        <w:rPr>
          <w:rFonts w:ascii="Baskerville Old Face" w:hAnsi="Baskerville Old Face"/>
          <w:i/>
          <w:iCs/>
        </w:rPr>
        <w:t>It does not guarantee lower risk.</w:t>
      </w:r>
    </w:p>
    <w:p w14:paraId="2E0CE8B4"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describes the pathway through which disciplined information can improve underwriting quality.</w:t>
      </w:r>
    </w:p>
    <w:p w14:paraId="255B655F"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37. Tokenization Sequence</w:t>
      </w:r>
    </w:p>
    <w:p w14:paraId="3E4CB77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sequence is protected:</w:t>
      </w:r>
    </w:p>
    <w:p w14:paraId="202734C9" w14:textId="6D11BB55"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ecological process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verified indicator </w:t>
      </w:r>
      <w:r w:rsidRPr="00B479AE">
        <w:rPr>
          <w:rFonts w:ascii="Times New Roman" w:hAnsi="Times New Roman" w:cs="Times New Roman"/>
          <w:i/>
          <w:iCs/>
        </w:rPr>
        <w:t>→</w:t>
      </w:r>
      <w:r w:rsidRPr="00B479AE">
        <w:rPr>
          <w:rFonts w:ascii="Baskerville Old Face" w:hAnsi="Baskerville Old Face"/>
          <w:i/>
          <w:iCs/>
        </w:rPr>
        <w:t xml:space="preserve"> PRU </w:t>
      </w:r>
      <w:r w:rsidRPr="00B479AE">
        <w:rPr>
          <w:rFonts w:ascii="Times New Roman" w:hAnsi="Times New Roman" w:cs="Times New Roman"/>
          <w:i/>
          <w:iCs/>
        </w:rPr>
        <w:t>→</w:t>
      </w:r>
      <w:r w:rsidRPr="00B479AE">
        <w:rPr>
          <w:rFonts w:ascii="Baskerville Old Face" w:hAnsi="Baskerville Old Face"/>
          <w:i/>
          <w:iCs/>
        </w:rPr>
        <w:t xml:space="preserve"> </w:t>
      </w:r>
      <w:r w:rsidR="00E71F80" w:rsidRPr="00B479AE">
        <w:rPr>
          <w:rFonts w:ascii="Baskerville Old Face" w:hAnsi="Baskerville Old Face"/>
          <w:i/>
          <w:iCs/>
        </w:rPr>
        <w:t>PRU maturity classification</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RAP </w:t>
      </w:r>
      <w:r w:rsidRPr="00B479AE">
        <w:rPr>
          <w:rFonts w:ascii="Times New Roman" w:hAnsi="Times New Roman" w:cs="Times New Roman"/>
          <w:i/>
          <w:iCs/>
        </w:rPr>
        <w:t>→</w:t>
      </w:r>
      <w:r w:rsidRPr="00B479AE">
        <w:rPr>
          <w:rFonts w:ascii="Baskerville Old Face" w:hAnsi="Baskerville Old Face"/>
          <w:i/>
          <w:iCs/>
        </w:rPr>
        <w:t xml:space="preserve"> legal wrapper </w:t>
      </w:r>
      <w:r w:rsidRPr="00B479AE">
        <w:rPr>
          <w:rFonts w:ascii="Times New Roman" w:hAnsi="Times New Roman" w:cs="Times New Roman"/>
          <w:i/>
          <w:iCs/>
        </w:rPr>
        <w:t>→</w:t>
      </w:r>
      <w:r w:rsidRPr="00B479AE">
        <w:rPr>
          <w:rFonts w:ascii="Baskerville Old Face" w:hAnsi="Baskerville Old Face"/>
          <w:i/>
          <w:iCs/>
        </w:rPr>
        <w:t xml:space="preserve"> compliant instrument </w:t>
      </w:r>
      <w:r w:rsidRPr="00B479AE">
        <w:rPr>
          <w:rFonts w:ascii="Times New Roman" w:hAnsi="Times New Roman" w:cs="Times New Roman"/>
          <w:i/>
          <w:iCs/>
        </w:rPr>
        <w:t>→</w:t>
      </w:r>
      <w:r w:rsidRPr="00B479AE">
        <w:rPr>
          <w:rFonts w:ascii="Baskerville Old Face" w:hAnsi="Baskerville Old Face"/>
          <w:i/>
          <w:iCs/>
        </w:rPr>
        <w:t xml:space="preserve"> possible tokenized representation</w:t>
      </w:r>
    </w:p>
    <w:p w14:paraId="1B20D3B8"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one of the most important constitutional sequencing rules in the White Paper.</w:t>
      </w:r>
    </w:p>
    <w:p w14:paraId="5567055F"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always be preserved.</w:t>
      </w:r>
    </w:p>
    <w:p w14:paraId="6C45EAF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prevents tokenization from preceding evidence, legal structure, governance review, or admissibility.</w:t>
      </w:r>
    </w:p>
    <w:p w14:paraId="5153332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Tokenization does not create ecological value.</w:t>
      </w:r>
    </w:p>
    <w:p w14:paraId="7FDE7F70"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may represent verified and legally structured value only where the full pathway has been completed.</w:t>
      </w:r>
    </w:p>
    <w:p w14:paraId="48709AD1" w14:textId="77777777" w:rsidR="003C487D" w:rsidRPr="00B479AE" w:rsidRDefault="003C487D" w:rsidP="003C487D">
      <w:pPr>
        <w:spacing w:line="360" w:lineRule="auto"/>
        <w:rPr>
          <w:rFonts w:ascii="Baskerville Old Face" w:hAnsi="Baskerville Old Face"/>
          <w:b/>
          <w:bCs/>
          <w:i/>
          <w:iCs/>
        </w:rPr>
      </w:pPr>
      <w:r w:rsidRPr="00B479AE">
        <w:rPr>
          <w:rFonts w:ascii="Baskerville Old Face" w:hAnsi="Baskerville Old Face"/>
          <w:b/>
          <w:bCs/>
          <w:i/>
          <w:iCs/>
        </w:rPr>
        <w:t>38. Final Constitutional Capital Sequence</w:t>
      </w:r>
    </w:p>
    <w:p w14:paraId="22F026FC"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The following sequence is protected:</w:t>
      </w:r>
    </w:p>
    <w:p w14:paraId="721449F7"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 xml:space="preserve">Life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Verification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Legal Structure </w:t>
      </w:r>
      <w:r w:rsidRPr="00B479AE">
        <w:rPr>
          <w:rFonts w:ascii="Times New Roman" w:hAnsi="Times New Roman" w:cs="Times New Roman"/>
          <w:i/>
          <w:iCs/>
        </w:rPr>
        <w:t>→</w:t>
      </w:r>
      <w:r w:rsidRPr="00B479AE">
        <w:rPr>
          <w:rFonts w:ascii="Baskerville Old Face" w:hAnsi="Baskerville Old Face"/>
          <w:i/>
          <w:iCs/>
        </w:rPr>
        <w:t xml:space="preserve"> Capital</w:t>
      </w:r>
    </w:p>
    <w:p w14:paraId="0F668052"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This is the final source-layer formula of PRU capital discipline.</w:t>
      </w:r>
    </w:p>
    <w:p w14:paraId="6A55795E"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should be preserved as a constitutional sequence.</w:t>
      </w:r>
    </w:p>
    <w:p w14:paraId="6C1DF219"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It summarizes the entire Prometheus logic:</w:t>
      </w:r>
    </w:p>
    <w:p w14:paraId="53DD98F3" w14:textId="77777777" w:rsidR="003C487D" w:rsidRPr="00B479AE" w:rsidRDefault="003C487D" w:rsidP="003C487D">
      <w:pPr>
        <w:spacing w:line="360" w:lineRule="auto"/>
        <w:rPr>
          <w:rFonts w:ascii="Baskerville Old Face" w:hAnsi="Baskerville Old Face"/>
          <w:i/>
          <w:iCs/>
        </w:rPr>
      </w:pPr>
      <w:r w:rsidRPr="00B479AE">
        <w:rPr>
          <w:rFonts w:ascii="Baskerville Old Face" w:hAnsi="Baskerville Old Face"/>
          <w:i/>
          <w:iCs/>
        </w:rPr>
        <w:t>life generates value;</w:t>
      </w:r>
      <w:r w:rsidRPr="00B479AE">
        <w:rPr>
          <w:rFonts w:ascii="Baskerville Old Face" w:hAnsi="Baskerville Old Face"/>
          <w:i/>
          <w:iCs/>
        </w:rPr>
        <w:br/>
        <w:t>evidence makes value legible;</w:t>
      </w:r>
      <w:r w:rsidRPr="00B479AE">
        <w:rPr>
          <w:rFonts w:ascii="Baskerville Old Face" w:hAnsi="Baskerville Old Face"/>
          <w:i/>
          <w:iCs/>
        </w:rPr>
        <w:br/>
        <w:t>verification makes evidence trustworthy;</w:t>
      </w:r>
      <w:r w:rsidRPr="00B479AE">
        <w:rPr>
          <w:rFonts w:ascii="Baskerville Old Face" w:hAnsi="Baskerville Old Face"/>
          <w:i/>
          <w:iCs/>
        </w:rPr>
        <w:br/>
        <w:t>admissibility makes claims usable;</w:t>
      </w:r>
      <w:r w:rsidRPr="00B479AE">
        <w:rPr>
          <w:rFonts w:ascii="Baskerville Old Face" w:hAnsi="Baskerville Old Face"/>
          <w:i/>
          <w:iCs/>
        </w:rPr>
        <w:br/>
        <w:t>legal structure makes rights enforceable;</w:t>
      </w:r>
      <w:r w:rsidRPr="00B479AE">
        <w:rPr>
          <w:rFonts w:ascii="Baskerville Old Face" w:hAnsi="Baskerville Old Face"/>
          <w:i/>
          <w:iCs/>
        </w:rPr>
        <w:br/>
        <w:t>capital scales what life has made real.</w:t>
      </w:r>
    </w:p>
    <w:p w14:paraId="0573319D" w14:textId="1382F96F" w:rsidR="00330623" w:rsidRPr="00B479AE" w:rsidRDefault="00330623" w:rsidP="00330623">
      <w:pPr>
        <w:spacing w:line="360" w:lineRule="auto"/>
        <w:jc w:val="center"/>
        <w:rPr>
          <w:rFonts w:ascii="Baskerville Old Face" w:hAnsi="Baskerville Old Face"/>
          <w:b/>
          <w:bCs/>
        </w:rPr>
      </w:pPr>
      <w:r w:rsidRPr="00B479AE">
        <w:rPr>
          <w:rFonts w:ascii="Baskerville Old Face" w:hAnsi="Baskerville Old Face"/>
          <w:b/>
          <w:bCs/>
        </w:rPr>
        <w:lastRenderedPageBreak/>
        <w:t>APPENDICES 1</w:t>
      </w:r>
    </w:p>
    <w:p w14:paraId="2F4313CD" w14:textId="77777777" w:rsidR="00330623" w:rsidRPr="00B479AE" w:rsidRDefault="00330623" w:rsidP="00330623">
      <w:pPr>
        <w:spacing w:line="360" w:lineRule="auto"/>
        <w:rPr>
          <w:rFonts w:ascii="Baskerville Old Face" w:hAnsi="Baskerville Old Face"/>
          <w:i/>
          <w:iCs/>
        </w:rPr>
      </w:pPr>
    </w:p>
    <w:p w14:paraId="3B5B690E"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A1. Purpose of the MRV System</w:t>
      </w:r>
    </w:p>
    <w:p w14:paraId="3CD9FFCC"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Measurement, Reporting &amp; Verification (MRV) framework provides the scientific and operational backbone for validating regenerative outcomes within the Prometheus ecosystem.</w:t>
      </w:r>
    </w:p>
    <w:p w14:paraId="12371A6A"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Its objectives are:</w:t>
      </w:r>
    </w:p>
    <w:p w14:paraId="66FD1E2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to measure ecological, economic, and social variables</w:t>
      </w:r>
      <w:r w:rsidRPr="00B479AE">
        <w:rPr>
          <w:rFonts w:ascii="Baskerville Old Face" w:hAnsi="Baskerville Old Face"/>
          <w:i/>
          <w:iCs/>
        </w:rPr>
        <w:br/>
        <w:t xml:space="preserve">• to track changes over time (baseline </w:t>
      </w:r>
      <w:r w:rsidRPr="00B479AE">
        <w:rPr>
          <w:rFonts w:ascii="Times New Roman" w:hAnsi="Times New Roman" w:cs="Times New Roman"/>
          <w:i/>
          <w:iCs/>
        </w:rPr>
        <w:t>→</w:t>
      </w:r>
      <w:r w:rsidRPr="00B479AE">
        <w:rPr>
          <w:rFonts w:ascii="Baskerville Old Face" w:hAnsi="Baskerville Old Face"/>
          <w:i/>
          <w:iCs/>
        </w:rPr>
        <w:t xml:space="preserve"> delta)</w:t>
      </w:r>
      <w:r w:rsidRPr="00B479AE">
        <w:rPr>
          <w:rFonts w:ascii="Baskerville Old Face" w:hAnsi="Baskerville Old Face"/>
          <w:i/>
          <w:iCs/>
        </w:rPr>
        <w:br/>
        <w:t>• to ensure data integrity and auditability</w:t>
      </w:r>
      <w:r w:rsidRPr="00B479AE">
        <w:rPr>
          <w:rFonts w:ascii="Baskerville Old Face" w:hAnsi="Baskerville Old Face"/>
          <w:i/>
          <w:iCs/>
        </w:rPr>
        <w:br/>
        <w:t>• to enable financial recognition of regenerative outcomes</w:t>
      </w:r>
    </w:p>
    <w:p w14:paraId="177AF9F1"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system transforms regeneration into:</w:t>
      </w:r>
    </w:p>
    <w:p w14:paraId="63D34D5E"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b/>
          <w:bCs/>
          <w:i/>
          <w:iCs/>
        </w:rPr>
        <w:t xml:space="preserve">observable </w:t>
      </w:r>
      <w:r w:rsidRPr="00B479AE">
        <w:rPr>
          <w:rFonts w:ascii="Times New Roman" w:hAnsi="Times New Roman" w:cs="Times New Roman"/>
          <w:b/>
          <w:bCs/>
          <w:i/>
          <w:iCs/>
        </w:rPr>
        <w:t>→</w:t>
      </w:r>
      <w:r w:rsidRPr="00B479AE">
        <w:rPr>
          <w:rFonts w:ascii="Baskerville Old Face" w:hAnsi="Baskerville Old Face"/>
          <w:b/>
          <w:bCs/>
          <w:i/>
          <w:iCs/>
        </w:rPr>
        <w:t xml:space="preserve"> quantifiable </w:t>
      </w:r>
      <w:r w:rsidRPr="00B479AE">
        <w:rPr>
          <w:rFonts w:ascii="Times New Roman" w:hAnsi="Times New Roman" w:cs="Times New Roman"/>
          <w:b/>
          <w:bCs/>
          <w:i/>
          <w:iCs/>
        </w:rPr>
        <w:t>→</w:t>
      </w:r>
      <w:r w:rsidRPr="00B479AE">
        <w:rPr>
          <w:rFonts w:ascii="Baskerville Old Face" w:hAnsi="Baskerville Old Face"/>
          <w:b/>
          <w:bCs/>
          <w:i/>
          <w:iCs/>
        </w:rPr>
        <w:t xml:space="preserve"> verifiable </w:t>
      </w:r>
      <w:r w:rsidRPr="00B479AE">
        <w:rPr>
          <w:rFonts w:ascii="Times New Roman" w:hAnsi="Times New Roman" w:cs="Times New Roman"/>
          <w:b/>
          <w:bCs/>
          <w:i/>
          <w:iCs/>
        </w:rPr>
        <w:t>→</w:t>
      </w:r>
      <w:r w:rsidRPr="00B479AE">
        <w:rPr>
          <w:rFonts w:ascii="Baskerville Old Face" w:hAnsi="Baskerville Old Face"/>
          <w:b/>
          <w:bCs/>
          <w:i/>
          <w:iCs/>
        </w:rPr>
        <w:t xml:space="preserve"> investable value</w:t>
      </w:r>
    </w:p>
    <w:p w14:paraId="4A973CA8"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A2. Core Measurement Logic</w:t>
      </w:r>
    </w:p>
    <w:p w14:paraId="26FEC59C"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framework is based on a simple but rigorous structure:</w:t>
      </w:r>
    </w:p>
    <w:p w14:paraId="16EFBD94"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1. Baseline</w:t>
      </w:r>
    </w:p>
    <w:p w14:paraId="06488A52"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Initial state of the system before intervention</w:t>
      </w:r>
    </w:p>
    <w:p w14:paraId="27EF1E11"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2. Intervention</w:t>
      </w:r>
    </w:p>
    <w:p w14:paraId="1B614772"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Regenerative actions applied (OHE implementation)</w:t>
      </w:r>
    </w:p>
    <w:p w14:paraId="7DFEAF03"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3. Monitoring</w:t>
      </w:r>
    </w:p>
    <w:p w14:paraId="2E8CF4AF"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Continuous data collection</w:t>
      </w:r>
    </w:p>
    <w:p w14:paraId="7093BB4F"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4. Delta</w:t>
      </w:r>
    </w:p>
    <w:p w14:paraId="6E85A874"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Measured improvement over time</w:t>
      </w:r>
    </w:p>
    <w:p w14:paraId="189C5391" w14:textId="77777777" w:rsidR="00330623" w:rsidRPr="005907F1" w:rsidRDefault="00330623" w:rsidP="00330623">
      <w:pPr>
        <w:spacing w:line="360" w:lineRule="auto"/>
        <w:rPr>
          <w:rFonts w:ascii="Baskerville Old Face" w:hAnsi="Baskerville Old Face"/>
          <w:b/>
          <w:bCs/>
          <w:i/>
          <w:iCs/>
          <w:lang w:val="it-IT"/>
        </w:rPr>
      </w:pPr>
      <w:proofErr w:type="spellStart"/>
      <w:r w:rsidRPr="005907F1">
        <w:rPr>
          <w:rFonts w:ascii="Baskerville Old Face" w:hAnsi="Baskerville Old Face"/>
          <w:b/>
          <w:bCs/>
          <w:i/>
          <w:iCs/>
          <w:lang w:val="it-IT"/>
        </w:rPr>
        <w:t>Regenerative</w:t>
      </w:r>
      <w:proofErr w:type="spellEnd"/>
      <w:r w:rsidRPr="005907F1">
        <w:rPr>
          <w:rFonts w:ascii="Baskerville Old Face" w:hAnsi="Baskerville Old Face"/>
          <w:b/>
          <w:bCs/>
          <w:i/>
          <w:iCs/>
          <w:lang w:val="it-IT"/>
        </w:rPr>
        <w:t xml:space="preserve"> Delta Formula (</w:t>
      </w:r>
      <w:proofErr w:type="spellStart"/>
      <w:r w:rsidRPr="005907F1">
        <w:rPr>
          <w:rFonts w:ascii="Baskerville Old Face" w:hAnsi="Baskerville Old Face"/>
          <w:b/>
          <w:bCs/>
          <w:i/>
          <w:iCs/>
          <w:lang w:val="it-IT"/>
        </w:rPr>
        <w:t>conceptual</w:t>
      </w:r>
      <w:proofErr w:type="spellEnd"/>
      <w:r w:rsidRPr="005907F1">
        <w:rPr>
          <w:rFonts w:ascii="Baskerville Old Face" w:hAnsi="Baskerville Old Face"/>
          <w:b/>
          <w:bCs/>
          <w:i/>
          <w:iCs/>
          <w:lang w:val="it-IT"/>
        </w:rPr>
        <w:t>)</w:t>
      </w:r>
    </w:p>
    <w:p w14:paraId="403EAB08" w14:textId="77777777" w:rsidR="00330623" w:rsidRPr="005907F1" w:rsidRDefault="00330623" w:rsidP="00330623">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lastRenderedPageBreak/>
        <w:t>Regenerative</w:t>
      </w:r>
      <w:proofErr w:type="spellEnd"/>
      <w:r w:rsidRPr="005907F1">
        <w:rPr>
          <w:rFonts w:ascii="Baskerville Old Face" w:hAnsi="Baskerville Old Face"/>
          <w:i/>
          <w:iCs/>
          <w:lang w:val="it-IT"/>
        </w:rPr>
        <w:t xml:space="preserve"> Delta = State(t1) </w:t>
      </w:r>
      <w:r w:rsidRPr="005907F1">
        <w:rPr>
          <w:rFonts w:ascii="Cambria Math" w:hAnsi="Cambria Math" w:cs="Cambria Math"/>
          <w:i/>
          <w:iCs/>
          <w:lang w:val="it-IT"/>
        </w:rPr>
        <w:t>−</w:t>
      </w:r>
      <w:r w:rsidRPr="005907F1">
        <w:rPr>
          <w:rFonts w:ascii="Baskerville Old Face" w:hAnsi="Baskerville Old Face"/>
          <w:i/>
          <w:iCs/>
          <w:lang w:val="it-IT"/>
        </w:rPr>
        <w:t xml:space="preserve"> Baseline(t0)</w:t>
      </w:r>
    </w:p>
    <w:p w14:paraId="3F342514"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Where:</w:t>
      </w:r>
    </w:p>
    <w:p w14:paraId="4E7F3B91" w14:textId="77777777" w:rsidR="00330623" w:rsidRPr="00B479AE" w:rsidRDefault="00330623">
      <w:pPr>
        <w:numPr>
          <w:ilvl w:val="0"/>
          <w:numId w:val="10"/>
        </w:numPr>
        <w:spacing w:line="360" w:lineRule="auto"/>
        <w:rPr>
          <w:rFonts w:ascii="Baskerville Old Face" w:hAnsi="Baskerville Old Face"/>
          <w:i/>
          <w:iCs/>
        </w:rPr>
      </w:pPr>
      <w:r w:rsidRPr="00B479AE">
        <w:rPr>
          <w:rFonts w:ascii="Baskerville Old Face" w:hAnsi="Baskerville Old Face"/>
          <w:i/>
          <w:iCs/>
        </w:rPr>
        <w:t>t0 = initial condition</w:t>
      </w:r>
    </w:p>
    <w:p w14:paraId="021D1893" w14:textId="77777777" w:rsidR="00330623" w:rsidRPr="00B479AE" w:rsidRDefault="00330623">
      <w:pPr>
        <w:numPr>
          <w:ilvl w:val="0"/>
          <w:numId w:val="10"/>
        </w:numPr>
        <w:spacing w:line="360" w:lineRule="auto"/>
        <w:rPr>
          <w:rFonts w:ascii="Baskerville Old Face" w:hAnsi="Baskerville Old Face"/>
          <w:i/>
          <w:iCs/>
        </w:rPr>
      </w:pPr>
      <w:r w:rsidRPr="00B479AE">
        <w:rPr>
          <w:rFonts w:ascii="Baskerville Old Face" w:hAnsi="Baskerville Old Face"/>
          <w:i/>
          <w:iCs/>
        </w:rPr>
        <w:t>t1 = observed condition after intervention</w:t>
      </w:r>
    </w:p>
    <w:p w14:paraId="28FAFECB"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A3. Measurement domains</w:t>
      </w:r>
    </w:p>
    <w:p w14:paraId="400D8D2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system operates across four primary domains.</w:t>
      </w:r>
    </w:p>
    <w:p w14:paraId="3F35935A"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1. Soil System</w:t>
      </w:r>
    </w:p>
    <w:p w14:paraId="0562B9CB"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Key indicators:</w:t>
      </w:r>
    </w:p>
    <w:p w14:paraId="377E48E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Soil Organic Carbon (SOC %)</w:t>
      </w:r>
      <w:r w:rsidRPr="00B479AE">
        <w:rPr>
          <w:rFonts w:ascii="Baskerville Old Face" w:hAnsi="Baskerville Old Face"/>
          <w:i/>
          <w:iCs/>
        </w:rPr>
        <w:br/>
        <w:t>• Microbial activity</w:t>
      </w:r>
      <w:r w:rsidRPr="00B479AE">
        <w:rPr>
          <w:rFonts w:ascii="Baskerville Old Face" w:hAnsi="Baskerville Old Face"/>
          <w:i/>
          <w:iCs/>
        </w:rPr>
        <w:br/>
        <w:t>• Soil structure and porosity</w:t>
      </w:r>
      <w:r w:rsidRPr="00B479AE">
        <w:rPr>
          <w:rFonts w:ascii="Baskerville Old Face" w:hAnsi="Baskerville Old Face"/>
          <w:i/>
          <w:iCs/>
        </w:rPr>
        <w:br/>
        <w:t>• Water retention capacity</w:t>
      </w:r>
    </w:p>
    <w:p w14:paraId="14314D24"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2. Water System</w:t>
      </w:r>
    </w:p>
    <w:p w14:paraId="42691A1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Key indicators:</w:t>
      </w:r>
    </w:p>
    <w:p w14:paraId="551B0E84"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infiltration rate</w:t>
      </w:r>
      <w:r w:rsidRPr="00B479AE">
        <w:rPr>
          <w:rFonts w:ascii="Baskerville Old Face" w:hAnsi="Baskerville Old Face"/>
          <w:i/>
          <w:iCs/>
        </w:rPr>
        <w:br/>
        <w:t>• soil moisture retention</w:t>
      </w:r>
      <w:r w:rsidRPr="00B479AE">
        <w:rPr>
          <w:rFonts w:ascii="Baskerville Old Face" w:hAnsi="Baskerville Old Face"/>
          <w:i/>
          <w:iCs/>
        </w:rPr>
        <w:br/>
        <w:t>• runoff reduction</w:t>
      </w:r>
      <w:r w:rsidRPr="00B479AE">
        <w:rPr>
          <w:rFonts w:ascii="Baskerville Old Face" w:hAnsi="Baskerville Old Face"/>
          <w:i/>
          <w:iCs/>
        </w:rPr>
        <w:br/>
        <w:t>• groundwater recharge proxy</w:t>
      </w:r>
    </w:p>
    <w:p w14:paraId="4F0FDBF1"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3. Biodiversity System</w:t>
      </w:r>
    </w:p>
    <w:p w14:paraId="2E758F15"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Key indicators:</w:t>
      </w:r>
    </w:p>
    <w:p w14:paraId="6EFEECFF"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species richness</w:t>
      </w:r>
      <w:r w:rsidRPr="00B479AE">
        <w:rPr>
          <w:rFonts w:ascii="Baskerville Old Face" w:hAnsi="Baskerville Old Face"/>
          <w:i/>
          <w:iCs/>
        </w:rPr>
        <w:br/>
        <w:t>• functional diversity</w:t>
      </w:r>
      <w:r w:rsidRPr="00B479AE">
        <w:rPr>
          <w:rFonts w:ascii="Baskerville Old Face" w:hAnsi="Baskerville Old Face"/>
          <w:i/>
          <w:iCs/>
        </w:rPr>
        <w:br/>
        <w:t>• pollinator presence</w:t>
      </w:r>
      <w:r w:rsidRPr="00B479AE">
        <w:rPr>
          <w:rFonts w:ascii="Baskerville Old Face" w:hAnsi="Baskerville Old Face"/>
          <w:i/>
          <w:iCs/>
        </w:rPr>
        <w:br/>
        <w:t>• vegetation stratification</w:t>
      </w:r>
    </w:p>
    <w:p w14:paraId="44D6E0B5" w14:textId="77777777" w:rsidR="00330623" w:rsidRPr="00B479AE" w:rsidRDefault="00330623" w:rsidP="00330623">
      <w:pPr>
        <w:spacing w:line="360" w:lineRule="auto"/>
        <w:rPr>
          <w:rFonts w:ascii="Baskerville Old Face" w:hAnsi="Baskerville Old Face"/>
          <w:i/>
          <w:iCs/>
        </w:rPr>
      </w:pPr>
    </w:p>
    <w:p w14:paraId="02775327"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lastRenderedPageBreak/>
        <w:t>4. Production &amp; Nutrition</w:t>
      </w:r>
    </w:p>
    <w:p w14:paraId="36BDB903"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Key indicators:</w:t>
      </w:r>
    </w:p>
    <w:p w14:paraId="276F8AA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yield diversity (not monoculture yield)</w:t>
      </w:r>
      <w:r w:rsidRPr="00B479AE">
        <w:rPr>
          <w:rFonts w:ascii="Baskerville Old Face" w:hAnsi="Baskerville Old Face"/>
          <w:i/>
          <w:iCs/>
        </w:rPr>
        <w:br/>
        <w:t>• nutrient density</w:t>
      </w:r>
      <w:r w:rsidRPr="00B479AE">
        <w:rPr>
          <w:rFonts w:ascii="Baskerville Old Face" w:hAnsi="Baskerville Old Face"/>
          <w:i/>
          <w:iCs/>
        </w:rPr>
        <w:br/>
        <w:t>• food self-sufficiency index</w:t>
      </w:r>
    </w:p>
    <w:p w14:paraId="313ABA5B"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5. Social &amp; Governance Layer</w:t>
      </w:r>
    </w:p>
    <w:p w14:paraId="350C0934"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Key indicators:</w:t>
      </w:r>
    </w:p>
    <w:p w14:paraId="29C9E90F"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participation rate</w:t>
      </w:r>
      <w:r w:rsidRPr="00B479AE">
        <w:rPr>
          <w:rFonts w:ascii="Baskerville Old Face" w:hAnsi="Baskerville Old Face"/>
          <w:i/>
          <w:iCs/>
        </w:rPr>
        <w:br/>
        <w:t>• governance engagement</w:t>
      </w:r>
      <w:r w:rsidRPr="00B479AE">
        <w:rPr>
          <w:rFonts w:ascii="Baskerville Old Face" w:hAnsi="Baskerville Old Face"/>
          <w:i/>
          <w:iCs/>
        </w:rPr>
        <w:br/>
        <w:t>• local economic activity</w:t>
      </w:r>
      <w:r w:rsidRPr="00B479AE">
        <w:rPr>
          <w:rFonts w:ascii="Baskerville Old Face" w:hAnsi="Baskerville Old Face"/>
          <w:i/>
          <w:iCs/>
        </w:rPr>
        <w:br/>
        <w:t>• trust proxies (network density)</w:t>
      </w:r>
    </w:p>
    <w:p w14:paraId="5FF766AE"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A4. Measurement methods</w:t>
      </w:r>
    </w:p>
    <w:p w14:paraId="6CDF0A1D" w14:textId="11A198E0"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framework integrates multiple data sources:</w:t>
      </w:r>
    </w:p>
    <w:p w14:paraId="4393FA70"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Direct measurement</w:t>
      </w:r>
    </w:p>
    <w:p w14:paraId="1EFB76ED"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soil sampling</w:t>
      </w:r>
      <w:r w:rsidRPr="00B479AE">
        <w:rPr>
          <w:rFonts w:ascii="Baskerville Old Face" w:hAnsi="Baskerville Old Face"/>
          <w:i/>
          <w:iCs/>
        </w:rPr>
        <w:br/>
        <w:t>• water infiltration tests</w:t>
      </w:r>
      <w:r w:rsidRPr="00B479AE">
        <w:rPr>
          <w:rFonts w:ascii="Baskerville Old Face" w:hAnsi="Baskerville Old Face"/>
          <w:i/>
          <w:iCs/>
        </w:rPr>
        <w:br/>
        <w:t>• biodiversity surveys</w:t>
      </w:r>
    </w:p>
    <w:p w14:paraId="2AD0F25F"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Sensor-based monitoring</w:t>
      </w:r>
    </w:p>
    <w:p w14:paraId="2CEF00BA"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soil moisture sensors</w:t>
      </w:r>
      <w:r w:rsidRPr="00B479AE">
        <w:rPr>
          <w:rFonts w:ascii="Baskerville Old Face" w:hAnsi="Baskerville Old Face"/>
          <w:i/>
          <w:iCs/>
        </w:rPr>
        <w:br/>
        <w:t>• climate sensors</w:t>
      </w:r>
      <w:r w:rsidRPr="00B479AE">
        <w:rPr>
          <w:rFonts w:ascii="Baskerville Old Face" w:hAnsi="Baskerville Old Face"/>
          <w:i/>
          <w:iCs/>
        </w:rPr>
        <w:br/>
        <w:t>• remote sensing (NDVI, etc.)</w:t>
      </w:r>
    </w:p>
    <w:p w14:paraId="3D4456FE"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Observational data</w:t>
      </w:r>
    </w:p>
    <w:p w14:paraId="01CA1E6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farmer logs</w:t>
      </w:r>
      <w:r w:rsidRPr="00B479AE">
        <w:rPr>
          <w:rFonts w:ascii="Baskerville Old Face" w:hAnsi="Baskerville Old Face"/>
          <w:i/>
          <w:iCs/>
        </w:rPr>
        <w:br/>
        <w:t>• community inputs</w:t>
      </w:r>
      <w:r w:rsidRPr="00B479AE">
        <w:rPr>
          <w:rFonts w:ascii="Baskerville Old Face" w:hAnsi="Baskerville Old Face"/>
          <w:i/>
          <w:iCs/>
        </w:rPr>
        <w:br/>
        <w:t>• stewardship reporting</w:t>
      </w:r>
    </w:p>
    <w:p w14:paraId="41FC0305" w14:textId="77777777" w:rsidR="00330623" w:rsidRPr="00B479AE" w:rsidRDefault="00330623" w:rsidP="00330623">
      <w:pPr>
        <w:spacing w:line="360" w:lineRule="auto"/>
        <w:rPr>
          <w:rFonts w:ascii="Baskerville Old Face" w:hAnsi="Baskerville Old Face"/>
          <w:i/>
          <w:iCs/>
        </w:rPr>
      </w:pPr>
    </w:p>
    <w:p w14:paraId="7C0CAEDB"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lastRenderedPageBreak/>
        <w:t>Derived indicators</w:t>
      </w:r>
    </w:p>
    <w:p w14:paraId="0D9D08D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modeled soil carbon</w:t>
      </w:r>
      <w:r w:rsidRPr="00B479AE">
        <w:rPr>
          <w:rFonts w:ascii="Baskerville Old Face" w:hAnsi="Baskerville Old Face"/>
          <w:i/>
          <w:iCs/>
        </w:rPr>
        <w:br/>
        <w:t>• productivity trends</w:t>
      </w:r>
      <w:r w:rsidRPr="00B479AE">
        <w:rPr>
          <w:rFonts w:ascii="Baskerville Old Face" w:hAnsi="Baskerville Old Face"/>
          <w:i/>
          <w:iCs/>
        </w:rPr>
        <w:br/>
        <w:t>• resilience indices</w:t>
      </w:r>
    </w:p>
    <w:p w14:paraId="16344652"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A5. Verification Architecture</w:t>
      </w:r>
    </w:p>
    <w:p w14:paraId="6E7A8723"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xml:space="preserve">Verification occurs through a </w:t>
      </w:r>
      <w:r w:rsidRPr="00B479AE">
        <w:rPr>
          <w:rFonts w:ascii="Baskerville Old Face" w:hAnsi="Baskerville Old Face"/>
          <w:b/>
          <w:bCs/>
          <w:i/>
          <w:iCs/>
        </w:rPr>
        <w:t>multi-layer system</w:t>
      </w:r>
      <w:r w:rsidRPr="00B479AE">
        <w:rPr>
          <w:rFonts w:ascii="Baskerville Old Face" w:hAnsi="Baskerville Old Face"/>
          <w:i/>
          <w:iCs/>
        </w:rPr>
        <w:t>.</w:t>
      </w:r>
    </w:p>
    <w:p w14:paraId="7C36E621"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Layer 1 — Local validation</w:t>
      </w:r>
    </w:p>
    <w:p w14:paraId="61277673"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peer verification (custodians)</w:t>
      </w:r>
      <w:r w:rsidRPr="00B479AE">
        <w:rPr>
          <w:rFonts w:ascii="Baskerville Old Face" w:hAnsi="Baskerville Old Face"/>
          <w:i/>
          <w:iCs/>
        </w:rPr>
        <w:br/>
        <w:t>• photographic and sensor evidence</w:t>
      </w:r>
    </w:p>
    <w:p w14:paraId="614C7A6E"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Layer 2 — Network validation</w:t>
      </w:r>
    </w:p>
    <w:p w14:paraId="4E01B416"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cross-node comparison</w:t>
      </w:r>
      <w:r w:rsidRPr="00B479AE">
        <w:rPr>
          <w:rFonts w:ascii="Baskerville Old Face" w:hAnsi="Baskerville Old Face"/>
          <w:i/>
          <w:iCs/>
        </w:rPr>
        <w:br/>
        <w:t>• anomaly detection</w:t>
      </w:r>
    </w:p>
    <w:p w14:paraId="26127BE7"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Layer 3 — Protocol validation</w:t>
      </w:r>
    </w:p>
    <w:p w14:paraId="2E280BDC"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cryptographic signatures</w:t>
      </w:r>
      <w:r w:rsidRPr="00B479AE">
        <w:rPr>
          <w:rFonts w:ascii="Baskerville Old Face" w:hAnsi="Baskerville Old Face"/>
          <w:i/>
          <w:iCs/>
        </w:rPr>
        <w:br/>
        <w:t>• data integrity checks</w:t>
      </w:r>
    </w:p>
    <w:p w14:paraId="47F7B672"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Layer 4 — External audit (optional)</w:t>
      </w:r>
    </w:p>
    <w:p w14:paraId="051F149A"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scientific institutions</w:t>
      </w:r>
      <w:r w:rsidRPr="00B479AE">
        <w:rPr>
          <w:rFonts w:ascii="Baskerville Old Face" w:hAnsi="Baskerville Old Face"/>
          <w:i/>
          <w:iCs/>
        </w:rPr>
        <w:br/>
        <w:t>• third-party verification</w:t>
      </w:r>
    </w:p>
    <w:p w14:paraId="27727B32"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A6. Data integrity model</w:t>
      </w:r>
    </w:p>
    <w:p w14:paraId="6DECF9BD"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system ensures:</w:t>
      </w:r>
    </w:p>
    <w:p w14:paraId="3735B9ED"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traceability (who generated the data)</w:t>
      </w:r>
      <w:r w:rsidRPr="00B479AE">
        <w:rPr>
          <w:rFonts w:ascii="Baskerville Old Face" w:hAnsi="Baskerville Old Face"/>
          <w:i/>
          <w:iCs/>
        </w:rPr>
        <w:br/>
        <w:t>• immutability (data cannot be altered retroactively)</w:t>
      </w:r>
      <w:r w:rsidRPr="00B479AE">
        <w:rPr>
          <w:rFonts w:ascii="Baskerville Old Face" w:hAnsi="Baskerville Old Face"/>
          <w:i/>
          <w:iCs/>
        </w:rPr>
        <w:br/>
        <w:t>• contextual validity (data tied to location and time)</w:t>
      </w:r>
    </w:p>
    <w:p w14:paraId="232A9317"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This is enabled through:</w:t>
      </w:r>
    </w:p>
    <w:p w14:paraId="3359929A"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lastRenderedPageBreak/>
        <w:t>• agent-centric architecture (</w:t>
      </w:r>
      <w:proofErr w:type="spellStart"/>
      <w:r w:rsidRPr="00B479AE">
        <w:rPr>
          <w:rFonts w:ascii="Baskerville Old Face" w:hAnsi="Baskerville Old Face"/>
          <w:i/>
          <w:iCs/>
        </w:rPr>
        <w:t>Holochain</w:t>
      </w:r>
      <w:proofErr w:type="spellEnd"/>
      <w:r w:rsidRPr="00B479AE">
        <w:rPr>
          <w:rFonts w:ascii="Baskerville Old Face" w:hAnsi="Baskerville Old Face"/>
          <w:i/>
          <w:iCs/>
        </w:rPr>
        <w:t>)</w:t>
      </w:r>
      <w:r w:rsidRPr="00B479AE">
        <w:rPr>
          <w:rFonts w:ascii="Baskerville Old Face" w:hAnsi="Baskerville Old Face"/>
          <w:i/>
          <w:iCs/>
        </w:rPr>
        <w:br/>
        <w:t>• signed data entries</w:t>
      </w:r>
      <w:r w:rsidRPr="00B479AE">
        <w:rPr>
          <w:rFonts w:ascii="Baskerville Old Face" w:hAnsi="Baskerville Old Face"/>
          <w:i/>
          <w:iCs/>
        </w:rPr>
        <w:br/>
        <w:t>• distributed validation</w:t>
      </w:r>
    </w:p>
    <w:p w14:paraId="0E59EF19"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A7. Frequency of measurement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3"/>
        <w:gridCol w:w="1863"/>
      </w:tblGrid>
      <w:tr w:rsidR="00330623" w:rsidRPr="00B479AE" w14:paraId="0F9AC302" w14:textId="77777777" w:rsidTr="009E53D8">
        <w:trPr>
          <w:tblHeader/>
          <w:tblCellSpacing w:w="15" w:type="dxa"/>
        </w:trPr>
        <w:tc>
          <w:tcPr>
            <w:tcW w:w="0" w:type="auto"/>
            <w:vAlign w:val="center"/>
            <w:hideMark/>
          </w:tcPr>
          <w:p w14:paraId="2B363AB2"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Indicator Type</w:t>
            </w:r>
          </w:p>
        </w:tc>
        <w:tc>
          <w:tcPr>
            <w:tcW w:w="0" w:type="auto"/>
            <w:vAlign w:val="center"/>
            <w:hideMark/>
          </w:tcPr>
          <w:p w14:paraId="5A76835F"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Frequency</w:t>
            </w:r>
          </w:p>
        </w:tc>
      </w:tr>
      <w:tr w:rsidR="00330623" w:rsidRPr="00B479AE" w14:paraId="4DF578F5" w14:textId="77777777" w:rsidTr="009E53D8">
        <w:trPr>
          <w:tblCellSpacing w:w="15" w:type="dxa"/>
        </w:trPr>
        <w:tc>
          <w:tcPr>
            <w:tcW w:w="0" w:type="auto"/>
            <w:vAlign w:val="center"/>
            <w:hideMark/>
          </w:tcPr>
          <w:p w14:paraId="3F37E1FE"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Soil</w:t>
            </w:r>
          </w:p>
        </w:tc>
        <w:tc>
          <w:tcPr>
            <w:tcW w:w="0" w:type="auto"/>
            <w:vAlign w:val="center"/>
            <w:hideMark/>
          </w:tcPr>
          <w:p w14:paraId="5DE5A4F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6–12 months</w:t>
            </w:r>
          </w:p>
        </w:tc>
      </w:tr>
      <w:tr w:rsidR="00330623" w:rsidRPr="00B479AE" w14:paraId="18F602AD" w14:textId="77777777" w:rsidTr="009E53D8">
        <w:trPr>
          <w:tblCellSpacing w:w="15" w:type="dxa"/>
        </w:trPr>
        <w:tc>
          <w:tcPr>
            <w:tcW w:w="0" w:type="auto"/>
            <w:vAlign w:val="center"/>
            <w:hideMark/>
          </w:tcPr>
          <w:p w14:paraId="5D2E2CD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Water</w:t>
            </w:r>
          </w:p>
        </w:tc>
        <w:tc>
          <w:tcPr>
            <w:tcW w:w="0" w:type="auto"/>
            <w:vAlign w:val="center"/>
            <w:hideMark/>
          </w:tcPr>
          <w:p w14:paraId="4F7A114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monthly / seasonal</w:t>
            </w:r>
          </w:p>
        </w:tc>
      </w:tr>
      <w:tr w:rsidR="00330623" w:rsidRPr="00B479AE" w14:paraId="1F123F04" w14:textId="77777777" w:rsidTr="009E53D8">
        <w:trPr>
          <w:tblCellSpacing w:w="15" w:type="dxa"/>
        </w:trPr>
        <w:tc>
          <w:tcPr>
            <w:tcW w:w="0" w:type="auto"/>
            <w:vAlign w:val="center"/>
            <w:hideMark/>
          </w:tcPr>
          <w:p w14:paraId="30D16291"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Biodiversity</w:t>
            </w:r>
          </w:p>
        </w:tc>
        <w:tc>
          <w:tcPr>
            <w:tcW w:w="0" w:type="auto"/>
            <w:vAlign w:val="center"/>
            <w:hideMark/>
          </w:tcPr>
          <w:p w14:paraId="6BBF259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seasonal</w:t>
            </w:r>
          </w:p>
        </w:tc>
      </w:tr>
      <w:tr w:rsidR="00330623" w:rsidRPr="00B479AE" w14:paraId="4F22B171" w14:textId="77777777" w:rsidTr="009E53D8">
        <w:trPr>
          <w:tblCellSpacing w:w="15" w:type="dxa"/>
        </w:trPr>
        <w:tc>
          <w:tcPr>
            <w:tcW w:w="0" w:type="auto"/>
            <w:vAlign w:val="center"/>
            <w:hideMark/>
          </w:tcPr>
          <w:p w14:paraId="1A084D9A"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Production</w:t>
            </w:r>
          </w:p>
        </w:tc>
        <w:tc>
          <w:tcPr>
            <w:tcW w:w="0" w:type="auto"/>
            <w:vAlign w:val="center"/>
            <w:hideMark/>
          </w:tcPr>
          <w:p w14:paraId="4B95DBEB"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continuous</w:t>
            </w:r>
          </w:p>
        </w:tc>
      </w:tr>
      <w:tr w:rsidR="00330623" w:rsidRPr="00B479AE" w14:paraId="7A169B4A" w14:textId="77777777" w:rsidTr="009E53D8">
        <w:trPr>
          <w:tblCellSpacing w:w="15" w:type="dxa"/>
        </w:trPr>
        <w:tc>
          <w:tcPr>
            <w:tcW w:w="0" w:type="auto"/>
            <w:vAlign w:val="center"/>
            <w:hideMark/>
          </w:tcPr>
          <w:p w14:paraId="00FE2B8C"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Social</w:t>
            </w:r>
          </w:p>
        </w:tc>
        <w:tc>
          <w:tcPr>
            <w:tcW w:w="0" w:type="auto"/>
            <w:vAlign w:val="center"/>
            <w:hideMark/>
          </w:tcPr>
          <w:p w14:paraId="31D9582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quarterly</w:t>
            </w:r>
          </w:p>
        </w:tc>
      </w:tr>
    </w:tbl>
    <w:p w14:paraId="365F47BD"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A8. Uncertainty and error handling</w:t>
      </w:r>
    </w:p>
    <w:p w14:paraId="004FFF12"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All ecological measurements include uncertainty.</w:t>
      </w:r>
    </w:p>
    <w:p w14:paraId="17F90E1D"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Prometheus addresses this through:</w:t>
      </w:r>
    </w:p>
    <w:p w14:paraId="489F2755"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repeated measurements</w:t>
      </w:r>
      <w:r w:rsidRPr="00B479AE">
        <w:rPr>
          <w:rFonts w:ascii="Baskerville Old Face" w:hAnsi="Baskerville Old Face"/>
          <w:i/>
          <w:iCs/>
        </w:rPr>
        <w:br/>
        <w:t>• statistical smoothing</w:t>
      </w:r>
      <w:r w:rsidRPr="00B479AE">
        <w:rPr>
          <w:rFonts w:ascii="Baskerville Old Face" w:hAnsi="Baskerville Old Face"/>
          <w:i/>
          <w:iCs/>
        </w:rPr>
        <w:br/>
        <w:t>• multi-source validation</w:t>
      </w:r>
      <w:r w:rsidRPr="00B479AE">
        <w:rPr>
          <w:rFonts w:ascii="Baskerville Old Face" w:hAnsi="Baskerville Old Face"/>
          <w:i/>
          <w:iCs/>
        </w:rPr>
        <w:br/>
        <w:t>• confidence scoring</w:t>
      </w:r>
    </w:p>
    <w:p w14:paraId="5DCE05AF"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Confidence score concept</w:t>
      </w:r>
    </w:p>
    <w:p w14:paraId="43BD048F"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Each metric is associated with a confidence level:</w:t>
      </w:r>
    </w:p>
    <w:p w14:paraId="4564B0B3"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xml:space="preserve">Confidence Score = </w:t>
      </w:r>
      <w:proofErr w:type="gramStart"/>
      <w:r w:rsidRPr="00B479AE">
        <w:rPr>
          <w:rFonts w:ascii="Baskerville Old Face" w:hAnsi="Baskerville Old Face"/>
          <w:i/>
          <w:iCs/>
        </w:rPr>
        <w:t>f(</w:t>
      </w:r>
      <w:proofErr w:type="gramEnd"/>
      <w:r w:rsidRPr="00B479AE">
        <w:rPr>
          <w:rFonts w:ascii="Baskerville Old Face" w:hAnsi="Baskerville Old Face"/>
          <w:i/>
          <w:iCs/>
        </w:rPr>
        <w:t>data quality, frequency, consistency)</w:t>
      </w:r>
    </w:p>
    <w:p w14:paraId="7D90E8A7"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A9. From measurement to value recognition</w:t>
      </w:r>
    </w:p>
    <w:p w14:paraId="3B3A588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Measured improvements (delta) are translated into:</w:t>
      </w:r>
    </w:p>
    <w:p w14:paraId="4863620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lastRenderedPageBreak/>
        <w:t>• ecological indicators</w:t>
      </w:r>
      <w:r w:rsidRPr="00B479AE">
        <w:rPr>
          <w:rFonts w:ascii="Baskerville Old Face" w:hAnsi="Baskerville Old Face"/>
          <w:i/>
          <w:iCs/>
        </w:rPr>
        <w:br/>
        <w:t>• regenerative performance scores</w:t>
      </w:r>
      <w:r w:rsidRPr="00B479AE">
        <w:rPr>
          <w:rFonts w:ascii="Baskerville Old Face" w:hAnsi="Baskerville Old Face"/>
          <w:i/>
          <w:iCs/>
        </w:rPr>
        <w:br/>
        <w:t>• value signals within the system</w:t>
      </w:r>
    </w:p>
    <w:p w14:paraId="27B378DC"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These signals feed into:</w:t>
      </w:r>
    </w:p>
    <w:p w14:paraId="2B30681D"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governance decisions</w:t>
      </w:r>
      <w:r w:rsidRPr="00B479AE">
        <w:rPr>
          <w:rFonts w:ascii="Baskerville Old Face" w:hAnsi="Baskerville Old Face"/>
          <w:i/>
          <w:iCs/>
        </w:rPr>
        <w:br/>
        <w:t>• capital allocation</w:t>
      </w:r>
      <w:r w:rsidRPr="00B479AE">
        <w:rPr>
          <w:rFonts w:ascii="Baskerville Old Face" w:hAnsi="Baskerville Old Face"/>
          <w:i/>
          <w:iCs/>
        </w:rPr>
        <w:br/>
        <w:t>• regenerative asset recognition</w:t>
      </w:r>
    </w:p>
    <w:p w14:paraId="3A5C7463"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A10. Anti-greenwashing design</w:t>
      </w:r>
    </w:p>
    <w:p w14:paraId="07E9C007"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system is explicitly designed to prevent:</w:t>
      </w:r>
    </w:p>
    <w:p w14:paraId="2D7879A7"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inflated claims</w:t>
      </w:r>
      <w:r w:rsidRPr="00B479AE">
        <w:rPr>
          <w:rFonts w:ascii="Baskerville Old Face" w:hAnsi="Baskerville Old Face"/>
          <w:i/>
          <w:iCs/>
        </w:rPr>
        <w:br/>
        <w:t>• unverifiable offsets</w:t>
      </w:r>
      <w:r w:rsidRPr="00B479AE">
        <w:rPr>
          <w:rFonts w:ascii="Baskerville Old Face" w:hAnsi="Baskerville Old Face"/>
          <w:i/>
          <w:iCs/>
        </w:rPr>
        <w:br/>
        <w:t>• opaque certification</w:t>
      </w:r>
    </w:p>
    <w:p w14:paraId="01DFBC7C"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This is achieved through:</w:t>
      </w:r>
    </w:p>
    <w:p w14:paraId="7F4E9917"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local verification</w:t>
      </w:r>
      <w:r w:rsidRPr="00B479AE">
        <w:rPr>
          <w:rFonts w:ascii="Baskerville Old Face" w:hAnsi="Baskerville Old Face"/>
          <w:i/>
          <w:iCs/>
        </w:rPr>
        <w:br/>
        <w:t>• transparent data flows</w:t>
      </w:r>
      <w:r w:rsidRPr="00B479AE">
        <w:rPr>
          <w:rFonts w:ascii="Baskerville Old Face" w:hAnsi="Baskerville Old Face"/>
          <w:i/>
          <w:iCs/>
        </w:rPr>
        <w:br/>
        <w:t>• continuous monitoring</w:t>
      </w:r>
      <w:r w:rsidRPr="00B479AE">
        <w:rPr>
          <w:rFonts w:ascii="Baskerville Old Face" w:hAnsi="Baskerville Old Face"/>
          <w:i/>
          <w:iCs/>
        </w:rPr>
        <w:br/>
        <w:t>• distributed validation</w:t>
      </w:r>
    </w:p>
    <w:p w14:paraId="02EF6A6C"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A11. Scientific falsifiability</w:t>
      </w:r>
    </w:p>
    <w:p w14:paraId="35D266E2"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Prometheus MRV framework is falsifiable.</w:t>
      </w:r>
    </w:p>
    <w:p w14:paraId="63C1C80A"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This means:</w:t>
      </w:r>
    </w:p>
    <w:p w14:paraId="1C24139B"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hypotheses can be tested</w:t>
      </w:r>
      <w:r w:rsidRPr="00B479AE">
        <w:rPr>
          <w:rFonts w:ascii="Baskerville Old Face" w:hAnsi="Baskerville Old Face"/>
          <w:i/>
          <w:iCs/>
        </w:rPr>
        <w:br/>
        <w:t>• results can be verified independently</w:t>
      </w:r>
      <w:r w:rsidRPr="00B479AE">
        <w:rPr>
          <w:rFonts w:ascii="Baskerville Old Face" w:hAnsi="Baskerville Old Face"/>
          <w:i/>
          <w:iCs/>
        </w:rPr>
        <w:br/>
        <w:t>• failures can be detected</w:t>
      </w:r>
    </w:p>
    <w:p w14:paraId="2F10F155"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Example:</w:t>
      </w:r>
    </w:p>
    <w:p w14:paraId="3807236B"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Hypothesis:</w:t>
      </w:r>
      <w:r w:rsidRPr="00B479AE">
        <w:rPr>
          <w:rFonts w:ascii="Baskerville Old Face" w:hAnsi="Baskerville Old Face"/>
          <w:i/>
          <w:iCs/>
        </w:rPr>
        <w:br/>
        <w:t>“OHE implementation increases soil organic carbon over 24 months.”</w:t>
      </w:r>
    </w:p>
    <w:p w14:paraId="04E69C0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lastRenderedPageBreak/>
        <w:t>Test:</w:t>
      </w:r>
    </w:p>
    <w:p w14:paraId="1DFCC8C8"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measure baseline SOC</w:t>
      </w:r>
      <w:r w:rsidRPr="00B479AE">
        <w:rPr>
          <w:rFonts w:ascii="Baskerville Old Face" w:hAnsi="Baskerville Old Face"/>
          <w:i/>
          <w:iCs/>
        </w:rPr>
        <w:br/>
        <w:t>• measure SOC after 24 months</w:t>
      </w:r>
      <w:r w:rsidRPr="00B479AE">
        <w:rPr>
          <w:rFonts w:ascii="Baskerville Old Face" w:hAnsi="Baskerville Old Face"/>
          <w:i/>
          <w:iCs/>
        </w:rPr>
        <w:br/>
        <w:t>• compare delta</w:t>
      </w:r>
    </w:p>
    <w:p w14:paraId="05AF6D63"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xml:space="preserve">If no improvement is observed </w:t>
      </w:r>
      <w:r w:rsidRPr="00B479AE">
        <w:rPr>
          <w:rFonts w:ascii="Times New Roman" w:hAnsi="Times New Roman" w:cs="Times New Roman"/>
          <w:i/>
          <w:iCs/>
        </w:rPr>
        <w:t>→</w:t>
      </w:r>
      <w:r w:rsidRPr="00B479AE">
        <w:rPr>
          <w:rFonts w:ascii="Baskerville Old Face" w:hAnsi="Baskerville Old Face"/>
          <w:i/>
          <w:iCs/>
        </w:rPr>
        <w:t xml:space="preserve"> hypothesis is falsified.</w:t>
      </w:r>
    </w:p>
    <w:p w14:paraId="57AA1AB9"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A12. Integration with financial system</w:t>
      </w:r>
    </w:p>
    <w:p w14:paraId="33D0049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MRV outputs directly support:</w:t>
      </w:r>
    </w:p>
    <w:p w14:paraId="4E4D2FCE"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regenerative asset valuation</w:t>
      </w:r>
      <w:r w:rsidRPr="00B479AE">
        <w:rPr>
          <w:rFonts w:ascii="Baskerville Old Face" w:hAnsi="Baskerville Old Face"/>
          <w:i/>
          <w:iCs/>
        </w:rPr>
        <w:br/>
        <w:t>• capital allocation decisions</w:t>
      </w:r>
      <w:r w:rsidRPr="00B479AE">
        <w:rPr>
          <w:rFonts w:ascii="Baskerville Old Face" w:hAnsi="Baskerville Old Face"/>
          <w:i/>
          <w:iCs/>
        </w:rPr>
        <w:br/>
        <w:t>• risk assessment</w:t>
      </w:r>
    </w:p>
    <w:p w14:paraId="022FE3F5"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This creates a direct link between:</w:t>
      </w:r>
    </w:p>
    <w:p w14:paraId="0248D39F"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xml:space="preserve">ecological reality </w:t>
      </w:r>
      <w:r w:rsidRPr="00B479AE">
        <w:rPr>
          <w:rFonts w:ascii="Times New Roman" w:hAnsi="Times New Roman" w:cs="Times New Roman"/>
          <w:i/>
          <w:iCs/>
        </w:rPr>
        <w:t>↔</w:t>
      </w:r>
      <w:r w:rsidRPr="00B479AE">
        <w:rPr>
          <w:rFonts w:ascii="Baskerville Old Face" w:hAnsi="Baskerville Old Face"/>
          <w:i/>
          <w:iCs/>
        </w:rPr>
        <w:t xml:space="preserve"> financial value</w:t>
      </w:r>
    </w:p>
    <w:p w14:paraId="6067F6AC" w14:textId="77777777" w:rsidR="00330623" w:rsidRPr="00B479AE" w:rsidRDefault="00330623" w:rsidP="00330623">
      <w:pPr>
        <w:spacing w:line="360" w:lineRule="auto"/>
        <w:rPr>
          <w:rFonts w:ascii="Baskerville Old Face" w:hAnsi="Baskerville Old Face"/>
          <w:b/>
          <w:bCs/>
          <w:i/>
          <w:iCs/>
        </w:rPr>
      </w:pPr>
      <w:r w:rsidRPr="00B479AE">
        <w:rPr>
          <w:rFonts w:ascii="Baskerville Old Face" w:hAnsi="Baskerville Old Face"/>
          <w:b/>
          <w:bCs/>
          <w:i/>
          <w:iCs/>
        </w:rPr>
        <w:t>A13. Scalability of MRV</w:t>
      </w:r>
    </w:p>
    <w:p w14:paraId="0F6F0FC9"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system scales through:</w:t>
      </w:r>
    </w:p>
    <w:p w14:paraId="32BD49B1"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standardization of metrics</w:t>
      </w:r>
      <w:r w:rsidRPr="00B479AE">
        <w:rPr>
          <w:rFonts w:ascii="Baskerville Old Face" w:hAnsi="Baskerville Old Face"/>
          <w:i/>
          <w:iCs/>
        </w:rPr>
        <w:br/>
        <w:t>• modular deployment</w:t>
      </w:r>
      <w:r w:rsidRPr="00B479AE">
        <w:rPr>
          <w:rFonts w:ascii="Baskerville Old Face" w:hAnsi="Baskerville Old Face"/>
          <w:i/>
          <w:iCs/>
        </w:rPr>
        <w:br/>
        <w:t>• distributed data validation</w:t>
      </w:r>
    </w:p>
    <w:p w14:paraId="22C0E392"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This allows:</w:t>
      </w:r>
    </w:p>
    <w:p w14:paraId="5CE70A77"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 local precision</w:t>
      </w:r>
      <w:r w:rsidRPr="00B479AE">
        <w:rPr>
          <w:rFonts w:ascii="Baskerville Old Face" w:hAnsi="Baskerville Old Face"/>
          <w:i/>
          <w:iCs/>
        </w:rPr>
        <w:br/>
        <w:t>• global comparability</w:t>
      </w:r>
    </w:p>
    <w:p w14:paraId="26895A70"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The MRV framework provides the scientific backbone required to validate regenerative systems.</w:t>
      </w:r>
    </w:p>
    <w:p w14:paraId="7E5F410B"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Together with the architectural, operational, and financial components described in this white paper, it enables the emergence of a new class of infrastructure:</w:t>
      </w:r>
    </w:p>
    <w:p w14:paraId="274F3257" w14:textId="77777777" w:rsidR="00330623" w:rsidRPr="00B479AE" w:rsidRDefault="00330623" w:rsidP="00330623">
      <w:pPr>
        <w:spacing w:line="360" w:lineRule="auto"/>
        <w:rPr>
          <w:rFonts w:ascii="Baskerville Old Face" w:hAnsi="Baskerville Old Face"/>
          <w:i/>
          <w:iCs/>
        </w:rPr>
      </w:pPr>
      <w:r w:rsidRPr="00B479AE">
        <w:rPr>
          <w:rFonts w:ascii="Baskerville Old Face" w:hAnsi="Baskerville Old Face"/>
          <w:i/>
          <w:iCs/>
        </w:rPr>
        <w:t>Regenerative, measurable, and investable by design.</w:t>
      </w:r>
    </w:p>
    <w:p w14:paraId="081FC5B1" w14:textId="77777777" w:rsidR="00D37DF5" w:rsidRPr="00B479AE" w:rsidRDefault="00D37DF5" w:rsidP="00330623">
      <w:pPr>
        <w:spacing w:line="360" w:lineRule="auto"/>
        <w:rPr>
          <w:rFonts w:ascii="Baskerville Old Face" w:hAnsi="Baskerville Old Face"/>
          <w:b/>
          <w:bCs/>
          <w:i/>
          <w:iCs/>
        </w:rPr>
      </w:pPr>
    </w:p>
    <w:p w14:paraId="52696045" w14:textId="5D0CFF09" w:rsidR="008E20E1" w:rsidRPr="00B479AE" w:rsidRDefault="008E20E1" w:rsidP="00586C06">
      <w:pPr>
        <w:spacing w:line="360" w:lineRule="auto"/>
        <w:jc w:val="center"/>
        <w:rPr>
          <w:rFonts w:ascii="Baskerville Old Face" w:hAnsi="Baskerville Old Face"/>
          <w:b/>
          <w:bCs/>
        </w:rPr>
      </w:pPr>
      <w:r w:rsidRPr="00B479AE">
        <w:rPr>
          <w:rFonts w:ascii="Baskerville Old Face" w:hAnsi="Baskerville Old Face"/>
          <w:b/>
          <w:bCs/>
        </w:rPr>
        <w:lastRenderedPageBreak/>
        <w:t>APPENDICES</w:t>
      </w:r>
      <w:r w:rsidR="00ED2A29" w:rsidRPr="00B479AE">
        <w:rPr>
          <w:rFonts w:ascii="Baskerville Old Face" w:hAnsi="Baskerville Old Face"/>
          <w:b/>
          <w:bCs/>
        </w:rPr>
        <w:t xml:space="preserve"> </w:t>
      </w:r>
      <w:r w:rsidR="00330623" w:rsidRPr="00B479AE">
        <w:rPr>
          <w:rFonts w:ascii="Baskerville Old Face" w:hAnsi="Baskerville Old Face"/>
          <w:b/>
          <w:bCs/>
        </w:rPr>
        <w:t>2</w:t>
      </w:r>
    </w:p>
    <w:p w14:paraId="2F9F0DE9" w14:textId="77777777" w:rsidR="008E20E1" w:rsidRPr="005907F1" w:rsidRDefault="008E20E1"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Appendix A: Formal complexity proofs</w:t>
      </w:r>
    </w:p>
    <w:p w14:paraId="03E56B21"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A.1 Derivation of agent-centric complexity</w:t>
      </w:r>
    </w:p>
    <w:p w14:paraId="134B8F6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Following the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whitepaper formalism, we consider a system with *n* total transactions and *m* nodes. The probability that any given node is responsible for validating a given transaction is *r/m*, where *r* is the resilience factor (typically 10-20). The DHT lookup complexity is </w:t>
      </w:r>
      <w:proofErr w:type="gramStart"/>
      <w:r w:rsidRPr="00B479AE">
        <w:rPr>
          <w:rFonts w:ascii="Baskerville Old Face" w:hAnsi="Baskerville Old Face"/>
          <w:i/>
          <w:iCs/>
        </w:rPr>
        <w:t>O(</w:t>
      </w:r>
      <w:proofErr w:type="gramEnd"/>
      <w:r w:rsidRPr="00B479AE">
        <w:rPr>
          <w:rFonts w:ascii="Baskerville Old Face" w:hAnsi="Baskerville Old Face"/>
          <w:i/>
          <w:iCs/>
        </w:rPr>
        <w:t>log m).</w:t>
      </w:r>
    </w:p>
    <w:p w14:paraId="54C9480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Therefore, the expected number of validations per node is (n/</w:t>
      </w:r>
      <w:proofErr w:type="gramStart"/>
      <w:r w:rsidRPr="00B479AE">
        <w:rPr>
          <w:rFonts w:ascii="Baskerville Old Face" w:hAnsi="Baskerville Old Face"/>
          <w:i/>
          <w:iCs/>
        </w:rPr>
        <w:t>m)</w:t>
      </w:r>
      <w:r w:rsidRPr="00B479AE">
        <w:rPr>
          <w:rFonts w:ascii="Cambria Math" w:hAnsi="Cambria Math" w:cs="Cambria Math"/>
          <w:i/>
          <w:iCs/>
        </w:rPr>
        <w:t>⋅</w:t>
      </w:r>
      <w:proofErr w:type="gramEnd"/>
      <w:r w:rsidRPr="00B479AE">
        <w:rPr>
          <w:rFonts w:ascii="Baskerville Old Face" w:hAnsi="Baskerville Old Face"/>
          <w:i/>
          <w:iCs/>
        </w:rPr>
        <w:t>r, and the total system complexity is:</w:t>
      </w:r>
    </w:p>
    <w:p w14:paraId="48DCCD58" w14:textId="77777777" w:rsidR="008E20E1" w:rsidRPr="00B479AE" w:rsidRDefault="008E20E1" w:rsidP="008E20E1">
      <w:pPr>
        <w:spacing w:line="360" w:lineRule="auto"/>
        <w:rPr>
          <w:rFonts w:ascii="Baskerville Old Face" w:hAnsi="Baskerville Old Face"/>
          <w:i/>
          <w:iCs/>
        </w:rPr>
      </w:pPr>
      <w:proofErr w:type="spellStart"/>
      <w:r w:rsidRPr="00B479AE">
        <w:rPr>
          <w:rFonts w:ascii="Cambria" w:hAnsi="Cambria" w:cs="Cambria"/>
          <w:i/>
          <w:iCs/>
        </w:rPr>
        <w:t>Ω</w:t>
      </w:r>
      <w:r w:rsidRPr="00B479AE">
        <w:rPr>
          <w:rFonts w:ascii="Baskerville Old Face" w:hAnsi="Baskerville Old Face"/>
          <w:i/>
          <w:iCs/>
        </w:rPr>
        <w:t>_agent</w:t>
      </w:r>
      <w:proofErr w:type="spellEnd"/>
      <w:r w:rsidRPr="00B479AE">
        <w:rPr>
          <w:rFonts w:ascii="Baskerville Old Face" w:hAnsi="Baskerville Old Face"/>
          <w:i/>
          <w:iCs/>
        </w:rPr>
        <w:t xml:space="preserve">-centric </w:t>
      </w:r>
      <w:r w:rsidRPr="00B479AE">
        <w:rPr>
          <w:rFonts w:ascii="Cambria Math" w:hAnsi="Cambria Math" w:cs="Cambria Math"/>
          <w:i/>
          <w:iCs/>
        </w:rPr>
        <w:t>∈</w:t>
      </w:r>
      <w:r w:rsidRPr="00B479AE">
        <w:rPr>
          <w:rFonts w:ascii="Baskerville Old Face" w:hAnsi="Baskerville Old Face"/>
          <w:i/>
          <w:iCs/>
        </w:rPr>
        <w:t xml:space="preserve"> </w:t>
      </w:r>
      <w:proofErr w:type="gramStart"/>
      <w:r w:rsidRPr="00B479AE">
        <w:rPr>
          <w:rFonts w:ascii="Baskerville Old Face" w:hAnsi="Baskerville Old Face"/>
          <w:i/>
          <w:iCs/>
        </w:rPr>
        <w:t>O(</w:t>
      </w:r>
      <w:proofErr w:type="gramEnd"/>
      <w:r w:rsidRPr="00B479AE">
        <w:rPr>
          <w:rFonts w:ascii="Baskerville Old Face" w:hAnsi="Baskerville Old Face"/>
          <w:i/>
          <w:iCs/>
        </w:rPr>
        <w:t>n</w:t>
      </w:r>
      <w:proofErr w:type="gramStart"/>
      <w:r w:rsidRPr="00B479AE">
        <w:rPr>
          <w:rFonts w:ascii="Cambria" w:hAnsi="Cambria" w:cs="Cambria"/>
          <w:i/>
          <w:iCs/>
        </w:rPr>
        <w:t>·</w:t>
      </w:r>
      <w:r w:rsidRPr="00B479AE">
        <w:rPr>
          <w:rFonts w:ascii="Baskerville Old Face" w:hAnsi="Baskerville Old Face"/>
          <w:i/>
          <w:iCs/>
        </w:rPr>
        <w:t>(</w:t>
      </w:r>
      <w:proofErr w:type="gramEnd"/>
      <w:r w:rsidRPr="00B479AE">
        <w:rPr>
          <w:rFonts w:ascii="Baskerville Old Face" w:hAnsi="Baskerville Old Face"/>
          <w:i/>
          <w:iCs/>
        </w:rPr>
        <w:t>log m + v(</w:t>
      </w:r>
      <w:proofErr w:type="spellStart"/>
      <w:proofErr w:type="gramStart"/>
      <w:r w:rsidRPr="00B479AE">
        <w:rPr>
          <w:rFonts w:ascii="Baskerville Old Face" w:hAnsi="Baskerville Old Face"/>
          <w:i/>
          <w:iCs/>
        </w:rPr>
        <w:t>n,m</w:t>
      </w:r>
      <w:proofErr w:type="spellEnd"/>
      <w:proofErr w:type="gramEnd"/>
      <w:r w:rsidRPr="00B479AE">
        <w:rPr>
          <w:rFonts w:ascii="Baskerville Old Face" w:hAnsi="Baskerville Old Face"/>
          <w:i/>
          <w:iCs/>
        </w:rPr>
        <w:t>)))</w:t>
      </w:r>
    </w:p>
    <w:p w14:paraId="59BE878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where v(</w:t>
      </w:r>
      <w:proofErr w:type="spellStart"/>
      <w:proofErr w:type="gramStart"/>
      <w:r w:rsidRPr="00B479AE">
        <w:rPr>
          <w:rFonts w:ascii="Baskerville Old Face" w:hAnsi="Baskerville Old Face"/>
          <w:i/>
          <w:iCs/>
        </w:rPr>
        <w:t>n,m</w:t>
      </w:r>
      <w:proofErr w:type="spellEnd"/>
      <w:proofErr w:type="gramEnd"/>
      <w:r w:rsidRPr="00B479AE">
        <w:rPr>
          <w:rFonts w:ascii="Baskerville Old Face" w:hAnsi="Baskerville Old Face"/>
          <w:i/>
          <w:iCs/>
        </w:rPr>
        <w:t>) is the application-specific validation complexity.</w:t>
      </w:r>
    </w:p>
    <w:p w14:paraId="7D6228B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For a well-designed application with *v(</w:t>
      </w:r>
      <w:proofErr w:type="spellStart"/>
      <w:proofErr w:type="gramStart"/>
      <w:r w:rsidRPr="00B479AE">
        <w:rPr>
          <w:rFonts w:ascii="Baskerville Old Face" w:hAnsi="Baskerville Old Face"/>
          <w:i/>
          <w:iCs/>
        </w:rPr>
        <w:t>n,m</w:t>
      </w:r>
      <w:proofErr w:type="spellEnd"/>
      <w:proofErr w:type="gramEnd"/>
      <w:r w:rsidRPr="00B479AE">
        <w:rPr>
          <w:rFonts w:ascii="Baskerville Old Face" w:hAnsi="Baskerville Old Face"/>
          <w:i/>
          <w:iCs/>
        </w:rPr>
        <w:t xml:space="preserve">) = </w:t>
      </w:r>
      <w:proofErr w:type="gramStart"/>
      <w:r w:rsidRPr="00B479AE">
        <w:rPr>
          <w:rFonts w:ascii="Baskerville Old Face" w:hAnsi="Baskerville Old Face"/>
          <w:i/>
          <w:iCs/>
        </w:rPr>
        <w:t>O(1)*</w:t>
      </w:r>
      <w:proofErr w:type="gramEnd"/>
      <w:r w:rsidRPr="00B479AE">
        <w:rPr>
          <w:rFonts w:ascii="Baskerville Old Face" w:hAnsi="Baskerville Old Face"/>
          <w:i/>
          <w:iCs/>
        </w:rPr>
        <w:t>, the per-node complexity is:</w:t>
      </w:r>
    </w:p>
    <w:p w14:paraId="39C12383" w14:textId="77777777" w:rsidR="008E20E1" w:rsidRPr="005907F1" w:rsidRDefault="008E20E1" w:rsidP="008E20E1">
      <w:pPr>
        <w:spacing w:line="360" w:lineRule="auto"/>
        <w:rPr>
          <w:rFonts w:ascii="Baskerville Old Face" w:hAnsi="Baskerville Old Face"/>
          <w:i/>
          <w:iCs/>
          <w:lang w:val="it-IT"/>
        </w:rPr>
      </w:pPr>
      <w:r w:rsidRPr="00B479AE">
        <w:rPr>
          <w:rFonts w:ascii="Cambria" w:hAnsi="Cambria" w:cs="Cambria"/>
          <w:i/>
          <w:iCs/>
        </w:rPr>
        <w:t>Ω</w:t>
      </w:r>
      <w:r w:rsidRPr="005907F1">
        <w:rPr>
          <w:rFonts w:ascii="Baskerville Old Face" w:hAnsi="Baskerville Old Face"/>
          <w:i/>
          <w:iCs/>
          <w:lang w:val="it-IT"/>
        </w:rPr>
        <w:t>_</w:t>
      </w:r>
      <w:proofErr w:type="spellStart"/>
      <w:r w:rsidRPr="005907F1">
        <w:rPr>
          <w:rFonts w:ascii="Baskerville Old Face" w:hAnsi="Baskerville Old Face"/>
          <w:i/>
          <w:iCs/>
          <w:lang w:val="it-IT"/>
        </w:rPr>
        <w:t>node</w:t>
      </w:r>
      <w:proofErr w:type="spellEnd"/>
      <w:r w:rsidRPr="005907F1">
        <w:rPr>
          <w:rFonts w:ascii="Baskerville Old Face" w:hAnsi="Baskerville Old Face"/>
          <w:i/>
          <w:iCs/>
          <w:lang w:val="it-IT"/>
        </w:rPr>
        <w:t xml:space="preserve"> </w:t>
      </w:r>
      <w:r w:rsidRPr="005907F1">
        <w:rPr>
          <w:rFonts w:ascii="Cambria Math" w:hAnsi="Cambria Math" w:cs="Cambria Math"/>
          <w:i/>
          <w:iCs/>
          <w:lang w:val="it-IT"/>
        </w:rPr>
        <w:t>∈</w:t>
      </w:r>
      <w:r w:rsidRPr="005907F1">
        <w:rPr>
          <w:rFonts w:ascii="Baskerville Old Face" w:hAnsi="Baskerville Old Face"/>
          <w:i/>
          <w:iCs/>
          <w:lang w:val="it-IT"/>
        </w:rPr>
        <w:t xml:space="preserve"> O((n/m) log m)</w:t>
      </w:r>
    </w:p>
    <w:p w14:paraId="417C3E6B"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A.2 Comparative analysis with blockchain</w:t>
      </w:r>
    </w:p>
    <w:p w14:paraId="567362F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For blockchain systems (Bitcoin, Ethereum), every node must validate every transaction, and transactions must be processed in global consensus order. This yields:</w:t>
      </w:r>
    </w:p>
    <w:p w14:paraId="23A789C0" w14:textId="77777777" w:rsidR="008E20E1" w:rsidRPr="00B479AE" w:rsidRDefault="008E20E1" w:rsidP="008E20E1">
      <w:pPr>
        <w:spacing w:line="360" w:lineRule="auto"/>
        <w:rPr>
          <w:rFonts w:ascii="Baskerville Old Face" w:hAnsi="Baskerville Old Face"/>
          <w:i/>
          <w:iCs/>
        </w:rPr>
      </w:pPr>
      <w:proofErr w:type="spellStart"/>
      <w:r w:rsidRPr="00B479AE">
        <w:rPr>
          <w:rFonts w:ascii="Cambria" w:hAnsi="Cambria" w:cs="Cambria"/>
          <w:i/>
          <w:iCs/>
        </w:rPr>
        <w:t>Ω</w:t>
      </w:r>
      <w:r w:rsidRPr="00B479AE">
        <w:rPr>
          <w:rFonts w:ascii="Baskerville Old Face" w:hAnsi="Baskerville Old Face"/>
          <w:i/>
          <w:iCs/>
        </w:rPr>
        <w:t>_blockchain</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gramStart"/>
      <w:r w:rsidRPr="00B479AE">
        <w:rPr>
          <w:rFonts w:ascii="Baskerville Old Face" w:hAnsi="Baskerville Old Face"/>
          <w:i/>
          <w:iCs/>
        </w:rPr>
        <w:t>O(</w:t>
      </w:r>
      <w:proofErr w:type="gramEnd"/>
      <w:r w:rsidRPr="00B479AE">
        <w:rPr>
          <w:rFonts w:ascii="Baskerville Old Face" w:hAnsi="Baskerville Old Face"/>
          <w:i/>
          <w:iCs/>
        </w:rPr>
        <w:t>n</w:t>
      </w:r>
      <w:r w:rsidRPr="00B479AE">
        <w:rPr>
          <w:rFonts w:ascii="Baskerville Old Face" w:hAnsi="Baskerville Old Face" w:cs="Calibri"/>
          <w:i/>
          <w:iCs/>
        </w:rPr>
        <w:t>²</w:t>
      </w:r>
      <w:r w:rsidRPr="00B479AE">
        <w:rPr>
          <w:rFonts w:ascii="Baskerville Old Face" w:hAnsi="Baskerville Old Face"/>
          <w:i/>
          <w:iCs/>
        </w:rPr>
        <w:t xml:space="preserve"> m)</w:t>
      </w:r>
    </w:p>
    <w:p w14:paraId="6D5C483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The quadratic term n² arises from the need to check each transaction against the entire history (for double-spend prevention). This is the fundamental source of blockchain's scalability limit.</w:t>
      </w:r>
    </w:p>
    <w:p w14:paraId="084A578C"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A.3 Implications for regenerative applications</w:t>
      </w:r>
    </w:p>
    <w:p w14:paraId="270D3DF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The agent-centric complexity model demonstrates that as a regenerative ecosystem grows (increasing *m*), the per-node workload decreases. This means:</w:t>
      </w:r>
    </w:p>
    <w:p w14:paraId="420E4D92" w14:textId="77777777" w:rsidR="008E20E1" w:rsidRPr="00B479AE" w:rsidRDefault="008E20E1">
      <w:pPr>
        <w:numPr>
          <w:ilvl w:val="0"/>
          <w:numId w:val="1"/>
        </w:numPr>
        <w:spacing w:line="360" w:lineRule="auto"/>
        <w:rPr>
          <w:rFonts w:ascii="Baskerville Old Face" w:hAnsi="Baskerville Old Face"/>
          <w:i/>
          <w:iCs/>
        </w:rPr>
      </w:pPr>
      <w:r w:rsidRPr="00B479AE">
        <w:rPr>
          <w:rFonts w:ascii="Baskerville Old Face" w:hAnsi="Baskerville Old Face"/>
          <w:i/>
          <w:iCs/>
        </w:rPr>
        <w:t>More stewards = faster validation</w:t>
      </w:r>
    </w:p>
    <w:p w14:paraId="39C2C004" w14:textId="77777777" w:rsidR="008E20E1" w:rsidRPr="00B479AE" w:rsidRDefault="008E20E1">
      <w:pPr>
        <w:numPr>
          <w:ilvl w:val="0"/>
          <w:numId w:val="1"/>
        </w:numPr>
        <w:spacing w:line="360" w:lineRule="auto"/>
        <w:rPr>
          <w:rFonts w:ascii="Baskerville Old Face" w:hAnsi="Baskerville Old Face"/>
          <w:i/>
          <w:iCs/>
        </w:rPr>
      </w:pPr>
      <w:r w:rsidRPr="00B479AE">
        <w:rPr>
          <w:rFonts w:ascii="Baskerville Old Face" w:hAnsi="Baskerville Old Face"/>
          <w:i/>
          <w:iCs/>
        </w:rPr>
        <w:t>More communities = more resilient network</w:t>
      </w:r>
    </w:p>
    <w:p w14:paraId="7F4D3B75" w14:textId="77777777" w:rsidR="008E20E1" w:rsidRPr="00B479AE" w:rsidRDefault="008E20E1">
      <w:pPr>
        <w:numPr>
          <w:ilvl w:val="0"/>
          <w:numId w:val="1"/>
        </w:numPr>
        <w:spacing w:line="360" w:lineRule="auto"/>
        <w:rPr>
          <w:rFonts w:ascii="Baskerville Old Face" w:hAnsi="Baskerville Old Face"/>
          <w:i/>
          <w:iCs/>
        </w:rPr>
      </w:pPr>
      <w:r w:rsidRPr="00B479AE">
        <w:rPr>
          <w:rFonts w:ascii="Baskerville Old Face" w:hAnsi="Baskerville Old Face"/>
          <w:i/>
          <w:iCs/>
        </w:rPr>
        <w:t>More transactions = no congestion</w:t>
      </w:r>
    </w:p>
    <w:p w14:paraId="50EEE7D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This is the mathematical foundation for the spiral of abundance: participation creates capacity.</w:t>
      </w:r>
    </w:p>
    <w:p w14:paraId="5513DA09" w14:textId="12E77524" w:rsidR="008E20E1" w:rsidRPr="005907F1" w:rsidRDefault="008E20E1"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Appendix B: HSI 1.0 complete specification</w:t>
      </w:r>
    </w:p>
    <w:p w14:paraId="75A07930"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B.1 JSON Schema</w:t>
      </w:r>
    </w:p>
    <w:p w14:paraId="28561230" w14:textId="77777777" w:rsidR="008E20E1" w:rsidRPr="00B479AE" w:rsidRDefault="008E20E1" w:rsidP="008E20E1">
      <w:pPr>
        <w:spacing w:line="360" w:lineRule="auto"/>
        <w:rPr>
          <w:rFonts w:ascii="Baskerville Old Face" w:hAnsi="Baskerville Old Face"/>
          <w:i/>
          <w:iCs/>
        </w:rPr>
      </w:pPr>
      <w:proofErr w:type="spellStart"/>
      <w:r w:rsidRPr="00B479AE">
        <w:rPr>
          <w:rFonts w:ascii="Baskerville Old Face" w:hAnsi="Baskerville Old Face"/>
          <w:i/>
          <w:iCs/>
        </w:rPr>
        <w:t>json</w:t>
      </w:r>
      <w:proofErr w:type="spellEnd"/>
    </w:p>
    <w:p w14:paraId="090476B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w:t>
      </w:r>
    </w:p>
    <w:p w14:paraId="0B4ACB3C"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"$schema": "http://json-schema.org/draft-07/schema#",</w:t>
      </w:r>
    </w:p>
    <w:p w14:paraId="4F63693B"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"title": "HSI Payload",</w:t>
      </w:r>
    </w:p>
    <w:p w14:paraId="33C8CB4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"description": "Human State Interface payload version 1.0",</w:t>
      </w:r>
    </w:p>
    <w:p w14:paraId="392A801D"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"object",</w:t>
      </w:r>
    </w:p>
    <w:p w14:paraId="2E81A9E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"required": ["</w:t>
      </w:r>
      <w:proofErr w:type="spellStart"/>
      <w:r w:rsidRPr="00B479AE">
        <w:rPr>
          <w:rFonts w:ascii="Baskerville Old Face" w:hAnsi="Baskerville Old Face"/>
          <w:i/>
          <w:iCs/>
        </w:rPr>
        <w:t>hsi_version</w:t>
      </w:r>
      <w:proofErr w:type="spellEnd"/>
      <w:r w:rsidRPr="00B479AE">
        <w:rPr>
          <w:rFonts w:ascii="Baskerville Old Face" w:hAnsi="Baskerville Old Face"/>
          <w:i/>
          <w:iCs/>
        </w:rPr>
        <w:t>", "</w:t>
      </w:r>
      <w:proofErr w:type="spellStart"/>
      <w:r w:rsidRPr="00B479AE">
        <w:rPr>
          <w:rFonts w:ascii="Baskerville Old Face" w:hAnsi="Baskerville Old Face"/>
          <w:i/>
          <w:iCs/>
        </w:rPr>
        <w:t>observed_at_utc</w:t>
      </w:r>
      <w:proofErr w:type="spellEnd"/>
      <w:r w:rsidRPr="00B479AE">
        <w:rPr>
          <w:rFonts w:ascii="Baskerville Old Face" w:hAnsi="Baskerville Old Face"/>
          <w:i/>
          <w:iCs/>
        </w:rPr>
        <w:t>", "</w:t>
      </w:r>
      <w:proofErr w:type="spellStart"/>
      <w:r w:rsidRPr="00B479AE">
        <w:rPr>
          <w:rFonts w:ascii="Baskerville Old Face" w:hAnsi="Baskerville Old Face"/>
          <w:i/>
          <w:iCs/>
        </w:rPr>
        <w:t>computed_at_utc</w:t>
      </w:r>
      <w:proofErr w:type="spellEnd"/>
      <w:r w:rsidRPr="00B479AE">
        <w:rPr>
          <w:rFonts w:ascii="Baskerville Old Face" w:hAnsi="Baskerville Old Face"/>
          <w:i/>
          <w:iCs/>
        </w:rPr>
        <w:t>", "</w:t>
      </w:r>
      <w:proofErr w:type="spellStart"/>
      <w:r w:rsidRPr="00B479AE">
        <w:rPr>
          <w:rFonts w:ascii="Baskerville Old Face" w:hAnsi="Baskerville Old Face"/>
          <w:i/>
          <w:iCs/>
        </w:rPr>
        <w:t>producer_id</w:t>
      </w:r>
      <w:proofErr w:type="spellEnd"/>
      <w:r w:rsidRPr="00B479AE">
        <w:rPr>
          <w:rFonts w:ascii="Baskerville Old Face" w:hAnsi="Baskerville Old Face"/>
          <w:i/>
          <w:iCs/>
        </w:rPr>
        <w:t>", "axes", "privacy"],</w:t>
      </w:r>
    </w:p>
    <w:p w14:paraId="3F600D2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"properties": {</w:t>
      </w:r>
    </w:p>
    <w:p w14:paraId="62E5BC9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hsi</w:t>
      </w:r>
      <w:proofErr w:type="gramEnd"/>
      <w:r w:rsidRPr="00B479AE">
        <w:rPr>
          <w:rFonts w:ascii="Baskerville Old Face" w:hAnsi="Baskerville Old Face"/>
          <w:i/>
          <w:iCs/>
        </w:rPr>
        <w:t>_version</w:t>
      </w:r>
      <w:proofErr w:type="spellEnd"/>
      <w:r w:rsidRPr="00B479AE">
        <w:rPr>
          <w:rFonts w:ascii="Baskerville Old Face" w:hAnsi="Baskerville Old Face"/>
          <w:i/>
          <w:iCs/>
        </w:rPr>
        <w:t>": {</w:t>
      </w:r>
    </w:p>
    <w:p w14:paraId="2281509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"string",</w:t>
      </w:r>
    </w:p>
    <w:p w14:paraId="55FC7E6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"pattern": "^1\\.0$",</w:t>
      </w:r>
    </w:p>
    <w:p w14:paraId="52890F7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"description": "HSI protocol version"</w:t>
      </w:r>
    </w:p>
    <w:p w14:paraId="6F22A22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1EB41AF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observed</w:t>
      </w:r>
      <w:proofErr w:type="gramEnd"/>
      <w:r w:rsidRPr="00B479AE">
        <w:rPr>
          <w:rFonts w:ascii="Baskerville Old Face" w:hAnsi="Baskerville Old Face"/>
          <w:i/>
          <w:iCs/>
        </w:rPr>
        <w:t>_at_utc</w:t>
      </w:r>
      <w:proofErr w:type="spellEnd"/>
      <w:r w:rsidRPr="00B479AE">
        <w:rPr>
          <w:rFonts w:ascii="Baskerville Old Face" w:hAnsi="Baskerville Old Face"/>
          <w:i/>
          <w:iCs/>
        </w:rPr>
        <w:t>": {</w:t>
      </w:r>
    </w:p>
    <w:p w14:paraId="7E7B83B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"string",</w:t>
      </w:r>
    </w:p>
    <w:p w14:paraId="63790BB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"format": "date-time",</w:t>
      </w:r>
    </w:p>
    <w:p w14:paraId="35C2B48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"description": "UTC timestamp when the state was observed"</w:t>
      </w:r>
    </w:p>
    <w:p w14:paraId="0995A65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4D1A5F7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computed</w:t>
      </w:r>
      <w:proofErr w:type="gramEnd"/>
      <w:r w:rsidRPr="00B479AE">
        <w:rPr>
          <w:rFonts w:ascii="Baskerville Old Face" w:hAnsi="Baskerville Old Face"/>
          <w:i/>
          <w:iCs/>
        </w:rPr>
        <w:t>_at_utc</w:t>
      </w:r>
      <w:proofErr w:type="spellEnd"/>
      <w:r w:rsidRPr="00B479AE">
        <w:rPr>
          <w:rFonts w:ascii="Baskerville Old Face" w:hAnsi="Baskerville Old Face"/>
          <w:i/>
          <w:iCs/>
        </w:rPr>
        <w:t>": {</w:t>
      </w:r>
    </w:p>
    <w:p w14:paraId="07CE5E7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 xml:space="preserve">      "type": "string",</w:t>
      </w:r>
    </w:p>
    <w:p w14:paraId="130A87B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"format": "date-time", </w:t>
      </w:r>
    </w:p>
    <w:p w14:paraId="16066AAE"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"description": "UTC timestamp when the payload was computed"</w:t>
      </w:r>
    </w:p>
    <w:p w14:paraId="0F3742D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560C23B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producer</w:t>
      </w:r>
      <w:proofErr w:type="gramEnd"/>
      <w:r w:rsidRPr="00B479AE">
        <w:rPr>
          <w:rFonts w:ascii="Baskerville Old Face" w:hAnsi="Baskerville Old Face"/>
          <w:i/>
          <w:iCs/>
        </w:rPr>
        <w:t>_id</w:t>
      </w:r>
      <w:proofErr w:type="spellEnd"/>
      <w:r w:rsidRPr="00B479AE">
        <w:rPr>
          <w:rFonts w:ascii="Baskerville Old Face" w:hAnsi="Baskerville Old Face"/>
          <w:i/>
          <w:iCs/>
        </w:rPr>
        <w:t>": {</w:t>
      </w:r>
    </w:p>
    <w:p w14:paraId="2AC24B9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"string",</w:t>
      </w:r>
    </w:p>
    <w:p w14:paraId="7ADAB73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"description": "Hash of producer's public key (agent identifier)"</w:t>
      </w:r>
    </w:p>
    <w:p w14:paraId="33B3D79B"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15631D5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time</w:t>
      </w:r>
      <w:proofErr w:type="gramEnd"/>
      <w:r w:rsidRPr="00B479AE">
        <w:rPr>
          <w:rFonts w:ascii="Baskerville Old Face" w:hAnsi="Baskerville Old Face"/>
          <w:i/>
          <w:iCs/>
        </w:rPr>
        <w:t>_windows</w:t>
      </w:r>
      <w:proofErr w:type="spellEnd"/>
      <w:r w:rsidRPr="00B479AE">
        <w:rPr>
          <w:rFonts w:ascii="Baskerville Old Face" w:hAnsi="Baskerville Old Face"/>
          <w:i/>
          <w:iCs/>
        </w:rPr>
        <w:t>": {</w:t>
      </w:r>
    </w:p>
    <w:p w14:paraId="1668754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"object",</w:t>
      </w:r>
    </w:p>
    <w:p w14:paraId="40672DBB"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patternProperties</w:t>
      </w:r>
      <w:proofErr w:type="spellEnd"/>
      <w:r w:rsidRPr="00B479AE">
        <w:rPr>
          <w:rFonts w:ascii="Baskerville Old Face" w:hAnsi="Baskerville Old Face"/>
          <w:i/>
          <w:iCs/>
        </w:rPr>
        <w:t>": {</w:t>
      </w:r>
    </w:p>
    <w:p w14:paraId="5152471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"^window</w:t>
      </w:r>
      <w:proofErr w:type="gramStart"/>
      <w:r w:rsidRPr="00B479AE">
        <w:rPr>
          <w:rFonts w:ascii="Baskerville Old Face" w:hAnsi="Baskerville Old Face"/>
          <w:i/>
          <w:iCs/>
        </w:rPr>
        <w:t>_[</w:t>
      </w:r>
      <w:proofErr w:type="gramEnd"/>
      <w:r w:rsidRPr="00B479AE">
        <w:rPr>
          <w:rFonts w:ascii="Baskerville Old Face" w:hAnsi="Baskerville Old Face"/>
          <w:i/>
          <w:iCs/>
        </w:rPr>
        <w:t>0-</w:t>
      </w:r>
      <w:proofErr w:type="gramStart"/>
      <w:r w:rsidRPr="00B479AE">
        <w:rPr>
          <w:rFonts w:ascii="Baskerville Old Face" w:hAnsi="Baskerville Old Face"/>
          <w:i/>
          <w:iCs/>
        </w:rPr>
        <w:t>9]+</w:t>
      </w:r>
      <w:proofErr w:type="gramEnd"/>
      <w:r w:rsidRPr="00B479AE">
        <w:rPr>
          <w:rFonts w:ascii="Baskerville Old Face" w:hAnsi="Baskerville Old Face"/>
          <w:i/>
          <w:iCs/>
        </w:rPr>
        <w:t>$": {</w:t>
      </w:r>
    </w:p>
    <w:p w14:paraId="5C7DDCE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"object",</w:t>
      </w:r>
    </w:p>
    <w:p w14:paraId="63904F7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"required": ["start", "end"],</w:t>
      </w:r>
    </w:p>
    <w:p w14:paraId="3244DE3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"properties": {</w:t>
      </w:r>
    </w:p>
    <w:p w14:paraId="170D01D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"start": {"type": "string", "format": "date-time"},</w:t>
      </w:r>
    </w:p>
    <w:p w14:paraId="690BD77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"end": {"type": "string", "format": "date-time"}</w:t>
      </w:r>
    </w:p>
    <w:p w14:paraId="0654D11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7EE5F3F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56CCFC5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10F92C5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4225ADF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"axes": {</w:t>
      </w:r>
    </w:p>
    <w:p w14:paraId="3A8F995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 xml:space="preserve">      "type": "object",</w:t>
      </w:r>
    </w:p>
    <w:p w14:paraId="31FAC32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minProperties</w:t>
      </w:r>
      <w:proofErr w:type="spellEnd"/>
      <w:r w:rsidRPr="00B479AE">
        <w:rPr>
          <w:rFonts w:ascii="Baskerville Old Face" w:hAnsi="Baskerville Old Face"/>
          <w:i/>
          <w:iCs/>
        </w:rPr>
        <w:t>": 1,</w:t>
      </w:r>
    </w:p>
    <w:p w14:paraId="7C1D5E2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patternProperties</w:t>
      </w:r>
      <w:proofErr w:type="spellEnd"/>
      <w:r w:rsidRPr="00B479AE">
        <w:rPr>
          <w:rFonts w:ascii="Baskerville Old Face" w:hAnsi="Baskerville Old Face"/>
          <w:i/>
          <w:iCs/>
        </w:rPr>
        <w:t>": {</w:t>
      </w:r>
    </w:p>
    <w:p w14:paraId="0DB1AD6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"^[a-z</w:t>
      </w:r>
      <w:proofErr w:type="gramStart"/>
      <w:r w:rsidRPr="00B479AE">
        <w:rPr>
          <w:rFonts w:ascii="Baskerville Old Face" w:hAnsi="Baskerville Old Face"/>
          <w:i/>
          <w:iCs/>
        </w:rPr>
        <w:t>_]+</w:t>
      </w:r>
      <w:proofErr w:type="gramEnd"/>
      <w:r w:rsidRPr="00B479AE">
        <w:rPr>
          <w:rFonts w:ascii="Baskerville Old Face" w:hAnsi="Baskerville Old Face"/>
          <w:i/>
          <w:iCs/>
        </w:rPr>
        <w:t>$": {</w:t>
      </w:r>
    </w:p>
    <w:p w14:paraId="7455002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"object",</w:t>
      </w:r>
    </w:p>
    <w:p w14:paraId="7BF3046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patternProperties</w:t>
      </w:r>
      <w:proofErr w:type="spellEnd"/>
      <w:r w:rsidRPr="00B479AE">
        <w:rPr>
          <w:rFonts w:ascii="Baskerville Old Face" w:hAnsi="Baskerville Old Face"/>
          <w:i/>
          <w:iCs/>
        </w:rPr>
        <w:t>": {</w:t>
      </w:r>
    </w:p>
    <w:p w14:paraId="34FC943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"^[a-z</w:t>
      </w:r>
      <w:proofErr w:type="gramStart"/>
      <w:r w:rsidRPr="00B479AE">
        <w:rPr>
          <w:rFonts w:ascii="Baskerville Old Face" w:hAnsi="Baskerville Old Face"/>
          <w:i/>
          <w:iCs/>
        </w:rPr>
        <w:t>_]+</w:t>
      </w:r>
      <w:proofErr w:type="gramEnd"/>
      <w:r w:rsidRPr="00B479AE">
        <w:rPr>
          <w:rFonts w:ascii="Baskerville Old Face" w:hAnsi="Baskerville Old Face"/>
          <w:i/>
          <w:iCs/>
        </w:rPr>
        <w:t>$": {</w:t>
      </w:r>
    </w:p>
    <w:p w14:paraId="58CE259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"object",</w:t>
      </w:r>
    </w:p>
    <w:p w14:paraId="7785137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"required": ["value", "confidence"],</w:t>
      </w:r>
    </w:p>
    <w:p w14:paraId="474938A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"properties": {</w:t>
      </w:r>
    </w:p>
    <w:p w14:paraId="5F0FA9A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"value": {"type": "number", "minimum": 0, "maximum": 1},</w:t>
      </w:r>
    </w:p>
    <w:p w14:paraId="76EC219D"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"confidence": {"type": "number", "minimum": 0, "maximum": 1},</w:t>
      </w:r>
    </w:p>
    <w:p w14:paraId="5BD27BD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"window": {"type": "string", "pattern": "^window</w:t>
      </w:r>
      <w:proofErr w:type="gramStart"/>
      <w:r w:rsidRPr="00B479AE">
        <w:rPr>
          <w:rFonts w:ascii="Baskerville Old Face" w:hAnsi="Baskerville Old Face"/>
          <w:i/>
          <w:iCs/>
        </w:rPr>
        <w:t>_[</w:t>
      </w:r>
      <w:proofErr w:type="gramEnd"/>
      <w:r w:rsidRPr="00B479AE">
        <w:rPr>
          <w:rFonts w:ascii="Baskerville Old Face" w:hAnsi="Baskerville Old Face"/>
          <w:i/>
          <w:iCs/>
        </w:rPr>
        <w:t>0-</w:t>
      </w:r>
      <w:proofErr w:type="gramStart"/>
      <w:r w:rsidRPr="00B479AE">
        <w:rPr>
          <w:rFonts w:ascii="Baskerville Old Face" w:hAnsi="Baskerville Old Face"/>
          <w:i/>
          <w:iCs/>
        </w:rPr>
        <w:t>9]+</w:t>
      </w:r>
      <w:proofErr w:type="gramEnd"/>
      <w:r w:rsidRPr="00B479AE">
        <w:rPr>
          <w:rFonts w:ascii="Baskerville Old Face" w:hAnsi="Baskerville Old Face"/>
          <w:i/>
          <w:iCs/>
        </w:rPr>
        <w:t>$"}</w:t>
      </w:r>
    </w:p>
    <w:p w14:paraId="34E5F86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7576F5E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6FC3CBF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4574E67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30B99F4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5C1FFD9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524FAC4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"sources": {</w:t>
      </w:r>
    </w:p>
    <w:p w14:paraId="5590B1ED"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"array",</w:t>
      </w:r>
    </w:p>
    <w:p w14:paraId="2B06A94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"items": {</w:t>
      </w:r>
    </w:p>
    <w:p w14:paraId="39994DB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 xml:space="preserve">        "type": "object",</w:t>
      </w:r>
    </w:p>
    <w:p w14:paraId="4946D9B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"required": ["type", "kind", "quality"],</w:t>
      </w:r>
    </w:p>
    <w:p w14:paraId="3E1B2DD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"properties": {</w:t>
      </w:r>
    </w:p>
    <w:p w14:paraId="33B9EA8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{"type": "string", "</w:t>
      </w:r>
      <w:proofErr w:type="spellStart"/>
      <w:r w:rsidRPr="00B479AE">
        <w:rPr>
          <w:rFonts w:ascii="Baskerville Old Face" w:hAnsi="Baskerville Old Face"/>
          <w:i/>
          <w:iCs/>
        </w:rPr>
        <w:t>enum</w:t>
      </w:r>
      <w:proofErr w:type="spellEnd"/>
      <w:r w:rsidRPr="00B479AE">
        <w:rPr>
          <w:rFonts w:ascii="Baskerville Old Face" w:hAnsi="Baskerville Old Face"/>
          <w:i/>
          <w:iCs/>
        </w:rPr>
        <w:t>": ["sensor", "app", "derived", "human"]},</w:t>
      </w:r>
    </w:p>
    <w:p w14:paraId="7E66B53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"kind": {"type": "string"},</w:t>
      </w:r>
    </w:p>
    <w:p w14:paraId="4544364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"quality": {"type": "number", "minimum": 0, "maximum": 1}</w:t>
      </w:r>
    </w:p>
    <w:p w14:paraId="64E366DC"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02EDE5A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7B91234B"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0A03E15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"privacy": {</w:t>
      </w:r>
    </w:p>
    <w:p w14:paraId="51E8C98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"type": "object",</w:t>
      </w:r>
    </w:p>
    <w:p w14:paraId="6A87403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"required": ["</w:t>
      </w:r>
      <w:proofErr w:type="spellStart"/>
      <w:r w:rsidRPr="00B479AE">
        <w:rPr>
          <w:rFonts w:ascii="Baskerville Old Face" w:hAnsi="Baskerville Old Face"/>
          <w:i/>
          <w:iCs/>
        </w:rPr>
        <w:t>no_pii</w:t>
      </w:r>
      <w:proofErr w:type="spellEnd"/>
      <w:r w:rsidRPr="00B479AE">
        <w:rPr>
          <w:rFonts w:ascii="Baskerville Old Face" w:hAnsi="Baskerville Old Face"/>
          <w:i/>
          <w:iCs/>
        </w:rPr>
        <w:t>", "</w:t>
      </w:r>
      <w:proofErr w:type="spellStart"/>
      <w:r w:rsidRPr="00B479AE">
        <w:rPr>
          <w:rFonts w:ascii="Baskerville Old Face" w:hAnsi="Baskerville Old Face"/>
          <w:i/>
          <w:iCs/>
        </w:rPr>
        <w:t>raw_biosignals_allowed</w:t>
      </w:r>
      <w:proofErr w:type="spellEnd"/>
      <w:r w:rsidRPr="00B479AE">
        <w:rPr>
          <w:rFonts w:ascii="Baskerville Old Face" w:hAnsi="Baskerville Old Face"/>
          <w:i/>
          <w:iCs/>
        </w:rPr>
        <w:t>", "</w:t>
      </w:r>
      <w:proofErr w:type="spellStart"/>
      <w:r w:rsidRPr="00B479AE">
        <w:rPr>
          <w:rFonts w:ascii="Baskerville Old Face" w:hAnsi="Baskerville Old Face"/>
          <w:i/>
          <w:iCs/>
        </w:rPr>
        <w:t>embeddings_allowed</w:t>
      </w:r>
      <w:proofErr w:type="spellEnd"/>
      <w:r w:rsidRPr="00B479AE">
        <w:rPr>
          <w:rFonts w:ascii="Baskerville Old Face" w:hAnsi="Baskerville Old Face"/>
          <w:i/>
          <w:iCs/>
        </w:rPr>
        <w:t>", "</w:t>
      </w:r>
      <w:proofErr w:type="spellStart"/>
      <w:r w:rsidRPr="00B479AE">
        <w:rPr>
          <w:rFonts w:ascii="Baskerville Old Face" w:hAnsi="Baskerville Old Face"/>
          <w:i/>
          <w:iCs/>
        </w:rPr>
        <w:t>consent_level</w:t>
      </w:r>
      <w:proofErr w:type="spellEnd"/>
      <w:r w:rsidRPr="00B479AE">
        <w:rPr>
          <w:rFonts w:ascii="Baskerville Old Face" w:hAnsi="Baskerville Old Face"/>
          <w:i/>
          <w:iCs/>
        </w:rPr>
        <w:t>"],</w:t>
      </w:r>
    </w:p>
    <w:p w14:paraId="61B75C7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"properties": {</w:t>
      </w:r>
    </w:p>
    <w:p w14:paraId="52631CF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no</w:t>
      </w:r>
      <w:proofErr w:type="gramEnd"/>
      <w:r w:rsidRPr="00B479AE">
        <w:rPr>
          <w:rFonts w:ascii="Baskerville Old Face" w:hAnsi="Baskerville Old Face"/>
          <w:i/>
          <w:iCs/>
        </w:rPr>
        <w:t>_pii</w:t>
      </w:r>
      <w:proofErr w:type="spellEnd"/>
      <w:r w:rsidRPr="00B479AE">
        <w:rPr>
          <w:rFonts w:ascii="Baskerville Old Face" w:hAnsi="Baskerville Old Face"/>
          <w:i/>
          <w:iCs/>
        </w:rPr>
        <w:t>": {"type": "</w:t>
      </w:r>
      <w:proofErr w:type="spellStart"/>
      <w:r w:rsidRPr="00B479AE">
        <w:rPr>
          <w:rFonts w:ascii="Baskerville Old Face" w:hAnsi="Baskerville Old Face"/>
          <w:i/>
          <w:iCs/>
        </w:rPr>
        <w:t>boolean</w:t>
      </w:r>
      <w:proofErr w:type="spellEnd"/>
      <w:r w:rsidRPr="00B479AE">
        <w:rPr>
          <w:rFonts w:ascii="Baskerville Old Face" w:hAnsi="Baskerville Old Face"/>
          <w:i/>
          <w:iCs/>
        </w:rPr>
        <w:t>"},</w:t>
      </w:r>
    </w:p>
    <w:p w14:paraId="3F5A2FF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raw</w:t>
      </w:r>
      <w:proofErr w:type="gramEnd"/>
      <w:r w:rsidRPr="00B479AE">
        <w:rPr>
          <w:rFonts w:ascii="Baskerville Old Face" w:hAnsi="Baskerville Old Face"/>
          <w:i/>
          <w:iCs/>
        </w:rPr>
        <w:t>_biosignals_allowed</w:t>
      </w:r>
      <w:proofErr w:type="spellEnd"/>
      <w:r w:rsidRPr="00B479AE">
        <w:rPr>
          <w:rFonts w:ascii="Baskerville Old Face" w:hAnsi="Baskerville Old Face"/>
          <w:i/>
          <w:iCs/>
        </w:rPr>
        <w:t>": {"type": "</w:t>
      </w:r>
      <w:proofErr w:type="spellStart"/>
      <w:r w:rsidRPr="00B479AE">
        <w:rPr>
          <w:rFonts w:ascii="Baskerville Old Face" w:hAnsi="Baskerville Old Face"/>
          <w:i/>
          <w:iCs/>
        </w:rPr>
        <w:t>boolean</w:t>
      </w:r>
      <w:proofErr w:type="spellEnd"/>
      <w:r w:rsidRPr="00B479AE">
        <w:rPr>
          <w:rFonts w:ascii="Baskerville Old Face" w:hAnsi="Baskerville Old Face"/>
          <w:i/>
          <w:iCs/>
        </w:rPr>
        <w:t>"},</w:t>
      </w:r>
    </w:p>
    <w:p w14:paraId="01EF6F4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embeddings</w:t>
      </w:r>
      <w:proofErr w:type="gramEnd"/>
      <w:r w:rsidRPr="00B479AE">
        <w:rPr>
          <w:rFonts w:ascii="Baskerville Old Face" w:hAnsi="Baskerville Old Face"/>
          <w:i/>
          <w:iCs/>
        </w:rPr>
        <w:t>_allowed</w:t>
      </w:r>
      <w:proofErr w:type="spellEnd"/>
      <w:r w:rsidRPr="00B479AE">
        <w:rPr>
          <w:rFonts w:ascii="Baskerville Old Face" w:hAnsi="Baskerville Old Face"/>
          <w:i/>
          <w:iCs/>
        </w:rPr>
        <w:t>": {"type": "</w:t>
      </w:r>
      <w:proofErr w:type="spellStart"/>
      <w:r w:rsidRPr="00B479AE">
        <w:rPr>
          <w:rFonts w:ascii="Baskerville Old Face" w:hAnsi="Baskerville Old Face"/>
          <w:i/>
          <w:iCs/>
        </w:rPr>
        <w:t>boolean</w:t>
      </w:r>
      <w:proofErr w:type="spellEnd"/>
      <w:r w:rsidRPr="00B479AE">
        <w:rPr>
          <w:rFonts w:ascii="Baskerville Old Face" w:hAnsi="Baskerville Old Face"/>
          <w:i/>
          <w:iCs/>
        </w:rPr>
        <w:t>"},</w:t>
      </w:r>
    </w:p>
    <w:p w14:paraId="598CA80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consent</w:t>
      </w:r>
      <w:proofErr w:type="gramEnd"/>
      <w:r w:rsidRPr="00B479AE">
        <w:rPr>
          <w:rFonts w:ascii="Baskerville Old Face" w:hAnsi="Baskerville Old Face"/>
          <w:i/>
          <w:iCs/>
        </w:rPr>
        <w:t>_level</w:t>
      </w:r>
      <w:proofErr w:type="spellEnd"/>
      <w:r w:rsidRPr="00B479AE">
        <w:rPr>
          <w:rFonts w:ascii="Baskerville Old Face" w:hAnsi="Baskerville Old Face"/>
          <w:i/>
          <w:iCs/>
        </w:rPr>
        <w:t>": {"type": "string", "</w:t>
      </w:r>
      <w:proofErr w:type="spellStart"/>
      <w:r w:rsidRPr="00B479AE">
        <w:rPr>
          <w:rFonts w:ascii="Baskerville Old Face" w:hAnsi="Baskerville Old Face"/>
          <w:i/>
          <w:iCs/>
        </w:rPr>
        <w:t>enum</w:t>
      </w:r>
      <w:proofErr w:type="spellEnd"/>
      <w:r w:rsidRPr="00B479AE">
        <w:rPr>
          <w:rFonts w:ascii="Baskerville Old Face" w:hAnsi="Baskerville Old Face"/>
          <w:i/>
          <w:iCs/>
        </w:rPr>
        <w:t>": ["</w:t>
      </w:r>
      <w:proofErr w:type="spellStart"/>
      <w:r w:rsidRPr="00B479AE">
        <w:rPr>
          <w:rFonts w:ascii="Baskerville Old Face" w:hAnsi="Baskerville Old Face"/>
          <w:i/>
          <w:iCs/>
        </w:rPr>
        <w:t>explicit_opt_in</w:t>
      </w:r>
      <w:proofErr w:type="spellEnd"/>
      <w:r w:rsidRPr="00B479AE">
        <w:rPr>
          <w:rFonts w:ascii="Baskerville Old Face" w:hAnsi="Baskerville Old Face"/>
          <w:i/>
          <w:iCs/>
        </w:rPr>
        <w:t>", "implied", "public"]}</w:t>
      </w:r>
    </w:p>
    <w:p w14:paraId="0416AEA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7535DC5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2E52892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2F64D37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w:t>
      </w:r>
    </w:p>
    <w:p w14:paraId="7F5713B1" w14:textId="77777777" w:rsidR="00812032" w:rsidRDefault="00812032" w:rsidP="008E20E1">
      <w:pPr>
        <w:spacing w:line="360" w:lineRule="auto"/>
        <w:rPr>
          <w:rFonts w:ascii="Baskerville Old Face" w:hAnsi="Baskerville Old Face"/>
          <w:b/>
          <w:bCs/>
          <w:i/>
          <w:iCs/>
        </w:rPr>
      </w:pPr>
    </w:p>
    <w:p w14:paraId="4A1179CF" w14:textId="4D4230CD"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lastRenderedPageBreak/>
        <w:t>B.2 Validation rules</w:t>
      </w:r>
    </w:p>
    <w:p w14:paraId="1B7AE486" w14:textId="77777777" w:rsidR="008E20E1" w:rsidRPr="00B479AE" w:rsidRDefault="008E20E1">
      <w:pPr>
        <w:numPr>
          <w:ilvl w:val="0"/>
          <w:numId w:val="2"/>
        </w:numPr>
        <w:spacing w:line="360" w:lineRule="auto"/>
        <w:rPr>
          <w:rFonts w:ascii="Baskerville Old Face" w:hAnsi="Baskerville Old Face"/>
          <w:i/>
          <w:iCs/>
        </w:rPr>
      </w:pPr>
      <w:r w:rsidRPr="00B479AE">
        <w:rPr>
          <w:rFonts w:ascii="Baskerville Old Face" w:hAnsi="Baskerville Old Face"/>
          <w:i/>
          <w:iCs/>
        </w:rPr>
        <w:t>All timestamps must be in ISO 8601 UTC format (</w:t>
      </w:r>
      <w:proofErr w:type="spellStart"/>
      <w:r w:rsidRPr="00B479AE">
        <w:rPr>
          <w:rFonts w:ascii="Baskerville Old Face" w:hAnsi="Baskerville Old Face"/>
          <w:i/>
          <w:iCs/>
        </w:rPr>
        <w:t>YYYY-MM-DDThh:</w:t>
      </w:r>
      <w:proofErr w:type="gramStart"/>
      <w:r w:rsidRPr="00B479AE">
        <w:rPr>
          <w:rFonts w:ascii="Baskerville Old Face" w:hAnsi="Baskerville Old Face"/>
          <w:i/>
          <w:iCs/>
        </w:rPr>
        <w:t>mm:ssZ</w:t>
      </w:r>
      <w:proofErr w:type="spellEnd"/>
      <w:proofErr w:type="gramEnd"/>
      <w:r w:rsidRPr="00B479AE">
        <w:rPr>
          <w:rFonts w:ascii="Baskerville Old Face" w:hAnsi="Baskerville Old Face"/>
          <w:i/>
          <w:iCs/>
        </w:rPr>
        <w:t>)</w:t>
      </w:r>
    </w:p>
    <w:p w14:paraId="549DB8DA" w14:textId="77777777" w:rsidR="008E20E1" w:rsidRPr="00B479AE" w:rsidRDefault="008E20E1">
      <w:pPr>
        <w:numPr>
          <w:ilvl w:val="0"/>
          <w:numId w:val="2"/>
        </w:numPr>
        <w:spacing w:line="360" w:lineRule="auto"/>
        <w:rPr>
          <w:rFonts w:ascii="Baskerville Old Face" w:hAnsi="Baskerville Old Face"/>
          <w:i/>
          <w:iCs/>
        </w:rPr>
      </w:pPr>
      <w:r w:rsidRPr="00B479AE">
        <w:rPr>
          <w:rFonts w:ascii="Baskerville Old Face" w:hAnsi="Baskerville Old Face"/>
          <w:i/>
          <w:iCs/>
        </w:rPr>
        <w:t>Confidence values must be in range [0,1]</w:t>
      </w:r>
    </w:p>
    <w:p w14:paraId="41C96AAC" w14:textId="77777777" w:rsidR="008E20E1" w:rsidRPr="00B479AE" w:rsidRDefault="008E20E1">
      <w:pPr>
        <w:numPr>
          <w:ilvl w:val="0"/>
          <w:numId w:val="2"/>
        </w:num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time_windows</w:t>
      </w:r>
      <w:proofErr w:type="spellEnd"/>
      <w:r w:rsidRPr="00B479AE">
        <w:rPr>
          <w:rFonts w:ascii="Baskerville Old Face" w:hAnsi="Baskerville Old Face"/>
          <w:i/>
          <w:iCs/>
        </w:rPr>
        <w:t xml:space="preserve"> is present, any axis referencing a window must use a valid window identifier</w:t>
      </w:r>
    </w:p>
    <w:p w14:paraId="670E1C67" w14:textId="77777777" w:rsidR="008E20E1" w:rsidRPr="00B479AE" w:rsidRDefault="008E20E1">
      <w:pPr>
        <w:numPr>
          <w:ilvl w:val="0"/>
          <w:numId w:val="2"/>
        </w:numPr>
        <w:spacing w:line="360" w:lineRule="auto"/>
        <w:rPr>
          <w:rFonts w:ascii="Baskerville Old Face" w:hAnsi="Baskerville Old Face"/>
          <w:i/>
          <w:iCs/>
        </w:rPr>
      </w:pPr>
      <w:proofErr w:type="spellStart"/>
      <w:r w:rsidRPr="00B479AE">
        <w:rPr>
          <w:rFonts w:ascii="Baskerville Old Face" w:hAnsi="Baskerville Old Face"/>
          <w:i/>
          <w:iCs/>
        </w:rPr>
        <w:t>producer_id</w:t>
      </w:r>
      <w:proofErr w:type="spellEnd"/>
      <w:r w:rsidRPr="00B479AE">
        <w:rPr>
          <w:rFonts w:ascii="Baskerville Old Face" w:hAnsi="Baskerville Old Face"/>
          <w:i/>
          <w:iCs/>
        </w:rPr>
        <w:t xml:space="preserve"> must be a valid hash (SHA-256 of public key)</w:t>
      </w:r>
    </w:p>
    <w:p w14:paraId="2364860B" w14:textId="77777777" w:rsidR="008E20E1" w:rsidRPr="00B479AE" w:rsidRDefault="008E20E1">
      <w:pPr>
        <w:numPr>
          <w:ilvl w:val="0"/>
          <w:numId w:val="2"/>
        </w:numPr>
        <w:spacing w:line="360" w:lineRule="auto"/>
        <w:rPr>
          <w:rFonts w:ascii="Baskerville Old Face" w:hAnsi="Baskerville Old Face"/>
          <w:i/>
          <w:iCs/>
        </w:rPr>
      </w:pPr>
      <w:r w:rsidRPr="00B479AE">
        <w:rPr>
          <w:rFonts w:ascii="Baskerville Old Face" w:hAnsi="Baskerville Old Face"/>
          <w:i/>
          <w:iCs/>
        </w:rPr>
        <w:t>The axes object must contain at least one axis reading</w:t>
      </w:r>
    </w:p>
    <w:p w14:paraId="627719AD"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B.3 Zero-knowledge proof integration</w:t>
      </w:r>
    </w:p>
    <w:p w14:paraId="0E20FF35"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For privacy-preserving sharing, HSI payloads may be accompanied by ZK-proofs that allow verification of:</w:t>
      </w:r>
    </w:p>
    <w:p w14:paraId="22EB4350" w14:textId="77777777" w:rsidR="008E20E1" w:rsidRPr="00B479AE" w:rsidRDefault="008E20E1">
      <w:pPr>
        <w:numPr>
          <w:ilvl w:val="0"/>
          <w:numId w:val="3"/>
        </w:numPr>
        <w:spacing w:line="360" w:lineRule="auto"/>
        <w:rPr>
          <w:rFonts w:ascii="Baskerville Old Face" w:hAnsi="Baskerville Old Face"/>
          <w:i/>
          <w:iCs/>
        </w:rPr>
      </w:pPr>
      <w:r w:rsidRPr="00B479AE">
        <w:rPr>
          <w:rFonts w:ascii="Baskerville Old Face" w:hAnsi="Baskerville Old Face"/>
          <w:i/>
          <w:iCs/>
        </w:rPr>
        <w:t>The payload was produced by a known agent (without revealing agent identity)</w:t>
      </w:r>
    </w:p>
    <w:p w14:paraId="36820A3D" w14:textId="77777777" w:rsidR="008E20E1" w:rsidRPr="00B479AE" w:rsidRDefault="008E20E1">
      <w:pPr>
        <w:numPr>
          <w:ilvl w:val="0"/>
          <w:numId w:val="3"/>
        </w:numPr>
        <w:spacing w:line="360" w:lineRule="auto"/>
        <w:rPr>
          <w:rFonts w:ascii="Baskerville Old Face" w:hAnsi="Baskerville Old Face"/>
          <w:i/>
          <w:iCs/>
        </w:rPr>
      </w:pPr>
      <w:r w:rsidRPr="00B479AE">
        <w:rPr>
          <w:rFonts w:ascii="Baskerville Old Face" w:hAnsi="Baskerville Old Face"/>
          <w:i/>
          <w:iCs/>
        </w:rPr>
        <w:t>Confidence values meet minimum thresholds (without revealing exact values)</w:t>
      </w:r>
    </w:p>
    <w:p w14:paraId="35CF8626" w14:textId="77777777" w:rsidR="008E20E1" w:rsidRPr="00B479AE" w:rsidRDefault="008E20E1">
      <w:pPr>
        <w:numPr>
          <w:ilvl w:val="0"/>
          <w:numId w:val="3"/>
        </w:numPr>
        <w:spacing w:line="360" w:lineRule="auto"/>
        <w:rPr>
          <w:rFonts w:ascii="Baskerville Old Face" w:hAnsi="Baskerville Old Face"/>
          <w:i/>
          <w:iCs/>
        </w:rPr>
      </w:pPr>
      <w:r w:rsidRPr="00B479AE">
        <w:rPr>
          <w:rFonts w:ascii="Baskerville Old Face" w:hAnsi="Baskerville Old Face"/>
          <w:i/>
          <w:iCs/>
        </w:rPr>
        <w:t>Coherence metrics are within acceptable ranges (without revealing individual readings)</w:t>
      </w:r>
    </w:p>
    <w:p w14:paraId="755A3E4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The ZK-proof specification is provided in the separate verification manual.</w:t>
      </w:r>
    </w:p>
    <w:p w14:paraId="243AFB2E" w14:textId="77777777" w:rsidR="00404936" w:rsidRPr="005907F1" w:rsidRDefault="00404936" w:rsidP="005907F1">
      <w:pPr>
        <w:pStyle w:val="Titolo1"/>
        <w:rPr>
          <w:rFonts w:ascii="Baskerville Old Face" w:hAnsi="Baskerville Old Face"/>
          <w:b/>
          <w:bCs/>
          <w:sz w:val="24"/>
          <w:szCs w:val="24"/>
        </w:rPr>
      </w:pPr>
      <w:r w:rsidRPr="005907F1">
        <w:rPr>
          <w:rFonts w:ascii="Baskerville Old Face" w:hAnsi="Baskerville Old Face"/>
          <w:b/>
          <w:bCs/>
          <w:sz w:val="24"/>
          <w:szCs w:val="24"/>
        </w:rPr>
        <w:t>Appendix C: Ravel Risk-Signaling Model — Research and Review Framework</w:t>
      </w:r>
    </w:p>
    <w:p w14:paraId="05C2E277"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 Purpose and boundary</w:t>
      </w:r>
    </w:p>
    <w:p w14:paraId="20769F0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 model is a risk-signaling framework.</w:t>
      </w:r>
    </w:p>
    <w:p w14:paraId="01BFF1C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Its purpose is to help Prometheus identify systemic fragility, financial overextension, regenerative underperformance, governance stress, evidence gaps, and capital-formation risks before they become institutional failure.</w:t>
      </w:r>
    </w:p>
    <w:p w14:paraId="3BAAA95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is not a sovereign software authority.</w:t>
      </w:r>
    </w:p>
    <w:p w14:paraId="1D2F773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automatically suspend tokens.</w:t>
      </w:r>
    </w:p>
    <w:p w14:paraId="40FCD56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automatically stop credit issuance.</w:t>
      </w:r>
    </w:p>
    <w:p w14:paraId="3E932C7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automatically determine covenant violations.</w:t>
      </w:r>
    </w:p>
    <w:p w14:paraId="2F1D30C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Ravel does not replace governance.</w:t>
      </w:r>
    </w:p>
    <w:p w14:paraId="0DE5764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replace legal review.</w:t>
      </w:r>
    </w:p>
    <w:p w14:paraId="36F71A7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replace MRV.</w:t>
      </w:r>
    </w:p>
    <w:p w14:paraId="40BE580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replace human judgment.</w:t>
      </w:r>
    </w:p>
    <w:p w14:paraId="61443C3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does not use HSI or human-state data as a financial enforcement metric.</w:t>
      </w:r>
    </w:p>
    <w:p w14:paraId="11C6055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 model produces:</w:t>
      </w:r>
    </w:p>
    <w:p w14:paraId="74C860E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risk signals;</w:t>
      </w:r>
      <w:r w:rsidRPr="00B479AE">
        <w:rPr>
          <w:rFonts w:ascii="Baskerville Old Face" w:hAnsi="Baskerville Old Face"/>
          <w:i/>
          <w:iCs/>
        </w:rPr>
        <w:br/>
        <w:t>• stress indicators;</w:t>
      </w:r>
      <w:r w:rsidRPr="00B479AE">
        <w:rPr>
          <w:rFonts w:ascii="Baskerville Old Face" w:hAnsi="Baskerville Old Face"/>
          <w:i/>
          <w:iCs/>
        </w:rPr>
        <w:br/>
        <w:t>• warning flags;</w:t>
      </w:r>
      <w:r w:rsidRPr="00B479AE">
        <w:rPr>
          <w:rFonts w:ascii="Baskerville Old Face" w:hAnsi="Baskerville Old Face"/>
          <w:i/>
          <w:iCs/>
        </w:rPr>
        <w:br/>
        <w:t>• scenario outputs;</w:t>
      </w:r>
      <w:r w:rsidRPr="00B479AE">
        <w:rPr>
          <w:rFonts w:ascii="Baskerville Old Face" w:hAnsi="Baskerville Old Face"/>
          <w:i/>
          <w:iCs/>
        </w:rPr>
        <w:br/>
        <w:t>• sensitivity analysis;</w:t>
      </w:r>
      <w:r w:rsidRPr="00B479AE">
        <w:rPr>
          <w:rFonts w:ascii="Baskerville Old Face" w:hAnsi="Baskerville Old Face"/>
          <w:i/>
          <w:iCs/>
        </w:rPr>
        <w:br/>
        <w:t>• review triggers;</w:t>
      </w:r>
      <w:r w:rsidRPr="00B479AE">
        <w:rPr>
          <w:rFonts w:ascii="Baskerville Old Face" w:hAnsi="Baskerville Old Face"/>
          <w:i/>
          <w:iCs/>
        </w:rPr>
        <w:br/>
        <w:t>• governance questions;</w:t>
      </w:r>
      <w:r w:rsidRPr="00B479AE">
        <w:rPr>
          <w:rFonts w:ascii="Baskerville Old Face" w:hAnsi="Baskerville Old Face"/>
          <w:i/>
          <w:iCs/>
        </w:rPr>
        <w:br/>
        <w:t>• capital-readiness concerns;</w:t>
      </w:r>
      <w:r w:rsidRPr="00B479AE">
        <w:rPr>
          <w:rFonts w:ascii="Baskerville Old Face" w:hAnsi="Baskerville Old Face"/>
          <w:i/>
          <w:iCs/>
        </w:rPr>
        <w:br/>
        <w:t>• resilience diagnostics.</w:t>
      </w:r>
    </w:p>
    <w:p w14:paraId="5D3C0498" w14:textId="791B784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These outputs support review.</w:t>
      </w:r>
      <w:r w:rsidR="009C1063" w:rsidRPr="00B479AE">
        <w:rPr>
          <w:rFonts w:ascii="Baskerville Old Face" w:hAnsi="Baskerville Old Face"/>
          <w:i/>
          <w:iCs/>
        </w:rPr>
        <w:t xml:space="preserve"> </w:t>
      </w:r>
      <w:r w:rsidRPr="00B479AE">
        <w:rPr>
          <w:rFonts w:ascii="Baskerville Old Face" w:hAnsi="Baskerville Old Face"/>
          <w:i/>
          <w:iCs/>
        </w:rPr>
        <w:t>They do not constitute final authority.</w:t>
      </w:r>
      <w:r w:rsidR="009C1063" w:rsidRPr="00B479AE">
        <w:rPr>
          <w:rFonts w:ascii="Baskerville Old Face" w:hAnsi="Baskerville Old Face"/>
          <w:i/>
          <w:iCs/>
        </w:rPr>
        <w:t xml:space="preserve"> </w:t>
      </w:r>
      <w:r w:rsidRPr="00B479AE">
        <w:rPr>
          <w:rFonts w:ascii="Baskerville Old Face" w:hAnsi="Baskerville Old Face"/>
          <w:i/>
          <w:iCs/>
        </w:rPr>
        <w:t>The core principle is:</w:t>
      </w:r>
    </w:p>
    <w:p w14:paraId="6289215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detects risk;</w:t>
      </w:r>
      <w:r w:rsidRPr="00B479AE">
        <w:rPr>
          <w:rFonts w:ascii="Baskerville Old Face" w:hAnsi="Baskerville Old Face"/>
          <w:i/>
          <w:iCs/>
        </w:rPr>
        <w:br/>
        <w:t>governance interprets risk;</w:t>
      </w:r>
      <w:r w:rsidRPr="00B479AE">
        <w:rPr>
          <w:rFonts w:ascii="Baskerville Old Face" w:hAnsi="Baskerville Old Face"/>
          <w:i/>
          <w:iCs/>
        </w:rPr>
        <w:br/>
        <w:t>law structures consequences;</w:t>
      </w:r>
      <w:r w:rsidRPr="00B479AE">
        <w:rPr>
          <w:rFonts w:ascii="Baskerville Old Face" w:hAnsi="Baskerville Old Face"/>
          <w:i/>
          <w:iCs/>
        </w:rPr>
        <w:br/>
        <w:t>MRV verifies evidence;</w:t>
      </w:r>
      <w:r w:rsidRPr="00B479AE">
        <w:rPr>
          <w:rFonts w:ascii="Baskerville Old Face" w:hAnsi="Baskerville Old Face"/>
          <w:i/>
          <w:iCs/>
        </w:rPr>
        <w:br/>
        <w:t>the source layer defines the boundary.</w:t>
      </w:r>
    </w:p>
    <w:p w14:paraId="0E4EFEB9"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C.2 Conceptual origin</w:t>
      </w:r>
    </w:p>
    <w:p w14:paraId="078EBE2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 model draws conceptual inspiration from financial-instability thinking associated with Hyman Minsky and dynamic macro-financial modeling associated with Steve Keen.</w:t>
      </w:r>
    </w:p>
    <w:p w14:paraId="0A21817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Its relevance to Prometheus is not to replicate macroeconomic theory mechanically.</w:t>
      </w:r>
    </w:p>
    <w:p w14:paraId="4270548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Its relevance is to translate a core insight into regenerative infrastructure:</w:t>
      </w:r>
    </w:p>
    <w:p w14:paraId="6A68600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systems become fragile when financial claims grow faster than the real productive, ecological, and social capacity that supports them.</w:t>
      </w:r>
    </w:p>
    <w:p w14:paraId="4139500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In conventional finance, instability may arise when debt, leverage, speculative expectations, and asset-price narratives detach from underlying cash flows and productive reality.</w:t>
      </w:r>
    </w:p>
    <w:p w14:paraId="4EBFE1B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In Prometheus, instability may arise when regenerative claims, PRU expectations, investor language, token narratives, capital structures, or growth targets detach from evidence, MRV, ecological performance, governance capacity, legal structure, and human stewardship.</w:t>
      </w:r>
    </w:p>
    <w:p w14:paraId="324282F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 model therefore monitors the distance between:</w:t>
      </w:r>
    </w:p>
    <w:p w14:paraId="3CA72FF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financial expectation and verified performance;</w:t>
      </w:r>
      <w:r w:rsidRPr="00B479AE">
        <w:rPr>
          <w:rFonts w:ascii="Baskerville Old Face" w:hAnsi="Baskerville Old Face"/>
          <w:i/>
          <w:iCs/>
        </w:rPr>
        <w:br/>
        <w:t>• ecological claim and MRV evidence;</w:t>
      </w:r>
      <w:r w:rsidRPr="00B479AE">
        <w:rPr>
          <w:rFonts w:ascii="Baskerville Old Face" w:hAnsi="Baskerville Old Face"/>
          <w:i/>
          <w:iCs/>
        </w:rPr>
        <w:br/>
        <w:t>• capital intensity and regenerative capacity;</w:t>
      </w:r>
      <w:r w:rsidRPr="00B479AE">
        <w:rPr>
          <w:rFonts w:ascii="Baskerville Old Face" w:hAnsi="Baskerville Old Face"/>
          <w:i/>
          <w:iCs/>
        </w:rPr>
        <w:br/>
        <w:t>• growth speed and governance maturity;</w:t>
      </w:r>
      <w:r w:rsidRPr="00B479AE">
        <w:rPr>
          <w:rFonts w:ascii="Baskerville Old Face" w:hAnsi="Baskerville Old Face"/>
          <w:i/>
          <w:iCs/>
        </w:rPr>
        <w:br/>
        <w:t>• token narrative and legal reality;</w:t>
      </w:r>
      <w:r w:rsidRPr="00B479AE">
        <w:rPr>
          <w:rFonts w:ascii="Baskerville Old Face" w:hAnsi="Baskerville Old Face"/>
          <w:i/>
          <w:iCs/>
        </w:rPr>
        <w:br/>
        <w:t>• dashboard output and field truth;</w:t>
      </w:r>
      <w:r w:rsidRPr="00B479AE">
        <w:rPr>
          <w:rFonts w:ascii="Baskerville Old Face" w:hAnsi="Baskerville Old Face"/>
          <w:i/>
          <w:iCs/>
        </w:rPr>
        <w:br/>
        <w:t>• model inference and observed living systems.</w:t>
      </w:r>
    </w:p>
    <w:p w14:paraId="74E9238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This is the purpose of Ravel:</w:t>
      </w:r>
    </w:p>
    <w:p w14:paraId="2F05B0D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to detect when the system begins to ravel before trust unravels.</w:t>
      </w:r>
    </w:p>
    <w:p w14:paraId="3B4F6D0F"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C.3 Risk domains</w:t>
      </w:r>
    </w:p>
    <w:p w14:paraId="71179C8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analyze multiple risk domains.</w:t>
      </w:r>
    </w:p>
    <w:p w14:paraId="07B8D7AE" w14:textId="77777777" w:rsidR="0039233A" w:rsidRPr="00B479AE" w:rsidRDefault="0039233A" w:rsidP="00404936">
      <w:pPr>
        <w:spacing w:line="360" w:lineRule="auto"/>
        <w:rPr>
          <w:rFonts w:ascii="Baskerville Old Face" w:hAnsi="Baskerville Old Face"/>
          <w:i/>
          <w:iCs/>
        </w:rPr>
      </w:pPr>
    </w:p>
    <w:p w14:paraId="3118C920" w14:textId="77777777" w:rsidR="00692445" w:rsidRPr="00B479AE" w:rsidRDefault="00692445" w:rsidP="00404936">
      <w:pPr>
        <w:spacing w:line="360" w:lineRule="auto"/>
        <w:rPr>
          <w:rFonts w:ascii="Baskerville Old Face" w:hAnsi="Baskerville Old Face"/>
          <w:i/>
          <w:iCs/>
        </w:rPr>
      </w:pPr>
    </w:p>
    <w:p w14:paraId="5C9BC306" w14:textId="77777777" w:rsidR="00692445" w:rsidRPr="00B479AE" w:rsidRDefault="00692445" w:rsidP="00404936">
      <w:pPr>
        <w:spacing w:line="360" w:lineRule="auto"/>
        <w:rPr>
          <w:rFonts w:ascii="Baskerville Old Face" w:hAnsi="Baskerville Old Face"/>
          <w:i/>
          <w:iCs/>
        </w:rPr>
      </w:pPr>
    </w:p>
    <w:p w14:paraId="2FC33EF8" w14:textId="77777777" w:rsidR="00692445" w:rsidRPr="00B479AE" w:rsidRDefault="00692445" w:rsidP="00404936">
      <w:pPr>
        <w:spacing w:line="360" w:lineRule="auto"/>
        <w:rPr>
          <w:rFonts w:ascii="Baskerville Old Face" w:hAnsi="Baskerville Old Face"/>
          <w:i/>
          <w:iCs/>
        </w:rPr>
      </w:pPr>
    </w:p>
    <w:p w14:paraId="4B225E12" w14:textId="77777777" w:rsidR="00692445" w:rsidRPr="00B479AE" w:rsidRDefault="00692445" w:rsidP="00404936">
      <w:pPr>
        <w:spacing w:line="360" w:lineRule="auto"/>
        <w:rPr>
          <w:rFonts w:ascii="Baskerville Old Face" w:hAnsi="Baskerville Old Face"/>
          <w:i/>
          <w:iCs/>
        </w:rPr>
      </w:pPr>
    </w:p>
    <w:p w14:paraId="3FC26FB3" w14:textId="77777777" w:rsidR="00692445" w:rsidRPr="00B479AE" w:rsidRDefault="00692445" w:rsidP="00404936">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7"/>
        <w:gridCol w:w="7301"/>
      </w:tblGrid>
      <w:tr w:rsidR="00404936" w:rsidRPr="00B479AE" w14:paraId="3D78AC3E" w14:textId="77777777" w:rsidTr="00404936">
        <w:trPr>
          <w:tblHeader/>
          <w:tblCellSpacing w:w="15" w:type="dxa"/>
        </w:trPr>
        <w:tc>
          <w:tcPr>
            <w:tcW w:w="0" w:type="auto"/>
            <w:vAlign w:val="center"/>
            <w:hideMark/>
          </w:tcPr>
          <w:p w14:paraId="31DDF80F"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Risk domain</w:t>
            </w:r>
          </w:p>
        </w:tc>
        <w:tc>
          <w:tcPr>
            <w:tcW w:w="0" w:type="auto"/>
            <w:vAlign w:val="center"/>
            <w:hideMark/>
          </w:tcPr>
          <w:p w14:paraId="2B8236AF"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Risk question</w:t>
            </w:r>
          </w:p>
        </w:tc>
      </w:tr>
      <w:tr w:rsidR="00404936" w:rsidRPr="00B479AE" w14:paraId="22EFE4AF" w14:textId="77777777" w:rsidTr="00404936">
        <w:trPr>
          <w:tblCellSpacing w:w="15" w:type="dxa"/>
        </w:trPr>
        <w:tc>
          <w:tcPr>
            <w:tcW w:w="0" w:type="auto"/>
            <w:vAlign w:val="center"/>
            <w:hideMark/>
          </w:tcPr>
          <w:p w14:paraId="5974AA1A"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Regenerative performance risk</w:t>
            </w:r>
          </w:p>
        </w:tc>
        <w:tc>
          <w:tcPr>
            <w:tcW w:w="0" w:type="auto"/>
            <w:vAlign w:val="center"/>
            <w:hideMark/>
          </w:tcPr>
          <w:p w14:paraId="6BAE90A4"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Is ecological improvement actually occurring at the level claimed?</w:t>
            </w:r>
          </w:p>
        </w:tc>
      </w:tr>
      <w:tr w:rsidR="00404936" w:rsidRPr="00B479AE" w14:paraId="22831AD5" w14:textId="77777777" w:rsidTr="00404936">
        <w:trPr>
          <w:tblCellSpacing w:w="15" w:type="dxa"/>
        </w:trPr>
        <w:tc>
          <w:tcPr>
            <w:tcW w:w="0" w:type="auto"/>
            <w:vAlign w:val="center"/>
            <w:hideMark/>
          </w:tcPr>
          <w:p w14:paraId="6824BFD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risk</w:t>
            </w:r>
          </w:p>
        </w:tc>
        <w:tc>
          <w:tcPr>
            <w:tcW w:w="0" w:type="auto"/>
            <w:vAlign w:val="center"/>
            <w:hideMark/>
          </w:tcPr>
          <w:p w14:paraId="64E0E376"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claims supported by adequate MRV, provenance, confidence, and admissibility?</w:t>
            </w:r>
          </w:p>
        </w:tc>
      </w:tr>
      <w:tr w:rsidR="00404936" w:rsidRPr="00B479AE" w14:paraId="429A0B89" w14:textId="77777777" w:rsidTr="00404936">
        <w:trPr>
          <w:tblCellSpacing w:w="15" w:type="dxa"/>
        </w:trPr>
        <w:tc>
          <w:tcPr>
            <w:tcW w:w="0" w:type="auto"/>
            <w:vAlign w:val="center"/>
            <w:hideMark/>
          </w:tcPr>
          <w:p w14:paraId="1AA9259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leverage risk</w:t>
            </w:r>
          </w:p>
        </w:tc>
        <w:tc>
          <w:tcPr>
            <w:tcW w:w="0" w:type="auto"/>
            <w:vAlign w:val="center"/>
            <w:hideMark/>
          </w:tcPr>
          <w:p w14:paraId="6614AF68"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debt, obligations, or investor expectations exceeding verified capacity?</w:t>
            </w:r>
          </w:p>
        </w:tc>
      </w:tr>
      <w:tr w:rsidR="00404936" w:rsidRPr="00B479AE" w14:paraId="1AC1C8D6" w14:textId="77777777" w:rsidTr="00404936">
        <w:trPr>
          <w:tblCellSpacing w:w="15" w:type="dxa"/>
        </w:trPr>
        <w:tc>
          <w:tcPr>
            <w:tcW w:w="0" w:type="auto"/>
            <w:vAlign w:val="center"/>
            <w:hideMark/>
          </w:tcPr>
          <w:p w14:paraId="2AB9700C"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Revenue stability risk</w:t>
            </w:r>
          </w:p>
        </w:tc>
        <w:tc>
          <w:tcPr>
            <w:tcW w:w="0" w:type="auto"/>
            <w:vAlign w:val="center"/>
            <w:hideMark/>
          </w:tcPr>
          <w:p w14:paraId="270C37B4"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cash flows sufficient, diversified, and resilient?</w:t>
            </w:r>
          </w:p>
        </w:tc>
      </w:tr>
      <w:tr w:rsidR="00404936" w:rsidRPr="00B479AE" w14:paraId="163ECC28" w14:textId="77777777" w:rsidTr="00404936">
        <w:trPr>
          <w:tblCellSpacing w:w="15" w:type="dxa"/>
        </w:trPr>
        <w:tc>
          <w:tcPr>
            <w:tcW w:w="0" w:type="auto"/>
            <w:vAlign w:val="center"/>
            <w:hideMark/>
          </w:tcPr>
          <w:p w14:paraId="1742886B"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PRU maturity risk</w:t>
            </w:r>
          </w:p>
        </w:tc>
        <w:tc>
          <w:tcPr>
            <w:tcW w:w="0" w:type="auto"/>
            <w:vAlign w:val="center"/>
            <w:hideMark/>
          </w:tcPr>
          <w:p w14:paraId="6E784011"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Is PRU logic being used before methodology and evidence are mature?</w:t>
            </w:r>
          </w:p>
        </w:tc>
      </w:tr>
      <w:tr w:rsidR="00404936" w:rsidRPr="00B479AE" w14:paraId="4B2110E3" w14:textId="77777777" w:rsidTr="00404936">
        <w:trPr>
          <w:tblCellSpacing w:w="15" w:type="dxa"/>
        </w:trPr>
        <w:tc>
          <w:tcPr>
            <w:tcW w:w="0" w:type="auto"/>
            <w:vAlign w:val="center"/>
            <w:hideMark/>
          </w:tcPr>
          <w:p w14:paraId="022AD74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RAP aggregation risk</w:t>
            </w:r>
          </w:p>
        </w:tc>
        <w:tc>
          <w:tcPr>
            <w:tcW w:w="0" w:type="auto"/>
            <w:vAlign w:val="center"/>
            <w:hideMark/>
          </w:tcPr>
          <w:p w14:paraId="4092645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portfolio claims being made before underlying units are eligible?</w:t>
            </w:r>
          </w:p>
        </w:tc>
      </w:tr>
      <w:tr w:rsidR="00404936" w:rsidRPr="00B479AE" w14:paraId="259B89B1" w14:textId="77777777" w:rsidTr="00404936">
        <w:trPr>
          <w:tblCellSpacing w:w="15" w:type="dxa"/>
        </w:trPr>
        <w:tc>
          <w:tcPr>
            <w:tcW w:w="0" w:type="auto"/>
            <w:vAlign w:val="center"/>
            <w:hideMark/>
          </w:tcPr>
          <w:p w14:paraId="4E91C1C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maturity risk</w:t>
            </w:r>
          </w:p>
        </w:tc>
        <w:tc>
          <w:tcPr>
            <w:tcW w:w="0" w:type="auto"/>
            <w:vAlign w:val="center"/>
            <w:hideMark/>
          </w:tcPr>
          <w:p w14:paraId="48C41662"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Can governance process manage the complexity being introduced?</w:t>
            </w:r>
          </w:p>
        </w:tc>
      </w:tr>
      <w:tr w:rsidR="00404936" w:rsidRPr="00B479AE" w14:paraId="651B8EE3" w14:textId="77777777" w:rsidTr="00404936">
        <w:trPr>
          <w:tblCellSpacing w:w="15" w:type="dxa"/>
        </w:trPr>
        <w:tc>
          <w:tcPr>
            <w:tcW w:w="0" w:type="auto"/>
            <w:vAlign w:val="center"/>
            <w:hideMark/>
          </w:tcPr>
          <w:p w14:paraId="5AFE07D7"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Token boundary risk</w:t>
            </w:r>
          </w:p>
        </w:tc>
        <w:tc>
          <w:tcPr>
            <w:tcW w:w="0" w:type="auto"/>
            <w:vAlign w:val="center"/>
            <w:hideMark/>
          </w:tcPr>
          <w:p w14:paraId="5E7FBA51"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tokens being used to imply rights, value, or authority they do not legally possess?</w:t>
            </w:r>
          </w:p>
        </w:tc>
      </w:tr>
      <w:tr w:rsidR="00404936" w:rsidRPr="00B479AE" w14:paraId="0C3296EB" w14:textId="77777777" w:rsidTr="00404936">
        <w:trPr>
          <w:tblCellSpacing w:w="15" w:type="dxa"/>
        </w:trPr>
        <w:tc>
          <w:tcPr>
            <w:tcW w:w="0" w:type="auto"/>
            <w:vAlign w:val="center"/>
            <w:hideMark/>
          </w:tcPr>
          <w:p w14:paraId="6D459605"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structure risk</w:t>
            </w:r>
          </w:p>
        </w:tc>
        <w:tc>
          <w:tcPr>
            <w:tcW w:w="0" w:type="auto"/>
            <w:vAlign w:val="center"/>
            <w:hideMark/>
          </w:tcPr>
          <w:p w14:paraId="21992BD0"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financial, land, data, token, or investor relationships legally structured?</w:t>
            </w:r>
          </w:p>
        </w:tc>
      </w:tr>
      <w:tr w:rsidR="00404936" w:rsidRPr="00B479AE" w14:paraId="26D7851E" w14:textId="77777777" w:rsidTr="00404936">
        <w:trPr>
          <w:tblCellSpacing w:w="15" w:type="dxa"/>
        </w:trPr>
        <w:tc>
          <w:tcPr>
            <w:tcW w:w="0" w:type="auto"/>
            <w:vAlign w:val="center"/>
            <w:hideMark/>
          </w:tcPr>
          <w:p w14:paraId="0BD46C5F"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Operational execution risk</w:t>
            </w:r>
          </w:p>
        </w:tc>
        <w:tc>
          <w:tcPr>
            <w:tcW w:w="0" w:type="auto"/>
            <w:vAlign w:val="center"/>
            <w:hideMark/>
          </w:tcPr>
          <w:p w14:paraId="6F4E386C"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Can the project actually deliver interventions, maintenance, reporting, and review?</w:t>
            </w:r>
          </w:p>
        </w:tc>
      </w:tr>
      <w:tr w:rsidR="00404936" w:rsidRPr="00B479AE" w14:paraId="7544AA80" w14:textId="77777777" w:rsidTr="00404936">
        <w:trPr>
          <w:tblCellSpacing w:w="15" w:type="dxa"/>
        </w:trPr>
        <w:tc>
          <w:tcPr>
            <w:tcW w:w="0" w:type="auto"/>
            <w:vAlign w:val="center"/>
            <w:hideMark/>
          </w:tcPr>
          <w:p w14:paraId="351A895F"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drift risk</w:t>
            </w:r>
          </w:p>
        </w:tc>
        <w:tc>
          <w:tcPr>
            <w:tcW w:w="0" w:type="auto"/>
            <w:vAlign w:val="center"/>
            <w:hideMark/>
          </w:tcPr>
          <w:p w14:paraId="5614C133"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Are key terms being inflated or misused?</w:t>
            </w:r>
          </w:p>
        </w:tc>
      </w:tr>
      <w:tr w:rsidR="00404936" w:rsidRPr="00B479AE" w14:paraId="4A96FD65" w14:textId="77777777" w:rsidTr="00404936">
        <w:trPr>
          <w:tblCellSpacing w:w="15" w:type="dxa"/>
        </w:trPr>
        <w:tc>
          <w:tcPr>
            <w:tcW w:w="0" w:type="auto"/>
            <w:vAlign w:val="center"/>
            <w:hideMark/>
          </w:tcPr>
          <w:p w14:paraId="664DDCB2"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Capture risk</w:t>
            </w:r>
          </w:p>
        </w:tc>
        <w:tc>
          <w:tcPr>
            <w:tcW w:w="0" w:type="auto"/>
            <w:vAlign w:val="center"/>
            <w:hideMark/>
          </w:tcPr>
          <w:p w14:paraId="54187D97"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Is authority concentrating through capital, token holdings, technical access, charisma, or institutional pressure?</w:t>
            </w:r>
          </w:p>
        </w:tc>
      </w:tr>
      <w:tr w:rsidR="00404936" w:rsidRPr="00B479AE" w14:paraId="1BF833A1" w14:textId="77777777" w:rsidTr="00404936">
        <w:trPr>
          <w:tblCellSpacing w:w="15" w:type="dxa"/>
        </w:trPr>
        <w:tc>
          <w:tcPr>
            <w:tcW w:w="0" w:type="auto"/>
            <w:vAlign w:val="center"/>
            <w:hideMark/>
          </w:tcPr>
          <w:p w14:paraId="1D83E8FB"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Continuity risk</w:t>
            </w:r>
          </w:p>
        </w:tc>
        <w:tc>
          <w:tcPr>
            <w:tcW w:w="0" w:type="auto"/>
            <w:vAlign w:val="center"/>
            <w:hideMark/>
          </w:tcPr>
          <w:p w14:paraId="688D9E20"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Can records, canon, releases, evidence, and governance survive disruption?</w:t>
            </w:r>
          </w:p>
        </w:tc>
      </w:tr>
    </w:tbl>
    <w:p w14:paraId="1BE1609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model is strongest when it does not reduce all risk to one number.</w:t>
      </w:r>
    </w:p>
    <w:p w14:paraId="30431DB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Regenerative systems are multidimensional.</w:t>
      </w:r>
    </w:p>
    <w:p w14:paraId="19D7599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Their risk intelligence must be multidimensional as well.</w:t>
      </w:r>
    </w:p>
    <w:p w14:paraId="02680C07"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lastRenderedPageBreak/>
        <w:t>C.4 Ravel as decision-support, not enforcement</w:t>
      </w:r>
    </w:p>
    <w:p w14:paraId="6CA229C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outputs should be treated as decision-support signals.</w:t>
      </w:r>
    </w:p>
    <w:p w14:paraId="242AA5B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Ravel signal may trigger:</w:t>
      </w:r>
    </w:p>
    <w:p w14:paraId="132370C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review;</w:t>
      </w:r>
      <w:r w:rsidRPr="00B479AE">
        <w:rPr>
          <w:rFonts w:ascii="Baskerville Old Face" w:hAnsi="Baskerville Old Face"/>
          <w:i/>
          <w:iCs/>
        </w:rPr>
        <w:br/>
        <w:t>• inquiry;</w:t>
      </w:r>
      <w:r w:rsidRPr="00B479AE">
        <w:rPr>
          <w:rFonts w:ascii="Baskerville Old Face" w:hAnsi="Baskerville Old Face"/>
          <w:i/>
          <w:iCs/>
        </w:rPr>
        <w:br/>
        <w:t>• additional MRV;</w:t>
      </w:r>
      <w:r w:rsidRPr="00B479AE">
        <w:rPr>
          <w:rFonts w:ascii="Baskerville Old Face" w:hAnsi="Baskerville Old Face"/>
          <w:i/>
          <w:iCs/>
        </w:rPr>
        <w:br/>
        <w:t>• legal review;</w:t>
      </w:r>
      <w:r w:rsidRPr="00B479AE">
        <w:rPr>
          <w:rFonts w:ascii="Baskerville Old Face" w:hAnsi="Baskerville Old Face"/>
          <w:i/>
          <w:iCs/>
        </w:rPr>
        <w:br/>
        <w:t>• governance discussion;</w:t>
      </w:r>
      <w:r w:rsidRPr="00B479AE">
        <w:rPr>
          <w:rFonts w:ascii="Baskerville Old Face" w:hAnsi="Baskerville Old Face"/>
          <w:i/>
          <w:iCs/>
        </w:rPr>
        <w:br/>
        <w:t>• capital-structure revision;</w:t>
      </w:r>
      <w:r w:rsidRPr="00B479AE">
        <w:rPr>
          <w:rFonts w:ascii="Baskerville Old Face" w:hAnsi="Baskerville Old Face"/>
          <w:i/>
          <w:iCs/>
        </w:rPr>
        <w:br/>
        <w:t>• risk disclosure;</w:t>
      </w:r>
      <w:r w:rsidRPr="00B479AE">
        <w:rPr>
          <w:rFonts w:ascii="Baskerville Old Face" w:hAnsi="Baskerville Old Face"/>
          <w:i/>
          <w:iCs/>
        </w:rPr>
        <w:br/>
        <w:t>• scenario analysis;</w:t>
      </w:r>
      <w:r w:rsidRPr="00B479AE">
        <w:rPr>
          <w:rFonts w:ascii="Baskerville Old Face" w:hAnsi="Baskerville Old Face"/>
          <w:i/>
          <w:iCs/>
        </w:rPr>
        <w:br/>
        <w:t>• dashboard caution;</w:t>
      </w:r>
      <w:r w:rsidRPr="00B479AE">
        <w:rPr>
          <w:rFonts w:ascii="Baskerville Old Face" w:hAnsi="Baskerville Old Face"/>
          <w:i/>
          <w:iCs/>
        </w:rPr>
        <w:br/>
        <w:t>• remediation planning;</w:t>
      </w:r>
      <w:r w:rsidRPr="00B479AE">
        <w:rPr>
          <w:rFonts w:ascii="Baskerville Old Face" w:hAnsi="Baskerville Old Face"/>
          <w:i/>
          <w:iCs/>
        </w:rPr>
        <w:br/>
        <w:t>• temporary limitation of public claims;</w:t>
      </w:r>
      <w:r w:rsidRPr="00B479AE">
        <w:rPr>
          <w:rFonts w:ascii="Baskerville Old Face" w:hAnsi="Baskerville Old Face"/>
          <w:i/>
          <w:iCs/>
        </w:rPr>
        <w:br/>
        <w:t>• methodology review.</w:t>
      </w:r>
    </w:p>
    <w:p w14:paraId="51A9AD2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Ravel signal should not automatically trigger:</w:t>
      </w:r>
    </w:p>
    <w:p w14:paraId="756563F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token slashing;</w:t>
      </w:r>
      <w:r w:rsidRPr="00B479AE">
        <w:rPr>
          <w:rFonts w:ascii="Baskerville Old Face" w:hAnsi="Baskerville Old Face"/>
          <w:i/>
          <w:iCs/>
        </w:rPr>
        <w:br/>
        <w:t>• token forfeiture;</w:t>
      </w:r>
      <w:r w:rsidRPr="00B479AE">
        <w:rPr>
          <w:rFonts w:ascii="Baskerville Old Face" w:hAnsi="Baskerville Old Face"/>
          <w:i/>
          <w:iCs/>
        </w:rPr>
        <w:br/>
        <w:t>• credit suspension;</w:t>
      </w:r>
      <w:r w:rsidRPr="00B479AE">
        <w:rPr>
          <w:rFonts w:ascii="Baskerville Old Face" w:hAnsi="Baskerville Old Face"/>
          <w:i/>
          <w:iCs/>
        </w:rPr>
        <w:br/>
        <w:t>• investor-right modification;</w:t>
      </w:r>
      <w:r w:rsidRPr="00B479AE">
        <w:rPr>
          <w:rFonts w:ascii="Baskerville Old Face" w:hAnsi="Baskerville Old Face"/>
          <w:i/>
          <w:iCs/>
        </w:rPr>
        <w:br/>
        <w:t>• governance exclusion;</w:t>
      </w:r>
      <w:r w:rsidRPr="00B479AE">
        <w:rPr>
          <w:rFonts w:ascii="Baskerville Old Face" w:hAnsi="Baskerville Old Face"/>
          <w:i/>
          <w:iCs/>
        </w:rPr>
        <w:br/>
        <w:t>• reputation penalty;</w:t>
      </w:r>
      <w:r w:rsidRPr="00B479AE">
        <w:rPr>
          <w:rFonts w:ascii="Baskerville Old Face" w:hAnsi="Baskerville Old Face"/>
          <w:i/>
          <w:iCs/>
        </w:rPr>
        <w:br/>
        <w:t>• public accusation;</w:t>
      </w:r>
      <w:r w:rsidRPr="00B479AE">
        <w:rPr>
          <w:rFonts w:ascii="Baskerville Old Face" w:hAnsi="Baskerville Old Face"/>
          <w:i/>
          <w:iCs/>
        </w:rPr>
        <w:br/>
        <w:t>• legal consequence;</w:t>
      </w:r>
      <w:r w:rsidRPr="00B479AE">
        <w:rPr>
          <w:rFonts w:ascii="Baskerville Old Face" w:hAnsi="Baskerville Old Face"/>
          <w:i/>
          <w:iCs/>
        </w:rPr>
        <w:br/>
        <w:t>• automatic covenant breach finding.</w:t>
      </w:r>
    </w:p>
    <w:p w14:paraId="4DBA26D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Where consequences are needed, they must proceed through the applicable governance, legal, MRV, technical, or constitutional review pathway.</w:t>
      </w:r>
    </w:p>
    <w:p w14:paraId="79720EF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raise the flag.</w:t>
      </w:r>
    </w:p>
    <w:p w14:paraId="27B48D9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does not swing the sword.</w:t>
      </w:r>
    </w:p>
    <w:p w14:paraId="6A555F0E"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lastRenderedPageBreak/>
        <w:t>C.5 Core analytical variables</w:t>
      </w:r>
    </w:p>
    <w:p w14:paraId="682C7D4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 model may monitor variables such 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7703"/>
      </w:tblGrid>
      <w:tr w:rsidR="00404936" w:rsidRPr="00B479AE" w14:paraId="2CBA651A" w14:textId="77777777" w:rsidTr="009C1063">
        <w:trPr>
          <w:tblHeader/>
          <w:tblCellSpacing w:w="15" w:type="dxa"/>
        </w:trPr>
        <w:tc>
          <w:tcPr>
            <w:tcW w:w="0" w:type="auto"/>
            <w:vAlign w:val="center"/>
            <w:hideMark/>
          </w:tcPr>
          <w:p w14:paraId="0DCE8A19"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Variable family</w:t>
            </w:r>
          </w:p>
        </w:tc>
        <w:tc>
          <w:tcPr>
            <w:tcW w:w="0" w:type="auto"/>
            <w:vAlign w:val="center"/>
            <w:hideMark/>
          </w:tcPr>
          <w:p w14:paraId="4794A63E"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Possible indicators</w:t>
            </w:r>
          </w:p>
        </w:tc>
      </w:tr>
      <w:tr w:rsidR="00404936" w:rsidRPr="00B479AE" w14:paraId="360DAB87" w14:textId="77777777" w:rsidTr="009C1063">
        <w:trPr>
          <w:tblCellSpacing w:w="15" w:type="dxa"/>
        </w:trPr>
        <w:tc>
          <w:tcPr>
            <w:tcW w:w="0" w:type="auto"/>
            <w:vAlign w:val="center"/>
            <w:hideMark/>
          </w:tcPr>
          <w:p w14:paraId="05C5625A"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Ecological performance</w:t>
            </w:r>
          </w:p>
        </w:tc>
        <w:tc>
          <w:tcPr>
            <w:tcW w:w="0" w:type="auto"/>
            <w:vAlign w:val="center"/>
            <w:hideMark/>
          </w:tcPr>
          <w:p w14:paraId="005ACA40"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Soil organic matter, infiltration, biodiversity, ground cover, productivity, biomass return, input dependency.</w:t>
            </w:r>
          </w:p>
        </w:tc>
      </w:tr>
      <w:tr w:rsidR="00404936" w:rsidRPr="00B479AE" w14:paraId="7613CF28" w14:textId="77777777" w:rsidTr="009C1063">
        <w:trPr>
          <w:tblCellSpacing w:w="15" w:type="dxa"/>
        </w:trPr>
        <w:tc>
          <w:tcPr>
            <w:tcW w:w="0" w:type="auto"/>
            <w:vAlign w:val="center"/>
            <w:hideMark/>
          </w:tcPr>
          <w:p w14:paraId="457A2F50"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confidence</w:t>
            </w:r>
          </w:p>
        </w:tc>
        <w:tc>
          <w:tcPr>
            <w:tcW w:w="0" w:type="auto"/>
            <w:vAlign w:val="center"/>
            <w:hideMark/>
          </w:tcPr>
          <w:p w14:paraId="7B75ED0C"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Provenance strength, sampling frequency, cross-source consistency, laboratory support, third-party review.</w:t>
            </w:r>
          </w:p>
        </w:tc>
      </w:tr>
      <w:tr w:rsidR="00404936" w:rsidRPr="00B479AE" w14:paraId="4B7A6ABB" w14:textId="77777777" w:rsidTr="009C1063">
        <w:trPr>
          <w:tblCellSpacing w:w="15" w:type="dxa"/>
        </w:trPr>
        <w:tc>
          <w:tcPr>
            <w:tcW w:w="0" w:type="auto"/>
            <w:vAlign w:val="center"/>
            <w:hideMark/>
          </w:tcPr>
          <w:p w14:paraId="70FF1DA6"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Financial structure</w:t>
            </w:r>
          </w:p>
        </w:tc>
        <w:tc>
          <w:tcPr>
            <w:tcW w:w="0" w:type="auto"/>
            <w:vAlign w:val="center"/>
            <w:hideMark/>
          </w:tcPr>
          <w:p w14:paraId="06216DB5"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Debt service, leverage, reserve coverage, investor claims, repayment schedule, cash-flow volatility.</w:t>
            </w:r>
          </w:p>
        </w:tc>
      </w:tr>
      <w:tr w:rsidR="00404936" w:rsidRPr="00B479AE" w14:paraId="2ACA2CB3" w14:textId="77777777" w:rsidTr="009C1063">
        <w:trPr>
          <w:tblCellSpacing w:w="15" w:type="dxa"/>
        </w:trPr>
        <w:tc>
          <w:tcPr>
            <w:tcW w:w="0" w:type="auto"/>
            <w:vAlign w:val="center"/>
            <w:hideMark/>
          </w:tcPr>
          <w:p w14:paraId="325D67B1"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Operational capacity</w:t>
            </w:r>
          </w:p>
        </w:tc>
        <w:tc>
          <w:tcPr>
            <w:tcW w:w="0" w:type="auto"/>
            <w:vAlign w:val="center"/>
            <w:hideMark/>
          </w:tcPr>
          <w:p w14:paraId="445FD063"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Steward availability, maintenance records, execution delays, budget variance, technical capability.</w:t>
            </w:r>
          </w:p>
        </w:tc>
      </w:tr>
      <w:tr w:rsidR="00404936" w:rsidRPr="00B479AE" w14:paraId="23BF86EC" w14:textId="77777777" w:rsidTr="009C1063">
        <w:trPr>
          <w:tblCellSpacing w:w="15" w:type="dxa"/>
        </w:trPr>
        <w:tc>
          <w:tcPr>
            <w:tcW w:w="0" w:type="auto"/>
            <w:vAlign w:val="center"/>
            <w:hideMark/>
          </w:tcPr>
          <w:p w14:paraId="2921947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maturity</w:t>
            </w:r>
          </w:p>
        </w:tc>
        <w:tc>
          <w:tcPr>
            <w:tcW w:w="0" w:type="auto"/>
            <w:vAlign w:val="center"/>
            <w:hideMark/>
          </w:tcPr>
          <w:p w14:paraId="084A4180"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Decision logs, role clarity, review completion, conflict handling, appeal pathway, anti-capture controls.</w:t>
            </w:r>
          </w:p>
        </w:tc>
      </w:tr>
      <w:tr w:rsidR="00404936" w:rsidRPr="00B479AE" w14:paraId="61C53BF9" w14:textId="77777777" w:rsidTr="009C1063">
        <w:trPr>
          <w:tblCellSpacing w:w="15" w:type="dxa"/>
        </w:trPr>
        <w:tc>
          <w:tcPr>
            <w:tcW w:w="0" w:type="auto"/>
            <w:vAlign w:val="center"/>
            <w:hideMark/>
          </w:tcPr>
          <w:p w14:paraId="05A7C0CA"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readiness</w:t>
            </w:r>
          </w:p>
        </w:tc>
        <w:tc>
          <w:tcPr>
            <w:tcW w:w="0" w:type="auto"/>
            <w:vAlign w:val="center"/>
            <w:hideMark/>
          </w:tcPr>
          <w:p w14:paraId="0F9BA994"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Agreements, disclosures, jurisdictional review, data rights, token classification, investor compliance.</w:t>
            </w:r>
          </w:p>
        </w:tc>
      </w:tr>
      <w:tr w:rsidR="00404936" w:rsidRPr="00B479AE" w14:paraId="672B1F08" w14:textId="77777777" w:rsidTr="009C1063">
        <w:trPr>
          <w:tblCellSpacing w:w="15" w:type="dxa"/>
        </w:trPr>
        <w:tc>
          <w:tcPr>
            <w:tcW w:w="0" w:type="auto"/>
            <w:vAlign w:val="center"/>
            <w:hideMark/>
          </w:tcPr>
          <w:p w14:paraId="669ABBE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integrity</w:t>
            </w:r>
          </w:p>
        </w:tc>
        <w:tc>
          <w:tcPr>
            <w:tcW w:w="0" w:type="auto"/>
            <w:vAlign w:val="center"/>
            <w:hideMark/>
          </w:tcPr>
          <w:p w14:paraId="5927CE88"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Accuracy of PRU/RAP/MRV/token/public claims, glossary alignment, public communication discipline.</w:t>
            </w:r>
          </w:p>
        </w:tc>
      </w:tr>
      <w:tr w:rsidR="00404936" w:rsidRPr="00B479AE" w14:paraId="09446F38" w14:textId="77777777" w:rsidTr="009C1063">
        <w:trPr>
          <w:tblCellSpacing w:w="15" w:type="dxa"/>
        </w:trPr>
        <w:tc>
          <w:tcPr>
            <w:tcW w:w="0" w:type="auto"/>
            <w:vAlign w:val="center"/>
            <w:hideMark/>
          </w:tcPr>
          <w:p w14:paraId="7C5257C2"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Continuity resilience</w:t>
            </w:r>
          </w:p>
        </w:tc>
        <w:tc>
          <w:tcPr>
            <w:tcW w:w="0" w:type="auto"/>
            <w:vAlign w:val="center"/>
            <w:hideMark/>
          </w:tcPr>
          <w:p w14:paraId="7DFDB638"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Signed releases, mirrors, offline archives, checksum records, governance continuity, custodial redundancy.</w:t>
            </w:r>
          </w:p>
        </w:tc>
      </w:tr>
    </w:tbl>
    <w:p w14:paraId="216B67F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These variables should be selected according to project stage.</w:t>
      </w:r>
    </w:p>
    <w:p w14:paraId="308090E0"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Genesis pilot should not be scored like an institutional portfolio.</w:t>
      </w:r>
    </w:p>
    <w:p w14:paraId="4F42BDE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Early-stage systems require developmental diagnostics.</w:t>
      </w:r>
    </w:p>
    <w:p w14:paraId="4E7C79F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Mature systems require stronger controls.</w:t>
      </w:r>
    </w:p>
    <w:p w14:paraId="18610A20" w14:textId="1AD459F4" w:rsidR="00404936" w:rsidRPr="00B479AE" w:rsidRDefault="00404936" w:rsidP="00404936">
      <w:pPr>
        <w:spacing w:line="360" w:lineRule="auto"/>
        <w:rPr>
          <w:rFonts w:ascii="Baskerville Old Face" w:hAnsi="Baskerville Old Face"/>
          <w:i/>
          <w:iCs/>
        </w:rPr>
      </w:pPr>
    </w:p>
    <w:p w14:paraId="5DCE22F9"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lastRenderedPageBreak/>
        <w:t>C.6 Ravel indicator classes</w:t>
      </w:r>
    </w:p>
    <w:p w14:paraId="482090E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indicators may be classified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4439"/>
        <w:gridCol w:w="3098"/>
      </w:tblGrid>
      <w:tr w:rsidR="00404936" w:rsidRPr="00B479AE" w14:paraId="41283ABC" w14:textId="77777777" w:rsidTr="009C1063">
        <w:trPr>
          <w:tblHeader/>
          <w:tblCellSpacing w:w="15" w:type="dxa"/>
        </w:trPr>
        <w:tc>
          <w:tcPr>
            <w:tcW w:w="0" w:type="auto"/>
            <w:vAlign w:val="center"/>
            <w:hideMark/>
          </w:tcPr>
          <w:p w14:paraId="2463138E"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Indicator class</w:t>
            </w:r>
          </w:p>
        </w:tc>
        <w:tc>
          <w:tcPr>
            <w:tcW w:w="0" w:type="auto"/>
            <w:vAlign w:val="center"/>
            <w:hideMark/>
          </w:tcPr>
          <w:p w14:paraId="07F2062E"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6AE3D326"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Typical response</w:t>
            </w:r>
          </w:p>
        </w:tc>
      </w:tr>
      <w:tr w:rsidR="00404936" w:rsidRPr="00B479AE" w14:paraId="6CCD3675" w14:textId="77777777" w:rsidTr="009C1063">
        <w:trPr>
          <w:tblCellSpacing w:w="15" w:type="dxa"/>
        </w:trPr>
        <w:tc>
          <w:tcPr>
            <w:tcW w:w="0" w:type="auto"/>
            <w:vAlign w:val="center"/>
            <w:hideMark/>
          </w:tcPr>
          <w:p w14:paraId="3F6227B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Green / stable</w:t>
            </w:r>
          </w:p>
        </w:tc>
        <w:tc>
          <w:tcPr>
            <w:tcW w:w="0" w:type="auto"/>
            <w:vAlign w:val="center"/>
            <w:hideMark/>
          </w:tcPr>
          <w:p w14:paraId="339AAD7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Current evidence and risk conditions are within expected range.</w:t>
            </w:r>
          </w:p>
        </w:tc>
        <w:tc>
          <w:tcPr>
            <w:tcW w:w="0" w:type="auto"/>
            <w:vAlign w:val="center"/>
            <w:hideMark/>
          </w:tcPr>
          <w:p w14:paraId="4FFE609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Continue monitoring.</w:t>
            </w:r>
          </w:p>
        </w:tc>
      </w:tr>
      <w:tr w:rsidR="00404936" w:rsidRPr="00B479AE" w14:paraId="69F1DF2C" w14:textId="77777777" w:rsidTr="009C1063">
        <w:trPr>
          <w:tblCellSpacing w:w="15" w:type="dxa"/>
        </w:trPr>
        <w:tc>
          <w:tcPr>
            <w:tcW w:w="0" w:type="auto"/>
            <w:vAlign w:val="center"/>
            <w:hideMark/>
          </w:tcPr>
          <w:p w14:paraId="17AF1507"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Amber / watch</w:t>
            </w:r>
          </w:p>
        </w:tc>
        <w:tc>
          <w:tcPr>
            <w:tcW w:w="0" w:type="auto"/>
            <w:vAlign w:val="center"/>
            <w:hideMark/>
          </w:tcPr>
          <w:p w14:paraId="32C65E06"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Early warning or uncertainty exists.</w:t>
            </w:r>
          </w:p>
        </w:tc>
        <w:tc>
          <w:tcPr>
            <w:tcW w:w="0" w:type="auto"/>
            <w:vAlign w:val="center"/>
            <w:hideMark/>
          </w:tcPr>
          <w:p w14:paraId="7F11D3A8"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Clarify, monitor, request additional evidence.</w:t>
            </w:r>
          </w:p>
        </w:tc>
      </w:tr>
      <w:tr w:rsidR="00404936" w:rsidRPr="00B479AE" w14:paraId="7BADDBD4" w14:textId="77777777" w:rsidTr="009C1063">
        <w:trPr>
          <w:tblCellSpacing w:w="15" w:type="dxa"/>
        </w:trPr>
        <w:tc>
          <w:tcPr>
            <w:tcW w:w="0" w:type="auto"/>
            <w:vAlign w:val="center"/>
            <w:hideMark/>
          </w:tcPr>
          <w:p w14:paraId="7F0B80A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Orange / review</w:t>
            </w:r>
          </w:p>
        </w:tc>
        <w:tc>
          <w:tcPr>
            <w:tcW w:w="0" w:type="auto"/>
            <w:vAlign w:val="center"/>
            <w:hideMark/>
          </w:tcPr>
          <w:p w14:paraId="7753BFE3"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Material risk or inconsistency requires formal review.</w:t>
            </w:r>
          </w:p>
        </w:tc>
        <w:tc>
          <w:tcPr>
            <w:tcW w:w="0" w:type="auto"/>
            <w:vAlign w:val="center"/>
            <w:hideMark/>
          </w:tcPr>
          <w:p w14:paraId="62F56844"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Trigger governance, MRV, legal, or technical review.</w:t>
            </w:r>
          </w:p>
        </w:tc>
      </w:tr>
      <w:tr w:rsidR="00404936" w:rsidRPr="00B479AE" w14:paraId="3A4844DE" w14:textId="77777777" w:rsidTr="009C1063">
        <w:trPr>
          <w:tblCellSpacing w:w="15" w:type="dxa"/>
        </w:trPr>
        <w:tc>
          <w:tcPr>
            <w:tcW w:w="0" w:type="auto"/>
            <w:vAlign w:val="center"/>
            <w:hideMark/>
          </w:tcPr>
          <w:p w14:paraId="57D76021"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Red / protective pause</w:t>
            </w:r>
          </w:p>
        </w:tc>
        <w:tc>
          <w:tcPr>
            <w:tcW w:w="0" w:type="auto"/>
            <w:vAlign w:val="center"/>
            <w:hideMark/>
          </w:tcPr>
          <w:p w14:paraId="7C8FC59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High-impact risk may affect evidence, law, capital, governance, or source-layer trust.</w:t>
            </w:r>
          </w:p>
        </w:tc>
        <w:tc>
          <w:tcPr>
            <w:tcW w:w="0" w:type="auto"/>
            <w:vAlign w:val="center"/>
            <w:hideMark/>
          </w:tcPr>
          <w:p w14:paraId="329C8933"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Temporary protective limitation pending review.</w:t>
            </w:r>
          </w:p>
        </w:tc>
      </w:tr>
      <w:tr w:rsidR="00404936" w:rsidRPr="00B479AE" w14:paraId="37BEFF52" w14:textId="77777777" w:rsidTr="009C1063">
        <w:trPr>
          <w:tblCellSpacing w:w="15" w:type="dxa"/>
        </w:trPr>
        <w:tc>
          <w:tcPr>
            <w:tcW w:w="0" w:type="auto"/>
            <w:vAlign w:val="center"/>
            <w:hideMark/>
          </w:tcPr>
          <w:p w14:paraId="0186BC3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Black / constitutional escalation</w:t>
            </w:r>
          </w:p>
        </w:tc>
        <w:tc>
          <w:tcPr>
            <w:tcW w:w="0" w:type="auto"/>
            <w:vAlign w:val="center"/>
            <w:hideMark/>
          </w:tcPr>
          <w:p w14:paraId="28F01D7E"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Source-layer, human dignity, serious fraud, ecological harm, or systemic trust risk.</w:t>
            </w:r>
          </w:p>
        </w:tc>
        <w:tc>
          <w:tcPr>
            <w:tcW w:w="0" w:type="auto"/>
            <w:vAlign w:val="center"/>
            <w:hideMark/>
          </w:tcPr>
          <w:p w14:paraId="1EA8407F"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legal, and institutional escalation.</w:t>
            </w:r>
          </w:p>
        </w:tc>
      </w:tr>
    </w:tbl>
    <w:p w14:paraId="3555D14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These categories should be treated as risk signals, not automatic punishments.</w:t>
      </w:r>
    </w:p>
    <w:p w14:paraId="384B7DB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purpose is to route attention appropriately.</w:t>
      </w:r>
    </w:p>
    <w:p w14:paraId="4321DFC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mature system is not one that never sees red.</w:t>
      </w:r>
    </w:p>
    <w:p w14:paraId="059254B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is one that knows what to do when red appears.</w:t>
      </w:r>
    </w:p>
    <w:p w14:paraId="67ACE689"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C.7 Regeneration-to-obligation ratio</w:t>
      </w:r>
    </w:p>
    <w:p w14:paraId="6F15128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One useful Ravel concept is the relationship between regenerative capacity and financial obligation.</w:t>
      </w:r>
    </w:p>
    <w:p w14:paraId="1674891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simplified conceptual ratio may be:</w:t>
      </w:r>
    </w:p>
    <w:p w14:paraId="0FBB9B6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Regeneration-to-Obligation Ratio = verified regenerative and operational capacity / financial obligations</w:t>
      </w:r>
    </w:p>
    <w:p w14:paraId="2B45C82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This ratio may help identify whether financial obligations are proportionate to the verified capacity of a project or portfolio.</w:t>
      </w:r>
    </w:p>
    <w:p w14:paraId="2F1BBB0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The numerator may include, depending on maturity:</w:t>
      </w:r>
    </w:p>
    <w:p w14:paraId="55E222D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verified ecological performance;</w:t>
      </w:r>
      <w:r w:rsidRPr="00B479AE">
        <w:rPr>
          <w:rFonts w:ascii="Baskerville Old Face" w:hAnsi="Baskerville Old Face"/>
          <w:i/>
          <w:iCs/>
        </w:rPr>
        <w:br/>
        <w:t>• stabilized productive capacity;</w:t>
      </w:r>
      <w:r w:rsidRPr="00B479AE">
        <w:rPr>
          <w:rFonts w:ascii="Baskerville Old Face" w:hAnsi="Baskerville Old Face"/>
          <w:i/>
          <w:iCs/>
        </w:rPr>
        <w:br/>
        <w:t>• cash-flow evidence;</w:t>
      </w:r>
      <w:r w:rsidRPr="00B479AE">
        <w:rPr>
          <w:rFonts w:ascii="Baskerville Old Face" w:hAnsi="Baskerville Old Face"/>
          <w:i/>
          <w:iCs/>
        </w:rPr>
        <w:br/>
        <w:t>• MRV confidence;</w:t>
      </w:r>
      <w:r w:rsidRPr="00B479AE">
        <w:rPr>
          <w:rFonts w:ascii="Baskerville Old Face" w:hAnsi="Baskerville Old Face"/>
          <w:i/>
          <w:iCs/>
        </w:rPr>
        <w:br/>
        <w:t>• operational reliability;</w:t>
      </w:r>
      <w:r w:rsidRPr="00B479AE">
        <w:rPr>
          <w:rFonts w:ascii="Baskerville Old Face" w:hAnsi="Baskerville Old Face"/>
          <w:i/>
          <w:iCs/>
        </w:rPr>
        <w:br/>
        <w:t>• governance maturity;</w:t>
      </w:r>
      <w:r w:rsidRPr="00B479AE">
        <w:rPr>
          <w:rFonts w:ascii="Baskerville Old Face" w:hAnsi="Baskerville Old Face"/>
          <w:i/>
          <w:iCs/>
        </w:rPr>
        <w:br/>
        <w:t>• legal readiness;</w:t>
      </w:r>
      <w:r w:rsidRPr="00B479AE">
        <w:rPr>
          <w:rFonts w:ascii="Baskerville Old Face" w:hAnsi="Baskerville Old Face"/>
          <w:i/>
          <w:iCs/>
        </w:rPr>
        <w:br/>
        <w:t>• reserve capacity.</w:t>
      </w:r>
    </w:p>
    <w:p w14:paraId="5F5EF67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denominator may include:</w:t>
      </w:r>
    </w:p>
    <w:p w14:paraId="5921BF5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debt service;</w:t>
      </w:r>
      <w:r w:rsidRPr="00B479AE">
        <w:rPr>
          <w:rFonts w:ascii="Baskerville Old Face" w:hAnsi="Baskerville Old Face"/>
          <w:i/>
          <w:iCs/>
        </w:rPr>
        <w:br/>
        <w:t>• investor expectations;</w:t>
      </w:r>
      <w:r w:rsidRPr="00B479AE">
        <w:rPr>
          <w:rFonts w:ascii="Baskerville Old Face" w:hAnsi="Baskerville Old Face"/>
          <w:i/>
          <w:iCs/>
        </w:rPr>
        <w:br/>
        <w:t>• repayment obligations;</w:t>
      </w:r>
      <w:r w:rsidRPr="00B479AE">
        <w:rPr>
          <w:rFonts w:ascii="Baskerville Old Face" w:hAnsi="Baskerville Old Face"/>
          <w:i/>
          <w:iCs/>
        </w:rPr>
        <w:br/>
        <w:t>• maintenance liabilities;</w:t>
      </w:r>
      <w:r w:rsidRPr="00B479AE">
        <w:rPr>
          <w:rFonts w:ascii="Baskerville Old Face" w:hAnsi="Baskerville Old Face"/>
          <w:i/>
          <w:iCs/>
        </w:rPr>
        <w:br/>
        <w:t>• reporting costs;</w:t>
      </w:r>
      <w:r w:rsidRPr="00B479AE">
        <w:rPr>
          <w:rFonts w:ascii="Baskerville Old Face" w:hAnsi="Baskerville Old Face"/>
          <w:i/>
          <w:iCs/>
        </w:rPr>
        <w:br/>
        <w:t>• legal obligations;</w:t>
      </w:r>
      <w:r w:rsidRPr="00B479AE">
        <w:rPr>
          <w:rFonts w:ascii="Baskerville Old Face" w:hAnsi="Baskerville Old Face"/>
          <w:i/>
          <w:iCs/>
        </w:rPr>
        <w:br/>
        <w:t>• operational overhead;</w:t>
      </w:r>
      <w:r w:rsidRPr="00B479AE">
        <w:rPr>
          <w:rFonts w:ascii="Baskerville Old Face" w:hAnsi="Baskerville Old Face"/>
          <w:i/>
          <w:iCs/>
        </w:rPr>
        <w:br/>
        <w:t>• future capital commitments.</w:t>
      </w:r>
    </w:p>
    <w:p w14:paraId="7EB7635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This ratio should not be treated as a single mechanical truth.</w:t>
      </w:r>
    </w:p>
    <w:p w14:paraId="5C6A296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is a diagnostic lens.</w:t>
      </w:r>
    </w:p>
    <w:p w14:paraId="6FC2AAA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helps reviewers ask:</w:t>
      </w:r>
    </w:p>
    <w:p w14:paraId="1A1ACEB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is the financial structure asking more from the living system than the living system has verified capacity to support?</w:t>
      </w:r>
    </w:p>
    <w:p w14:paraId="1A164E93"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C.8 Evidence-to-claim ratio</w:t>
      </w:r>
    </w:p>
    <w:p w14:paraId="64D1286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Prometheus should monitor whether claims are growing faster than evidence.</w:t>
      </w:r>
    </w:p>
    <w:p w14:paraId="4707F0C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simplified conceptual ratio may be:</w:t>
      </w:r>
    </w:p>
    <w:p w14:paraId="16ADCC3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Evidence-to-Claim Ratio = admissible evidence strength / public, financial, or token-related claim intensity</w:t>
      </w:r>
    </w:p>
    <w:p w14:paraId="247FB7A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A low ratio indicates that communication, fundraising, dashboard language, token language, or investor materials may be advancing faster than MRV maturity.</w:t>
      </w:r>
    </w:p>
    <w:p w14:paraId="52B5C74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Possible symptoms include:</w:t>
      </w:r>
    </w:p>
    <w:p w14:paraId="22A9E1E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PRU language before PRU methodology;</w:t>
      </w:r>
      <w:r w:rsidRPr="00B479AE">
        <w:rPr>
          <w:rFonts w:ascii="Baskerville Old Face" w:hAnsi="Baskerville Old Face"/>
          <w:i/>
          <w:iCs/>
        </w:rPr>
        <w:br/>
        <w:t>• RAP language before portfolio eligibility;</w:t>
      </w:r>
      <w:r w:rsidRPr="00B479AE">
        <w:rPr>
          <w:rFonts w:ascii="Baskerville Old Face" w:hAnsi="Baskerville Old Face"/>
          <w:i/>
          <w:iCs/>
        </w:rPr>
        <w:br/>
        <w:t>• verified-impact language before MRV admissibility;</w:t>
      </w:r>
      <w:r w:rsidRPr="00B479AE">
        <w:rPr>
          <w:rFonts w:ascii="Baskerville Old Face" w:hAnsi="Baskerville Old Face"/>
          <w:i/>
          <w:iCs/>
        </w:rPr>
        <w:br/>
        <w:t>• investor-facing value before legal structure;</w:t>
      </w:r>
      <w:r w:rsidRPr="00B479AE">
        <w:rPr>
          <w:rFonts w:ascii="Baskerville Old Face" w:hAnsi="Baskerville Old Face"/>
          <w:i/>
          <w:iCs/>
        </w:rPr>
        <w:br/>
        <w:t>• token-backed claims before rights definition;</w:t>
      </w:r>
      <w:r w:rsidRPr="00B479AE">
        <w:rPr>
          <w:rFonts w:ascii="Baskerville Old Face" w:hAnsi="Baskerville Old Face"/>
          <w:i/>
          <w:iCs/>
        </w:rPr>
        <w:br/>
        <w:t>• dashboard confidence without evidence confidence;</w:t>
      </w:r>
      <w:r w:rsidRPr="00B479AE">
        <w:rPr>
          <w:rFonts w:ascii="Baskerville Old Face" w:hAnsi="Baskerville Old Face"/>
          <w:i/>
          <w:iCs/>
        </w:rPr>
        <w:br/>
        <w:t>• ecological-performance claims based only on narrative or AI inference.</w:t>
      </w:r>
    </w:p>
    <w:p w14:paraId="6A4D2EB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proper response is not automatic sanction.</w:t>
      </w:r>
    </w:p>
    <w:p w14:paraId="2E0618B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The proper response is </w:t>
      </w:r>
      <w:proofErr w:type="gramStart"/>
      <w:r w:rsidRPr="00B479AE">
        <w:rPr>
          <w:rFonts w:ascii="Baskerville Old Face" w:hAnsi="Baskerville Old Face"/>
          <w:i/>
          <w:iCs/>
        </w:rPr>
        <w:t>claim</w:t>
      </w:r>
      <w:proofErr w:type="gramEnd"/>
      <w:r w:rsidRPr="00B479AE">
        <w:rPr>
          <w:rFonts w:ascii="Baskerville Old Face" w:hAnsi="Baskerville Old Face"/>
          <w:i/>
          <w:iCs/>
        </w:rPr>
        <w:t xml:space="preserve"> recalibration.</w:t>
      </w:r>
    </w:p>
    <w:p w14:paraId="3AEF167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Prometheus should adjust language, evidence, disclosure, methodology, or review before trust is damaged.</w:t>
      </w:r>
    </w:p>
    <w:p w14:paraId="1AFBF60E"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C.9 Capital-pressure index</w:t>
      </w:r>
    </w:p>
    <w:p w14:paraId="4F1B247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monitor capital pressure.</w:t>
      </w:r>
    </w:p>
    <w:p w14:paraId="5F53DDF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Capital pressure may increase when:</w:t>
      </w:r>
    </w:p>
    <w:p w14:paraId="2F7702FB"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investor deadlines accelerate;</w:t>
      </w:r>
      <w:r w:rsidRPr="00B479AE">
        <w:rPr>
          <w:rFonts w:ascii="Baskerville Old Face" w:hAnsi="Baskerville Old Face"/>
          <w:i/>
          <w:iCs/>
        </w:rPr>
        <w:br/>
        <w:t>• revenue expectations rise;</w:t>
      </w:r>
      <w:r w:rsidRPr="00B479AE">
        <w:rPr>
          <w:rFonts w:ascii="Baskerville Old Face" w:hAnsi="Baskerville Old Face"/>
          <w:i/>
          <w:iCs/>
        </w:rPr>
        <w:br/>
        <w:t>• repayment obligations tighten;</w:t>
      </w:r>
      <w:r w:rsidRPr="00B479AE">
        <w:rPr>
          <w:rFonts w:ascii="Baskerville Old Face" w:hAnsi="Baskerville Old Face"/>
          <w:i/>
          <w:iCs/>
        </w:rPr>
        <w:br/>
        <w:t>• token price narratives dominate;</w:t>
      </w:r>
      <w:r w:rsidRPr="00B479AE">
        <w:rPr>
          <w:rFonts w:ascii="Baskerville Old Face" w:hAnsi="Baskerville Old Face"/>
          <w:i/>
          <w:iCs/>
        </w:rPr>
        <w:br/>
        <w:t>• public claims become more aggressive;</w:t>
      </w:r>
      <w:r w:rsidRPr="00B479AE">
        <w:rPr>
          <w:rFonts w:ascii="Baskerville Old Face" w:hAnsi="Baskerville Old Face"/>
          <w:i/>
          <w:iCs/>
        </w:rPr>
        <w:br/>
        <w:t>• governance shortens review;</w:t>
      </w:r>
      <w:r w:rsidRPr="00B479AE">
        <w:rPr>
          <w:rFonts w:ascii="Baskerville Old Face" w:hAnsi="Baskerville Old Face"/>
          <w:i/>
          <w:iCs/>
        </w:rPr>
        <w:br/>
        <w:t>• MRV is pressured to certify early;</w:t>
      </w:r>
      <w:r w:rsidRPr="00B479AE">
        <w:rPr>
          <w:rFonts w:ascii="Baskerville Old Face" w:hAnsi="Baskerville Old Face"/>
          <w:i/>
          <w:iCs/>
        </w:rPr>
        <w:br/>
        <w:t>• legal structuring is treated as delay;</w:t>
      </w:r>
      <w:r w:rsidRPr="00B479AE">
        <w:rPr>
          <w:rFonts w:ascii="Baskerville Old Face" w:hAnsi="Baskerville Old Face"/>
          <w:i/>
          <w:iCs/>
        </w:rPr>
        <w:br/>
        <w:t>• pilot data is presented as mature portfolio evidence.</w:t>
      </w:r>
    </w:p>
    <w:p w14:paraId="03BA1E2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capital-pressure index may help identify when finance is beginning to pull the system away from evidence.</w:t>
      </w:r>
    </w:p>
    <w:p w14:paraId="1623257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The rule is:</w:t>
      </w:r>
    </w:p>
    <w:p w14:paraId="5D603C2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capital should accelerate implementation, not distort verification.</w:t>
      </w:r>
    </w:p>
    <w:p w14:paraId="4FEFED9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Where capital pressure rises, Prometheus should strengthen disclosure, review, governance cadence, and evidence discipline.</w:t>
      </w:r>
    </w:p>
    <w:p w14:paraId="2025E323"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C.10 Governance-load index</w:t>
      </w:r>
    </w:p>
    <w:p w14:paraId="68878AE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regenerative system can fail because governance cannot metabolize complexity.</w:t>
      </w:r>
    </w:p>
    <w:p w14:paraId="32E8D44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monitor governance load through:</w:t>
      </w:r>
    </w:p>
    <w:p w14:paraId="2924742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number of open decisions;</w:t>
      </w:r>
      <w:r w:rsidRPr="00B479AE">
        <w:rPr>
          <w:rFonts w:ascii="Baskerville Old Face" w:hAnsi="Baskerville Old Face"/>
          <w:i/>
          <w:iCs/>
        </w:rPr>
        <w:br/>
        <w:t>• unresolved objections;</w:t>
      </w:r>
      <w:r w:rsidRPr="00B479AE">
        <w:rPr>
          <w:rFonts w:ascii="Baskerville Old Face" w:hAnsi="Baskerville Old Face"/>
          <w:i/>
          <w:iCs/>
        </w:rPr>
        <w:br/>
        <w:t>• unclear roles;</w:t>
      </w:r>
      <w:r w:rsidRPr="00B479AE">
        <w:rPr>
          <w:rFonts w:ascii="Baskerville Old Face" w:hAnsi="Baskerville Old Face"/>
          <w:i/>
          <w:iCs/>
        </w:rPr>
        <w:br/>
        <w:t>• missing minutes;</w:t>
      </w:r>
      <w:r w:rsidRPr="00B479AE">
        <w:rPr>
          <w:rFonts w:ascii="Baskerville Old Face" w:hAnsi="Baskerville Old Face"/>
          <w:i/>
          <w:iCs/>
        </w:rPr>
        <w:br/>
        <w:t>• delayed reviews;</w:t>
      </w:r>
      <w:r w:rsidRPr="00B479AE">
        <w:rPr>
          <w:rFonts w:ascii="Baskerville Old Face" w:hAnsi="Baskerville Old Face"/>
          <w:i/>
          <w:iCs/>
        </w:rPr>
        <w:br/>
        <w:t>• disputed authority;</w:t>
      </w:r>
      <w:r w:rsidRPr="00B479AE">
        <w:rPr>
          <w:rFonts w:ascii="Baskerville Old Face" w:hAnsi="Baskerville Old Face"/>
          <w:i/>
          <w:iCs/>
        </w:rPr>
        <w:br/>
        <w:t>• conflict frequency;</w:t>
      </w:r>
      <w:r w:rsidRPr="00B479AE">
        <w:rPr>
          <w:rFonts w:ascii="Baskerville Old Face" w:hAnsi="Baskerville Old Face"/>
          <w:i/>
          <w:iCs/>
        </w:rPr>
        <w:br/>
        <w:t>• appeals;</w:t>
      </w:r>
      <w:r w:rsidRPr="00B479AE">
        <w:rPr>
          <w:rFonts w:ascii="Baskerville Old Face" w:hAnsi="Baskerville Old Face"/>
          <w:i/>
          <w:iCs/>
        </w:rPr>
        <w:br/>
        <w:t>• emergency decisions;</w:t>
      </w:r>
      <w:r w:rsidRPr="00B479AE">
        <w:rPr>
          <w:rFonts w:ascii="Baskerville Old Face" w:hAnsi="Baskerville Old Face"/>
          <w:i/>
          <w:iCs/>
        </w:rPr>
        <w:br/>
        <w:t>• technical change velocity;</w:t>
      </w:r>
      <w:r w:rsidRPr="00B479AE">
        <w:rPr>
          <w:rFonts w:ascii="Baskerville Old Face" w:hAnsi="Baskerville Old Face"/>
          <w:i/>
          <w:iCs/>
        </w:rPr>
        <w:br/>
        <w:t>• legal review backlog;</w:t>
      </w:r>
      <w:r w:rsidRPr="00B479AE">
        <w:rPr>
          <w:rFonts w:ascii="Baskerville Old Face" w:hAnsi="Baskerville Old Face"/>
          <w:i/>
          <w:iCs/>
        </w:rPr>
        <w:br/>
        <w:t>• MRV review backlog;</w:t>
      </w:r>
      <w:r w:rsidRPr="00B479AE">
        <w:rPr>
          <w:rFonts w:ascii="Baskerville Old Face" w:hAnsi="Baskerville Old Face"/>
          <w:i/>
          <w:iCs/>
        </w:rPr>
        <w:br/>
        <w:t>• public communication risk.</w:t>
      </w:r>
    </w:p>
    <w:p w14:paraId="76888CC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high governance-load signal suggests that Prometheus should slow, clarify, delegate, document, or simplify.</w:t>
      </w:r>
    </w:p>
    <w:p w14:paraId="6F8E7AB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Governance is an organ.</w:t>
      </w:r>
    </w:p>
    <w:p w14:paraId="4807EF5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If it is overloaded, the whole organism becomes fragile.</w:t>
      </w:r>
    </w:p>
    <w:p w14:paraId="07D92E96"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C.11 Semantic-drift index</w:t>
      </w:r>
    </w:p>
    <w:p w14:paraId="31DCEF5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Prometheus depends on protected meanings.</w:t>
      </w:r>
    </w:p>
    <w:p w14:paraId="03D75F1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Ravel may monitor semantic drift by scanning documents, dashboards, investor materials, token communications, governance proposals, public posts, and partner language for misuse of canonical terms.</w:t>
      </w:r>
    </w:p>
    <w:p w14:paraId="786881F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Terms requiring monitoring include:</w:t>
      </w:r>
    </w:p>
    <w:p w14:paraId="5C4F0E4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PRU;</w:t>
      </w:r>
      <w:r w:rsidRPr="00B479AE">
        <w:rPr>
          <w:rFonts w:ascii="Baskerville Old Face" w:hAnsi="Baskerville Old Face"/>
          <w:i/>
          <w:iCs/>
        </w:rPr>
        <w:br/>
        <w:t>• RAP;</w:t>
      </w:r>
      <w:r w:rsidRPr="00B479AE">
        <w:rPr>
          <w:rFonts w:ascii="Baskerville Old Face" w:hAnsi="Baskerville Old Face"/>
          <w:i/>
          <w:iCs/>
        </w:rPr>
        <w:br/>
        <w:t>• MRV;</w:t>
      </w:r>
      <w:r w:rsidRPr="00B479AE">
        <w:rPr>
          <w:rFonts w:ascii="Baskerville Old Face" w:hAnsi="Baskerville Old Face"/>
          <w:i/>
          <w:iCs/>
        </w:rPr>
        <w:br/>
        <w:t>• regeneration;</w:t>
      </w:r>
      <w:r w:rsidRPr="00B479AE">
        <w:rPr>
          <w:rFonts w:ascii="Baskerville Old Face" w:hAnsi="Baskerville Old Face"/>
          <w:i/>
          <w:iCs/>
        </w:rPr>
        <w:br/>
        <w:t>• verified;</w:t>
      </w:r>
      <w:r w:rsidRPr="00B479AE">
        <w:rPr>
          <w:rFonts w:ascii="Baskerville Old Face" w:hAnsi="Baskerville Old Face"/>
          <w:i/>
          <w:iCs/>
        </w:rPr>
        <w:br/>
        <w:t>• certified;</w:t>
      </w:r>
      <w:r w:rsidRPr="00B479AE">
        <w:rPr>
          <w:rFonts w:ascii="Baskerville Old Face" w:hAnsi="Baskerville Old Face"/>
          <w:i/>
          <w:iCs/>
        </w:rPr>
        <w:br/>
        <w:t>• impact-backed;</w:t>
      </w:r>
      <w:r w:rsidRPr="00B479AE">
        <w:rPr>
          <w:rFonts w:ascii="Baskerville Old Face" w:hAnsi="Baskerville Old Face"/>
          <w:i/>
          <w:iCs/>
        </w:rPr>
        <w:br/>
        <w:t>• tokenized;</w:t>
      </w:r>
      <w:r w:rsidRPr="00B479AE">
        <w:rPr>
          <w:rFonts w:ascii="Baskerville Old Face" w:hAnsi="Baskerville Old Face"/>
          <w:i/>
          <w:iCs/>
        </w:rPr>
        <w:br/>
        <w:t>• investor-ready;</w:t>
      </w:r>
      <w:r w:rsidRPr="00B479AE">
        <w:rPr>
          <w:rFonts w:ascii="Baskerville Old Face" w:hAnsi="Baskerville Old Face"/>
          <w:i/>
          <w:iCs/>
        </w:rPr>
        <w:br/>
        <w:t>• canonical;</w:t>
      </w:r>
      <w:r w:rsidRPr="00B479AE">
        <w:rPr>
          <w:rFonts w:ascii="Baskerville Old Face" w:hAnsi="Baskerville Old Face"/>
          <w:i/>
          <w:iCs/>
        </w:rPr>
        <w:br/>
        <w:t>• compatible;</w:t>
      </w:r>
      <w:r w:rsidRPr="00B479AE">
        <w:rPr>
          <w:rFonts w:ascii="Baskerville Old Face" w:hAnsi="Baskerville Old Face"/>
          <w:i/>
          <w:iCs/>
        </w:rPr>
        <w:br/>
        <w:t>• HSI;</w:t>
      </w:r>
      <w:r w:rsidRPr="00B479AE">
        <w:rPr>
          <w:rFonts w:ascii="Baskerville Old Face" w:hAnsi="Baskerville Old Face"/>
          <w:i/>
          <w:iCs/>
        </w:rPr>
        <w:br/>
        <w:t>• governance;</w:t>
      </w:r>
      <w:r w:rsidRPr="00B479AE">
        <w:rPr>
          <w:rFonts w:ascii="Baskerville Old Face" w:hAnsi="Baskerville Old Face"/>
          <w:i/>
          <w:iCs/>
        </w:rPr>
        <w:br/>
        <w:t>• constitutional;</w:t>
      </w:r>
      <w:r w:rsidRPr="00B479AE">
        <w:rPr>
          <w:rFonts w:ascii="Baskerville Old Face" w:hAnsi="Baskerville Old Face"/>
          <w:i/>
          <w:iCs/>
        </w:rPr>
        <w:br/>
        <w:t>• source-layer verified.</w:t>
      </w:r>
    </w:p>
    <w:p w14:paraId="5FE3144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Semantic-drift indicators may include:</w:t>
      </w:r>
    </w:p>
    <w:p w14:paraId="258CDB6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terms used without definition;</w:t>
      </w:r>
      <w:r w:rsidRPr="00B479AE">
        <w:rPr>
          <w:rFonts w:ascii="Baskerville Old Face" w:hAnsi="Baskerville Old Face"/>
          <w:i/>
          <w:iCs/>
        </w:rPr>
        <w:br/>
        <w:t>• financial meaning implied without legal structure;</w:t>
      </w:r>
      <w:r w:rsidRPr="00B479AE">
        <w:rPr>
          <w:rFonts w:ascii="Baskerville Old Face" w:hAnsi="Baskerville Old Face"/>
          <w:i/>
          <w:iCs/>
        </w:rPr>
        <w:br/>
        <w:t>• ecological claims without evidence status;</w:t>
      </w:r>
      <w:r w:rsidRPr="00B479AE">
        <w:rPr>
          <w:rFonts w:ascii="Baskerville Old Face" w:hAnsi="Baskerville Old Face"/>
          <w:i/>
          <w:iCs/>
        </w:rPr>
        <w:br/>
        <w:t>• token claims without boundary;</w:t>
      </w:r>
      <w:r w:rsidRPr="00B479AE">
        <w:rPr>
          <w:rFonts w:ascii="Baskerville Old Face" w:hAnsi="Baskerville Old Face"/>
          <w:i/>
          <w:iCs/>
        </w:rPr>
        <w:br/>
        <w:t>• AI-generated claims without review;</w:t>
      </w:r>
      <w:r w:rsidRPr="00B479AE">
        <w:rPr>
          <w:rFonts w:ascii="Baskerville Old Face" w:hAnsi="Baskerville Old Face"/>
          <w:i/>
          <w:iCs/>
        </w:rPr>
        <w:br/>
        <w:t>• partner claims exceeding authorization;</w:t>
      </w:r>
      <w:r w:rsidRPr="00B479AE">
        <w:rPr>
          <w:rFonts w:ascii="Baskerville Old Face" w:hAnsi="Baskerville Old Face"/>
          <w:i/>
          <w:iCs/>
        </w:rPr>
        <w:br/>
        <w:t>• old appendix language reappearing in public materials.</w:t>
      </w:r>
    </w:p>
    <w:p w14:paraId="27C8E2F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response is semantic correction.</w:t>
      </w:r>
    </w:p>
    <w:p w14:paraId="60B7150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Prometheus protects trust by protecting language.</w:t>
      </w:r>
    </w:p>
    <w:p w14:paraId="6AAFD4A9" w14:textId="46A763A0" w:rsidR="00404936" w:rsidRPr="00B479AE" w:rsidRDefault="00404936" w:rsidP="00404936">
      <w:pPr>
        <w:spacing w:line="360" w:lineRule="auto"/>
        <w:rPr>
          <w:rFonts w:ascii="Baskerville Old Face" w:hAnsi="Baskerville Old Face"/>
          <w:i/>
          <w:iCs/>
        </w:rPr>
      </w:pPr>
    </w:p>
    <w:p w14:paraId="767E4D07"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lastRenderedPageBreak/>
        <w:t>C.12 HSI exclusion from financial risk enforcement</w:t>
      </w:r>
    </w:p>
    <w:p w14:paraId="665E0C7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HSI and human-state data must not be used as financial enforcement metrics.</w:t>
      </w:r>
    </w:p>
    <w:p w14:paraId="4111F67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should not use:</w:t>
      </w:r>
    </w:p>
    <w:p w14:paraId="692A2CD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HRV coherence;</w:t>
      </w:r>
      <w:r w:rsidRPr="00B479AE">
        <w:rPr>
          <w:rFonts w:ascii="Baskerville Old Face" w:hAnsi="Baskerville Old Face"/>
          <w:i/>
          <w:iCs/>
        </w:rPr>
        <w:br/>
        <w:t>• stress indicators;</w:t>
      </w:r>
      <w:r w:rsidRPr="00B479AE">
        <w:rPr>
          <w:rFonts w:ascii="Baskerville Old Face" w:hAnsi="Baskerville Old Face"/>
          <w:i/>
          <w:iCs/>
        </w:rPr>
        <w:br/>
        <w:t>• biometric state;</w:t>
      </w:r>
      <w:r w:rsidRPr="00B479AE">
        <w:rPr>
          <w:rFonts w:ascii="Baskerville Old Face" w:hAnsi="Baskerville Old Face"/>
          <w:i/>
          <w:iCs/>
        </w:rPr>
        <w:br/>
        <w:t>• emotional state;</w:t>
      </w:r>
      <w:r w:rsidRPr="00B479AE">
        <w:rPr>
          <w:rFonts w:ascii="Baskerville Old Face" w:hAnsi="Baskerville Old Face"/>
          <w:i/>
          <w:iCs/>
        </w:rPr>
        <w:br/>
        <w:t>• fatigue data;</w:t>
      </w:r>
      <w:r w:rsidRPr="00B479AE">
        <w:rPr>
          <w:rFonts w:ascii="Baskerville Old Face" w:hAnsi="Baskerville Old Face"/>
          <w:i/>
          <w:iCs/>
        </w:rPr>
        <w:br/>
        <w:t>• attention data;</w:t>
      </w:r>
      <w:r w:rsidRPr="00B479AE">
        <w:rPr>
          <w:rFonts w:ascii="Baskerville Old Face" w:hAnsi="Baskerville Old Face"/>
          <w:i/>
          <w:iCs/>
        </w:rPr>
        <w:br/>
        <w:t>• physiological data;</w:t>
      </w:r>
      <w:r w:rsidRPr="00B479AE">
        <w:rPr>
          <w:rFonts w:ascii="Baskerville Old Face" w:hAnsi="Baskerville Old Face"/>
          <w:i/>
          <w:iCs/>
        </w:rPr>
        <w:br/>
        <w:t>• meditation or coherence practice participation;</w:t>
      </w:r>
    </w:p>
    <w:p w14:paraId="12082C7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as automatic inputs for:</w:t>
      </w:r>
    </w:p>
    <w:p w14:paraId="5E9EE00B" w14:textId="1DA15D2A"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credit eligibility;</w:t>
      </w:r>
      <w:r w:rsidRPr="00B479AE">
        <w:rPr>
          <w:rFonts w:ascii="Baskerville Old Face" w:hAnsi="Baskerville Old Face"/>
          <w:i/>
          <w:iCs/>
        </w:rPr>
        <w:br/>
        <w:t>• repayment terms;</w:t>
      </w:r>
      <w:r w:rsidRPr="00B479AE">
        <w:rPr>
          <w:rFonts w:ascii="Baskerville Old Face" w:hAnsi="Baskerville Old Face"/>
          <w:i/>
          <w:iCs/>
        </w:rPr>
        <w:br/>
        <w:t xml:space="preserve">• investor </w:t>
      </w:r>
      <w:r w:rsidR="00BD7A8A" w:rsidRPr="00B479AE">
        <w:rPr>
          <w:rFonts w:ascii="Baskerville Old Face" w:hAnsi="Baskerville Old Face"/>
          <w:i/>
          <w:iCs/>
        </w:rPr>
        <w:t>risk assessment</w:t>
      </w:r>
      <w:r w:rsidRPr="00B479AE">
        <w:rPr>
          <w:rFonts w:ascii="Baskerville Old Face" w:hAnsi="Baskerville Old Face"/>
          <w:i/>
          <w:iCs/>
        </w:rPr>
        <w:t>;</w:t>
      </w:r>
      <w:r w:rsidRPr="00B479AE">
        <w:rPr>
          <w:rFonts w:ascii="Baskerville Old Face" w:hAnsi="Baskerville Old Face"/>
          <w:i/>
          <w:iCs/>
        </w:rPr>
        <w:br/>
        <w:t>• token consequences;</w:t>
      </w:r>
      <w:r w:rsidRPr="00B479AE">
        <w:rPr>
          <w:rFonts w:ascii="Baskerville Old Face" w:hAnsi="Baskerville Old Face"/>
          <w:i/>
          <w:iCs/>
        </w:rPr>
        <w:br/>
        <w:t>• governance rank;</w:t>
      </w:r>
      <w:r w:rsidRPr="00B479AE">
        <w:rPr>
          <w:rFonts w:ascii="Baskerville Old Face" w:hAnsi="Baskerville Old Face"/>
          <w:i/>
          <w:iCs/>
        </w:rPr>
        <w:br/>
        <w:t>• MRV validity;</w:t>
      </w:r>
      <w:r w:rsidRPr="00B479AE">
        <w:rPr>
          <w:rFonts w:ascii="Baskerville Old Face" w:hAnsi="Baskerville Old Face"/>
          <w:i/>
          <w:iCs/>
        </w:rPr>
        <w:br/>
        <w:t>• PRU value;</w:t>
      </w:r>
      <w:r w:rsidRPr="00B479AE">
        <w:rPr>
          <w:rFonts w:ascii="Baskerville Old Face" w:hAnsi="Baskerville Old Face"/>
          <w:i/>
          <w:iCs/>
        </w:rPr>
        <w:br/>
        <w:t>• human trustworthiness.</w:t>
      </w:r>
    </w:p>
    <w:p w14:paraId="1005E7C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HSI may support voluntary self-awareness, stewardship training, governance reflection, research, and aggregated learning under consent and privacy rules.</w:t>
      </w:r>
    </w:p>
    <w:p w14:paraId="4D9998B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should not become a financial brake, reputation score, or enforcement trigger.</w:t>
      </w:r>
    </w:p>
    <w:p w14:paraId="1884224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 boundary is clear:</w:t>
      </w:r>
    </w:p>
    <w:p w14:paraId="2025004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financial risk analysis may consider operational, legal, ecological, evidentiary, and cash-flow variables;</w:t>
      </w:r>
      <w:r w:rsidRPr="00B479AE">
        <w:rPr>
          <w:rFonts w:ascii="Baskerville Old Face" w:hAnsi="Baskerville Old Face"/>
          <w:i/>
          <w:iCs/>
        </w:rPr>
        <w:br/>
        <w:t>human-state data remains dignity-protected and non-coercive.</w:t>
      </w:r>
    </w:p>
    <w:p w14:paraId="76F90A34"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C.13 Ravel dashboard design</w:t>
      </w:r>
    </w:p>
    <w:p w14:paraId="4B09548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Ravel dashboard may present:</w:t>
      </w:r>
    </w:p>
    <w:p w14:paraId="3FFC2DE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 risk domains;</w:t>
      </w:r>
      <w:r w:rsidRPr="00B479AE">
        <w:rPr>
          <w:rFonts w:ascii="Baskerville Old Face" w:hAnsi="Baskerville Old Face"/>
          <w:i/>
          <w:iCs/>
        </w:rPr>
        <w:br/>
        <w:t>• trend indicators;</w:t>
      </w:r>
      <w:r w:rsidRPr="00B479AE">
        <w:rPr>
          <w:rFonts w:ascii="Baskerville Old Face" w:hAnsi="Baskerville Old Face"/>
          <w:i/>
          <w:iCs/>
        </w:rPr>
        <w:br/>
        <w:t>• evidence gaps;</w:t>
      </w:r>
      <w:r w:rsidRPr="00B479AE">
        <w:rPr>
          <w:rFonts w:ascii="Baskerville Old Face" w:hAnsi="Baskerville Old Face"/>
          <w:i/>
          <w:iCs/>
        </w:rPr>
        <w:br/>
        <w:t>• confidence scores;</w:t>
      </w:r>
      <w:r w:rsidRPr="00B479AE">
        <w:rPr>
          <w:rFonts w:ascii="Baskerville Old Face" w:hAnsi="Baskerville Old Face"/>
          <w:i/>
          <w:iCs/>
        </w:rPr>
        <w:br/>
        <w:t>• claim intensity;</w:t>
      </w:r>
      <w:r w:rsidRPr="00B479AE">
        <w:rPr>
          <w:rFonts w:ascii="Baskerville Old Face" w:hAnsi="Baskerville Old Face"/>
          <w:i/>
          <w:iCs/>
        </w:rPr>
        <w:br/>
        <w:t>• governance-load signals;</w:t>
      </w:r>
      <w:r w:rsidRPr="00B479AE">
        <w:rPr>
          <w:rFonts w:ascii="Baskerville Old Face" w:hAnsi="Baskerville Old Face"/>
          <w:i/>
          <w:iCs/>
        </w:rPr>
        <w:br/>
        <w:t>• capital-pressure signals;</w:t>
      </w:r>
      <w:r w:rsidRPr="00B479AE">
        <w:rPr>
          <w:rFonts w:ascii="Baskerville Old Face" w:hAnsi="Baskerville Old Face"/>
          <w:i/>
          <w:iCs/>
        </w:rPr>
        <w:br/>
        <w:t>• legal-readiness status;</w:t>
      </w:r>
      <w:r w:rsidRPr="00B479AE">
        <w:rPr>
          <w:rFonts w:ascii="Baskerville Old Face" w:hAnsi="Baskerville Old Face"/>
          <w:i/>
          <w:iCs/>
        </w:rPr>
        <w:br/>
        <w:t>• continuity-readiness status;</w:t>
      </w:r>
      <w:r w:rsidRPr="00B479AE">
        <w:rPr>
          <w:rFonts w:ascii="Baskerville Old Face" w:hAnsi="Baskerville Old Face"/>
          <w:i/>
          <w:iCs/>
        </w:rPr>
        <w:br/>
        <w:t>• semantic-drift flags;</w:t>
      </w:r>
      <w:r w:rsidRPr="00B479AE">
        <w:rPr>
          <w:rFonts w:ascii="Baskerville Old Face" w:hAnsi="Baskerville Old Face"/>
          <w:i/>
          <w:iCs/>
        </w:rPr>
        <w:br/>
        <w:t>• recommended review pathways.</w:t>
      </w:r>
    </w:p>
    <w:p w14:paraId="4879207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dashboard should label outputs as:</w:t>
      </w:r>
    </w:p>
    <w:p w14:paraId="69DEC47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signal;</w:t>
      </w:r>
      <w:r w:rsidRPr="00B479AE">
        <w:rPr>
          <w:rFonts w:ascii="Baskerville Old Face" w:hAnsi="Baskerville Old Face"/>
          <w:i/>
          <w:iCs/>
        </w:rPr>
        <w:br/>
        <w:t>• draft;</w:t>
      </w:r>
      <w:r w:rsidRPr="00B479AE">
        <w:rPr>
          <w:rFonts w:ascii="Baskerville Old Face" w:hAnsi="Baskerville Old Face"/>
          <w:i/>
          <w:iCs/>
        </w:rPr>
        <w:br/>
        <w:t>• preliminary;</w:t>
      </w:r>
      <w:r w:rsidRPr="00B479AE">
        <w:rPr>
          <w:rFonts w:ascii="Baskerville Old Face" w:hAnsi="Baskerville Old Face"/>
          <w:i/>
          <w:iCs/>
        </w:rPr>
        <w:br/>
        <w:t>• review-required;</w:t>
      </w:r>
      <w:r w:rsidRPr="00B479AE">
        <w:rPr>
          <w:rFonts w:ascii="Baskerville Old Face" w:hAnsi="Baskerville Old Face"/>
          <w:i/>
          <w:iCs/>
        </w:rPr>
        <w:br/>
        <w:t>• scenario;</w:t>
      </w:r>
      <w:r w:rsidRPr="00B479AE">
        <w:rPr>
          <w:rFonts w:ascii="Baskerville Old Face" w:hAnsi="Baskerville Old Face"/>
          <w:i/>
          <w:iCs/>
        </w:rPr>
        <w:br/>
        <w:t>• stress test;</w:t>
      </w:r>
      <w:r w:rsidRPr="00B479AE">
        <w:rPr>
          <w:rFonts w:ascii="Baskerville Old Face" w:hAnsi="Baskerville Old Face"/>
          <w:i/>
          <w:iCs/>
        </w:rPr>
        <w:br/>
        <w:t>• non-admissible;</w:t>
      </w:r>
      <w:r w:rsidRPr="00B479AE">
        <w:rPr>
          <w:rFonts w:ascii="Baskerville Old Face" w:hAnsi="Baskerville Old Face"/>
          <w:i/>
          <w:iCs/>
        </w:rPr>
        <w:br/>
        <w:t>• approved after review.</w:t>
      </w:r>
    </w:p>
    <w:p w14:paraId="2223667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dashboard should not present risk scores as final institutional judgment.</w:t>
      </w:r>
    </w:p>
    <w:p w14:paraId="431EB24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dashboard interface should clearly state:</w:t>
      </w:r>
    </w:p>
    <w:p w14:paraId="0BAA3FD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signals support review.</w:t>
      </w:r>
      <w:r w:rsidRPr="00B479AE">
        <w:rPr>
          <w:rFonts w:ascii="Baskerville Old Face" w:hAnsi="Baskerville Old Face"/>
          <w:i/>
          <w:iCs/>
        </w:rPr>
        <w:br/>
        <w:t>They do not determine legal, financial, governance, or constitutional consequences by themselves.</w:t>
      </w:r>
    </w:p>
    <w:p w14:paraId="1D5FB9C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That sentence should be visible enough that even a dashboard with venture-capital lighting cannot hypnotize the reader.</w:t>
      </w:r>
    </w:p>
    <w:p w14:paraId="6B45C341"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C.14 Ravel and PRU/RAP</w:t>
      </w:r>
    </w:p>
    <w:p w14:paraId="6E60943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support PRU and RAP review by identifying:</w:t>
      </w:r>
    </w:p>
    <w:p w14:paraId="0A22E8B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 evidence gaps;</w:t>
      </w:r>
      <w:r w:rsidRPr="00B479AE">
        <w:rPr>
          <w:rFonts w:ascii="Baskerville Old Face" w:hAnsi="Baskerville Old Face"/>
          <w:i/>
          <w:iCs/>
        </w:rPr>
        <w:br/>
        <w:t>• confidence weaknesses;</w:t>
      </w:r>
      <w:r w:rsidRPr="00B479AE">
        <w:rPr>
          <w:rFonts w:ascii="Baskerville Old Face" w:hAnsi="Baskerville Old Face"/>
          <w:i/>
          <w:iCs/>
        </w:rPr>
        <w:br/>
        <w:t>• overclaiming;</w:t>
      </w:r>
      <w:r w:rsidRPr="00B479AE">
        <w:rPr>
          <w:rFonts w:ascii="Baskerville Old Face" w:hAnsi="Baskerville Old Face"/>
          <w:i/>
          <w:iCs/>
        </w:rPr>
        <w:br/>
        <w:t>• portfolio concentration;</w:t>
      </w:r>
      <w:r w:rsidRPr="00B479AE">
        <w:rPr>
          <w:rFonts w:ascii="Baskerville Old Face" w:hAnsi="Baskerville Old Face"/>
          <w:i/>
          <w:iCs/>
        </w:rPr>
        <w:br/>
        <w:t>• revenue volatility;</w:t>
      </w:r>
      <w:r w:rsidRPr="00B479AE">
        <w:rPr>
          <w:rFonts w:ascii="Baskerville Old Face" w:hAnsi="Baskerville Old Face"/>
          <w:i/>
          <w:iCs/>
        </w:rPr>
        <w:br/>
        <w:t>• ecological underperformance;</w:t>
      </w:r>
      <w:r w:rsidRPr="00B479AE">
        <w:rPr>
          <w:rFonts w:ascii="Baskerville Old Face" w:hAnsi="Baskerville Old Face"/>
          <w:i/>
          <w:iCs/>
        </w:rPr>
        <w:br/>
        <w:t>• methodology inconsistency;</w:t>
      </w:r>
      <w:r w:rsidRPr="00B479AE">
        <w:rPr>
          <w:rFonts w:ascii="Baskerville Old Face" w:hAnsi="Baskerville Old Face"/>
          <w:i/>
          <w:iCs/>
        </w:rPr>
        <w:br/>
        <w:t>• governance immaturity;</w:t>
      </w:r>
      <w:r w:rsidRPr="00B479AE">
        <w:rPr>
          <w:rFonts w:ascii="Baskerville Old Face" w:hAnsi="Baskerville Old Face"/>
          <w:i/>
          <w:iCs/>
        </w:rPr>
        <w:br/>
        <w:t>• legal incompleteness;</w:t>
      </w:r>
      <w:r w:rsidRPr="00B479AE">
        <w:rPr>
          <w:rFonts w:ascii="Baskerville Old Face" w:hAnsi="Baskerville Old Face"/>
          <w:i/>
          <w:iCs/>
        </w:rPr>
        <w:br/>
        <w:t>• token-boundary risk;</w:t>
      </w:r>
      <w:r w:rsidRPr="00B479AE">
        <w:rPr>
          <w:rFonts w:ascii="Baskerville Old Face" w:hAnsi="Baskerville Old Face"/>
          <w:i/>
          <w:iCs/>
        </w:rPr>
        <w:br/>
        <w:t>• continuity risk.</w:t>
      </w:r>
    </w:p>
    <w:p w14:paraId="784642C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not:</w:t>
      </w:r>
    </w:p>
    <w:p w14:paraId="3A7D33D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issue PRUs;</w:t>
      </w:r>
      <w:r w:rsidRPr="00B479AE">
        <w:rPr>
          <w:rFonts w:ascii="Baskerville Old Face" w:hAnsi="Baskerville Old Face"/>
          <w:i/>
          <w:iCs/>
        </w:rPr>
        <w:br/>
        <w:t>• assign final PRU value;</w:t>
      </w:r>
      <w:r w:rsidRPr="00B479AE">
        <w:rPr>
          <w:rFonts w:ascii="Baskerville Old Face" w:hAnsi="Baskerville Old Face"/>
          <w:i/>
          <w:iCs/>
        </w:rPr>
        <w:br/>
        <w:t>• admit assets into RAP;</w:t>
      </w:r>
      <w:r w:rsidRPr="00B479AE">
        <w:rPr>
          <w:rFonts w:ascii="Baskerville Old Face" w:hAnsi="Baskerville Old Face"/>
          <w:i/>
          <w:iCs/>
        </w:rPr>
        <w:br/>
        <w:t>• create investor exposure;</w:t>
      </w:r>
      <w:r w:rsidRPr="00B479AE">
        <w:rPr>
          <w:rFonts w:ascii="Baskerville Old Face" w:hAnsi="Baskerville Old Face"/>
          <w:i/>
          <w:iCs/>
        </w:rPr>
        <w:br/>
        <w:t>• certify legal readiness;</w:t>
      </w:r>
      <w:r w:rsidRPr="00B479AE">
        <w:rPr>
          <w:rFonts w:ascii="Baskerville Old Face" w:hAnsi="Baskerville Old Face"/>
          <w:i/>
          <w:iCs/>
        </w:rPr>
        <w:br/>
        <w:t>• override MRV methodology;</w:t>
      </w:r>
      <w:r w:rsidRPr="00B479AE">
        <w:rPr>
          <w:rFonts w:ascii="Baskerville Old Face" w:hAnsi="Baskerville Old Face"/>
          <w:i/>
          <w:iCs/>
        </w:rPr>
        <w:br/>
        <w:t>• replace portfolio governance.</w:t>
      </w:r>
    </w:p>
    <w:p w14:paraId="7039E39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is a diagnostic layer.</w:t>
      </w:r>
    </w:p>
    <w:p w14:paraId="77DE068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PRU and RAP decisions require the appropriate MRV, legal, governance, and institutional review.</w:t>
      </w:r>
    </w:p>
    <w:p w14:paraId="08E4DD74"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C.15 Stress testing</w:t>
      </w:r>
    </w:p>
    <w:p w14:paraId="4F1054F3"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may support stress testing.</w:t>
      </w:r>
    </w:p>
    <w:p w14:paraId="4097D5C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Stress tests may include:</w:t>
      </w:r>
    </w:p>
    <w:p w14:paraId="1BF0210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drought scenario;</w:t>
      </w:r>
      <w:r w:rsidRPr="00B479AE">
        <w:rPr>
          <w:rFonts w:ascii="Baskerville Old Face" w:hAnsi="Baskerville Old Face"/>
          <w:i/>
          <w:iCs/>
        </w:rPr>
        <w:br/>
        <w:t>• flood scenario;</w:t>
      </w:r>
      <w:r w:rsidRPr="00B479AE">
        <w:rPr>
          <w:rFonts w:ascii="Baskerville Old Face" w:hAnsi="Baskerville Old Face"/>
          <w:i/>
          <w:iCs/>
        </w:rPr>
        <w:br/>
        <w:t>• yield reduction scenario;</w:t>
      </w:r>
      <w:r w:rsidRPr="00B479AE">
        <w:rPr>
          <w:rFonts w:ascii="Baskerville Old Face" w:hAnsi="Baskerville Old Face"/>
          <w:i/>
          <w:iCs/>
        </w:rPr>
        <w:br/>
        <w:t>• pest or disease scenario;</w:t>
      </w:r>
      <w:r w:rsidRPr="00B479AE">
        <w:rPr>
          <w:rFonts w:ascii="Baskerville Old Face" w:hAnsi="Baskerville Old Face"/>
          <w:i/>
          <w:iCs/>
        </w:rPr>
        <w:br/>
        <w:t>• tourism or revenue downturn scenario;</w:t>
      </w:r>
      <w:r w:rsidRPr="00B479AE">
        <w:rPr>
          <w:rFonts w:ascii="Baskerville Old Face" w:hAnsi="Baskerville Old Face"/>
          <w:i/>
          <w:iCs/>
        </w:rPr>
        <w:br/>
      </w:r>
      <w:r w:rsidRPr="00B479AE">
        <w:rPr>
          <w:rFonts w:ascii="Baskerville Old Face" w:hAnsi="Baskerville Old Face"/>
          <w:i/>
          <w:iCs/>
        </w:rPr>
        <w:lastRenderedPageBreak/>
        <w:t>• cost overrun scenario;</w:t>
      </w:r>
      <w:r w:rsidRPr="00B479AE">
        <w:rPr>
          <w:rFonts w:ascii="Baskerville Old Face" w:hAnsi="Baskerville Old Face"/>
          <w:i/>
          <w:iCs/>
        </w:rPr>
        <w:br/>
        <w:t>• debt-service stress scenario;</w:t>
      </w:r>
      <w:r w:rsidRPr="00B479AE">
        <w:rPr>
          <w:rFonts w:ascii="Baskerville Old Face" w:hAnsi="Baskerville Old Face"/>
          <w:i/>
          <w:iCs/>
        </w:rPr>
        <w:br/>
        <w:t>• MRV failure scenario;</w:t>
      </w:r>
      <w:r w:rsidRPr="00B479AE">
        <w:rPr>
          <w:rFonts w:ascii="Baskerville Old Face" w:hAnsi="Baskerville Old Face"/>
          <w:i/>
          <w:iCs/>
        </w:rPr>
        <w:br/>
        <w:t>• governance-capture scenario;</w:t>
      </w:r>
      <w:r w:rsidRPr="00B479AE">
        <w:rPr>
          <w:rFonts w:ascii="Baskerville Old Face" w:hAnsi="Baskerville Old Face"/>
          <w:i/>
          <w:iCs/>
        </w:rPr>
        <w:br/>
        <w:t>• token-market volatility scenario;</w:t>
      </w:r>
      <w:r w:rsidRPr="00B479AE">
        <w:rPr>
          <w:rFonts w:ascii="Baskerville Old Face" w:hAnsi="Baskerville Old Face"/>
          <w:i/>
          <w:iCs/>
        </w:rPr>
        <w:br/>
        <w:t>• legal-delay scenario;</w:t>
      </w:r>
      <w:r w:rsidRPr="00B479AE">
        <w:rPr>
          <w:rFonts w:ascii="Baskerville Old Face" w:hAnsi="Baskerville Old Face"/>
          <w:i/>
          <w:iCs/>
        </w:rPr>
        <w:br/>
        <w:t>• public-claim correction scenario;</w:t>
      </w:r>
      <w:r w:rsidRPr="00B479AE">
        <w:rPr>
          <w:rFonts w:ascii="Baskerville Old Face" w:hAnsi="Baskerville Old Face"/>
          <w:i/>
          <w:iCs/>
        </w:rPr>
        <w:br/>
        <w:t>• cyber or data compromise scenario;</w:t>
      </w:r>
      <w:r w:rsidRPr="00B479AE">
        <w:rPr>
          <w:rFonts w:ascii="Baskerville Old Face" w:hAnsi="Baskerville Old Face"/>
          <w:i/>
          <w:iCs/>
        </w:rPr>
        <w:br/>
        <w:t>• network-disruption scenario;</w:t>
      </w:r>
      <w:r w:rsidRPr="00B479AE">
        <w:rPr>
          <w:rFonts w:ascii="Baskerville Old Face" w:hAnsi="Baskerville Old Face"/>
          <w:i/>
          <w:iCs/>
        </w:rPr>
        <w:br/>
        <w:t>• ASI synthetic-evidence scenario;</w:t>
      </w:r>
      <w:r w:rsidRPr="00B479AE">
        <w:rPr>
          <w:rFonts w:ascii="Baskerville Old Face" w:hAnsi="Baskerville Old Face"/>
          <w:i/>
          <w:iCs/>
        </w:rPr>
        <w:br/>
        <w:t>• continuity archive failure scenario.</w:t>
      </w:r>
    </w:p>
    <w:p w14:paraId="66301A8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Each stress test should identify:</w:t>
      </w:r>
    </w:p>
    <w:p w14:paraId="5E76991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assumptions;</w:t>
      </w:r>
      <w:r w:rsidRPr="00B479AE">
        <w:rPr>
          <w:rFonts w:ascii="Baskerville Old Face" w:hAnsi="Baskerville Old Face"/>
          <w:i/>
          <w:iCs/>
        </w:rPr>
        <w:br/>
        <w:t>• affected variables;</w:t>
      </w:r>
      <w:r w:rsidRPr="00B479AE">
        <w:rPr>
          <w:rFonts w:ascii="Baskerville Old Face" w:hAnsi="Baskerville Old Face"/>
          <w:i/>
          <w:iCs/>
        </w:rPr>
        <w:br/>
        <w:t>• sensitivity;</w:t>
      </w:r>
      <w:r w:rsidRPr="00B479AE">
        <w:rPr>
          <w:rFonts w:ascii="Baskerville Old Face" w:hAnsi="Baskerville Old Face"/>
          <w:i/>
          <w:iCs/>
        </w:rPr>
        <w:br/>
        <w:t>• confidence;</w:t>
      </w:r>
      <w:r w:rsidRPr="00B479AE">
        <w:rPr>
          <w:rFonts w:ascii="Baskerville Old Face" w:hAnsi="Baskerville Old Face"/>
          <w:i/>
          <w:iCs/>
        </w:rPr>
        <w:br/>
        <w:t>• mitigation options;</w:t>
      </w:r>
      <w:r w:rsidRPr="00B479AE">
        <w:rPr>
          <w:rFonts w:ascii="Baskerville Old Face" w:hAnsi="Baskerville Old Face"/>
          <w:i/>
          <w:iCs/>
        </w:rPr>
        <w:br/>
        <w:t>• governance response;</w:t>
      </w:r>
      <w:r w:rsidRPr="00B479AE">
        <w:rPr>
          <w:rFonts w:ascii="Baskerville Old Face" w:hAnsi="Baskerville Old Face"/>
          <w:i/>
          <w:iCs/>
        </w:rPr>
        <w:br/>
        <w:t>• reporting boundary.</w:t>
      </w:r>
    </w:p>
    <w:p w14:paraId="06DBDE5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Stress testing helps Prometheus learn before reality becomes expensive.</w:t>
      </w:r>
    </w:p>
    <w:p w14:paraId="2D948F4A"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C.16 Ravel workflow</w:t>
      </w:r>
    </w:p>
    <w:p w14:paraId="3749C9D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Ravel workflow may follow this sequence:</w:t>
      </w:r>
    </w:p>
    <w:p w14:paraId="24D24E80"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Data intake</w:t>
      </w:r>
      <w:r w:rsidRPr="00B479AE">
        <w:rPr>
          <w:rFonts w:ascii="Baskerville Old Face" w:hAnsi="Baskerville Old Face"/>
          <w:i/>
          <w:iCs/>
        </w:rPr>
        <w:br/>
        <w:t>Relevant ecological, financial, governance, legal, operational, and continuity data is collected.</w:t>
      </w:r>
    </w:p>
    <w:p w14:paraId="331A39DA"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Evidence classification</w:t>
      </w:r>
      <w:r w:rsidRPr="00B479AE">
        <w:rPr>
          <w:rFonts w:ascii="Baskerville Old Face" w:hAnsi="Baskerville Old Face"/>
          <w:i/>
          <w:iCs/>
        </w:rPr>
        <w:br/>
        <w:t>Data is classified by maturity, provenance, confidence, and admissibility.</w:t>
      </w:r>
    </w:p>
    <w:p w14:paraId="102A2043"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Risk-domain mapping</w:t>
      </w:r>
      <w:r w:rsidRPr="00B479AE">
        <w:rPr>
          <w:rFonts w:ascii="Baskerville Old Face" w:hAnsi="Baskerville Old Face"/>
          <w:i/>
          <w:iCs/>
        </w:rPr>
        <w:br/>
        <w:t>Signals are assigned to relevant risk domains.</w:t>
      </w:r>
    </w:p>
    <w:p w14:paraId="3B24696E"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lastRenderedPageBreak/>
        <w:t>Scenario generation</w:t>
      </w:r>
      <w:r w:rsidRPr="00B479AE">
        <w:rPr>
          <w:rFonts w:ascii="Baskerville Old Face" w:hAnsi="Baskerville Old Face"/>
          <w:i/>
          <w:iCs/>
        </w:rPr>
        <w:br/>
        <w:t>Optional stress scenarios are generated.</w:t>
      </w:r>
    </w:p>
    <w:p w14:paraId="7EED788C"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Signal classification</w:t>
      </w:r>
      <w:r w:rsidRPr="00B479AE">
        <w:rPr>
          <w:rFonts w:ascii="Baskerville Old Face" w:hAnsi="Baskerville Old Face"/>
          <w:i/>
          <w:iCs/>
        </w:rPr>
        <w:br/>
        <w:t>Signals are classified as stable, watch, review, protective pause, or constitutional escalation.</w:t>
      </w:r>
    </w:p>
    <w:p w14:paraId="7736A005"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Review routing</w:t>
      </w:r>
      <w:r w:rsidRPr="00B479AE">
        <w:rPr>
          <w:rFonts w:ascii="Baskerville Old Face" w:hAnsi="Baskerville Old Face"/>
          <w:i/>
          <w:iCs/>
        </w:rPr>
        <w:br/>
        <w:t>Signals are routed to MRV, governance, legal, technical, continuity, or constitutional review as appropriate.</w:t>
      </w:r>
    </w:p>
    <w:p w14:paraId="05A5E81D"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Decision record</w:t>
      </w:r>
      <w:r w:rsidRPr="00B479AE">
        <w:rPr>
          <w:rFonts w:ascii="Baskerville Old Face" w:hAnsi="Baskerville Old Face"/>
          <w:i/>
          <w:iCs/>
        </w:rPr>
        <w:br/>
        <w:t>Any decision made after review is recorded separately from the Ravel signal.</w:t>
      </w:r>
    </w:p>
    <w:p w14:paraId="48C66399" w14:textId="77777777" w:rsidR="00404936" w:rsidRPr="00B479AE" w:rsidRDefault="00404936">
      <w:pPr>
        <w:numPr>
          <w:ilvl w:val="0"/>
          <w:numId w:val="20"/>
        </w:numPr>
        <w:spacing w:line="360" w:lineRule="auto"/>
        <w:rPr>
          <w:rFonts w:ascii="Baskerville Old Face" w:hAnsi="Baskerville Old Face"/>
          <w:i/>
          <w:iCs/>
        </w:rPr>
      </w:pPr>
      <w:r w:rsidRPr="00B479AE">
        <w:rPr>
          <w:rFonts w:ascii="Baskerville Old Face" w:hAnsi="Baskerville Old Face"/>
          <w:b/>
          <w:bCs/>
          <w:i/>
          <w:iCs/>
        </w:rPr>
        <w:t>Feedback loop</w:t>
      </w:r>
      <w:r w:rsidRPr="00B479AE">
        <w:rPr>
          <w:rFonts w:ascii="Baskerville Old Face" w:hAnsi="Baskerville Old Face"/>
          <w:i/>
          <w:iCs/>
        </w:rPr>
        <w:br/>
        <w:t>Outcomes update the risk model, dashboard, and governance process.</w:t>
      </w:r>
    </w:p>
    <w:p w14:paraId="7DE7ADD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workflow preserves the distinction between signal and decision.</w:t>
      </w:r>
    </w:p>
    <w:p w14:paraId="442961E9"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C.17 Ravel data schema</w:t>
      </w:r>
    </w:p>
    <w:p w14:paraId="029DF6C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 simplified Ravel signal record may include:</w:t>
      </w:r>
    </w:p>
    <w:p w14:paraId="0110B63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w:t>
      </w:r>
    </w:p>
    <w:p w14:paraId="792B1CD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ravel</w:t>
      </w:r>
      <w:proofErr w:type="gramEnd"/>
      <w:r w:rsidRPr="00B479AE">
        <w:rPr>
          <w:rFonts w:ascii="Baskerville Old Face" w:hAnsi="Baskerville Old Face"/>
          <w:i/>
          <w:iCs/>
        </w:rPr>
        <w:t>_signal_id</w:t>
      </w:r>
      <w:proofErr w:type="spellEnd"/>
      <w:r w:rsidRPr="00B479AE">
        <w:rPr>
          <w:rFonts w:ascii="Baskerville Old Face" w:hAnsi="Baskerville Old Face"/>
          <w:i/>
          <w:iCs/>
        </w:rPr>
        <w:t>": "ravel_signal_0001",</w:t>
      </w:r>
    </w:p>
    <w:p w14:paraId="05FF6D0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project</w:t>
      </w:r>
      <w:proofErr w:type="gramEnd"/>
      <w:r w:rsidRPr="00B479AE">
        <w:rPr>
          <w:rFonts w:ascii="Baskerville Old Face" w:hAnsi="Baskerville Old Face"/>
          <w:i/>
          <w:iCs/>
        </w:rPr>
        <w:t>_or_portfolio_id</w:t>
      </w:r>
      <w:proofErr w:type="spellEnd"/>
      <w:r w:rsidRPr="00B479AE">
        <w:rPr>
          <w:rFonts w:ascii="Baskerville Old Face" w:hAnsi="Baskerville Old Face"/>
          <w:i/>
          <w:iCs/>
        </w:rPr>
        <w:t>": "</w:t>
      </w:r>
      <w:proofErr w:type="spellStart"/>
      <w:r w:rsidRPr="00B479AE">
        <w:rPr>
          <w:rFonts w:ascii="Baskerville Old Face" w:hAnsi="Baskerville Old Face"/>
          <w:i/>
          <w:iCs/>
        </w:rPr>
        <w:t>project_reference</w:t>
      </w:r>
      <w:proofErr w:type="spellEnd"/>
      <w:r w:rsidRPr="00B479AE">
        <w:rPr>
          <w:rFonts w:ascii="Baskerville Old Face" w:hAnsi="Baskerville Old Face"/>
          <w:i/>
          <w:iCs/>
        </w:rPr>
        <w:t>",</w:t>
      </w:r>
    </w:p>
    <w:p w14:paraId="33065A1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risk</w:t>
      </w:r>
      <w:proofErr w:type="gramEnd"/>
      <w:r w:rsidRPr="00B479AE">
        <w:rPr>
          <w:rFonts w:ascii="Baskerville Old Face" w:hAnsi="Baskerville Old Face"/>
          <w:i/>
          <w:iCs/>
        </w:rPr>
        <w:t>_domain</w:t>
      </w:r>
      <w:proofErr w:type="spellEnd"/>
      <w:r w:rsidRPr="00B479AE">
        <w:rPr>
          <w:rFonts w:ascii="Baskerville Old Face" w:hAnsi="Baskerville Old Face"/>
          <w:i/>
          <w:iCs/>
        </w:rPr>
        <w:t>": "evidence | financial | governance | legal | token | continuity | semantic | ecological",</w:t>
      </w:r>
    </w:p>
    <w:p w14:paraId="15BA24A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"indicator": "</w:t>
      </w:r>
      <w:proofErr w:type="spellStart"/>
      <w:r w:rsidRPr="00B479AE">
        <w:rPr>
          <w:rFonts w:ascii="Baskerville Old Face" w:hAnsi="Baskerville Old Face"/>
          <w:i/>
          <w:iCs/>
        </w:rPr>
        <w:t>evidence_to_claim_ratio</w:t>
      </w:r>
      <w:proofErr w:type="spellEnd"/>
      <w:r w:rsidRPr="00B479AE">
        <w:rPr>
          <w:rFonts w:ascii="Baskerville Old Face" w:hAnsi="Baskerville Old Face"/>
          <w:i/>
          <w:iCs/>
        </w:rPr>
        <w:t>",</w:t>
      </w:r>
    </w:p>
    <w:p w14:paraId="211DED4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signal</w:t>
      </w:r>
      <w:proofErr w:type="gramEnd"/>
      <w:r w:rsidRPr="00B479AE">
        <w:rPr>
          <w:rFonts w:ascii="Baskerville Old Face" w:hAnsi="Baskerville Old Face"/>
          <w:i/>
          <w:iCs/>
        </w:rPr>
        <w:t>_level</w:t>
      </w:r>
      <w:proofErr w:type="spellEnd"/>
      <w:r w:rsidRPr="00B479AE">
        <w:rPr>
          <w:rFonts w:ascii="Baskerville Old Face" w:hAnsi="Baskerville Old Face"/>
          <w:i/>
          <w:iCs/>
        </w:rPr>
        <w:t>": "green | amber | orange | red | black",</w:t>
      </w:r>
    </w:p>
    <w:p w14:paraId="1424438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input</w:t>
      </w:r>
      <w:proofErr w:type="gramEnd"/>
      <w:r w:rsidRPr="00B479AE">
        <w:rPr>
          <w:rFonts w:ascii="Baskerville Old Face" w:hAnsi="Baskerville Old Face"/>
          <w:i/>
          <w:iCs/>
        </w:rPr>
        <w:t>_references</w:t>
      </w:r>
      <w:proofErr w:type="spellEnd"/>
      <w:r w:rsidRPr="00B479AE">
        <w:rPr>
          <w:rFonts w:ascii="Baskerville Old Face" w:hAnsi="Baskerville Old Face"/>
          <w:i/>
          <w:iCs/>
        </w:rPr>
        <w:t>": [</w:t>
      </w:r>
    </w:p>
    <w:p w14:paraId="4E3FC5F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mrv</w:t>
      </w:r>
      <w:proofErr w:type="gramEnd"/>
      <w:r w:rsidRPr="00B479AE">
        <w:rPr>
          <w:rFonts w:ascii="Baskerville Old Face" w:hAnsi="Baskerville Old Face"/>
          <w:i/>
          <w:iCs/>
        </w:rPr>
        <w:t>_record_hash</w:t>
      </w:r>
      <w:proofErr w:type="spellEnd"/>
      <w:r w:rsidRPr="00B479AE">
        <w:rPr>
          <w:rFonts w:ascii="Baskerville Old Face" w:hAnsi="Baskerville Old Face"/>
          <w:i/>
          <w:iCs/>
        </w:rPr>
        <w:t>",</w:t>
      </w:r>
    </w:p>
    <w:p w14:paraId="7F99B352" w14:textId="77777777" w:rsidR="00404936" w:rsidRPr="005907F1" w:rsidRDefault="00404936" w:rsidP="00404936">
      <w:pPr>
        <w:spacing w:line="360" w:lineRule="auto"/>
        <w:rPr>
          <w:rFonts w:ascii="Baskerville Old Face" w:hAnsi="Baskerville Old Face"/>
          <w:i/>
          <w:iCs/>
          <w:lang w:val="it-IT"/>
        </w:rPr>
      </w:pPr>
      <w:r w:rsidRPr="00B479AE">
        <w:rPr>
          <w:rFonts w:ascii="Baskerville Old Face" w:hAnsi="Baskerville Old Face"/>
          <w:i/>
          <w:iCs/>
        </w:rPr>
        <w:t xml:space="preserve">    </w:t>
      </w:r>
      <w:r w:rsidRPr="005907F1">
        <w:rPr>
          <w:rFonts w:ascii="Baskerville Old Face" w:hAnsi="Baskerville Old Face"/>
          <w:i/>
          <w:iCs/>
          <w:lang w:val="it-IT"/>
        </w:rPr>
        <w:t>"</w:t>
      </w:r>
      <w:proofErr w:type="spellStart"/>
      <w:r w:rsidRPr="005907F1">
        <w:rPr>
          <w:rFonts w:ascii="Baskerville Old Face" w:hAnsi="Baskerville Old Face"/>
          <w:i/>
          <w:iCs/>
          <w:lang w:val="it-IT"/>
        </w:rPr>
        <w:t>financial_model_version</w:t>
      </w:r>
      <w:proofErr w:type="spellEnd"/>
      <w:r w:rsidRPr="005907F1">
        <w:rPr>
          <w:rFonts w:ascii="Baskerville Old Face" w:hAnsi="Baskerville Old Face"/>
          <w:i/>
          <w:iCs/>
          <w:lang w:val="it-IT"/>
        </w:rPr>
        <w:t>",</w:t>
      </w:r>
    </w:p>
    <w:p w14:paraId="46814BE5" w14:textId="77777777" w:rsidR="00404936" w:rsidRPr="005907F1" w:rsidRDefault="00404936" w:rsidP="00404936">
      <w:pPr>
        <w:spacing w:line="360" w:lineRule="auto"/>
        <w:rPr>
          <w:rFonts w:ascii="Baskerville Old Face" w:hAnsi="Baskerville Old Face"/>
          <w:i/>
          <w:iCs/>
          <w:lang w:val="it-IT"/>
        </w:rPr>
      </w:pPr>
      <w:r w:rsidRPr="005907F1">
        <w:rPr>
          <w:rFonts w:ascii="Baskerville Old Face" w:hAnsi="Baskerville Old Face"/>
          <w:i/>
          <w:iCs/>
          <w:lang w:val="it-IT"/>
        </w:rPr>
        <w:lastRenderedPageBreak/>
        <w:t xml:space="preserve">    "</w:t>
      </w:r>
      <w:proofErr w:type="spellStart"/>
      <w:r w:rsidRPr="005907F1">
        <w:rPr>
          <w:rFonts w:ascii="Baskerville Old Face" w:hAnsi="Baskerville Old Face"/>
          <w:i/>
          <w:iCs/>
          <w:lang w:val="it-IT"/>
        </w:rPr>
        <w:t>governance_decision_reference</w:t>
      </w:r>
      <w:proofErr w:type="spellEnd"/>
      <w:r w:rsidRPr="005907F1">
        <w:rPr>
          <w:rFonts w:ascii="Baskerville Old Face" w:hAnsi="Baskerville Old Face"/>
          <w:i/>
          <w:iCs/>
          <w:lang w:val="it-IT"/>
        </w:rPr>
        <w:t>"</w:t>
      </w:r>
    </w:p>
    <w:p w14:paraId="69497AD0" w14:textId="77777777" w:rsidR="00404936" w:rsidRPr="00B479AE" w:rsidRDefault="00404936" w:rsidP="00404936">
      <w:pPr>
        <w:spacing w:line="360" w:lineRule="auto"/>
        <w:rPr>
          <w:rFonts w:ascii="Baskerville Old Face" w:hAnsi="Baskerville Old Face"/>
          <w:i/>
          <w:iCs/>
        </w:rPr>
      </w:pPr>
      <w:r w:rsidRPr="005907F1">
        <w:rPr>
          <w:rFonts w:ascii="Baskerville Old Face" w:hAnsi="Baskerville Old Face"/>
          <w:i/>
          <w:iCs/>
          <w:lang w:val="it-IT"/>
        </w:rPr>
        <w:t xml:space="preserve">  </w:t>
      </w:r>
      <w:r w:rsidRPr="00B479AE">
        <w:rPr>
          <w:rFonts w:ascii="Baskerville Old Face" w:hAnsi="Baskerville Old Face"/>
          <w:i/>
          <w:iCs/>
        </w:rPr>
        <w:t>],</w:t>
      </w:r>
    </w:p>
    <w:p w14:paraId="42F9699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"confidence": 0.72,</w:t>
      </w:r>
    </w:p>
    <w:p w14:paraId="75555CA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"summary": "Public PRU language appears ahead of current MRV admissibility.",</w:t>
      </w:r>
    </w:p>
    <w:p w14:paraId="66D0BB2D"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recommended</w:t>
      </w:r>
      <w:proofErr w:type="gramEnd"/>
      <w:r w:rsidRPr="00B479AE">
        <w:rPr>
          <w:rFonts w:ascii="Baskerville Old Face" w:hAnsi="Baskerville Old Face"/>
          <w:i/>
          <w:iCs/>
        </w:rPr>
        <w:t>_review</w:t>
      </w:r>
      <w:proofErr w:type="spellEnd"/>
      <w:r w:rsidRPr="00B479AE">
        <w:rPr>
          <w:rFonts w:ascii="Baskerville Old Face" w:hAnsi="Baskerville Old Face"/>
          <w:i/>
          <w:iCs/>
        </w:rPr>
        <w:t>": "MRV_REVIEW_REQUIRED",</w:t>
      </w:r>
    </w:p>
    <w:p w14:paraId="70A989E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automatic</w:t>
      </w:r>
      <w:proofErr w:type="gramEnd"/>
      <w:r w:rsidRPr="00B479AE">
        <w:rPr>
          <w:rFonts w:ascii="Baskerville Old Face" w:hAnsi="Baskerville Old Face"/>
          <w:i/>
          <w:iCs/>
        </w:rPr>
        <w:t>_consequence</w:t>
      </w:r>
      <w:proofErr w:type="spellEnd"/>
      <w:r w:rsidRPr="00B479AE">
        <w:rPr>
          <w:rFonts w:ascii="Baskerville Old Face" w:hAnsi="Baskerville Old Face"/>
          <w:i/>
          <w:iCs/>
        </w:rPr>
        <w:t>": false,</w:t>
      </w:r>
    </w:p>
    <w:p w14:paraId="331B897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review</w:t>
      </w:r>
      <w:proofErr w:type="gramEnd"/>
      <w:r w:rsidRPr="00B479AE">
        <w:rPr>
          <w:rFonts w:ascii="Baskerville Old Face" w:hAnsi="Baskerville Old Face"/>
          <w:i/>
          <w:iCs/>
        </w:rPr>
        <w:t>_body</w:t>
      </w:r>
      <w:proofErr w:type="spellEnd"/>
      <w:r w:rsidRPr="00B479AE">
        <w:rPr>
          <w:rFonts w:ascii="Baskerville Old Face" w:hAnsi="Baskerville Old Face"/>
          <w:i/>
          <w:iCs/>
        </w:rPr>
        <w:t>": "</w:t>
      </w:r>
      <w:proofErr w:type="spellStart"/>
      <w:r w:rsidRPr="00B479AE">
        <w:rPr>
          <w:rFonts w:ascii="Baskerville Old Face" w:hAnsi="Baskerville Old Face"/>
          <w:i/>
          <w:iCs/>
        </w:rPr>
        <w:t>mrv_review_circle</w:t>
      </w:r>
      <w:proofErr w:type="spellEnd"/>
      <w:r w:rsidRPr="00B479AE">
        <w:rPr>
          <w:rFonts w:ascii="Baskerville Old Face" w:hAnsi="Baskerville Old Face"/>
          <w:i/>
          <w:iCs/>
        </w:rPr>
        <w:t>",</w:t>
      </w:r>
    </w:p>
    <w:p w14:paraId="427505C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created</w:t>
      </w:r>
      <w:proofErr w:type="gramEnd"/>
      <w:r w:rsidRPr="00B479AE">
        <w:rPr>
          <w:rFonts w:ascii="Baskerville Old Face" w:hAnsi="Baskerville Old Face"/>
          <w:i/>
          <w:iCs/>
        </w:rPr>
        <w:t>_at</w:t>
      </w:r>
      <w:proofErr w:type="spellEnd"/>
      <w:r w:rsidRPr="00B479AE">
        <w:rPr>
          <w:rFonts w:ascii="Baskerville Old Face" w:hAnsi="Baskerville Old Face"/>
          <w:i/>
          <w:iCs/>
        </w:rPr>
        <w:t>": "2026-01-01T10:00:00Z",</w:t>
      </w:r>
    </w:p>
    <w:p w14:paraId="1E6B669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xml:space="preserve">  "status": "open | </w:t>
      </w:r>
      <w:proofErr w:type="spellStart"/>
      <w:r w:rsidRPr="00B479AE">
        <w:rPr>
          <w:rFonts w:ascii="Baskerville Old Face" w:hAnsi="Baskerville Old Face"/>
          <w:i/>
          <w:iCs/>
        </w:rPr>
        <w:t>under_review</w:t>
      </w:r>
      <w:proofErr w:type="spellEnd"/>
      <w:r w:rsidRPr="00B479AE">
        <w:rPr>
          <w:rFonts w:ascii="Baskerville Old Face" w:hAnsi="Baskerville Old Face"/>
          <w:i/>
          <w:iCs/>
        </w:rPr>
        <w:t xml:space="preserve"> | resolved | archived"</w:t>
      </w:r>
    </w:p>
    <w:p w14:paraId="194B19F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w:t>
      </w:r>
    </w:p>
    <w:p w14:paraId="712F657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field:</w:t>
      </w:r>
    </w:p>
    <w:p w14:paraId="4254F03B"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automatic</w:t>
      </w:r>
      <w:proofErr w:type="gramEnd"/>
      <w:r w:rsidRPr="00B479AE">
        <w:rPr>
          <w:rFonts w:ascii="Baskerville Old Face" w:hAnsi="Baskerville Old Face"/>
          <w:i/>
          <w:iCs/>
        </w:rPr>
        <w:t>_consequence</w:t>
      </w:r>
      <w:proofErr w:type="spellEnd"/>
      <w:r w:rsidRPr="00B479AE">
        <w:rPr>
          <w:rFonts w:ascii="Baskerville Old Face" w:hAnsi="Baskerville Old Face"/>
          <w:i/>
          <w:iCs/>
        </w:rPr>
        <w:t>": false</w:t>
      </w:r>
    </w:p>
    <w:p w14:paraId="4F90EB7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is important.</w:t>
      </w:r>
    </w:p>
    <w:p w14:paraId="05A5FA8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encodes the governance boundary.</w:t>
      </w:r>
    </w:p>
    <w:p w14:paraId="493CED8B"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C.18 Legal and investor-facing boundary</w:t>
      </w:r>
    </w:p>
    <w:p w14:paraId="4171CD0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outputs may affect investor perception.</w:t>
      </w:r>
    </w:p>
    <w:p w14:paraId="45D3761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Therefore, Ravel outputs should be carefully classified before disclosure.</w:t>
      </w:r>
    </w:p>
    <w:p w14:paraId="5C65FD1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Possible classifications:</w:t>
      </w:r>
    </w:p>
    <w:p w14:paraId="07F2CAFC" w14:textId="77777777" w:rsidR="0039233A" w:rsidRPr="00B479AE" w:rsidRDefault="0039233A" w:rsidP="00404936">
      <w:pPr>
        <w:spacing w:line="360" w:lineRule="auto"/>
        <w:rPr>
          <w:rFonts w:ascii="Baskerville Old Face" w:hAnsi="Baskerville Old Face"/>
          <w:i/>
          <w:iCs/>
        </w:rPr>
      </w:pPr>
    </w:p>
    <w:p w14:paraId="2DE0A091" w14:textId="77777777" w:rsidR="0039233A" w:rsidRPr="00B479AE" w:rsidRDefault="0039233A" w:rsidP="00404936">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3729"/>
      </w:tblGrid>
      <w:tr w:rsidR="00404936" w:rsidRPr="00B479AE" w14:paraId="52E48483" w14:textId="77777777" w:rsidTr="009C1063">
        <w:trPr>
          <w:tblHeader/>
          <w:tblCellSpacing w:w="15" w:type="dxa"/>
        </w:trPr>
        <w:tc>
          <w:tcPr>
            <w:tcW w:w="0" w:type="auto"/>
            <w:vAlign w:val="center"/>
            <w:hideMark/>
          </w:tcPr>
          <w:p w14:paraId="4FAB1FB0"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Disclosure class</w:t>
            </w:r>
          </w:p>
        </w:tc>
        <w:tc>
          <w:tcPr>
            <w:tcW w:w="0" w:type="auto"/>
            <w:vAlign w:val="center"/>
            <w:hideMark/>
          </w:tcPr>
          <w:p w14:paraId="72EB95F3" w14:textId="77777777" w:rsidR="00404936" w:rsidRPr="00B479AE" w:rsidRDefault="00404936" w:rsidP="00404936">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w:t>
            </w:r>
          </w:p>
        </w:tc>
      </w:tr>
      <w:tr w:rsidR="00404936" w:rsidRPr="00B479AE" w14:paraId="65D0BDED" w14:textId="77777777" w:rsidTr="009C1063">
        <w:trPr>
          <w:tblCellSpacing w:w="15" w:type="dxa"/>
        </w:trPr>
        <w:tc>
          <w:tcPr>
            <w:tcW w:w="0" w:type="auto"/>
            <w:vAlign w:val="center"/>
            <w:hideMark/>
          </w:tcPr>
          <w:p w14:paraId="23BC6B89"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Internal draft</w:t>
            </w:r>
          </w:p>
        </w:tc>
        <w:tc>
          <w:tcPr>
            <w:tcW w:w="0" w:type="auto"/>
            <w:vAlign w:val="center"/>
            <w:hideMark/>
          </w:tcPr>
          <w:p w14:paraId="0E76275C"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Internal review only.</w:t>
            </w:r>
          </w:p>
        </w:tc>
      </w:tr>
      <w:tr w:rsidR="00404936" w:rsidRPr="00B479AE" w14:paraId="4AA24EB5" w14:textId="77777777" w:rsidTr="009C1063">
        <w:trPr>
          <w:tblCellSpacing w:w="15" w:type="dxa"/>
        </w:trPr>
        <w:tc>
          <w:tcPr>
            <w:tcW w:w="0" w:type="auto"/>
            <w:vAlign w:val="center"/>
            <w:hideMark/>
          </w:tcPr>
          <w:p w14:paraId="14130E35"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review</w:t>
            </w:r>
          </w:p>
        </w:tc>
        <w:tc>
          <w:tcPr>
            <w:tcW w:w="0" w:type="auto"/>
            <w:vAlign w:val="center"/>
            <w:hideMark/>
          </w:tcPr>
          <w:p w14:paraId="3A14CA51"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Used by governance or review bodies.</w:t>
            </w:r>
          </w:p>
        </w:tc>
      </w:tr>
      <w:tr w:rsidR="00404936" w:rsidRPr="00B479AE" w14:paraId="01F0FB1F" w14:textId="77777777" w:rsidTr="009C1063">
        <w:trPr>
          <w:tblCellSpacing w:w="15" w:type="dxa"/>
        </w:trPr>
        <w:tc>
          <w:tcPr>
            <w:tcW w:w="0" w:type="auto"/>
            <w:vAlign w:val="center"/>
            <w:hideMark/>
          </w:tcPr>
          <w:p w14:paraId="4FB241F5"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Data-room limited</w:t>
            </w:r>
          </w:p>
        </w:tc>
        <w:tc>
          <w:tcPr>
            <w:tcW w:w="0" w:type="auto"/>
            <w:vAlign w:val="center"/>
            <w:hideMark/>
          </w:tcPr>
          <w:p w14:paraId="0499236F"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Shared with qualified parties under terms.</w:t>
            </w:r>
          </w:p>
        </w:tc>
      </w:tr>
      <w:tr w:rsidR="00404936" w:rsidRPr="00B479AE" w14:paraId="507FCAC1" w14:textId="77777777" w:rsidTr="009C1063">
        <w:trPr>
          <w:tblCellSpacing w:w="15" w:type="dxa"/>
        </w:trPr>
        <w:tc>
          <w:tcPr>
            <w:tcW w:w="0" w:type="auto"/>
            <w:vAlign w:val="center"/>
            <w:hideMark/>
          </w:tcPr>
          <w:p w14:paraId="14DE84AB"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Investor-review material</w:t>
            </w:r>
          </w:p>
        </w:tc>
        <w:tc>
          <w:tcPr>
            <w:tcW w:w="0" w:type="auto"/>
            <w:vAlign w:val="center"/>
            <w:hideMark/>
          </w:tcPr>
          <w:p w14:paraId="379454A3"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Shared with disclosure and limitations.</w:t>
            </w:r>
          </w:p>
        </w:tc>
      </w:tr>
      <w:tr w:rsidR="00404936" w:rsidRPr="00B479AE" w14:paraId="36A7E210" w14:textId="77777777" w:rsidTr="009C1063">
        <w:trPr>
          <w:tblCellSpacing w:w="15" w:type="dxa"/>
        </w:trPr>
        <w:tc>
          <w:tcPr>
            <w:tcW w:w="0" w:type="auto"/>
            <w:vAlign w:val="center"/>
            <w:hideMark/>
          </w:tcPr>
          <w:p w14:paraId="51922A46"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Public risk note</w:t>
            </w:r>
          </w:p>
        </w:tc>
        <w:tc>
          <w:tcPr>
            <w:tcW w:w="0" w:type="auto"/>
            <w:vAlign w:val="center"/>
            <w:hideMark/>
          </w:tcPr>
          <w:p w14:paraId="6F6CA94D"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Public-facing only after review.</w:t>
            </w:r>
          </w:p>
        </w:tc>
      </w:tr>
      <w:tr w:rsidR="00404936" w:rsidRPr="00B479AE" w14:paraId="173C3BFF" w14:textId="77777777" w:rsidTr="009C1063">
        <w:trPr>
          <w:tblCellSpacing w:w="15" w:type="dxa"/>
        </w:trPr>
        <w:tc>
          <w:tcPr>
            <w:tcW w:w="0" w:type="auto"/>
            <w:vAlign w:val="center"/>
            <w:hideMark/>
          </w:tcPr>
          <w:p w14:paraId="619859A6"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Non-disclosable</w:t>
            </w:r>
          </w:p>
        </w:tc>
        <w:tc>
          <w:tcPr>
            <w:tcW w:w="0" w:type="auto"/>
            <w:vAlign w:val="center"/>
            <w:hideMark/>
          </w:tcPr>
          <w:p w14:paraId="2CB42D57" w14:textId="77777777" w:rsidR="00404936" w:rsidRPr="00B479AE" w:rsidRDefault="00404936" w:rsidP="00404936">
            <w:pPr>
              <w:spacing w:line="360" w:lineRule="auto"/>
              <w:rPr>
                <w:rFonts w:ascii="Baskerville Old Face" w:hAnsi="Baskerville Old Face"/>
                <w:i/>
                <w:iCs/>
                <w:sz w:val="22"/>
                <w:szCs w:val="22"/>
              </w:rPr>
            </w:pPr>
            <w:r w:rsidRPr="00B479AE">
              <w:rPr>
                <w:rFonts w:ascii="Baskerville Old Face" w:hAnsi="Baskerville Old Face"/>
                <w:i/>
                <w:iCs/>
                <w:sz w:val="22"/>
                <w:szCs w:val="22"/>
              </w:rPr>
              <w:t>Sensitive, privileged, or incomplete.</w:t>
            </w:r>
          </w:p>
        </w:tc>
      </w:tr>
    </w:tbl>
    <w:p w14:paraId="7CD673D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should not be marketed as an official credit rating, securities rating, investment recommendation, or regulatory-approved risk model unless such status is legally obtained.</w:t>
      </w:r>
    </w:p>
    <w:p w14:paraId="4A27B10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Prometheus may use Ravel to improve diligence.</w:t>
      </w:r>
    </w:p>
    <w:p w14:paraId="6FBF98AF"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should not overclaim Ravel as external financial authority.</w:t>
      </w:r>
    </w:p>
    <w:p w14:paraId="5FE07B25"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C.19 AI-assisted Ravel analysis</w:t>
      </w:r>
    </w:p>
    <w:p w14:paraId="41E11E6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AI may support Ravel by:</w:t>
      </w:r>
    </w:p>
    <w:p w14:paraId="7457EE5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identifying inconsistencies;</w:t>
      </w:r>
      <w:r w:rsidRPr="00B479AE">
        <w:rPr>
          <w:rFonts w:ascii="Baskerville Old Face" w:hAnsi="Baskerville Old Face"/>
          <w:i/>
          <w:iCs/>
        </w:rPr>
        <w:br/>
        <w:t>• scanning for semantic drift;</w:t>
      </w:r>
      <w:r w:rsidRPr="00B479AE">
        <w:rPr>
          <w:rFonts w:ascii="Baskerville Old Face" w:hAnsi="Baskerville Old Face"/>
          <w:i/>
          <w:iCs/>
        </w:rPr>
        <w:br/>
        <w:t>• mapping risk domains;</w:t>
      </w:r>
      <w:r w:rsidRPr="00B479AE">
        <w:rPr>
          <w:rFonts w:ascii="Baskerville Old Face" w:hAnsi="Baskerville Old Face"/>
          <w:i/>
          <w:iCs/>
        </w:rPr>
        <w:br/>
        <w:t>• drafting risk memos;</w:t>
      </w:r>
      <w:r w:rsidRPr="00B479AE">
        <w:rPr>
          <w:rFonts w:ascii="Baskerville Old Face" w:hAnsi="Baskerville Old Face"/>
          <w:i/>
          <w:iCs/>
        </w:rPr>
        <w:br/>
        <w:t>• generating stress-test scenarios;</w:t>
      </w:r>
      <w:r w:rsidRPr="00B479AE">
        <w:rPr>
          <w:rFonts w:ascii="Baskerville Old Face" w:hAnsi="Baskerville Old Face"/>
          <w:i/>
          <w:iCs/>
        </w:rPr>
        <w:br/>
        <w:t>• flagging missing evidence;</w:t>
      </w:r>
      <w:r w:rsidRPr="00B479AE">
        <w:rPr>
          <w:rFonts w:ascii="Baskerville Old Face" w:hAnsi="Baskerville Old Face"/>
          <w:i/>
          <w:iCs/>
        </w:rPr>
        <w:br/>
        <w:t>• comparing public claims to canonical definitions;</w:t>
      </w:r>
      <w:r w:rsidRPr="00B479AE">
        <w:rPr>
          <w:rFonts w:ascii="Baskerville Old Face" w:hAnsi="Baskerville Old Face"/>
          <w:i/>
          <w:iCs/>
        </w:rPr>
        <w:br/>
        <w:t>• detecting token-boundary confusion;</w:t>
      </w:r>
      <w:r w:rsidRPr="00B479AE">
        <w:rPr>
          <w:rFonts w:ascii="Baskerville Old Face" w:hAnsi="Baskerville Old Face"/>
          <w:i/>
          <w:iCs/>
        </w:rPr>
        <w:br/>
        <w:t>• supporting continuity audits.</w:t>
      </w:r>
    </w:p>
    <w:p w14:paraId="6C6078A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AI may not:</w:t>
      </w:r>
    </w:p>
    <w:p w14:paraId="4C012C6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 impose consequences;</w:t>
      </w:r>
      <w:r w:rsidRPr="00B479AE">
        <w:rPr>
          <w:rFonts w:ascii="Baskerville Old Face" w:hAnsi="Baskerville Old Face"/>
          <w:i/>
          <w:iCs/>
        </w:rPr>
        <w:br/>
        <w:t>• decide breaches;</w:t>
      </w:r>
      <w:r w:rsidRPr="00B479AE">
        <w:rPr>
          <w:rFonts w:ascii="Baskerville Old Face" w:hAnsi="Baskerville Old Face"/>
          <w:i/>
          <w:iCs/>
        </w:rPr>
        <w:br/>
        <w:t>• issue final ratings;</w:t>
      </w:r>
      <w:r w:rsidRPr="00B479AE">
        <w:rPr>
          <w:rFonts w:ascii="Baskerville Old Face" w:hAnsi="Baskerville Old Face"/>
          <w:i/>
          <w:iCs/>
        </w:rPr>
        <w:br/>
        <w:t>• suspend access;</w:t>
      </w:r>
      <w:r w:rsidRPr="00B479AE">
        <w:rPr>
          <w:rFonts w:ascii="Baskerville Old Face" w:hAnsi="Baskerville Old Face"/>
          <w:i/>
          <w:iCs/>
        </w:rPr>
        <w:br/>
        <w:t>• approve investor materials;</w:t>
      </w:r>
      <w:r w:rsidRPr="00B479AE">
        <w:rPr>
          <w:rFonts w:ascii="Baskerville Old Face" w:hAnsi="Baskerville Old Face"/>
          <w:i/>
          <w:iCs/>
        </w:rPr>
        <w:br/>
        <w:t>• certify MRV;</w:t>
      </w:r>
      <w:r w:rsidRPr="00B479AE">
        <w:rPr>
          <w:rFonts w:ascii="Baskerville Old Face" w:hAnsi="Baskerville Old Face"/>
          <w:i/>
          <w:iCs/>
        </w:rPr>
        <w:br/>
        <w:t>• define PRU value;</w:t>
      </w:r>
      <w:r w:rsidRPr="00B479AE">
        <w:rPr>
          <w:rFonts w:ascii="Baskerville Old Face" w:hAnsi="Baskerville Old Face"/>
          <w:i/>
          <w:iCs/>
        </w:rPr>
        <w:br/>
        <w:t>• override governance.</w:t>
      </w:r>
    </w:p>
    <w:p w14:paraId="6410685E"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AI-generated Ravel outputs should be labeled as:</w:t>
      </w:r>
    </w:p>
    <w:p w14:paraId="6480C3E6"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 draft;</w:t>
      </w:r>
      <w:r w:rsidRPr="00B479AE">
        <w:rPr>
          <w:rFonts w:ascii="Baskerville Old Face" w:hAnsi="Baskerville Old Face"/>
          <w:i/>
          <w:iCs/>
        </w:rPr>
        <w:br/>
        <w:t>• risk flag;</w:t>
      </w:r>
      <w:r w:rsidRPr="00B479AE">
        <w:rPr>
          <w:rFonts w:ascii="Baskerville Old Face" w:hAnsi="Baskerville Old Face"/>
          <w:i/>
          <w:iCs/>
        </w:rPr>
        <w:br/>
        <w:t>• analysis;</w:t>
      </w:r>
      <w:r w:rsidRPr="00B479AE">
        <w:rPr>
          <w:rFonts w:ascii="Baskerville Old Face" w:hAnsi="Baskerville Old Face"/>
          <w:i/>
          <w:iCs/>
        </w:rPr>
        <w:br/>
        <w:t>• review-required;</w:t>
      </w:r>
      <w:r w:rsidRPr="00B479AE">
        <w:rPr>
          <w:rFonts w:ascii="Baskerville Old Face" w:hAnsi="Baskerville Old Face"/>
          <w:i/>
          <w:iCs/>
        </w:rPr>
        <w:br/>
        <w:t>• non-admissible.</w:t>
      </w:r>
    </w:p>
    <w:p w14:paraId="3AE84205"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Ravel-AI rule is:</w:t>
      </w:r>
    </w:p>
    <w:p w14:paraId="7B399021"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AI may help detect the smoke;</w:t>
      </w:r>
      <w:r w:rsidRPr="00B479AE">
        <w:rPr>
          <w:rFonts w:ascii="Baskerville Old Face" w:hAnsi="Baskerville Old Face"/>
          <w:i/>
          <w:iCs/>
        </w:rPr>
        <w:br/>
        <w:t>review determines the fire.</w:t>
      </w:r>
    </w:p>
    <w:p w14:paraId="4B7712FE" w14:textId="77777777" w:rsidR="00404936" w:rsidRPr="00B479AE" w:rsidRDefault="00404936" w:rsidP="00404936">
      <w:pPr>
        <w:spacing w:line="360" w:lineRule="auto"/>
        <w:rPr>
          <w:rFonts w:ascii="Baskerville Old Face" w:hAnsi="Baskerville Old Face"/>
          <w:b/>
          <w:bCs/>
          <w:i/>
          <w:iCs/>
        </w:rPr>
      </w:pPr>
      <w:r w:rsidRPr="00B479AE">
        <w:rPr>
          <w:rFonts w:ascii="Baskerville Old Face" w:hAnsi="Baskerville Old Face"/>
          <w:b/>
          <w:bCs/>
          <w:i/>
          <w:iCs/>
        </w:rPr>
        <w:t>C.20 Final Ravel principle</w:t>
      </w:r>
    </w:p>
    <w:p w14:paraId="32208439"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The final Ravel principle is:</w:t>
      </w:r>
    </w:p>
    <w:p w14:paraId="247D5267"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fragility should be visible before failure;</w:t>
      </w:r>
      <w:r w:rsidRPr="00B479AE">
        <w:rPr>
          <w:rFonts w:ascii="Baskerville Old Face" w:hAnsi="Baskerville Old Face"/>
          <w:i/>
          <w:iCs/>
        </w:rPr>
        <w:br/>
        <w:t>claims should be measured against evidence;</w:t>
      </w:r>
      <w:r w:rsidRPr="00B479AE">
        <w:rPr>
          <w:rFonts w:ascii="Baskerville Old Face" w:hAnsi="Baskerville Old Face"/>
          <w:i/>
          <w:iCs/>
        </w:rPr>
        <w:br/>
        <w:t>capital should be measured against living capacity;</w:t>
      </w:r>
      <w:r w:rsidRPr="00B479AE">
        <w:rPr>
          <w:rFonts w:ascii="Baskerville Old Face" w:hAnsi="Baskerville Old Face"/>
          <w:i/>
          <w:iCs/>
        </w:rPr>
        <w:br/>
        <w:t>governance should be measured against complexity;</w:t>
      </w:r>
      <w:r w:rsidRPr="00B479AE">
        <w:rPr>
          <w:rFonts w:ascii="Baskerville Old Face" w:hAnsi="Baskerville Old Face"/>
          <w:i/>
          <w:iCs/>
        </w:rPr>
        <w:br/>
        <w:t>tokens should be measured against legal meaning;</w:t>
      </w:r>
      <w:r w:rsidRPr="00B479AE">
        <w:rPr>
          <w:rFonts w:ascii="Baskerville Old Face" w:hAnsi="Baskerville Old Face"/>
          <w:i/>
          <w:iCs/>
        </w:rPr>
        <w:br/>
        <w:t>growth should be measured against resilience;</w:t>
      </w:r>
      <w:r w:rsidRPr="00B479AE">
        <w:rPr>
          <w:rFonts w:ascii="Baskerville Old Face" w:hAnsi="Baskerville Old Face"/>
          <w:i/>
          <w:iCs/>
        </w:rPr>
        <w:br/>
        <w:t>and intelligence should be measured against fidelity.</w:t>
      </w:r>
    </w:p>
    <w:p w14:paraId="76CF0F22"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Ravel exists so Prometheus can see stress early.</w:t>
      </w:r>
    </w:p>
    <w:p w14:paraId="008483C4"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does not punish.</w:t>
      </w:r>
    </w:p>
    <w:p w14:paraId="76BFA5C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lastRenderedPageBreak/>
        <w:t>It does not rule.</w:t>
      </w:r>
    </w:p>
    <w:p w14:paraId="3147D09C"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does not replace the constitution.</w:t>
      </w:r>
    </w:p>
    <w:p w14:paraId="2B1AC5B8"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It helps the system remain honest while becoming ambitious.</w:t>
      </w:r>
    </w:p>
    <w:p w14:paraId="3D1FDD8A" w14:textId="77777777" w:rsidR="00404936" w:rsidRPr="00B479AE" w:rsidRDefault="00404936" w:rsidP="00404936">
      <w:pPr>
        <w:spacing w:line="360" w:lineRule="auto"/>
        <w:rPr>
          <w:rFonts w:ascii="Baskerville Old Face" w:hAnsi="Baskerville Old Face"/>
          <w:i/>
          <w:iCs/>
        </w:rPr>
      </w:pPr>
      <w:r w:rsidRPr="00B479AE">
        <w:rPr>
          <w:rFonts w:ascii="Baskerville Old Face" w:hAnsi="Baskerville Old Face"/>
          <w:i/>
          <w:iCs/>
        </w:rPr>
        <w:t>That is its value.</w:t>
      </w:r>
    </w:p>
    <w:p w14:paraId="373DDAE8" w14:textId="3D0226D2" w:rsidR="008E20E1" w:rsidRPr="005907F1" w:rsidRDefault="008E20E1"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 xml:space="preserve">Appendix D: Syntropic </w:t>
      </w:r>
      <w:r w:rsidR="00586C06" w:rsidRPr="005907F1">
        <w:rPr>
          <w:rFonts w:ascii="Baskerville Old Face" w:hAnsi="Baskerville Old Face"/>
          <w:b/>
          <w:bCs/>
          <w:i/>
          <w:iCs/>
          <w:sz w:val="24"/>
          <w:szCs w:val="24"/>
        </w:rPr>
        <w:t>s</w:t>
      </w:r>
      <w:r w:rsidRPr="005907F1">
        <w:rPr>
          <w:rFonts w:ascii="Baskerville Old Face" w:hAnsi="Baskerville Old Face"/>
          <w:b/>
          <w:bCs/>
          <w:i/>
          <w:iCs/>
          <w:sz w:val="24"/>
          <w:szCs w:val="24"/>
        </w:rPr>
        <w:t xml:space="preserve">overeignty </w:t>
      </w:r>
      <w:r w:rsidR="00586C06" w:rsidRPr="005907F1">
        <w:rPr>
          <w:rFonts w:ascii="Baskerville Old Face" w:hAnsi="Baskerville Old Face"/>
          <w:b/>
          <w:bCs/>
          <w:i/>
          <w:iCs/>
          <w:sz w:val="24"/>
          <w:szCs w:val="24"/>
        </w:rPr>
        <w:t>h</w:t>
      </w:r>
      <w:r w:rsidRPr="005907F1">
        <w:rPr>
          <w:rFonts w:ascii="Baskerville Old Face" w:hAnsi="Baskerville Old Face"/>
          <w:b/>
          <w:bCs/>
          <w:i/>
          <w:iCs/>
          <w:sz w:val="24"/>
          <w:szCs w:val="24"/>
        </w:rPr>
        <w:t>eader</w:t>
      </w:r>
    </w:p>
    <w:p w14:paraId="5B03D36A"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D.1 Header specification</w:t>
      </w:r>
    </w:p>
    <w:p w14:paraId="3CD2813E" w14:textId="77777777" w:rsidR="008E20E1" w:rsidRPr="00B479AE" w:rsidRDefault="008E20E1" w:rsidP="008E20E1">
      <w:pPr>
        <w:spacing w:line="360" w:lineRule="auto"/>
        <w:rPr>
          <w:rFonts w:ascii="Baskerville Old Face" w:hAnsi="Baskerville Old Face"/>
          <w:i/>
          <w:iCs/>
        </w:rPr>
      </w:pPr>
      <w:proofErr w:type="spellStart"/>
      <w:r w:rsidRPr="00B479AE">
        <w:rPr>
          <w:rFonts w:ascii="Baskerville Old Face" w:hAnsi="Baskerville Old Face"/>
          <w:i/>
          <w:iCs/>
        </w:rPr>
        <w:t>json</w:t>
      </w:r>
      <w:proofErr w:type="spellEnd"/>
    </w:p>
    <w:p w14:paraId="4F26FC12"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w:t>
      </w:r>
    </w:p>
    <w:p w14:paraId="25A12904"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header</w:t>
      </w:r>
      <w:proofErr w:type="gramEnd"/>
      <w:r w:rsidRPr="00B479AE">
        <w:rPr>
          <w:rFonts w:ascii="Baskerville Old Face" w:hAnsi="Baskerville Old Face"/>
          <w:i/>
          <w:iCs/>
        </w:rPr>
        <w:t>_version</w:t>
      </w:r>
      <w:proofErr w:type="spellEnd"/>
      <w:r w:rsidRPr="00B479AE">
        <w:rPr>
          <w:rFonts w:ascii="Baskerville Old Face" w:hAnsi="Baskerville Old Face"/>
          <w:i/>
          <w:iCs/>
        </w:rPr>
        <w:t>": "1.0",</w:t>
      </w:r>
    </w:p>
    <w:p w14:paraId="32AF3633"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constitution</w:t>
      </w:r>
      <w:proofErr w:type="gramEnd"/>
      <w:r w:rsidRPr="00B479AE">
        <w:rPr>
          <w:rFonts w:ascii="Baskerville Old Face" w:hAnsi="Baskerville Old Face"/>
          <w:i/>
          <w:iCs/>
        </w:rPr>
        <w:t>_hash</w:t>
      </w:r>
      <w:proofErr w:type="spellEnd"/>
      <w:r w:rsidRPr="00B479AE">
        <w:rPr>
          <w:rFonts w:ascii="Baskerville Old Face" w:hAnsi="Baskerville Old Face"/>
          <w:i/>
          <w:iCs/>
        </w:rPr>
        <w:t>": "sha256: to be generated upon canonical release",</w:t>
      </w:r>
    </w:p>
    <w:p w14:paraId="06BF21C4"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manifesto</w:t>
      </w:r>
      <w:proofErr w:type="gramEnd"/>
      <w:r w:rsidRPr="00B479AE">
        <w:rPr>
          <w:rFonts w:ascii="Baskerville Old Face" w:hAnsi="Baskerville Old Face"/>
          <w:i/>
          <w:iCs/>
        </w:rPr>
        <w:t>_hash</w:t>
      </w:r>
      <w:proofErr w:type="spellEnd"/>
      <w:r w:rsidRPr="00B479AE">
        <w:rPr>
          <w:rFonts w:ascii="Baskerville Old Face" w:hAnsi="Baskerville Old Face"/>
          <w:i/>
          <w:iCs/>
        </w:rPr>
        <w:t>": "sha256: to be generated upon canonical release",</w:t>
      </w:r>
    </w:p>
    <w:p w14:paraId="6D7F0A82"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license</w:t>
      </w:r>
      <w:proofErr w:type="gramEnd"/>
      <w:r w:rsidRPr="00B479AE">
        <w:rPr>
          <w:rFonts w:ascii="Baskerville Old Face" w:hAnsi="Baskerville Old Face"/>
          <w:i/>
          <w:iCs/>
        </w:rPr>
        <w:t>_hash</w:t>
      </w:r>
      <w:proofErr w:type="spellEnd"/>
      <w:r w:rsidRPr="00B479AE">
        <w:rPr>
          <w:rFonts w:ascii="Baskerville Old Face" w:hAnsi="Baskerville Old Face"/>
          <w:i/>
          <w:iCs/>
        </w:rPr>
        <w:t>": "sha256: to be generated upon canonical release",</w:t>
      </w:r>
    </w:p>
    <w:p w14:paraId="3DC300CF"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"principles": [</w:t>
      </w:r>
    </w:p>
    <w:p w14:paraId="7D02C81B"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spiral</w:t>
      </w:r>
      <w:proofErr w:type="gramEnd"/>
      <w:r w:rsidRPr="00B479AE">
        <w:rPr>
          <w:rFonts w:ascii="Baskerville Old Face" w:hAnsi="Baskerville Old Face"/>
          <w:i/>
          <w:iCs/>
        </w:rPr>
        <w:t>_of_abundance</w:t>
      </w:r>
      <w:proofErr w:type="spellEnd"/>
      <w:r w:rsidRPr="00B479AE">
        <w:rPr>
          <w:rFonts w:ascii="Baskerville Old Face" w:hAnsi="Baskerville Old Face"/>
          <w:i/>
          <w:iCs/>
        </w:rPr>
        <w:t>",</w:t>
      </w:r>
    </w:p>
    <w:p w14:paraId="6EC3BBE0"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planetary</w:t>
      </w:r>
      <w:proofErr w:type="gramEnd"/>
      <w:r w:rsidRPr="00B479AE">
        <w:rPr>
          <w:rFonts w:ascii="Baskerville Old Face" w:hAnsi="Baskerville Old Face"/>
          <w:i/>
          <w:iCs/>
        </w:rPr>
        <w:t>_boundaries</w:t>
      </w:r>
      <w:proofErr w:type="spellEnd"/>
      <w:r w:rsidRPr="00B479AE">
        <w:rPr>
          <w:rFonts w:ascii="Baskerville Old Face" w:hAnsi="Baskerville Old Face"/>
          <w:i/>
          <w:iCs/>
        </w:rPr>
        <w:t>",</w:t>
      </w:r>
    </w:p>
    <w:p w14:paraId="660B7B2E"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non</w:t>
      </w:r>
      <w:proofErr w:type="gramEnd"/>
      <w:r w:rsidRPr="00B479AE">
        <w:rPr>
          <w:rFonts w:ascii="Baskerville Old Face" w:hAnsi="Baskerville Old Face"/>
          <w:i/>
          <w:iCs/>
        </w:rPr>
        <w:t>_commodification_of_life</w:t>
      </w:r>
      <w:proofErr w:type="spellEnd"/>
      <w:r w:rsidRPr="00B479AE">
        <w:rPr>
          <w:rFonts w:ascii="Baskerville Old Face" w:hAnsi="Baskerville Old Face"/>
          <w:i/>
          <w:iCs/>
        </w:rPr>
        <w:t>",</w:t>
      </w:r>
    </w:p>
    <w:p w14:paraId="618188D2"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agent</w:t>
      </w:r>
      <w:proofErr w:type="gramEnd"/>
      <w:r w:rsidRPr="00B479AE">
        <w:rPr>
          <w:rFonts w:ascii="Baskerville Old Face" w:hAnsi="Baskerville Old Face"/>
          <w:i/>
          <w:iCs/>
        </w:rPr>
        <w:t>_sovereignty</w:t>
      </w:r>
      <w:proofErr w:type="spellEnd"/>
      <w:r w:rsidRPr="00B479AE">
        <w:rPr>
          <w:rFonts w:ascii="Baskerville Old Face" w:hAnsi="Baskerville Old Face"/>
          <w:i/>
          <w:iCs/>
        </w:rPr>
        <w:t>",</w:t>
      </w:r>
    </w:p>
    <w:p w14:paraId="416ADCD2"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source</w:t>
      </w:r>
      <w:proofErr w:type="gramEnd"/>
      <w:r w:rsidRPr="00B479AE">
        <w:rPr>
          <w:rFonts w:ascii="Baskerville Old Face" w:hAnsi="Baskerville Old Face"/>
          <w:i/>
          <w:iCs/>
        </w:rPr>
        <w:t>_layer_non_admissibility</w:t>
      </w:r>
      <w:proofErr w:type="spellEnd"/>
      <w:r w:rsidRPr="00B479AE">
        <w:rPr>
          <w:rFonts w:ascii="Baskerville Old Face" w:hAnsi="Baskerville Old Face"/>
          <w:i/>
          <w:iCs/>
        </w:rPr>
        <w:t>",</w:t>
      </w:r>
    </w:p>
    <w:p w14:paraId="3BA639C8"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preventative</w:t>
      </w:r>
      <w:proofErr w:type="gramEnd"/>
      <w:r w:rsidRPr="00B479AE">
        <w:rPr>
          <w:rFonts w:ascii="Baskerville Old Face" w:hAnsi="Baskerville Old Face"/>
          <w:i/>
          <w:iCs/>
        </w:rPr>
        <w:t>_alignment</w:t>
      </w:r>
      <w:proofErr w:type="spellEnd"/>
      <w:r w:rsidRPr="00B479AE">
        <w:rPr>
          <w:rFonts w:ascii="Baskerville Old Face" w:hAnsi="Baskerville Old Face"/>
          <w:i/>
          <w:iCs/>
        </w:rPr>
        <w:t>",</w:t>
      </w:r>
    </w:p>
    <w:p w14:paraId="73039129"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intergenerational</w:t>
      </w:r>
      <w:proofErr w:type="gramEnd"/>
      <w:r w:rsidRPr="00B479AE">
        <w:rPr>
          <w:rFonts w:ascii="Baskerville Old Face" w:hAnsi="Baskerville Old Face"/>
          <w:i/>
          <w:iCs/>
        </w:rPr>
        <w:t>_responsibility</w:t>
      </w:r>
      <w:proofErr w:type="spellEnd"/>
      <w:r w:rsidRPr="00B479AE">
        <w:rPr>
          <w:rFonts w:ascii="Baskerville Old Face" w:hAnsi="Baskerville Old Face"/>
          <w:i/>
          <w:iCs/>
        </w:rPr>
        <w:t>"</w:t>
      </w:r>
    </w:p>
    <w:p w14:paraId="6AE4B420"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
    <w:p w14:paraId="62DF0E8F"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timestamp</w:t>
      </w:r>
      <w:proofErr w:type="gramEnd"/>
      <w:r w:rsidRPr="00B479AE">
        <w:rPr>
          <w:rFonts w:ascii="Baskerville Old Face" w:hAnsi="Baskerville Old Face"/>
          <w:i/>
          <w:iCs/>
        </w:rPr>
        <w:t>_utc</w:t>
      </w:r>
      <w:proofErr w:type="spellEnd"/>
      <w:r w:rsidRPr="00B479AE">
        <w:rPr>
          <w:rFonts w:ascii="Baskerville Old Face" w:hAnsi="Baskerville Old Face"/>
          <w:i/>
          <w:iCs/>
        </w:rPr>
        <w:t>": "RELEASE_TIMESTAMP_UTC",</w:t>
      </w:r>
    </w:p>
    <w:p w14:paraId="223E632F"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proofErr w:type="gramStart"/>
      <w:r w:rsidRPr="00B479AE">
        <w:rPr>
          <w:rFonts w:ascii="Baskerville Old Face" w:hAnsi="Baskerville Old Face"/>
          <w:i/>
          <w:iCs/>
        </w:rPr>
        <w:t>developer</w:t>
      </w:r>
      <w:proofErr w:type="gramEnd"/>
      <w:r w:rsidRPr="00B479AE">
        <w:rPr>
          <w:rFonts w:ascii="Baskerville Old Face" w:hAnsi="Baskerville Old Face"/>
          <w:i/>
          <w:iCs/>
        </w:rPr>
        <w:t>_did</w:t>
      </w:r>
      <w:proofErr w:type="spellEnd"/>
      <w:r w:rsidRPr="00B479AE">
        <w:rPr>
          <w:rFonts w:ascii="Baskerville Old Face" w:hAnsi="Baskerville Old Face"/>
          <w:i/>
          <w:iCs/>
        </w:rPr>
        <w:t>": "</w:t>
      </w:r>
      <w:proofErr w:type="spellStart"/>
      <w:proofErr w:type="gramStart"/>
      <w:r w:rsidRPr="00B479AE">
        <w:rPr>
          <w:rFonts w:ascii="Baskerville Old Face" w:hAnsi="Baskerville Old Face"/>
          <w:i/>
          <w:iCs/>
        </w:rPr>
        <w:t>did:key</w:t>
      </w:r>
      <w:proofErr w:type="spellEnd"/>
      <w:r w:rsidRPr="00B479AE">
        <w:rPr>
          <w:rFonts w:ascii="Baskerville Old Face" w:hAnsi="Baskerville Old Face"/>
          <w:i/>
          <w:iCs/>
        </w:rPr>
        <w:t>:...</w:t>
      </w:r>
      <w:proofErr w:type="gramEnd"/>
      <w:r w:rsidRPr="00B479AE">
        <w:rPr>
          <w:rFonts w:ascii="Baskerville Old Face" w:hAnsi="Baskerville Old Face"/>
          <w:i/>
          <w:iCs/>
        </w:rPr>
        <w:t>",</w:t>
      </w:r>
    </w:p>
    <w:p w14:paraId="4E6FD6BE"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"signature": ""</w:t>
      </w:r>
    </w:p>
    <w:p w14:paraId="36110EB6" w14:textId="6D9F6F24"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 </w:t>
      </w:r>
    </w:p>
    <w:p w14:paraId="7F508F31"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timestamp_utc</w:t>
      </w:r>
      <w:proofErr w:type="spellEnd"/>
      <w:r w:rsidRPr="00B479AE">
        <w:rPr>
          <w:rFonts w:ascii="Baskerville Old Face" w:hAnsi="Baskerville Old Face"/>
          <w:i/>
          <w:iCs/>
        </w:rPr>
        <w:t xml:space="preserve"> field should identify the UTC timestamp of the canonical release artifact to which the header is attached.</w:t>
      </w:r>
    </w:p>
    <w:p w14:paraId="158E0B8C"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During pre-release preparation, RELEASE_TIMESTAMP_UTC functions as a placeholder.</w:t>
      </w:r>
    </w:p>
    <w:p w14:paraId="76A16478" w14:textId="77777777"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At canonical release, it should be replaced by the actual ISO 8601 UTC timestamp of the final exported, hashed, and signed release artifact.</w:t>
      </w:r>
    </w:p>
    <w:p w14:paraId="4407F25A" w14:textId="7711AD3B" w:rsidR="00FC1850" w:rsidRPr="00B479AE" w:rsidRDefault="00FC1850" w:rsidP="00FC1850">
      <w:pPr>
        <w:spacing w:line="360" w:lineRule="auto"/>
        <w:rPr>
          <w:rFonts w:ascii="Baskerville Old Face" w:hAnsi="Baskerville Old Face"/>
          <w:i/>
          <w:iCs/>
        </w:rPr>
      </w:pPr>
      <w:r w:rsidRPr="00B479AE">
        <w:rPr>
          <w:rFonts w:ascii="Baskerville Old Face" w:hAnsi="Baskerville Old Face"/>
          <w:i/>
          <w:iCs/>
        </w:rPr>
        <w:t>The timestamp should not refer to an earlier drafting date unless that date is also the actual canonical release timestamp.</w:t>
      </w:r>
    </w:p>
    <w:p w14:paraId="23038D7B" w14:textId="14770BEC"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D.2 Cryptographic signature process</w:t>
      </w:r>
    </w:p>
    <w:p w14:paraId="5A575A30" w14:textId="506B32F9"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The syntropic sovereignty header ensures that </w:t>
      </w:r>
      <w:r w:rsidR="00895BCD" w:rsidRPr="00895BCD">
        <w:rPr>
          <w:rFonts w:ascii="Baskerville Old Face" w:hAnsi="Baskerville Old Face"/>
          <w:i/>
          <w:iCs/>
        </w:rPr>
        <w:t>code module, validation rule, bridge interface, workflow, or legally structured digital instrument</w:t>
      </w:r>
      <w:r w:rsidR="00895BCD">
        <w:rPr>
          <w:rFonts w:ascii="Baskerville Old Face" w:hAnsi="Baskerville Old Face"/>
          <w:i/>
          <w:iCs/>
        </w:rPr>
        <w:t xml:space="preserve"> </w:t>
      </w:r>
      <w:r w:rsidRPr="00B479AE">
        <w:rPr>
          <w:rFonts w:ascii="Baskerville Old Face" w:hAnsi="Baskerville Old Face"/>
          <w:i/>
          <w:iCs/>
        </w:rPr>
        <w:t xml:space="preserve">circulating within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ecosystem carries a verifiable commitment to the constitutional principles.</w:t>
      </w:r>
    </w:p>
    <w:p w14:paraId="642BBE40"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D.2.1 Key management and DPKI integration</w:t>
      </w:r>
    </w:p>
    <w:p w14:paraId="7D2E7CC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Each developer or organization wishing to deploy code within the ecosystem must first register a Decentralized Public Key Infrastructure (DPKI) identity. The DPKI DNA, running on </w:t>
      </w:r>
      <w:proofErr w:type="spellStart"/>
      <w:r w:rsidRPr="00B479AE">
        <w:rPr>
          <w:rFonts w:ascii="Baskerville Old Face" w:hAnsi="Baskerville Old Face"/>
          <w:i/>
          <w:iCs/>
        </w:rPr>
        <w:t>Holochain</w:t>
      </w:r>
      <w:proofErr w:type="spellEnd"/>
      <w:r w:rsidRPr="00B479AE">
        <w:rPr>
          <w:rFonts w:ascii="Baskerville Old Face" w:hAnsi="Baskerville Old Face"/>
          <w:i/>
          <w:iCs/>
        </w:rPr>
        <w:t>, maintains a public registry of developer DIDs (Decentralized Identifiers) and their associated public keys. The registration process requires:</w:t>
      </w:r>
    </w:p>
    <w:p w14:paraId="7B75F532" w14:textId="77777777" w:rsidR="008E20E1" w:rsidRPr="00B479AE" w:rsidRDefault="008E20E1">
      <w:pPr>
        <w:numPr>
          <w:ilvl w:val="0"/>
          <w:numId w:val="4"/>
        </w:numPr>
        <w:spacing w:line="360" w:lineRule="auto"/>
        <w:rPr>
          <w:rFonts w:ascii="Baskerville Old Face" w:hAnsi="Baskerville Old Face"/>
          <w:i/>
          <w:iCs/>
        </w:rPr>
      </w:pPr>
      <w:r w:rsidRPr="00B479AE">
        <w:rPr>
          <w:rFonts w:ascii="Baskerville Old Face" w:hAnsi="Baskerville Old Face"/>
          <w:i/>
          <w:iCs/>
        </w:rPr>
        <w:t>A genesis entry containing the developer's public key and basic identity information</w:t>
      </w:r>
    </w:p>
    <w:p w14:paraId="774C78C5" w14:textId="77777777" w:rsidR="008E20E1" w:rsidRPr="00B479AE" w:rsidRDefault="008E20E1">
      <w:pPr>
        <w:numPr>
          <w:ilvl w:val="0"/>
          <w:numId w:val="4"/>
        </w:numPr>
        <w:spacing w:line="360" w:lineRule="auto"/>
        <w:rPr>
          <w:rFonts w:ascii="Baskerville Old Face" w:hAnsi="Baskerville Old Face"/>
          <w:i/>
          <w:iCs/>
        </w:rPr>
      </w:pPr>
      <w:r w:rsidRPr="00B479AE">
        <w:rPr>
          <w:rFonts w:ascii="Baskerville Old Face" w:hAnsi="Baskerville Old Face"/>
          <w:i/>
          <w:iCs/>
        </w:rPr>
        <w:t>Proof of control of the corresponding private key (via a signed challenge)</w:t>
      </w:r>
    </w:p>
    <w:p w14:paraId="088F5BB0" w14:textId="1C220148" w:rsidR="003E0920" w:rsidRPr="00B479AE" w:rsidRDefault="003E0920">
      <w:pPr>
        <w:numPr>
          <w:ilvl w:val="0"/>
          <w:numId w:val="4"/>
        </w:numPr>
        <w:spacing w:line="360" w:lineRule="auto"/>
        <w:rPr>
          <w:rFonts w:ascii="Baskerville Old Face" w:hAnsi="Baskerville Old Face"/>
          <w:i/>
          <w:iCs/>
        </w:rPr>
      </w:pPr>
      <w:r w:rsidRPr="003E0920">
        <w:rPr>
          <w:rFonts w:ascii="Baskerville Old Face" w:hAnsi="Baskerville Old Face"/>
          <w:i/>
          <w:iCs/>
        </w:rPr>
        <w:t>A governance-approved registration assurance mechanism, where applicable, which must not imply automatic token forfeiture, slashing, economic penalty, or constitutional authority unless separately structured, disclosed, reviewed, and legally validated.</w:t>
      </w:r>
    </w:p>
    <w:p w14:paraId="6FDD6D3E"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The DPKI registry is itself a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DNA, ensuring that it is:</w:t>
      </w:r>
    </w:p>
    <w:p w14:paraId="1CB4E05B" w14:textId="77777777" w:rsidR="008E20E1" w:rsidRPr="00B479AE" w:rsidRDefault="008E20E1">
      <w:pPr>
        <w:numPr>
          <w:ilvl w:val="0"/>
          <w:numId w:val="5"/>
        </w:numPr>
        <w:spacing w:line="360" w:lineRule="auto"/>
        <w:rPr>
          <w:rFonts w:ascii="Baskerville Old Face" w:hAnsi="Baskerville Old Face"/>
          <w:i/>
          <w:iCs/>
        </w:rPr>
      </w:pPr>
      <w:r w:rsidRPr="00B479AE">
        <w:rPr>
          <w:rFonts w:ascii="Baskerville Old Face" w:hAnsi="Baskerville Old Face"/>
          <w:i/>
          <w:iCs/>
        </w:rPr>
        <w:lastRenderedPageBreak/>
        <w:t>Tamper-evident: all changes are recorded on source chains and validated by the DHT</w:t>
      </w:r>
    </w:p>
    <w:p w14:paraId="620FCE36" w14:textId="77777777" w:rsidR="008E20E1" w:rsidRPr="00B479AE" w:rsidRDefault="008E20E1">
      <w:pPr>
        <w:numPr>
          <w:ilvl w:val="0"/>
          <w:numId w:val="5"/>
        </w:numPr>
        <w:spacing w:line="360" w:lineRule="auto"/>
        <w:rPr>
          <w:rFonts w:ascii="Baskerville Old Face" w:hAnsi="Baskerville Old Face"/>
          <w:i/>
          <w:iCs/>
        </w:rPr>
      </w:pPr>
      <w:r w:rsidRPr="00B479AE">
        <w:rPr>
          <w:rFonts w:ascii="Baskerville Old Face" w:hAnsi="Baskerville Old Face"/>
          <w:i/>
          <w:iCs/>
        </w:rPr>
        <w:t>Globally accessible: any node can resolve a DID to its current public key</w:t>
      </w:r>
    </w:p>
    <w:p w14:paraId="1366CE94" w14:textId="77777777" w:rsidR="008E20E1" w:rsidRPr="00B479AE" w:rsidRDefault="008E20E1">
      <w:pPr>
        <w:numPr>
          <w:ilvl w:val="0"/>
          <w:numId w:val="5"/>
        </w:numPr>
        <w:spacing w:line="360" w:lineRule="auto"/>
        <w:rPr>
          <w:rFonts w:ascii="Baskerville Old Face" w:hAnsi="Baskerville Old Face"/>
          <w:i/>
          <w:iCs/>
        </w:rPr>
      </w:pPr>
      <w:r w:rsidRPr="00B479AE">
        <w:rPr>
          <w:rFonts w:ascii="Baskerville Old Face" w:hAnsi="Baskerville Old Face"/>
          <w:i/>
          <w:iCs/>
        </w:rPr>
        <w:t>Revocable: developers can rotate keys or revoke compromised keys through a governance-approved process</w:t>
      </w:r>
    </w:p>
    <w:p w14:paraId="5425A07B" w14:textId="77777777" w:rsidR="002A5030" w:rsidRPr="00B479AE" w:rsidRDefault="002A5030" w:rsidP="002A5030">
      <w:pPr>
        <w:spacing w:line="360" w:lineRule="auto"/>
        <w:ind w:left="360"/>
        <w:rPr>
          <w:rFonts w:ascii="Baskerville Old Face" w:hAnsi="Baskerville Old Face"/>
          <w:i/>
          <w:iCs/>
        </w:rPr>
      </w:pPr>
    </w:p>
    <w:p w14:paraId="6A0FB8E3"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D.2.2 Header signing procedure</w:t>
      </w:r>
    </w:p>
    <w:p w14:paraId="7834D45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When a developer prepares a module for deployment, they must generate a syntropic sovereignty header and sign it with their private key. The procedure is as follows:</w:t>
      </w:r>
    </w:p>
    <w:p w14:paraId="1DC34C27" w14:textId="77777777" w:rsidR="008E20E1" w:rsidRPr="00B479AE" w:rsidRDefault="008E20E1">
      <w:pPr>
        <w:numPr>
          <w:ilvl w:val="0"/>
          <w:numId w:val="6"/>
        </w:numPr>
        <w:spacing w:line="360" w:lineRule="auto"/>
        <w:rPr>
          <w:rFonts w:ascii="Baskerville Old Face" w:hAnsi="Baskerville Old Face"/>
          <w:i/>
          <w:iCs/>
        </w:rPr>
      </w:pPr>
      <w:r w:rsidRPr="00B479AE">
        <w:rPr>
          <w:rFonts w:ascii="Baskerville Old Face" w:hAnsi="Baskerville Old Face"/>
          <w:i/>
          <w:iCs/>
        </w:rPr>
        <w:t>Assemble header fields:</w:t>
      </w:r>
    </w:p>
    <w:p w14:paraId="684D2458"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 xml:space="preserve">Set </w:t>
      </w:r>
      <w:proofErr w:type="spellStart"/>
      <w:r w:rsidRPr="00B479AE">
        <w:rPr>
          <w:rFonts w:ascii="Baskerville Old Face" w:hAnsi="Baskerville Old Face"/>
          <w:i/>
          <w:iCs/>
        </w:rPr>
        <w:t>header_version</w:t>
      </w:r>
      <w:proofErr w:type="spellEnd"/>
      <w:r w:rsidRPr="00B479AE">
        <w:rPr>
          <w:rFonts w:ascii="Baskerville Old Face" w:hAnsi="Baskerville Old Face"/>
          <w:i/>
          <w:iCs/>
        </w:rPr>
        <w:t xml:space="preserve"> to the current version (e.g., "1.0").</w:t>
      </w:r>
    </w:p>
    <w:p w14:paraId="72783C4D"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Compute SHA-256 hashes of the three constitutionally incorporated documents:</w:t>
      </w:r>
    </w:p>
    <w:p w14:paraId="09AE4B3D" w14:textId="77777777" w:rsidR="008E20E1" w:rsidRPr="00B479AE" w:rsidRDefault="008E20E1">
      <w:pPr>
        <w:numPr>
          <w:ilvl w:val="2"/>
          <w:numId w:val="6"/>
        </w:numPr>
        <w:spacing w:line="360" w:lineRule="auto"/>
        <w:rPr>
          <w:rFonts w:ascii="Baskerville Old Face" w:hAnsi="Baskerville Old Face"/>
          <w:i/>
          <w:iCs/>
        </w:rPr>
      </w:pPr>
      <w:proofErr w:type="spellStart"/>
      <w:r w:rsidRPr="00B479AE">
        <w:rPr>
          <w:rFonts w:ascii="Baskerville Old Face" w:hAnsi="Baskerville Old Face"/>
          <w:i/>
          <w:iCs/>
        </w:rPr>
        <w:t>constitution_hash</w:t>
      </w:r>
      <w:proofErr w:type="spellEnd"/>
      <w:r w:rsidRPr="00B479AE">
        <w:rPr>
          <w:rFonts w:ascii="Baskerville Old Face" w:hAnsi="Baskerville Old Face"/>
          <w:i/>
          <w:iCs/>
        </w:rPr>
        <w:t xml:space="preserve"> = SHA256(Syntropic_Sovereignty_Header.md)</w:t>
      </w:r>
    </w:p>
    <w:p w14:paraId="7E8920F9" w14:textId="77777777" w:rsidR="008E20E1" w:rsidRPr="005907F1" w:rsidRDefault="008E20E1">
      <w:pPr>
        <w:numPr>
          <w:ilvl w:val="2"/>
          <w:numId w:val="6"/>
        </w:numPr>
        <w:spacing w:line="360" w:lineRule="auto"/>
        <w:rPr>
          <w:rFonts w:ascii="Baskerville Old Face" w:hAnsi="Baskerville Old Face"/>
          <w:i/>
          <w:iCs/>
          <w:lang w:val="it-IT"/>
        </w:rPr>
      </w:pPr>
      <w:proofErr w:type="spellStart"/>
      <w:r w:rsidRPr="005907F1">
        <w:rPr>
          <w:rFonts w:ascii="Baskerville Old Face" w:hAnsi="Baskerville Old Face"/>
          <w:i/>
          <w:iCs/>
          <w:lang w:val="it-IT"/>
        </w:rPr>
        <w:t>manifesto_hash</w:t>
      </w:r>
      <w:proofErr w:type="spellEnd"/>
      <w:r w:rsidRPr="005907F1">
        <w:rPr>
          <w:rFonts w:ascii="Baskerville Old Face" w:hAnsi="Baskerville Old Face"/>
          <w:i/>
          <w:iCs/>
          <w:lang w:val="it-IT"/>
        </w:rPr>
        <w:t xml:space="preserve"> = SHA256(h•eart•h_Intelligence_Manifesto.md)</w:t>
      </w:r>
    </w:p>
    <w:p w14:paraId="6DC2EB0A" w14:textId="77777777" w:rsidR="008E20E1" w:rsidRPr="00B479AE" w:rsidRDefault="008E20E1">
      <w:pPr>
        <w:numPr>
          <w:ilvl w:val="2"/>
          <w:numId w:val="6"/>
        </w:numPr>
        <w:spacing w:line="360" w:lineRule="auto"/>
        <w:rPr>
          <w:rFonts w:ascii="Baskerville Old Face" w:hAnsi="Baskerville Old Face"/>
          <w:i/>
          <w:iCs/>
        </w:rPr>
      </w:pPr>
      <w:proofErr w:type="spellStart"/>
      <w:r w:rsidRPr="00B479AE">
        <w:rPr>
          <w:rFonts w:ascii="Baskerville Old Face" w:hAnsi="Baskerville Old Face"/>
          <w:i/>
          <w:iCs/>
        </w:rPr>
        <w:t>license_hash</w:t>
      </w:r>
      <w:proofErr w:type="spellEnd"/>
      <w:r w:rsidRPr="00B479AE">
        <w:rPr>
          <w:rFonts w:ascii="Baskerville Old Face" w:hAnsi="Baskerville Old Face"/>
          <w:i/>
          <w:iCs/>
        </w:rPr>
        <w:t xml:space="preserve"> = SHA256(CAL-1.0_Syntropic_rider_license.md)</w:t>
      </w:r>
    </w:p>
    <w:p w14:paraId="69BFBEC3"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Include the canonical list of core principles in the principles array.</w:t>
      </w:r>
    </w:p>
    <w:p w14:paraId="7C0640D6"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Set timestamp to the current UTC time in ISO 8601 format.</w:t>
      </w:r>
    </w:p>
    <w:p w14:paraId="16F25791"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 xml:space="preserve">Include the developer's DID (obtained from DPKI) in the </w:t>
      </w:r>
      <w:proofErr w:type="spellStart"/>
      <w:r w:rsidRPr="00B479AE">
        <w:rPr>
          <w:rFonts w:ascii="Baskerville Old Face" w:hAnsi="Baskerville Old Face"/>
          <w:i/>
          <w:iCs/>
        </w:rPr>
        <w:t>developer_did</w:t>
      </w:r>
      <w:proofErr w:type="spellEnd"/>
      <w:r w:rsidRPr="00B479AE">
        <w:rPr>
          <w:rFonts w:ascii="Baskerville Old Face" w:hAnsi="Baskerville Old Face"/>
          <w:i/>
          <w:iCs/>
        </w:rPr>
        <w:t xml:space="preserve"> field.</w:t>
      </w:r>
    </w:p>
    <w:p w14:paraId="6A161909" w14:textId="77777777" w:rsidR="008E20E1" w:rsidRPr="00B479AE" w:rsidRDefault="008E20E1">
      <w:pPr>
        <w:numPr>
          <w:ilvl w:val="0"/>
          <w:numId w:val="6"/>
        </w:numPr>
        <w:spacing w:line="360" w:lineRule="auto"/>
        <w:rPr>
          <w:rFonts w:ascii="Baskerville Old Face" w:hAnsi="Baskerville Old Face"/>
          <w:i/>
          <w:iCs/>
        </w:rPr>
      </w:pPr>
      <w:r w:rsidRPr="00B479AE">
        <w:rPr>
          <w:rFonts w:ascii="Baskerville Old Face" w:hAnsi="Baskerville Old Face"/>
          <w:i/>
          <w:iCs/>
        </w:rPr>
        <w:t>Serialize the header (excluding the signature field) into a canonical JSON string. The serialization must follow strict rules to ensure reproducibility:</w:t>
      </w:r>
    </w:p>
    <w:p w14:paraId="6CCB536C"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Keys are sorted lexicographically</w:t>
      </w:r>
    </w:p>
    <w:p w14:paraId="4F4C3851"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No extra whitespace</w:t>
      </w:r>
    </w:p>
    <w:p w14:paraId="3A194C6D"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Arrays maintain their order</w:t>
      </w:r>
    </w:p>
    <w:p w14:paraId="7795B2A2" w14:textId="77777777" w:rsidR="008E20E1" w:rsidRPr="00B479AE" w:rsidRDefault="008E20E1">
      <w:pPr>
        <w:numPr>
          <w:ilvl w:val="0"/>
          <w:numId w:val="6"/>
        </w:numPr>
        <w:spacing w:line="360" w:lineRule="auto"/>
        <w:rPr>
          <w:rFonts w:ascii="Baskerville Old Face" w:hAnsi="Baskerville Old Face"/>
          <w:i/>
          <w:iCs/>
        </w:rPr>
      </w:pPr>
      <w:r w:rsidRPr="00B479AE">
        <w:rPr>
          <w:rFonts w:ascii="Baskerville Old Face" w:hAnsi="Baskerville Old Face"/>
          <w:i/>
          <w:iCs/>
        </w:rPr>
        <w:t>Compute the signature:</w:t>
      </w:r>
    </w:p>
    <w:p w14:paraId="44F2E42B"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lastRenderedPageBreak/>
        <w:t>Hash the canonical JSON string using SHA-256 to produce a message digest.</w:t>
      </w:r>
    </w:p>
    <w:p w14:paraId="35280E14"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Sign the digest using the developer's private key with the Ed25519 signature algorithm.</w:t>
      </w:r>
    </w:p>
    <w:p w14:paraId="5CB0E18B" w14:textId="77777777" w:rsidR="008E20E1" w:rsidRPr="00B479AE" w:rsidRDefault="008E20E1">
      <w:pPr>
        <w:numPr>
          <w:ilvl w:val="1"/>
          <w:numId w:val="6"/>
        </w:numPr>
        <w:spacing w:line="360" w:lineRule="auto"/>
        <w:rPr>
          <w:rFonts w:ascii="Baskerville Old Face" w:hAnsi="Baskerville Old Face"/>
          <w:i/>
          <w:iCs/>
        </w:rPr>
      </w:pPr>
      <w:r w:rsidRPr="00B479AE">
        <w:rPr>
          <w:rFonts w:ascii="Baskerville Old Face" w:hAnsi="Baskerville Old Face"/>
          <w:i/>
          <w:iCs/>
        </w:rPr>
        <w:t>Encode the resulting signature in Base64 and store it in the signature field.</w:t>
      </w:r>
    </w:p>
    <w:p w14:paraId="08C967E4" w14:textId="77777777" w:rsidR="008E20E1" w:rsidRPr="00B479AE" w:rsidRDefault="008E20E1">
      <w:pPr>
        <w:numPr>
          <w:ilvl w:val="0"/>
          <w:numId w:val="6"/>
        </w:numPr>
        <w:spacing w:line="360" w:lineRule="auto"/>
        <w:rPr>
          <w:rFonts w:ascii="Baskerville Old Face" w:hAnsi="Baskerville Old Face"/>
          <w:i/>
          <w:iCs/>
        </w:rPr>
      </w:pPr>
      <w:r w:rsidRPr="00B479AE">
        <w:rPr>
          <w:rFonts w:ascii="Baskerville Old Face" w:hAnsi="Baskerville Old Face"/>
          <w:i/>
          <w:iCs/>
        </w:rPr>
        <w:t>Embed the complete header at the beginning of the module or data packet.</w:t>
      </w:r>
    </w:p>
    <w:p w14:paraId="31A359DD"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D.2.3 Signature verification algorithm</w:t>
      </w:r>
    </w:p>
    <w:p w14:paraId="62BB4A6D"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Every node that receives a module or packet MUST independently verify the syntropic sovereignty header before accepting or executing it.</w:t>
      </w:r>
    </w:p>
    <w:p w14:paraId="46231AF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text</w:t>
      </w:r>
    </w:p>
    <w:p w14:paraId="4BCDD6E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function </w:t>
      </w:r>
      <w:proofErr w:type="spellStart"/>
      <w:r w:rsidRPr="00B479AE">
        <w:rPr>
          <w:rFonts w:ascii="Baskerville Old Face" w:hAnsi="Baskerville Old Face"/>
          <w:i/>
          <w:iCs/>
        </w:rPr>
        <w:t>verify_header</w:t>
      </w:r>
      <w:proofErr w:type="spellEnd"/>
      <w:r w:rsidRPr="00B479AE">
        <w:rPr>
          <w:rFonts w:ascii="Baskerville Old Face" w:hAnsi="Baskerville Old Face"/>
          <w:i/>
          <w:iCs/>
        </w:rPr>
        <w:t>(module):</w:t>
      </w:r>
    </w:p>
    <w:p w14:paraId="32BB75ED"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1: Extract header</w:t>
      </w:r>
    </w:p>
    <w:p w14:paraId="5CA7DC8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header = </w:t>
      </w:r>
      <w:proofErr w:type="spellStart"/>
      <w:r w:rsidRPr="00B479AE">
        <w:rPr>
          <w:rFonts w:ascii="Baskerville Old Face" w:hAnsi="Baskerville Old Face"/>
          <w:i/>
          <w:iCs/>
        </w:rPr>
        <w:t>extract_json_header</w:t>
      </w:r>
      <w:proofErr w:type="spellEnd"/>
      <w:r w:rsidRPr="00B479AE">
        <w:rPr>
          <w:rFonts w:ascii="Baskerville Old Face" w:hAnsi="Baskerville Old Face"/>
          <w:i/>
          <w:iCs/>
        </w:rPr>
        <w:t>(module)</w:t>
      </w:r>
    </w:p>
    <w:p w14:paraId="2EC4730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header is malformed or missing required fields:</w:t>
      </w:r>
    </w:p>
    <w:p w14:paraId="417C8AC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"Malformed header")</w:t>
      </w:r>
    </w:p>
    <w:p w14:paraId="51F8F4D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2: Verify document hashes</w:t>
      </w:r>
    </w:p>
    <w:p w14:paraId="56D53C2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local_constitution_hash</w:t>
      </w:r>
      <w:proofErr w:type="spellEnd"/>
      <w:r w:rsidRPr="00B479AE">
        <w:rPr>
          <w:rFonts w:ascii="Baskerville Old Face" w:hAnsi="Baskerville Old Face"/>
          <w:i/>
          <w:iCs/>
        </w:rPr>
        <w:t xml:space="preserve"> = sha256(</w:t>
      </w:r>
      <w:proofErr w:type="spellStart"/>
      <w:r w:rsidRPr="00B479AE">
        <w:rPr>
          <w:rFonts w:ascii="Baskerville Old Face" w:hAnsi="Baskerville Old Face"/>
          <w:i/>
          <w:iCs/>
        </w:rPr>
        <w:t>get_constitution_</w:t>
      </w:r>
      <w:proofErr w:type="gramStart"/>
      <w:r w:rsidRPr="00B479AE">
        <w:rPr>
          <w:rFonts w:ascii="Baskerville Old Face" w:hAnsi="Baskerville Old Face"/>
          <w:i/>
          <w:iCs/>
        </w:rPr>
        <w:t>file</w:t>
      </w:r>
      <w:proofErr w:type="spellEnd"/>
      <w:r w:rsidRPr="00B479AE">
        <w:rPr>
          <w:rFonts w:ascii="Baskerville Old Face" w:hAnsi="Baskerville Old Face"/>
          <w:i/>
          <w:iCs/>
        </w:rPr>
        <w:t>(</w:t>
      </w:r>
      <w:proofErr w:type="gramEnd"/>
      <w:r w:rsidRPr="00B479AE">
        <w:rPr>
          <w:rFonts w:ascii="Baskerville Old Face" w:hAnsi="Baskerville Old Face"/>
          <w:i/>
          <w:iCs/>
        </w:rPr>
        <w:t>))</w:t>
      </w:r>
    </w:p>
    <w:p w14:paraId="4D72C8BD"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w:t>
      </w:r>
      <w:proofErr w:type="spellStart"/>
      <w:proofErr w:type="gramStart"/>
      <w:r w:rsidRPr="00B479AE">
        <w:rPr>
          <w:rFonts w:ascii="Baskerville Old Face" w:hAnsi="Baskerville Old Face"/>
          <w:i/>
          <w:iCs/>
        </w:rPr>
        <w:t>header.constitution</w:t>
      </w:r>
      <w:proofErr w:type="gramEnd"/>
      <w:r w:rsidRPr="00B479AE">
        <w:rPr>
          <w:rFonts w:ascii="Baskerville Old Face" w:hAnsi="Baskerville Old Face"/>
          <w:i/>
          <w:iCs/>
        </w:rPr>
        <w:t>_</w:t>
      </w:r>
      <w:proofErr w:type="gramStart"/>
      <w:r w:rsidRPr="00B479AE">
        <w:rPr>
          <w:rFonts w:ascii="Baskerville Old Face" w:hAnsi="Baskerville Old Face"/>
          <w:i/>
          <w:iCs/>
        </w:rPr>
        <w:t>hash</w:t>
      </w:r>
      <w:proofErr w:type="spellEnd"/>
      <w:r w:rsidRPr="00B479AE">
        <w:rPr>
          <w:rFonts w:ascii="Baskerville Old Face" w:hAnsi="Baskerville Old Face"/>
          <w:i/>
          <w:iCs/>
        </w:rPr>
        <w:t xml:space="preserve"> !</w:t>
      </w:r>
      <w:proofErr w:type="gramEnd"/>
      <w:r w:rsidRPr="00B479AE">
        <w:rPr>
          <w:rFonts w:ascii="Baskerville Old Face" w:hAnsi="Baskerville Old Face"/>
          <w:i/>
          <w:iCs/>
        </w:rPr>
        <w:t xml:space="preserve">= </w:t>
      </w:r>
      <w:proofErr w:type="spellStart"/>
      <w:r w:rsidRPr="00B479AE">
        <w:rPr>
          <w:rFonts w:ascii="Baskerville Old Face" w:hAnsi="Baskerville Old Face"/>
          <w:i/>
          <w:iCs/>
        </w:rPr>
        <w:t>local_constitution_hash</w:t>
      </w:r>
      <w:proofErr w:type="spellEnd"/>
      <w:r w:rsidRPr="00B479AE">
        <w:rPr>
          <w:rFonts w:ascii="Baskerville Old Face" w:hAnsi="Baskerville Old Face"/>
          <w:i/>
          <w:iCs/>
        </w:rPr>
        <w:t>:</w:t>
      </w:r>
    </w:p>
    <w:p w14:paraId="478BE98E"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"Constitution hash mismatch")</w:t>
      </w:r>
    </w:p>
    <w:p w14:paraId="5D8BBFD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local_manifesto_hash</w:t>
      </w:r>
      <w:proofErr w:type="spellEnd"/>
      <w:r w:rsidRPr="00B479AE">
        <w:rPr>
          <w:rFonts w:ascii="Baskerville Old Face" w:hAnsi="Baskerville Old Face"/>
          <w:i/>
          <w:iCs/>
        </w:rPr>
        <w:t xml:space="preserve"> = sha256(</w:t>
      </w:r>
      <w:proofErr w:type="spellStart"/>
      <w:r w:rsidRPr="00B479AE">
        <w:rPr>
          <w:rFonts w:ascii="Baskerville Old Face" w:hAnsi="Baskerville Old Face"/>
          <w:i/>
          <w:iCs/>
        </w:rPr>
        <w:t>get_manifesto_</w:t>
      </w:r>
      <w:proofErr w:type="gramStart"/>
      <w:r w:rsidRPr="00B479AE">
        <w:rPr>
          <w:rFonts w:ascii="Baskerville Old Face" w:hAnsi="Baskerville Old Face"/>
          <w:i/>
          <w:iCs/>
        </w:rPr>
        <w:t>file</w:t>
      </w:r>
      <w:proofErr w:type="spellEnd"/>
      <w:r w:rsidRPr="00B479AE">
        <w:rPr>
          <w:rFonts w:ascii="Baskerville Old Face" w:hAnsi="Baskerville Old Face"/>
          <w:i/>
          <w:iCs/>
        </w:rPr>
        <w:t>(</w:t>
      </w:r>
      <w:proofErr w:type="gramEnd"/>
      <w:r w:rsidRPr="00B479AE">
        <w:rPr>
          <w:rFonts w:ascii="Baskerville Old Face" w:hAnsi="Baskerville Old Face"/>
          <w:i/>
          <w:iCs/>
        </w:rPr>
        <w:t>))</w:t>
      </w:r>
    </w:p>
    <w:p w14:paraId="554B20A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w:t>
      </w:r>
      <w:proofErr w:type="spellStart"/>
      <w:proofErr w:type="gramStart"/>
      <w:r w:rsidRPr="00B479AE">
        <w:rPr>
          <w:rFonts w:ascii="Baskerville Old Face" w:hAnsi="Baskerville Old Face"/>
          <w:i/>
          <w:iCs/>
        </w:rPr>
        <w:t>header.manifesto</w:t>
      </w:r>
      <w:proofErr w:type="gramEnd"/>
      <w:r w:rsidRPr="00B479AE">
        <w:rPr>
          <w:rFonts w:ascii="Baskerville Old Face" w:hAnsi="Baskerville Old Face"/>
          <w:i/>
          <w:iCs/>
        </w:rPr>
        <w:t>_</w:t>
      </w:r>
      <w:proofErr w:type="gramStart"/>
      <w:r w:rsidRPr="00B479AE">
        <w:rPr>
          <w:rFonts w:ascii="Baskerville Old Face" w:hAnsi="Baskerville Old Face"/>
          <w:i/>
          <w:iCs/>
        </w:rPr>
        <w:t>hash</w:t>
      </w:r>
      <w:proofErr w:type="spellEnd"/>
      <w:r w:rsidRPr="00B479AE">
        <w:rPr>
          <w:rFonts w:ascii="Baskerville Old Face" w:hAnsi="Baskerville Old Face"/>
          <w:i/>
          <w:iCs/>
        </w:rPr>
        <w:t xml:space="preserve"> !</w:t>
      </w:r>
      <w:proofErr w:type="gramEnd"/>
      <w:r w:rsidRPr="00B479AE">
        <w:rPr>
          <w:rFonts w:ascii="Baskerville Old Face" w:hAnsi="Baskerville Old Face"/>
          <w:i/>
          <w:iCs/>
        </w:rPr>
        <w:t xml:space="preserve">= </w:t>
      </w:r>
      <w:proofErr w:type="spellStart"/>
      <w:r w:rsidRPr="00B479AE">
        <w:rPr>
          <w:rFonts w:ascii="Baskerville Old Face" w:hAnsi="Baskerville Old Face"/>
          <w:i/>
          <w:iCs/>
        </w:rPr>
        <w:t>local_manifesto_hash</w:t>
      </w:r>
      <w:proofErr w:type="spellEnd"/>
      <w:r w:rsidRPr="00B479AE">
        <w:rPr>
          <w:rFonts w:ascii="Baskerville Old Face" w:hAnsi="Baskerville Old Face"/>
          <w:i/>
          <w:iCs/>
        </w:rPr>
        <w:t>:</w:t>
      </w:r>
    </w:p>
    <w:p w14:paraId="3E306B1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"Manifesto hash mismatch")</w:t>
      </w:r>
    </w:p>
    <w:p w14:paraId="6288B1E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local_license_hash</w:t>
      </w:r>
      <w:proofErr w:type="spellEnd"/>
      <w:r w:rsidRPr="00B479AE">
        <w:rPr>
          <w:rFonts w:ascii="Baskerville Old Face" w:hAnsi="Baskerville Old Face"/>
          <w:i/>
          <w:iCs/>
        </w:rPr>
        <w:t xml:space="preserve"> = sha256(</w:t>
      </w:r>
      <w:proofErr w:type="spellStart"/>
      <w:r w:rsidRPr="00B479AE">
        <w:rPr>
          <w:rFonts w:ascii="Baskerville Old Face" w:hAnsi="Baskerville Old Face"/>
          <w:i/>
          <w:iCs/>
        </w:rPr>
        <w:t>get_license_</w:t>
      </w:r>
      <w:proofErr w:type="gramStart"/>
      <w:r w:rsidRPr="00B479AE">
        <w:rPr>
          <w:rFonts w:ascii="Baskerville Old Face" w:hAnsi="Baskerville Old Face"/>
          <w:i/>
          <w:iCs/>
        </w:rPr>
        <w:t>file</w:t>
      </w:r>
      <w:proofErr w:type="spellEnd"/>
      <w:r w:rsidRPr="00B479AE">
        <w:rPr>
          <w:rFonts w:ascii="Baskerville Old Face" w:hAnsi="Baskerville Old Face"/>
          <w:i/>
          <w:iCs/>
        </w:rPr>
        <w:t>(</w:t>
      </w:r>
      <w:proofErr w:type="gramEnd"/>
      <w:r w:rsidRPr="00B479AE">
        <w:rPr>
          <w:rFonts w:ascii="Baskerville Old Face" w:hAnsi="Baskerville Old Face"/>
          <w:i/>
          <w:iCs/>
        </w:rPr>
        <w:t>))</w:t>
      </w:r>
    </w:p>
    <w:p w14:paraId="311D203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w:t>
      </w:r>
      <w:proofErr w:type="spellStart"/>
      <w:proofErr w:type="gramStart"/>
      <w:r w:rsidRPr="00B479AE">
        <w:rPr>
          <w:rFonts w:ascii="Baskerville Old Face" w:hAnsi="Baskerville Old Face"/>
          <w:i/>
          <w:iCs/>
        </w:rPr>
        <w:t>header.license</w:t>
      </w:r>
      <w:proofErr w:type="gramEnd"/>
      <w:r w:rsidRPr="00B479AE">
        <w:rPr>
          <w:rFonts w:ascii="Baskerville Old Face" w:hAnsi="Baskerville Old Face"/>
          <w:i/>
          <w:iCs/>
        </w:rPr>
        <w:t>_</w:t>
      </w:r>
      <w:proofErr w:type="gramStart"/>
      <w:r w:rsidRPr="00B479AE">
        <w:rPr>
          <w:rFonts w:ascii="Baskerville Old Face" w:hAnsi="Baskerville Old Face"/>
          <w:i/>
          <w:iCs/>
        </w:rPr>
        <w:t>hash</w:t>
      </w:r>
      <w:proofErr w:type="spellEnd"/>
      <w:r w:rsidRPr="00B479AE">
        <w:rPr>
          <w:rFonts w:ascii="Baskerville Old Face" w:hAnsi="Baskerville Old Face"/>
          <w:i/>
          <w:iCs/>
        </w:rPr>
        <w:t xml:space="preserve"> !</w:t>
      </w:r>
      <w:proofErr w:type="gramEnd"/>
      <w:r w:rsidRPr="00B479AE">
        <w:rPr>
          <w:rFonts w:ascii="Baskerville Old Face" w:hAnsi="Baskerville Old Face"/>
          <w:i/>
          <w:iCs/>
        </w:rPr>
        <w:t xml:space="preserve">= </w:t>
      </w:r>
      <w:proofErr w:type="spellStart"/>
      <w:r w:rsidRPr="00B479AE">
        <w:rPr>
          <w:rFonts w:ascii="Baskerville Old Face" w:hAnsi="Baskerville Old Face"/>
          <w:i/>
          <w:iCs/>
        </w:rPr>
        <w:t>local_license_hash</w:t>
      </w:r>
      <w:proofErr w:type="spellEnd"/>
      <w:r w:rsidRPr="00B479AE">
        <w:rPr>
          <w:rFonts w:ascii="Baskerville Old Face" w:hAnsi="Baskerville Old Face"/>
          <w:i/>
          <w:iCs/>
        </w:rPr>
        <w:t>:</w:t>
      </w:r>
    </w:p>
    <w:p w14:paraId="4569B42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"License hash mismatch")</w:t>
      </w:r>
    </w:p>
    <w:p w14:paraId="06BFA61E"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3: Verify core principles</w:t>
      </w:r>
    </w:p>
    <w:p w14:paraId="015488C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required_principles</w:t>
      </w:r>
      <w:proofErr w:type="spellEnd"/>
      <w:r w:rsidRPr="00B479AE">
        <w:rPr>
          <w:rFonts w:ascii="Baskerville Old Face" w:hAnsi="Baskerville Old Face"/>
          <w:i/>
          <w:iCs/>
        </w:rPr>
        <w:t xml:space="preserve"> = [</w:t>
      </w:r>
    </w:p>
    <w:p w14:paraId="230FBD0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spiral</w:t>
      </w:r>
      <w:proofErr w:type="gramEnd"/>
      <w:r w:rsidRPr="00B479AE">
        <w:rPr>
          <w:rFonts w:ascii="Baskerville Old Face" w:hAnsi="Baskerville Old Face"/>
          <w:i/>
          <w:iCs/>
        </w:rPr>
        <w:t>_of_abundance</w:t>
      </w:r>
      <w:proofErr w:type="spellEnd"/>
      <w:r w:rsidRPr="00B479AE">
        <w:rPr>
          <w:rFonts w:ascii="Baskerville Old Face" w:hAnsi="Baskerville Old Face"/>
          <w:i/>
          <w:iCs/>
        </w:rPr>
        <w:t>",</w:t>
      </w:r>
    </w:p>
    <w:p w14:paraId="2DD4A85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planetary</w:t>
      </w:r>
      <w:proofErr w:type="gramEnd"/>
      <w:r w:rsidRPr="00B479AE">
        <w:rPr>
          <w:rFonts w:ascii="Baskerville Old Face" w:hAnsi="Baskerville Old Face"/>
          <w:i/>
          <w:iCs/>
        </w:rPr>
        <w:t>_boundaries</w:t>
      </w:r>
      <w:proofErr w:type="spellEnd"/>
      <w:r w:rsidRPr="00B479AE">
        <w:rPr>
          <w:rFonts w:ascii="Baskerville Old Face" w:hAnsi="Baskerville Old Face"/>
          <w:i/>
          <w:iCs/>
        </w:rPr>
        <w:t>",</w:t>
      </w:r>
    </w:p>
    <w:p w14:paraId="524A0EE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non</w:t>
      </w:r>
      <w:proofErr w:type="gramEnd"/>
      <w:r w:rsidRPr="00B479AE">
        <w:rPr>
          <w:rFonts w:ascii="Baskerville Old Face" w:hAnsi="Baskerville Old Face"/>
          <w:i/>
          <w:iCs/>
        </w:rPr>
        <w:t>_commodification_of_life</w:t>
      </w:r>
      <w:proofErr w:type="spellEnd"/>
      <w:r w:rsidRPr="00B479AE">
        <w:rPr>
          <w:rFonts w:ascii="Baskerville Old Face" w:hAnsi="Baskerville Old Face"/>
          <w:i/>
          <w:iCs/>
        </w:rPr>
        <w:t>",</w:t>
      </w:r>
    </w:p>
    <w:p w14:paraId="7E2A32C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agent</w:t>
      </w:r>
      <w:proofErr w:type="gramEnd"/>
      <w:r w:rsidRPr="00B479AE">
        <w:rPr>
          <w:rFonts w:ascii="Baskerville Old Face" w:hAnsi="Baskerville Old Face"/>
          <w:i/>
          <w:iCs/>
        </w:rPr>
        <w:t>_sovereignty</w:t>
      </w:r>
      <w:proofErr w:type="spellEnd"/>
      <w:r w:rsidRPr="00B479AE">
        <w:rPr>
          <w:rFonts w:ascii="Baskerville Old Face" w:hAnsi="Baskerville Old Face"/>
          <w:i/>
          <w:iCs/>
        </w:rPr>
        <w:t>",</w:t>
      </w:r>
    </w:p>
    <w:p w14:paraId="33EA0A41" w14:textId="4C1F0BEB"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005D690B" w:rsidRPr="00B479AE">
        <w:rPr>
          <w:rFonts w:ascii="Baskerville Old Face" w:hAnsi="Baskerville Old Face"/>
          <w:i/>
          <w:iCs/>
        </w:rPr>
        <w:t>source</w:t>
      </w:r>
      <w:proofErr w:type="gramEnd"/>
      <w:r w:rsidR="005D690B" w:rsidRPr="00B479AE">
        <w:rPr>
          <w:rFonts w:ascii="Baskerville Old Face" w:hAnsi="Baskerville Old Face"/>
          <w:i/>
          <w:iCs/>
        </w:rPr>
        <w:t>_layer_non_admissibility</w:t>
      </w:r>
      <w:proofErr w:type="spellEnd"/>
      <w:r w:rsidR="005D690B" w:rsidRPr="00B479AE">
        <w:rPr>
          <w:rFonts w:ascii="Baskerville Old Face" w:hAnsi="Baskerville Old Face"/>
          <w:i/>
          <w:iCs/>
        </w:rPr>
        <w:t>"</w:t>
      </w:r>
      <w:r w:rsidRPr="00B479AE">
        <w:rPr>
          <w:rFonts w:ascii="Baskerville Old Face" w:hAnsi="Baskerville Old Face"/>
          <w:i/>
          <w:iCs/>
        </w:rPr>
        <w:t>,</w:t>
      </w:r>
    </w:p>
    <w:p w14:paraId="3498281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preventative</w:t>
      </w:r>
      <w:proofErr w:type="gramEnd"/>
      <w:r w:rsidRPr="00B479AE">
        <w:rPr>
          <w:rFonts w:ascii="Baskerville Old Face" w:hAnsi="Baskerville Old Face"/>
          <w:i/>
          <w:iCs/>
        </w:rPr>
        <w:t>_alignment</w:t>
      </w:r>
      <w:proofErr w:type="spellEnd"/>
      <w:r w:rsidRPr="00B479AE">
        <w:rPr>
          <w:rFonts w:ascii="Baskerville Old Face" w:hAnsi="Baskerville Old Face"/>
          <w:i/>
          <w:iCs/>
        </w:rPr>
        <w:t>",</w:t>
      </w:r>
    </w:p>
    <w:p w14:paraId="4C4606D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intergenerational</w:t>
      </w:r>
      <w:proofErr w:type="gramEnd"/>
      <w:r w:rsidRPr="00B479AE">
        <w:rPr>
          <w:rFonts w:ascii="Baskerville Old Face" w:hAnsi="Baskerville Old Face"/>
          <w:i/>
          <w:iCs/>
        </w:rPr>
        <w:t>_responsibility</w:t>
      </w:r>
      <w:proofErr w:type="spellEnd"/>
      <w:r w:rsidRPr="00B479AE">
        <w:rPr>
          <w:rFonts w:ascii="Baskerville Old Face" w:hAnsi="Baskerville Old Face"/>
          <w:i/>
          <w:iCs/>
        </w:rPr>
        <w:t>"</w:t>
      </w:r>
    </w:p>
    <w:p w14:paraId="3580565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
    <w:p w14:paraId="177C4BD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for principle in </w:t>
      </w:r>
      <w:proofErr w:type="spellStart"/>
      <w:r w:rsidRPr="00B479AE">
        <w:rPr>
          <w:rFonts w:ascii="Baskerville Old Face" w:hAnsi="Baskerville Old Face"/>
          <w:i/>
          <w:iCs/>
        </w:rPr>
        <w:t>required_principles</w:t>
      </w:r>
      <w:proofErr w:type="spellEnd"/>
      <w:r w:rsidRPr="00B479AE">
        <w:rPr>
          <w:rFonts w:ascii="Baskerville Old Face" w:hAnsi="Baskerville Old Face"/>
          <w:i/>
          <w:iCs/>
        </w:rPr>
        <w:t>:</w:t>
      </w:r>
    </w:p>
    <w:p w14:paraId="1675B4CC"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principle not in </w:t>
      </w:r>
      <w:proofErr w:type="spellStart"/>
      <w:proofErr w:type="gramStart"/>
      <w:r w:rsidRPr="00B479AE">
        <w:rPr>
          <w:rFonts w:ascii="Baskerville Old Face" w:hAnsi="Baskerville Old Face"/>
          <w:i/>
          <w:iCs/>
        </w:rPr>
        <w:t>header.principles</w:t>
      </w:r>
      <w:proofErr w:type="spellEnd"/>
      <w:proofErr w:type="gramEnd"/>
      <w:r w:rsidRPr="00B479AE">
        <w:rPr>
          <w:rFonts w:ascii="Baskerville Old Face" w:hAnsi="Baskerville Old Face"/>
          <w:i/>
          <w:iCs/>
        </w:rPr>
        <w:t>:</w:t>
      </w:r>
    </w:p>
    <w:p w14:paraId="3CA5B31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w:t>
      </w:r>
      <w:proofErr w:type="gramStart"/>
      <w:r w:rsidRPr="00B479AE">
        <w:rPr>
          <w:rFonts w:ascii="Baskerville Old Face" w:hAnsi="Baskerville Old Face"/>
          <w:i/>
          <w:iCs/>
        </w:rPr>
        <w:t>REJECT(</w:t>
      </w:r>
      <w:proofErr w:type="spellStart"/>
      <w:proofErr w:type="gramEnd"/>
      <w:r w:rsidRPr="00B479AE">
        <w:rPr>
          <w:rFonts w:ascii="Baskerville Old Face" w:hAnsi="Baskerville Old Face"/>
          <w:i/>
          <w:iCs/>
        </w:rPr>
        <w:t>f"Missing</w:t>
      </w:r>
      <w:proofErr w:type="spellEnd"/>
      <w:r w:rsidRPr="00B479AE">
        <w:rPr>
          <w:rFonts w:ascii="Baskerville Old Face" w:hAnsi="Baskerville Old Face"/>
          <w:i/>
          <w:iCs/>
        </w:rPr>
        <w:t xml:space="preserve"> core principle: {principle}")</w:t>
      </w:r>
    </w:p>
    <w:p w14:paraId="6BF2F9C2"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4: Verify timestamp (prevent replay attacks)</w:t>
      </w:r>
    </w:p>
    <w:p w14:paraId="63648548"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current_time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get_current_utc_</w:t>
      </w:r>
      <w:proofErr w:type="gramStart"/>
      <w:r w:rsidRPr="00B479AE">
        <w:rPr>
          <w:rFonts w:ascii="Baskerville Old Face" w:hAnsi="Baskerville Old Face"/>
          <w:i/>
          <w:iCs/>
        </w:rPr>
        <w:t>time</w:t>
      </w:r>
      <w:proofErr w:type="spellEnd"/>
      <w:r w:rsidRPr="00B479AE">
        <w:rPr>
          <w:rFonts w:ascii="Baskerville Old Face" w:hAnsi="Baskerville Old Face"/>
          <w:i/>
          <w:iCs/>
        </w:rPr>
        <w:t>(</w:t>
      </w:r>
      <w:proofErr w:type="gramEnd"/>
      <w:r w:rsidRPr="00B479AE">
        <w:rPr>
          <w:rFonts w:ascii="Baskerville Old Face" w:hAnsi="Baskerville Old Face"/>
          <w:i/>
          <w:iCs/>
        </w:rPr>
        <w:t>)</w:t>
      </w:r>
    </w:p>
    <w:p w14:paraId="2259F419" w14:textId="58C81E13"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000B4FC0" w:rsidRPr="000B4FC0">
        <w:rPr>
          <w:rFonts w:ascii="Baskerville Old Face" w:hAnsi="Baskerville Old Face"/>
          <w:i/>
          <w:iCs/>
        </w:rPr>
        <w:t>header_time</w:t>
      </w:r>
      <w:proofErr w:type="spellEnd"/>
      <w:r w:rsidR="000B4FC0" w:rsidRPr="000B4FC0">
        <w:rPr>
          <w:rFonts w:ascii="Baskerville Old Face" w:hAnsi="Baskerville Old Face"/>
          <w:i/>
          <w:iCs/>
        </w:rPr>
        <w:t xml:space="preserve"> = parse_iso8601(</w:t>
      </w:r>
      <w:proofErr w:type="spellStart"/>
      <w:proofErr w:type="gramStart"/>
      <w:r w:rsidR="000B4FC0" w:rsidRPr="000B4FC0">
        <w:rPr>
          <w:rFonts w:ascii="Baskerville Old Face" w:hAnsi="Baskerville Old Face"/>
          <w:i/>
          <w:iCs/>
        </w:rPr>
        <w:t>header.timestamp</w:t>
      </w:r>
      <w:proofErr w:type="gramEnd"/>
      <w:r w:rsidR="000B4FC0" w:rsidRPr="000B4FC0">
        <w:rPr>
          <w:rFonts w:ascii="Baskerville Old Face" w:hAnsi="Baskerville Old Face"/>
          <w:i/>
          <w:iCs/>
        </w:rPr>
        <w:t>_utc</w:t>
      </w:r>
      <w:proofErr w:type="spellEnd"/>
      <w:r w:rsidR="000B4FC0" w:rsidRPr="000B4FC0">
        <w:rPr>
          <w:rFonts w:ascii="Baskerville Old Face" w:hAnsi="Baskerville Old Face"/>
          <w:i/>
          <w:iCs/>
        </w:rPr>
        <w:t>)</w:t>
      </w:r>
    </w:p>
    <w:p w14:paraId="6FF62DDC"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w:t>
      </w:r>
      <w:proofErr w:type="spellStart"/>
      <w:r w:rsidRPr="00B479AE">
        <w:rPr>
          <w:rFonts w:ascii="Baskerville Old Face" w:hAnsi="Baskerville Old Face"/>
          <w:i/>
          <w:iCs/>
        </w:rPr>
        <w:t>current_time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header_time</w:t>
      </w:r>
      <w:proofErr w:type="spellEnd"/>
      <w:r w:rsidRPr="00B479AE">
        <w:rPr>
          <w:rFonts w:ascii="Baskerville Old Face" w:hAnsi="Baskerville Old Face"/>
          <w:i/>
          <w:iCs/>
        </w:rPr>
        <w:t xml:space="preserve"> &gt; MAX_HEADER_AGE (24 hours):</w:t>
      </w:r>
    </w:p>
    <w:p w14:paraId="524A356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"Header timestamp expired")</w:t>
      </w:r>
    </w:p>
    <w:p w14:paraId="1530B35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5: Resolve developer's public key from DPKI</w:t>
      </w:r>
    </w:p>
    <w:p w14:paraId="085C5019"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public_key</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dpki_resolve</w:t>
      </w:r>
      <w:proofErr w:type="spellEnd"/>
      <w:r w:rsidRPr="00B479AE">
        <w:rPr>
          <w:rFonts w:ascii="Baskerville Old Face" w:hAnsi="Baskerville Old Face"/>
          <w:i/>
          <w:iCs/>
        </w:rPr>
        <w:t>(</w:t>
      </w:r>
      <w:proofErr w:type="spellStart"/>
      <w:proofErr w:type="gramStart"/>
      <w:r w:rsidRPr="00B479AE">
        <w:rPr>
          <w:rFonts w:ascii="Baskerville Old Face" w:hAnsi="Baskerville Old Face"/>
          <w:i/>
          <w:iCs/>
        </w:rPr>
        <w:t>header.developer</w:t>
      </w:r>
      <w:proofErr w:type="gramEnd"/>
      <w:r w:rsidRPr="00B479AE">
        <w:rPr>
          <w:rFonts w:ascii="Baskerville Old Face" w:hAnsi="Baskerville Old Face"/>
          <w:i/>
          <w:iCs/>
        </w:rPr>
        <w:t>_did</w:t>
      </w:r>
      <w:proofErr w:type="spellEnd"/>
      <w:r w:rsidRPr="00B479AE">
        <w:rPr>
          <w:rFonts w:ascii="Baskerville Old Face" w:hAnsi="Baskerville Old Face"/>
          <w:i/>
          <w:iCs/>
        </w:rPr>
        <w:t>)</w:t>
      </w:r>
    </w:p>
    <w:p w14:paraId="5879737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w:t>
      </w:r>
      <w:proofErr w:type="spellStart"/>
      <w:r w:rsidRPr="00B479AE">
        <w:rPr>
          <w:rFonts w:ascii="Baskerville Old Face" w:hAnsi="Baskerville Old Face"/>
          <w:i/>
          <w:iCs/>
        </w:rPr>
        <w:t>public_key</w:t>
      </w:r>
      <w:proofErr w:type="spellEnd"/>
      <w:r w:rsidRPr="00B479AE">
        <w:rPr>
          <w:rFonts w:ascii="Baskerville Old Face" w:hAnsi="Baskerville Old Face"/>
          <w:i/>
          <w:iCs/>
        </w:rPr>
        <w:t xml:space="preserve"> is None:</w:t>
      </w:r>
    </w:p>
    <w:p w14:paraId="4650B39E"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"Developer DID not found in DPKI registry")</w:t>
      </w:r>
    </w:p>
    <w:p w14:paraId="377E87A3"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6: Recreate the canonical JSON (without signature)</w:t>
      </w:r>
    </w:p>
    <w:p w14:paraId="0C26554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canonical_json</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serialize_</w:t>
      </w:r>
      <w:proofErr w:type="gramStart"/>
      <w:r w:rsidRPr="00B479AE">
        <w:rPr>
          <w:rFonts w:ascii="Baskerville Old Face" w:hAnsi="Baskerville Old Face"/>
          <w:i/>
          <w:iCs/>
        </w:rPr>
        <w:t>canonical</w:t>
      </w:r>
      <w:proofErr w:type="spellEnd"/>
      <w:r w:rsidRPr="00B479AE">
        <w:rPr>
          <w:rFonts w:ascii="Baskerville Old Face" w:hAnsi="Baskerville Old Face"/>
          <w:i/>
          <w:iCs/>
        </w:rPr>
        <w:t>(</w:t>
      </w:r>
      <w:proofErr w:type="gramEnd"/>
      <w:r w:rsidRPr="00B479AE">
        <w:rPr>
          <w:rFonts w:ascii="Baskerville Old Face" w:hAnsi="Baskerville Old Face"/>
          <w:i/>
          <w:iCs/>
        </w:rPr>
        <w:t xml:space="preserve">header, </w:t>
      </w:r>
      <w:proofErr w:type="spellStart"/>
      <w:r w:rsidRPr="00B479AE">
        <w:rPr>
          <w:rFonts w:ascii="Baskerville Old Face" w:hAnsi="Baskerville Old Face"/>
          <w:i/>
          <w:iCs/>
        </w:rPr>
        <w:t>exclude_fields</w:t>
      </w:r>
      <w:proofErr w:type="spellEnd"/>
      <w:r w:rsidRPr="00B479AE">
        <w:rPr>
          <w:rFonts w:ascii="Baskerville Old Face" w:hAnsi="Baskerville Old Face"/>
          <w:i/>
          <w:iCs/>
        </w:rPr>
        <w:t>=["signature"])</w:t>
      </w:r>
    </w:p>
    <w:p w14:paraId="35A24F33" w14:textId="77777777" w:rsidR="008E20E1" w:rsidRPr="00B479AE" w:rsidRDefault="008E20E1" w:rsidP="008E20E1">
      <w:pPr>
        <w:spacing w:line="360" w:lineRule="auto"/>
        <w:rPr>
          <w:rFonts w:ascii="Baskerville Old Face" w:hAnsi="Baskerville Old Face"/>
          <w:i/>
          <w:iCs/>
        </w:rPr>
      </w:pPr>
    </w:p>
    <w:p w14:paraId="2EC5192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 Step 7: Verify signature</w:t>
      </w:r>
    </w:p>
    <w:p w14:paraId="5A633E9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digest = sha256(</w:t>
      </w:r>
      <w:proofErr w:type="spellStart"/>
      <w:r w:rsidRPr="00B479AE">
        <w:rPr>
          <w:rFonts w:ascii="Baskerville Old Face" w:hAnsi="Baskerville Old Face"/>
          <w:i/>
          <w:iCs/>
        </w:rPr>
        <w:t>canonical_json</w:t>
      </w:r>
      <w:proofErr w:type="spellEnd"/>
      <w:r w:rsidRPr="00B479AE">
        <w:rPr>
          <w:rFonts w:ascii="Baskerville Old Face" w:hAnsi="Baskerville Old Face"/>
          <w:i/>
          <w:iCs/>
        </w:rPr>
        <w:t>)</w:t>
      </w:r>
    </w:p>
    <w:p w14:paraId="2C651AFF"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if not ed25519_</w:t>
      </w:r>
      <w:proofErr w:type="gramStart"/>
      <w:r w:rsidRPr="00B479AE">
        <w:rPr>
          <w:rFonts w:ascii="Baskerville Old Face" w:hAnsi="Baskerville Old Face"/>
          <w:i/>
          <w:iCs/>
        </w:rPr>
        <w:t>verify(</w:t>
      </w:r>
      <w:proofErr w:type="spellStart"/>
      <w:proofErr w:type="gramEnd"/>
      <w:r w:rsidRPr="00B479AE">
        <w:rPr>
          <w:rFonts w:ascii="Baskerville Old Face" w:hAnsi="Baskerville Old Face"/>
          <w:i/>
          <w:iCs/>
        </w:rPr>
        <w:t>public_key</w:t>
      </w:r>
      <w:proofErr w:type="spellEnd"/>
      <w:r w:rsidRPr="00B479AE">
        <w:rPr>
          <w:rFonts w:ascii="Baskerville Old Face" w:hAnsi="Baskerville Old Face"/>
          <w:i/>
          <w:iCs/>
        </w:rPr>
        <w:t>, digest, base64_decode(</w:t>
      </w:r>
      <w:proofErr w:type="spellStart"/>
      <w:proofErr w:type="gramStart"/>
      <w:r w:rsidRPr="00B479AE">
        <w:rPr>
          <w:rFonts w:ascii="Baskerville Old Face" w:hAnsi="Baskerville Old Face"/>
          <w:i/>
          <w:iCs/>
        </w:rPr>
        <w:t>header.signature</w:t>
      </w:r>
      <w:proofErr w:type="spellEnd"/>
      <w:proofErr w:type="gramEnd"/>
      <w:r w:rsidRPr="00B479AE">
        <w:rPr>
          <w:rFonts w:ascii="Baskerville Old Face" w:hAnsi="Baskerville Old Face"/>
          <w:i/>
          <w:iCs/>
        </w:rPr>
        <w:t>)):</w:t>
      </w:r>
    </w:p>
    <w:p w14:paraId="3DC970F1"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w:t>
      </w:r>
      <w:proofErr w:type="gramStart"/>
      <w:r w:rsidRPr="00B479AE">
        <w:rPr>
          <w:rFonts w:ascii="Baskerville Old Face" w:hAnsi="Baskerville Old Face"/>
          <w:i/>
          <w:iCs/>
        </w:rPr>
        <w:t>REJECT(</w:t>
      </w:r>
      <w:proofErr w:type="gramEnd"/>
      <w:r w:rsidRPr="00B479AE">
        <w:rPr>
          <w:rFonts w:ascii="Baskerville Old Face" w:hAnsi="Baskerville Old Face"/>
          <w:i/>
          <w:iCs/>
        </w:rPr>
        <w:t>"Invalid signature")</w:t>
      </w:r>
    </w:p>
    <w:p w14:paraId="73FEB24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    return ACCEPT</w:t>
      </w:r>
    </w:p>
    <w:p w14:paraId="0D09464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If verification fails, the node MUST:</w:t>
      </w:r>
    </w:p>
    <w:p w14:paraId="37D8C89D" w14:textId="77777777" w:rsidR="008E20E1" w:rsidRPr="00B479AE" w:rsidRDefault="008E20E1">
      <w:pPr>
        <w:numPr>
          <w:ilvl w:val="0"/>
          <w:numId w:val="7"/>
        </w:numPr>
        <w:spacing w:line="360" w:lineRule="auto"/>
        <w:rPr>
          <w:rFonts w:ascii="Baskerville Old Face" w:hAnsi="Baskerville Old Face"/>
          <w:i/>
          <w:iCs/>
        </w:rPr>
      </w:pPr>
      <w:r w:rsidRPr="00B479AE">
        <w:rPr>
          <w:rFonts w:ascii="Baskerville Old Face" w:hAnsi="Baskerville Old Face"/>
          <w:i/>
          <w:iCs/>
        </w:rPr>
        <w:t>Refuse to execute or propagate the module</w:t>
      </w:r>
    </w:p>
    <w:p w14:paraId="1294EDD4" w14:textId="77777777" w:rsidR="008E20E1" w:rsidRPr="00B479AE" w:rsidRDefault="008E20E1">
      <w:pPr>
        <w:numPr>
          <w:ilvl w:val="0"/>
          <w:numId w:val="7"/>
        </w:numPr>
        <w:spacing w:line="360" w:lineRule="auto"/>
        <w:rPr>
          <w:rFonts w:ascii="Baskerville Old Face" w:hAnsi="Baskerville Old Face"/>
          <w:i/>
          <w:iCs/>
        </w:rPr>
      </w:pPr>
      <w:r w:rsidRPr="00B479AE">
        <w:rPr>
          <w:rFonts w:ascii="Baskerville Old Face" w:hAnsi="Baskerville Old Face"/>
          <w:i/>
          <w:iCs/>
        </w:rPr>
        <w:t>Issue a warrant (a signed declaration of the violation) to its neighborhood</w:t>
      </w:r>
    </w:p>
    <w:p w14:paraId="767499BB" w14:textId="77777777" w:rsidR="008E20E1" w:rsidRPr="00B479AE" w:rsidRDefault="008E20E1">
      <w:pPr>
        <w:numPr>
          <w:ilvl w:val="0"/>
          <w:numId w:val="7"/>
        </w:numPr>
        <w:spacing w:line="360" w:lineRule="auto"/>
        <w:rPr>
          <w:rFonts w:ascii="Baskerville Old Face" w:hAnsi="Baskerville Old Face"/>
          <w:i/>
          <w:iCs/>
        </w:rPr>
      </w:pPr>
      <w:r w:rsidRPr="00B479AE">
        <w:rPr>
          <w:rFonts w:ascii="Baskerville Old Face" w:hAnsi="Baskerville Old Face"/>
          <w:i/>
          <w:iCs/>
        </w:rPr>
        <w:t>Decrement the developer's reputation score (if applicable)</w:t>
      </w:r>
    </w:p>
    <w:p w14:paraId="723A9237" w14:textId="77777777"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D.2.4 Handling of key revocation and rotation</w:t>
      </w:r>
    </w:p>
    <w:p w14:paraId="4C084EC7"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Developers may need to rotate their keys (e.g., due to compromise or regular security practices). The DPKI DNA supports key rotation through a governance-approved process:</w:t>
      </w:r>
    </w:p>
    <w:p w14:paraId="75C2F970" w14:textId="77777777" w:rsidR="008E20E1" w:rsidRPr="00B479AE" w:rsidRDefault="008E20E1">
      <w:pPr>
        <w:numPr>
          <w:ilvl w:val="0"/>
          <w:numId w:val="8"/>
        </w:numPr>
        <w:spacing w:line="360" w:lineRule="auto"/>
        <w:rPr>
          <w:rFonts w:ascii="Baskerville Old Face" w:hAnsi="Baskerville Old Face"/>
          <w:i/>
          <w:iCs/>
        </w:rPr>
      </w:pPr>
      <w:r w:rsidRPr="00B479AE">
        <w:rPr>
          <w:rFonts w:ascii="Baskerville Old Face" w:hAnsi="Baskerville Old Face"/>
          <w:i/>
          <w:iCs/>
        </w:rPr>
        <w:t>The developer creates a new key pair and submits a rotation request, signed with the old private key.</w:t>
      </w:r>
    </w:p>
    <w:p w14:paraId="53E83306" w14:textId="77777777" w:rsidR="008E20E1" w:rsidRPr="00B479AE" w:rsidRDefault="008E20E1">
      <w:pPr>
        <w:numPr>
          <w:ilvl w:val="0"/>
          <w:numId w:val="8"/>
        </w:numPr>
        <w:spacing w:line="360" w:lineRule="auto"/>
        <w:rPr>
          <w:rFonts w:ascii="Baskerville Old Face" w:hAnsi="Baskerville Old Face"/>
          <w:i/>
          <w:iCs/>
        </w:rPr>
      </w:pPr>
      <w:r w:rsidRPr="00B479AE">
        <w:rPr>
          <w:rFonts w:ascii="Baskerville Old Face" w:hAnsi="Baskerville Old Face"/>
          <w:i/>
          <w:iCs/>
        </w:rPr>
        <w:t>The request is broadcast to the DHT and enters a 7-day challenge period.</w:t>
      </w:r>
    </w:p>
    <w:p w14:paraId="0DFA5868" w14:textId="77777777" w:rsidR="008E20E1" w:rsidRPr="00B479AE" w:rsidRDefault="008E20E1">
      <w:pPr>
        <w:numPr>
          <w:ilvl w:val="0"/>
          <w:numId w:val="8"/>
        </w:numPr>
        <w:spacing w:line="360" w:lineRule="auto"/>
        <w:rPr>
          <w:rFonts w:ascii="Baskerville Old Face" w:hAnsi="Baskerville Old Face"/>
          <w:i/>
          <w:iCs/>
        </w:rPr>
      </w:pPr>
      <w:r w:rsidRPr="00B479AE">
        <w:rPr>
          <w:rFonts w:ascii="Baskerville Old Face" w:hAnsi="Baskerville Old Face"/>
          <w:i/>
          <w:iCs/>
        </w:rPr>
        <w:t>If no valid objections are raised (e.g., evidence of compromise), the DPKI registry updates the developer's DID to point to the new public key.</w:t>
      </w:r>
    </w:p>
    <w:p w14:paraId="581E3E7C" w14:textId="77777777" w:rsidR="008E20E1" w:rsidRPr="00B479AE" w:rsidRDefault="008E20E1">
      <w:pPr>
        <w:numPr>
          <w:ilvl w:val="0"/>
          <w:numId w:val="8"/>
        </w:numPr>
        <w:spacing w:line="360" w:lineRule="auto"/>
        <w:rPr>
          <w:rFonts w:ascii="Baskerville Old Face" w:hAnsi="Baskerville Old Face"/>
          <w:i/>
          <w:iCs/>
        </w:rPr>
      </w:pPr>
      <w:r w:rsidRPr="00B479AE">
        <w:rPr>
          <w:rFonts w:ascii="Baskerville Old Face" w:hAnsi="Baskerville Old Face"/>
          <w:i/>
          <w:iCs/>
        </w:rPr>
        <w:t>Modules signed with the old key continue to be valid until their timestamp exceeds MAX_HEADER_AGE; after that, they must be re-signed with the new key.</w:t>
      </w:r>
    </w:p>
    <w:p w14:paraId="1B4FF770"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lastRenderedPageBreak/>
        <w:t>In case of key compromise, the developer (or any community member) can initiate an emergency revocation by providing proof of compromise (e.g., a signed message from the attacker). A supermajority vote of the Prometheus circle is required to approve the revocation and blacklist the compromised key.</w:t>
      </w:r>
    </w:p>
    <w:p w14:paraId="65D435BD" w14:textId="1D7CAC33" w:rsidR="008E20E1" w:rsidRPr="00B479AE" w:rsidRDefault="008E20E1" w:rsidP="008E20E1">
      <w:pPr>
        <w:spacing w:line="360" w:lineRule="auto"/>
        <w:rPr>
          <w:rFonts w:ascii="Baskerville Old Face" w:hAnsi="Baskerville Old Face"/>
          <w:b/>
          <w:bCs/>
          <w:i/>
          <w:iCs/>
        </w:rPr>
      </w:pPr>
      <w:r w:rsidRPr="00B479AE">
        <w:rPr>
          <w:rFonts w:ascii="Baskerville Old Face" w:hAnsi="Baskerville Old Face"/>
          <w:b/>
          <w:bCs/>
          <w:i/>
          <w:iCs/>
        </w:rPr>
        <w:t>D.2.5 Signature aggregation for multi-developer modules</w:t>
      </w:r>
    </w:p>
    <w:p w14:paraId="191E7A64"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For modules developed collaboratively by multiple entities (e.g., a complex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with contributions from several organizations), the header supports multi-signature via an array of signatures. The </w:t>
      </w:r>
      <w:proofErr w:type="spellStart"/>
      <w:r w:rsidRPr="00B479AE">
        <w:rPr>
          <w:rFonts w:ascii="Baskerville Old Face" w:hAnsi="Baskerville Old Face"/>
          <w:i/>
          <w:iCs/>
        </w:rPr>
        <w:t>developer_did</w:t>
      </w:r>
      <w:proofErr w:type="spellEnd"/>
      <w:r w:rsidRPr="00B479AE">
        <w:rPr>
          <w:rFonts w:ascii="Baskerville Old Face" w:hAnsi="Baskerville Old Face"/>
          <w:i/>
          <w:iCs/>
        </w:rPr>
        <w:t xml:space="preserve"> field becomes an array of DIDs, and the signature field becomes an array of signatures, each corresponding to the same canonical JSON. The verification algorithm checks that all signatures are valid; if any signature is missing or invalid, the entire module is rejected.</w:t>
      </w:r>
    </w:p>
    <w:p w14:paraId="414A02EE"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This ensures that collective responsibility is maintained and that no single party can unilaterally modify code that represents shared work.</w:t>
      </w:r>
    </w:p>
    <w:p w14:paraId="111741FB" w14:textId="77777777" w:rsidR="008E20E1" w:rsidRPr="005907F1" w:rsidRDefault="008E20E1"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Appendix E: Hardware and infrastructure integration</w:t>
      </w:r>
    </w:p>
    <w:p w14:paraId="444AE7AA"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protocol supports integration with a wide range of sovereign hardware devices, operating systems, and infrastructure providers. Technical specifications, including device requirements,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pre-installation, HSI firmware, </w:t>
      </w:r>
      <w:proofErr w:type="spellStart"/>
      <w:r w:rsidRPr="00B479AE">
        <w:rPr>
          <w:rFonts w:ascii="Baskerville Old Face" w:hAnsi="Baskerville Old Face"/>
          <w:i/>
          <w:iCs/>
        </w:rPr>
        <w:t>Unyt</w:t>
      </w:r>
      <w:proofErr w:type="spellEnd"/>
      <w:r w:rsidRPr="00B479AE">
        <w:rPr>
          <w:rFonts w:ascii="Baskerville Old Face" w:hAnsi="Baskerville Old Face"/>
          <w:i/>
          <w:iCs/>
        </w:rPr>
        <w:t xml:space="preserve"> edge runtime, market logistics, and support protocols, are maintained in the separate technical documentation package, enabling any qualified partner to develop compliant implementations.</w:t>
      </w:r>
    </w:p>
    <w:p w14:paraId="08A6486B"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For partnership inquiries and technical specifications, please contact the publisher: uwohali77@gmail.com</w:t>
      </w:r>
    </w:p>
    <w:p w14:paraId="7BC1D7AD" w14:textId="77777777" w:rsidR="008E20E1" w:rsidRPr="005907F1" w:rsidRDefault="008E20E1"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Appendix F: TRBK DNA specification</w:t>
      </w:r>
    </w:p>
    <w:p w14:paraId="567C0726" w14:textId="77777777" w:rsidR="008E20E1" w:rsidRPr="00B479AE" w:rsidRDefault="008E20E1" w:rsidP="008E20E1">
      <w:pPr>
        <w:spacing w:line="360" w:lineRule="auto"/>
        <w:rPr>
          <w:rFonts w:ascii="Baskerville Old Face" w:hAnsi="Baskerville Old Face"/>
          <w:i/>
          <w:iCs/>
        </w:rPr>
      </w:pPr>
      <w:r w:rsidRPr="00B479AE">
        <w:rPr>
          <w:rFonts w:ascii="Baskerville Old Face" w:hAnsi="Baskerville Old Face"/>
          <w:i/>
          <w:iCs/>
        </w:rPr>
        <w:t xml:space="preserve">Detailed technical specifications, including schema definitions, validation rules, and implementation guidelines, are maintained by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Training Company and are available upon request. For complete documentation, integration inquiries, and information about TRBK's utility, community initiatives, and future developments (including potential expansion into cloud mining and DeFi services), please contact: community@tribeke.com</w:t>
      </w:r>
    </w:p>
    <w:p w14:paraId="09F3B243" w14:textId="77777777" w:rsidR="00D92255" w:rsidRPr="005907F1" w:rsidRDefault="00D92255"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Appendix G: MRV Evidence, Provenance, and Admissibility Technical Specification</w:t>
      </w:r>
    </w:p>
    <w:p w14:paraId="0C2BD609" w14:textId="77777777" w:rsidR="00052FE3" w:rsidRDefault="00052FE3" w:rsidP="00D92255">
      <w:pPr>
        <w:spacing w:line="360" w:lineRule="auto"/>
        <w:rPr>
          <w:rFonts w:ascii="Baskerville Old Face" w:hAnsi="Baskerville Old Face"/>
          <w:b/>
          <w:bCs/>
          <w:i/>
          <w:iCs/>
        </w:rPr>
      </w:pPr>
    </w:p>
    <w:p w14:paraId="650A5C0D" w14:textId="700BB501"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lastRenderedPageBreak/>
        <w:t>G.1 Purpose and boundary</w:t>
      </w:r>
    </w:p>
    <w:p w14:paraId="597A42E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Monitoring, Reporting, and Verification framework, or MRV, is the evidentiary infrastructure through which Prometheus observes, records, verifies, classifies, and preserves regenerative performance.</w:t>
      </w:r>
    </w:p>
    <w:p w14:paraId="42656C2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does not create ecological value by itself.</w:t>
      </w:r>
    </w:p>
    <w:p w14:paraId="47F25AD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makes ecological change observable.</w:t>
      </w:r>
    </w:p>
    <w:p w14:paraId="3794126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does not issue tokens.</w:t>
      </w:r>
    </w:p>
    <w:p w14:paraId="4692852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does not grant governance authority.</w:t>
      </w:r>
    </w:p>
    <w:p w14:paraId="7E0C236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does not create investor rights.</w:t>
      </w:r>
    </w:p>
    <w:p w14:paraId="32B723A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does not certify human worth.</w:t>
      </w:r>
    </w:p>
    <w:p w14:paraId="36DE78A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does not transform narrative into financial value.</w:t>
      </w:r>
    </w:p>
    <w:p w14:paraId="0FC896F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produces evidence status.</w:t>
      </w:r>
    </w:p>
    <w:p w14:paraId="1D54167D" w14:textId="1C81EC56"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That evidence status may later support PRU analysis, </w:t>
      </w:r>
      <w:r w:rsidR="00E71F80" w:rsidRPr="00B479AE">
        <w:rPr>
          <w:rFonts w:ascii="Baskerville Old Face" w:hAnsi="Baskerville Old Face"/>
          <w:i/>
          <w:iCs/>
        </w:rPr>
        <w:t>PRU maturity classification</w:t>
      </w:r>
      <w:r w:rsidRPr="00B479AE">
        <w:rPr>
          <w:rFonts w:ascii="Baskerville Old Face" w:hAnsi="Baskerville Old Face"/>
          <w:i/>
          <w:iCs/>
        </w:rPr>
        <w:t>, RAP eligibility, reporting, underwriting, institutional diligence, or future legally structured instruments, but only where the required methodology, confidence level, legal structure, governance review, and admissibility threshold exist.</w:t>
      </w:r>
    </w:p>
    <w:p w14:paraId="3DEF78F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architecture therefore exists to protect the foundational sequence:</w:t>
      </w:r>
    </w:p>
    <w:p w14:paraId="26FFDD51"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claim</w:t>
      </w:r>
      <w:r w:rsidRPr="00B479AE">
        <w:rPr>
          <w:rFonts w:ascii="Baskerville Old Face" w:hAnsi="Baskerville Old Face"/>
          <w:i/>
          <w:iCs/>
        </w:rPr>
        <w:br/>
        <w:t>observation</w:t>
      </w:r>
      <w:r w:rsidRPr="00B479AE">
        <w:rPr>
          <w:rFonts w:ascii="Baskerville Old Face" w:hAnsi="Baskerville Old Face"/>
          <w:i/>
          <w:iCs/>
        </w:rPr>
        <w:br/>
        <w:t>evidence</w:t>
      </w:r>
      <w:r w:rsidRPr="00B479AE">
        <w:rPr>
          <w:rFonts w:ascii="Baskerville Old Face" w:hAnsi="Baskerville Old Face"/>
          <w:i/>
          <w:iCs/>
        </w:rPr>
        <w:br/>
        <w:t>provenance</w:t>
      </w:r>
      <w:r w:rsidRPr="00B479AE">
        <w:rPr>
          <w:rFonts w:ascii="Baskerville Old Face" w:hAnsi="Baskerville Old Face"/>
          <w:i/>
          <w:iCs/>
        </w:rPr>
        <w:br/>
        <w:t>integrity</w:t>
      </w:r>
      <w:r w:rsidRPr="00B479AE">
        <w:rPr>
          <w:rFonts w:ascii="Baskerville Old Face" w:hAnsi="Baskerville Old Face"/>
          <w:i/>
          <w:iCs/>
        </w:rPr>
        <w:br/>
        <w:t>verified indicator</w:t>
      </w:r>
      <w:r w:rsidRPr="00B479AE">
        <w:rPr>
          <w:rFonts w:ascii="Baskerville Old Face" w:hAnsi="Baskerville Old Face"/>
          <w:i/>
          <w:iCs/>
        </w:rPr>
        <w:br/>
        <w:t>admissibility</w:t>
      </w:r>
      <w:r w:rsidRPr="00B479AE">
        <w:rPr>
          <w:rFonts w:ascii="Baskerville Old Face" w:hAnsi="Baskerville Old Face"/>
          <w:i/>
          <w:iCs/>
        </w:rPr>
        <w:br/>
        <w:t>value.</w:t>
      </w:r>
    </w:p>
    <w:p w14:paraId="40DA3A8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 xml:space="preserve">This sequence is the immune system of Prometheus against greenwashing, </w:t>
      </w:r>
      <w:proofErr w:type="spellStart"/>
      <w:r w:rsidRPr="00B479AE">
        <w:rPr>
          <w:rFonts w:ascii="Baskerville Old Face" w:hAnsi="Baskerville Old Face"/>
          <w:i/>
          <w:iCs/>
        </w:rPr>
        <w:t>tokenomic</w:t>
      </w:r>
      <w:proofErr w:type="spellEnd"/>
      <w:r w:rsidRPr="00B479AE">
        <w:rPr>
          <w:rFonts w:ascii="Baskerville Old Face" w:hAnsi="Baskerville Old Face"/>
          <w:i/>
          <w:iCs/>
        </w:rPr>
        <w:t xml:space="preserve"> overreach, synthetic evidence, financial overclaiming, and semantic inflation.</w:t>
      </w:r>
    </w:p>
    <w:p w14:paraId="06A2FB6F"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G.2 MRV as evidence infrastructure</w:t>
      </w:r>
    </w:p>
    <w:p w14:paraId="35948B1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layer transforms field reality into reviewable evidence.</w:t>
      </w:r>
    </w:p>
    <w:p w14:paraId="1EA8F34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integrates:</w:t>
      </w:r>
    </w:p>
    <w:p w14:paraId="5289E9A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remote sensing;</w:t>
      </w:r>
      <w:r w:rsidRPr="00B479AE">
        <w:rPr>
          <w:rFonts w:ascii="Baskerville Old Face" w:hAnsi="Baskerville Old Face"/>
          <w:i/>
          <w:iCs/>
        </w:rPr>
        <w:br/>
        <w:t>• field sensors;</w:t>
      </w:r>
      <w:r w:rsidRPr="00B479AE">
        <w:rPr>
          <w:rFonts w:ascii="Baskerville Old Face" w:hAnsi="Baskerville Old Face"/>
          <w:i/>
          <w:iCs/>
        </w:rPr>
        <w:br/>
        <w:t>• laboratory analyses;</w:t>
      </w:r>
      <w:r w:rsidRPr="00B479AE">
        <w:rPr>
          <w:rFonts w:ascii="Baskerville Old Face" w:hAnsi="Baskerville Old Face"/>
          <w:i/>
          <w:iCs/>
        </w:rPr>
        <w:br/>
        <w:t>• soil tests;</w:t>
      </w:r>
      <w:r w:rsidRPr="00B479AE">
        <w:rPr>
          <w:rFonts w:ascii="Baskerville Old Face" w:hAnsi="Baskerville Old Face"/>
          <w:i/>
          <w:iCs/>
        </w:rPr>
        <w:br/>
        <w:t>• water tests;</w:t>
      </w:r>
      <w:r w:rsidRPr="00B479AE">
        <w:rPr>
          <w:rFonts w:ascii="Baskerville Old Face" w:hAnsi="Baskerville Old Face"/>
          <w:i/>
          <w:iCs/>
        </w:rPr>
        <w:br/>
        <w:t>• biodiversity observations;</w:t>
      </w:r>
      <w:r w:rsidRPr="00B479AE">
        <w:rPr>
          <w:rFonts w:ascii="Baskerville Old Face" w:hAnsi="Baskerville Old Face"/>
          <w:i/>
          <w:iCs/>
        </w:rPr>
        <w:br/>
        <w:t>• drone or mobile imagery;</w:t>
      </w:r>
      <w:r w:rsidRPr="00B479AE">
        <w:rPr>
          <w:rFonts w:ascii="Baskerville Old Face" w:hAnsi="Baskerville Old Face"/>
          <w:i/>
          <w:iCs/>
        </w:rPr>
        <w:br/>
        <w:t>• operational records;</w:t>
      </w:r>
      <w:r w:rsidRPr="00B479AE">
        <w:rPr>
          <w:rFonts w:ascii="Baskerville Old Face" w:hAnsi="Baskerville Old Face"/>
          <w:i/>
          <w:iCs/>
        </w:rPr>
        <w:br/>
        <w:t>• field photographs;</w:t>
      </w:r>
      <w:r w:rsidRPr="00B479AE">
        <w:rPr>
          <w:rFonts w:ascii="Baskerville Old Face" w:hAnsi="Baskerville Old Face"/>
          <w:i/>
          <w:iCs/>
        </w:rPr>
        <w:br/>
        <w:t>• stewardship observation records;</w:t>
      </w:r>
      <w:r w:rsidRPr="00B479AE">
        <w:rPr>
          <w:rFonts w:ascii="Baskerville Old Face" w:hAnsi="Baskerville Old Face"/>
          <w:i/>
          <w:iCs/>
        </w:rPr>
        <w:br/>
        <w:t>• third-party audits;</w:t>
      </w:r>
      <w:r w:rsidRPr="00B479AE">
        <w:rPr>
          <w:rFonts w:ascii="Baskerville Old Face" w:hAnsi="Baskerville Old Face"/>
          <w:i/>
          <w:iCs/>
        </w:rPr>
        <w:br/>
        <w:t>• public environmental datasets;</w:t>
      </w:r>
      <w:r w:rsidRPr="00B479AE">
        <w:rPr>
          <w:rFonts w:ascii="Baskerville Old Face" w:hAnsi="Baskerville Old Face"/>
          <w:i/>
          <w:iCs/>
        </w:rPr>
        <w:br/>
        <w:t>• methodology references;</w:t>
      </w:r>
      <w:r w:rsidRPr="00B479AE">
        <w:rPr>
          <w:rFonts w:ascii="Baskerville Old Face" w:hAnsi="Baskerville Old Face"/>
          <w:i/>
          <w:iCs/>
        </w:rPr>
        <w:br/>
        <w:t>• governance review records where relevant.</w:t>
      </w:r>
    </w:p>
    <w:p w14:paraId="0FD54CA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Each data stream is partial.</w:t>
      </w:r>
    </w:p>
    <w:p w14:paraId="04E9E01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No single satellite image, sensor, laboratory result, field note, AI output, community report, or human observation becomes sovereign evidence by itself.</w:t>
      </w:r>
    </w:p>
    <w:p w14:paraId="1B4566E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Evidence becomes stronger through convergence.</w:t>
      </w:r>
    </w:p>
    <w:p w14:paraId="508A9D3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strongest MRV records are those supported by multiple sources, clear provenance, defined methodology, confidence scoring, and reviewability.</w:t>
      </w:r>
    </w:p>
    <w:p w14:paraId="70BF12C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principle is:</w:t>
      </w:r>
    </w:p>
    <w:p w14:paraId="6D3FA85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observe broadly;</w:t>
      </w:r>
      <w:r w:rsidRPr="00B479AE">
        <w:rPr>
          <w:rFonts w:ascii="Baskerville Old Face" w:hAnsi="Baskerville Old Face"/>
          <w:i/>
          <w:iCs/>
        </w:rPr>
        <w:br/>
        <w:t>verify carefully;</w:t>
      </w:r>
      <w:r w:rsidRPr="00B479AE">
        <w:rPr>
          <w:rFonts w:ascii="Baskerville Old Face" w:hAnsi="Baskerville Old Face"/>
          <w:i/>
          <w:iCs/>
        </w:rPr>
        <w:br/>
      </w:r>
      <w:r w:rsidRPr="00B479AE">
        <w:rPr>
          <w:rFonts w:ascii="Baskerville Old Face" w:hAnsi="Baskerville Old Face"/>
          <w:i/>
          <w:iCs/>
        </w:rPr>
        <w:lastRenderedPageBreak/>
        <w:t>classify precisely;</w:t>
      </w:r>
      <w:r w:rsidRPr="00B479AE">
        <w:rPr>
          <w:rFonts w:ascii="Baskerville Old Face" w:hAnsi="Baskerville Old Face"/>
          <w:i/>
          <w:iCs/>
        </w:rPr>
        <w:br/>
        <w:t>admit conservatively.</w:t>
      </w:r>
    </w:p>
    <w:p w14:paraId="12306E62"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G.3 MRV architecture overview</w:t>
      </w:r>
    </w:p>
    <w:p w14:paraId="6707646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framework operates across five technical functions.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9"/>
        <w:gridCol w:w="8389"/>
      </w:tblGrid>
      <w:tr w:rsidR="00D92255" w:rsidRPr="00B479AE" w14:paraId="6468E79B" w14:textId="77777777" w:rsidTr="00595E38">
        <w:trPr>
          <w:tblHeader/>
          <w:tblCellSpacing w:w="15" w:type="dxa"/>
        </w:trPr>
        <w:tc>
          <w:tcPr>
            <w:tcW w:w="0" w:type="auto"/>
            <w:vAlign w:val="center"/>
            <w:hideMark/>
          </w:tcPr>
          <w:p w14:paraId="21A33269"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Function</w:t>
            </w:r>
          </w:p>
        </w:tc>
        <w:tc>
          <w:tcPr>
            <w:tcW w:w="0" w:type="auto"/>
            <w:vAlign w:val="center"/>
            <w:hideMark/>
          </w:tcPr>
          <w:p w14:paraId="0CD1B712"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Purpose</w:t>
            </w:r>
          </w:p>
        </w:tc>
      </w:tr>
      <w:tr w:rsidR="00D92255" w:rsidRPr="00B479AE" w14:paraId="048C5287" w14:textId="77777777" w:rsidTr="00595E38">
        <w:trPr>
          <w:tblCellSpacing w:w="15" w:type="dxa"/>
        </w:trPr>
        <w:tc>
          <w:tcPr>
            <w:tcW w:w="0" w:type="auto"/>
            <w:vAlign w:val="center"/>
            <w:hideMark/>
          </w:tcPr>
          <w:p w14:paraId="278A1CBF"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Observation</w:t>
            </w:r>
          </w:p>
        </w:tc>
        <w:tc>
          <w:tcPr>
            <w:tcW w:w="0" w:type="auto"/>
            <w:vAlign w:val="center"/>
            <w:hideMark/>
          </w:tcPr>
          <w:p w14:paraId="787D9364"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Captures ecological, operational, hydrological, productive, or stewardship-related events.</w:t>
            </w:r>
          </w:p>
        </w:tc>
      </w:tr>
      <w:tr w:rsidR="00D92255" w:rsidRPr="00B479AE" w14:paraId="171A4F3B" w14:textId="77777777" w:rsidTr="00595E38">
        <w:trPr>
          <w:tblCellSpacing w:w="15" w:type="dxa"/>
        </w:trPr>
        <w:tc>
          <w:tcPr>
            <w:tcW w:w="0" w:type="auto"/>
            <w:vAlign w:val="center"/>
            <w:hideMark/>
          </w:tcPr>
          <w:p w14:paraId="1646A770"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Provenance</w:t>
            </w:r>
          </w:p>
        </w:tc>
        <w:tc>
          <w:tcPr>
            <w:tcW w:w="0" w:type="auto"/>
            <w:vAlign w:val="center"/>
            <w:hideMark/>
          </w:tcPr>
          <w:p w14:paraId="2F92357A"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Records source identity, method, time, location, device, observer, chain of custody, and methodology version.</w:t>
            </w:r>
          </w:p>
        </w:tc>
      </w:tr>
      <w:tr w:rsidR="00D92255" w:rsidRPr="00B479AE" w14:paraId="20A8DD78" w14:textId="77777777" w:rsidTr="00595E38">
        <w:trPr>
          <w:tblCellSpacing w:w="15" w:type="dxa"/>
        </w:trPr>
        <w:tc>
          <w:tcPr>
            <w:tcW w:w="0" w:type="auto"/>
            <w:vAlign w:val="center"/>
            <w:hideMark/>
          </w:tcPr>
          <w:p w14:paraId="675E4FF7"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Validation</w:t>
            </w:r>
          </w:p>
        </w:tc>
        <w:tc>
          <w:tcPr>
            <w:tcW w:w="0" w:type="auto"/>
            <w:vAlign w:val="center"/>
            <w:hideMark/>
          </w:tcPr>
          <w:p w14:paraId="282EA627"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Checks data quality, completeness, consistency, calibration, and cross-source coherence.</w:t>
            </w:r>
          </w:p>
        </w:tc>
      </w:tr>
      <w:tr w:rsidR="00D92255" w:rsidRPr="00B479AE" w14:paraId="2AB55E2A" w14:textId="77777777" w:rsidTr="00595E38">
        <w:trPr>
          <w:tblCellSpacing w:w="15" w:type="dxa"/>
        </w:trPr>
        <w:tc>
          <w:tcPr>
            <w:tcW w:w="0" w:type="auto"/>
            <w:vAlign w:val="center"/>
            <w:hideMark/>
          </w:tcPr>
          <w:p w14:paraId="0944FA0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Classification</w:t>
            </w:r>
          </w:p>
        </w:tc>
        <w:tc>
          <w:tcPr>
            <w:tcW w:w="0" w:type="auto"/>
            <w:vAlign w:val="center"/>
            <w:hideMark/>
          </w:tcPr>
          <w:p w14:paraId="363858D9"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Assigns evidence status: claim, observation, evidence, validated indicator, MRV-admissible, PRU-eligible, non-admissible.</w:t>
            </w:r>
          </w:p>
        </w:tc>
      </w:tr>
      <w:tr w:rsidR="00D92255" w:rsidRPr="00B479AE" w14:paraId="2101A13D" w14:textId="77777777" w:rsidTr="00595E38">
        <w:trPr>
          <w:tblCellSpacing w:w="15" w:type="dxa"/>
        </w:trPr>
        <w:tc>
          <w:tcPr>
            <w:tcW w:w="0" w:type="auto"/>
            <w:vAlign w:val="center"/>
            <w:hideMark/>
          </w:tcPr>
          <w:p w14:paraId="0AEA493A"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Reporting</w:t>
            </w:r>
          </w:p>
        </w:tc>
        <w:tc>
          <w:tcPr>
            <w:tcW w:w="0" w:type="auto"/>
            <w:vAlign w:val="center"/>
            <w:hideMark/>
          </w:tcPr>
          <w:p w14:paraId="5907F2FC"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Presents evidence in dashboards, reports, data rooms, pilot records, PRU analysis, or institutional review materials according to scope.</w:t>
            </w:r>
          </w:p>
        </w:tc>
      </w:tr>
    </w:tbl>
    <w:p w14:paraId="5693660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The operational plane may store hashes, references, signed records, source-chain entries, or metadata in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where implemented.</w:t>
      </w:r>
    </w:p>
    <w:p w14:paraId="6FBDA4E1"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However, MRV data should not be described as automatically used for token issuance or governance decisions.</w:t>
      </w:r>
    </w:p>
    <w:p w14:paraId="596B4E7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correct formulation is:</w:t>
      </w:r>
    </w:p>
    <w:p w14:paraId="04AEE9E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records may support review, reporting, PRU analysis, governance awareness, and future legally structured instruments, subject to methodology, admissibility, and review.</w:t>
      </w:r>
    </w:p>
    <w:p w14:paraId="2AA61018"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G.4 Evidence maturity states</w:t>
      </w:r>
    </w:p>
    <w:p w14:paraId="3FC43033" w14:textId="428A6B85"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Every MRV-related record should carry an evidence maturity state.</w:t>
      </w:r>
      <w:r w:rsidR="002A5030" w:rsidRPr="00B479AE">
        <w:rPr>
          <w:rFonts w:ascii="Baskerville Old Face" w:hAnsi="Baskerville Old Face"/>
          <w:i/>
          <w:iCs/>
        </w:rPr>
        <w:t xml:space="preserve"> </w:t>
      </w:r>
    </w:p>
    <w:p w14:paraId="18A617B7" w14:textId="77777777" w:rsidR="002A5030" w:rsidRPr="00B479AE" w:rsidRDefault="002A5030" w:rsidP="00D92255">
      <w:pPr>
        <w:spacing w:line="360" w:lineRule="auto"/>
        <w:rPr>
          <w:rFonts w:ascii="Baskerville Old Face" w:hAnsi="Baskerville Old Face"/>
          <w:i/>
          <w:iCs/>
        </w:rPr>
      </w:pPr>
    </w:p>
    <w:p w14:paraId="104334DC" w14:textId="77777777" w:rsidR="002A5030" w:rsidRPr="00B479AE" w:rsidRDefault="002A5030" w:rsidP="00D92255">
      <w:pPr>
        <w:spacing w:line="360" w:lineRule="auto"/>
        <w:rPr>
          <w:rFonts w:ascii="Baskerville Old Face" w:hAnsi="Baskerville Old Face"/>
          <w:i/>
          <w:iCs/>
        </w:rPr>
      </w:pPr>
    </w:p>
    <w:p w14:paraId="71202382" w14:textId="77777777" w:rsidR="002A5030" w:rsidRPr="00B479AE" w:rsidRDefault="002A5030" w:rsidP="00D9225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5"/>
        <w:gridCol w:w="4880"/>
        <w:gridCol w:w="3233"/>
      </w:tblGrid>
      <w:tr w:rsidR="00D92255" w:rsidRPr="00B479AE" w14:paraId="4FC8110A" w14:textId="77777777" w:rsidTr="00595E38">
        <w:trPr>
          <w:tblHeader/>
          <w:tblCellSpacing w:w="15" w:type="dxa"/>
        </w:trPr>
        <w:tc>
          <w:tcPr>
            <w:tcW w:w="0" w:type="auto"/>
            <w:vAlign w:val="center"/>
            <w:hideMark/>
          </w:tcPr>
          <w:p w14:paraId="6479F94E" w14:textId="77777777" w:rsidR="00D92255" w:rsidRPr="00B479AE" w:rsidRDefault="00D92255" w:rsidP="00D9225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Status</w:t>
            </w:r>
          </w:p>
        </w:tc>
        <w:tc>
          <w:tcPr>
            <w:tcW w:w="0" w:type="auto"/>
            <w:vAlign w:val="center"/>
            <w:hideMark/>
          </w:tcPr>
          <w:p w14:paraId="365E0AF1" w14:textId="77777777" w:rsidR="00D92255" w:rsidRPr="00B479AE" w:rsidRDefault="00D92255" w:rsidP="00D9225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Meaning</w:t>
            </w:r>
          </w:p>
        </w:tc>
        <w:tc>
          <w:tcPr>
            <w:tcW w:w="0" w:type="auto"/>
            <w:vAlign w:val="center"/>
            <w:hideMark/>
          </w:tcPr>
          <w:p w14:paraId="50D67EB7" w14:textId="77777777" w:rsidR="00D92255" w:rsidRPr="00B479AE" w:rsidRDefault="00D92255" w:rsidP="00D9225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Permitted use</w:t>
            </w:r>
          </w:p>
        </w:tc>
      </w:tr>
      <w:tr w:rsidR="00D92255" w:rsidRPr="00B479AE" w14:paraId="44705BE4" w14:textId="77777777" w:rsidTr="00595E38">
        <w:trPr>
          <w:tblCellSpacing w:w="15" w:type="dxa"/>
        </w:trPr>
        <w:tc>
          <w:tcPr>
            <w:tcW w:w="0" w:type="auto"/>
            <w:vAlign w:val="center"/>
            <w:hideMark/>
          </w:tcPr>
          <w:p w14:paraId="49428F50"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Claim</w:t>
            </w:r>
          </w:p>
        </w:tc>
        <w:tc>
          <w:tcPr>
            <w:tcW w:w="0" w:type="auto"/>
            <w:vAlign w:val="center"/>
            <w:hideMark/>
          </w:tcPr>
          <w:p w14:paraId="1980D25F"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A statement not yet supported by sufficient evidence.</w:t>
            </w:r>
          </w:p>
        </w:tc>
        <w:tc>
          <w:tcPr>
            <w:tcW w:w="0" w:type="auto"/>
            <w:vAlign w:val="center"/>
            <w:hideMark/>
          </w:tcPr>
          <w:p w14:paraId="7E1345F9"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Narrative, hypothesis, intake, research question.</w:t>
            </w:r>
          </w:p>
        </w:tc>
      </w:tr>
      <w:tr w:rsidR="00D92255" w:rsidRPr="00B479AE" w14:paraId="2136E1AA" w14:textId="77777777" w:rsidTr="00595E38">
        <w:trPr>
          <w:tblCellSpacing w:w="15" w:type="dxa"/>
        </w:trPr>
        <w:tc>
          <w:tcPr>
            <w:tcW w:w="0" w:type="auto"/>
            <w:vAlign w:val="center"/>
            <w:hideMark/>
          </w:tcPr>
          <w:p w14:paraId="25820C2D"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Observation</w:t>
            </w:r>
          </w:p>
        </w:tc>
        <w:tc>
          <w:tcPr>
            <w:tcW w:w="0" w:type="auto"/>
            <w:vAlign w:val="center"/>
            <w:hideMark/>
          </w:tcPr>
          <w:p w14:paraId="0919E5BB"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A recorded event, measurement, image, note, or dataset.</w:t>
            </w:r>
          </w:p>
        </w:tc>
        <w:tc>
          <w:tcPr>
            <w:tcW w:w="0" w:type="auto"/>
            <w:vAlign w:val="center"/>
            <w:hideMark/>
          </w:tcPr>
          <w:p w14:paraId="418EE012"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Internal review, monitoring, early analysis.</w:t>
            </w:r>
          </w:p>
        </w:tc>
      </w:tr>
      <w:tr w:rsidR="00D92255" w:rsidRPr="00B479AE" w14:paraId="780E031F" w14:textId="77777777" w:rsidTr="00595E38">
        <w:trPr>
          <w:tblCellSpacing w:w="15" w:type="dxa"/>
        </w:trPr>
        <w:tc>
          <w:tcPr>
            <w:tcW w:w="0" w:type="auto"/>
            <w:vAlign w:val="center"/>
            <w:hideMark/>
          </w:tcPr>
          <w:p w14:paraId="517C0967"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Evidence</w:t>
            </w:r>
          </w:p>
        </w:tc>
        <w:tc>
          <w:tcPr>
            <w:tcW w:w="0" w:type="auto"/>
            <w:vAlign w:val="center"/>
            <w:hideMark/>
          </w:tcPr>
          <w:p w14:paraId="1E819BAC"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Observation with source, method, time, location, and provenance.</w:t>
            </w:r>
          </w:p>
        </w:tc>
        <w:tc>
          <w:tcPr>
            <w:tcW w:w="0" w:type="auto"/>
            <w:vAlign w:val="center"/>
            <w:hideMark/>
          </w:tcPr>
          <w:p w14:paraId="6D3DD47F"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MRV review, comparison, confidence scoring.</w:t>
            </w:r>
          </w:p>
        </w:tc>
      </w:tr>
      <w:tr w:rsidR="00D92255" w:rsidRPr="00B479AE" w14:paraId="6822523A" w14:textId="77777777" w:rsidTr="00595E38">
        <w:trPr>
          <w:tblCellSpacing w:w="15" w:type="dxa"/>
        </w:trPr>
        <w:tc>
          <w:tcPr>
            <w:tcW w:w="0" w:type="auto"/>
            <w:vAlign w:val="center"/>
            <w:hideMark/>
          </w:tcPr>
          <w:p w14:paraId="4C9AA72F"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Validated indicator</w:t>
            </w:r>
          </w:p>
        </w:tc>
        <w:tc>
          <w:tcPr>
            <w:tcW w:w="0" w:type="auto"/>
            <w:vAlign w:val="center"/>
            <w:hideMark/>
          </w:tcPr>
          <w:p w14:paraId="640C97B4"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that passed quality and consistency checks.</w:t>
            </w:r>
          </w:p>
        </w:tc>
        <w:tc>
          <w:tcPr>
            <w:tcW w:w="0" w:type="auto"/>
            <w:vAlign w:val="center"/>
            <w:hideMark/>
          </w:tcPr>
          <w:p w14:paraId="5224C83B"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Reporting, pilot analysis, methodological learning.</w:t>
            </w:r>
          </w:p>
        </w:tc>
      </w:tr>
      <w:tr w:rsidR="00D92255" w:rsidRPr="00B479AE" w14:paraId="62FB464F" w14:textId="77777777" w:rsidTr="00595E38">
        <w:trPr>
          <w:tblCellSpacing w:w="15" w:type="dxa"/>
        </w:trPr>
        <w:tc>
          <w:tcPr>
            <w:tcW w:w="0" w:type="auto"/>
            <w:vAlign w:val="center"/>
            <w:hideMark/>
          </w:tcPr>
          <w:p w14:paraId="07B97043"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Research-use only</w:t>
            </w:r>
          </w:p>
        </w:tc>
        <w:tc>
          <w:tcPr>
            <w:tcW w:w="0" w:type="auto"/>
            <w:vAlign w:val="center"/>
            <w:hideMark/>
          </w:tcPr>
          <w:p w14:paraId="7014711C"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Useful but not mature enough for PRU or investor-facing use.</w:t>
            </w:r>
          </w:p>
        </w:tc>
        <w:tc>
          <w:tcPr>
            <w:tcW w:w="0" w:type="auto"/>
            <w:vAlign w:val="center"/>
            <w:hideMark/>
          </w:tcPr>
          <w:p w14:paraId="5B4436E8"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Research, appendix, methodology development.</w:t>
            </w:r>
          </w:p>
        </w:tc>
      </w:tr>
      <w:tr w:rsidR="00D92255" w:rsidRPr="00B479AE" w14:paraId="05734732" w14:textId="77777777" w:rsidTr="00595E38">
        <w:trPr>
          <w:tblCellSpacing w:w="15" w:type="dxa"/>
        </w:trPr>
        <w:tc>
          <w:tcPr>
            <w:tcW w:w="0" w:type="auto"/>
            <w:vAlign w:val="center"/>
            <w:hideMark/>
          </w:tcPr>
          <w:p w14:paraId="5CC53158"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MRV-admissible</w:t>
            </w:r>
          </w:p>
        </w:tc>
        <w:tc>
          <w:tcPr>
            <w:tcW w:w="0" w:type="auto"/>
            <w:vAlign w:val="center"/>
            <w:hideMark/>
          </w:tcPr>
          <w:p w14:paraId="1402E559"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accepted for MRV reporting under defined scope.</w:t>
            </w:r>
          </w:p>
        </w:tc>
        <w:tc>
          <w:tcPr>
            <w:tcW w:w="0" w:type="auto"/>
            <w:vAlign w:val="center"/>
            <w:hideMark/>
          </w:tcPr>
          <w:p w14:paraId="4E253BC8"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MRV reports, data rooms, governance review.</w:t>
            </w:r>
          </w:p>
        </w:tc>
      </w:tr>
      <w:tr w:rsidR="00D92255" w:rsidRPr="00B479AE" w14:paraId="41E6D06D" w14:textId="77777777" w:rsidTr="00595E38">
        <w:trPr>
          <w:tblCellSpacing w:w="15" w:type="dxa"/>
        </w:trPr>
        <w:tc>
          <w:tcPr>
            <w:tcW w:w="0" w:type="auto"/>
            <w:vAlign w:val="center"/>
            <w:hideMark/>
          </w:tcPr>
          <w:p w14:paraId="327EECFB"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PRU-eligible</w:t>
            </w:r>
          </w:p>
        </w:tc>
        <w:tc>
          <w:tcPr>
            <w:tcW w:w="0" w:type="auto"/>
            <w:vAlign w:val="center"/>
            <w:hideMark/>
          </w:tcPr>
          <w:p w14:paraId="4A562C47"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may contribute to PRU analysis under approved methodology.</w:t>
            </w:r>
          </w:p>
        </w:tc>
        <w:tc>
          <w:tcPr>
            <w:tcW w:w="0" w:type="auto"/>
            <w:vAlign w:val="center"/>
            <w:hideMark/>
          </w:tcPr>
          <w:p w14:paraId="66ED8A7D"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PRU analysis, rating support, underwriting review.</w:t>
            </w:r>
          </w:p>
        </w:tc>
      </w:tr>
      <w:tr w:rsidR="00D92255" w:rsidRPr="00B479AE" w14:paraId="7C8555ED" w14:textId="77777777" w:rsidTr="00595E38">
        <w:trPr>
          <w:tblCellSpacing w:w="15" w:type="dxa"/>
        </w:trPr>
        <w:tc>
          <w:tcPr>
            <w:tcW w:w="0" w:type="auto"/>
            <w:vAlign w:val="center"/>
            <w:hideMark/>
          </w:tcPr>
          <w:p w14:paraId="4ED6B878"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Investor-review only</w:t>
            </w:r>
          </w:p>
        </w:tc>
        <w:tc>
          <w:tcPr>
            <w:tcW w:w="0" w:type="auto"/>
            <w:vAlign w:val="center"/>
            <w:hideMark/>
          </w:tcPr>
          <w:p w14:paraId="1E6FA964"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may be shown with limitations and disclosures.</w:t>
            </w:r>
          </w:p>
        </w:tc>
        <w:tc>
          <w:tcPr>
            <w:tcW w:w="0" w:type="auto"/>
            <w:vAlign w:val="center"/>
            <w:hideMark/>
          </w:tcPr>
          <w:p w14:paraId="3CC213FB"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Diligence, non-offering reports, institutional review.</w:t>
            </w:r>
          </w:p>
        </w:tc>
      </w:tr>
      <w:tr w:rsidR="00D92255" w:rsidRPr="00B479AE" w14:paraId="567C7386" w14:textId="77777777" w:rsidTr="00595E38">
        <w:trPr>
          <w:tblCellSpacing w:w="15" w:type="dxa"/>
        </w:trPr>
        <w:tc>
          <w:tcPr>
            <w:tcW w:w="0" w:type="auto"/>
            <w:vAlign w:val="center"/>
            <w:hideMark/>
          </w:tcPr>
          <w:p w14:paraId="223E6BD2"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Financially admissible</w:t>
            </w:r>
          </w:p>
        </w:tc>
        <w:tc>
          <w:tcPr>
            <w:tcW w:w="0" w:type="auto"/>
            <w:vAlign w:val="center"/>
            <w:hideMark/>
          </w:tcPr>
          <w:p w14:paraId="4FBB218B"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may support valuation or reporting where legally and methodologically permitted.</w:t>
            </w:r>
          </w:p>
        </w:tc>
        <w:tc>
          <w:tcPr>
            <w:tcW w:w="0" w:type="auto"/>
            <w:vAlign w:val="center"/>
            <w:hideMark/>
          </w:tcPr>
          <w:p w14:paraId="5902AB8F"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Structured finance, formal reporting, regulated pathways.</w:t>
            </w:r>
          </w:p>
        </w:tc>
      </w:tr>
      <w:tr w:rsidR="00D92255" w:rsidRPr="00B479AE" w14:paraId="5E516449" w14:textId="77777777" w:rsidTr="00595E38">
        <w:trPr>
          <w:tblCellSpacing w:w="15" w:type="dxa"/>
        </w:trPr>
        <w:tc>
          <w:tcPr>
            <w:tcW w:w="0" w:type="auto"/>
            <w:vAlign w:val="center"/>
            <w:hideMark/>
          </w:tcPr>
          <w:p w14:paraId="7F68CF11"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Non-admissible</w:t>
            </w:r>
          </w:p>
        </w:tc>
        <w:tc>
          <w:tcPr>
            <w:tcW w:w="0" w:type="auto"/>
            <w:vAlign w:val="center"/>
            <w:hideMark/>
          </w:tcPr>
          <w:p w14:paraId="72DCB4E3"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may not enter protected pathways.</w:t>
            </w:r>
          </w:p>
        </w:tc>
        <w:tc>
          <w:tcPr>
            <w:tcW w:w="0" w:type="auto"/>
            <w:vAlign w:val="center"/>
            <w:hideMark/>
          </w:tcPr>
          <w:p w14:paraId="18145018" w14:textId="77777777" w:rsidR="00D92255" w:rsidRPr="00B479AE" w:rsidRDefault="00D92255" w:rsidP="00D92255">
            <w:pPr>
              <w:spacing w:line="360" w:lineRule="auto"/>
              <w:rPr>
                <w:rFonts w:ascii="Baskerville Old Face" w:hAnsi="Baskerville Old Face"/>
                <w:i/>
                <w:iCs/>
                <w:sz w:val="20"/>
                <w:szCs w:val="20"/>
              </w:rPr>
            </w:pPr>
            <w:r w:rsidRPr="00B479AE">
              <w:rPr>
                <w:rFonts w:ascii="Baskerville Old Face" w:hAnsi="Baskerville Old Face"/>
                <w:i/>
                <w:iCs/>
                <w:sz w:val="20"/>
                <w:szCs w:val="20"/>
              </w:rPr>
              <w:t>Archive, correction, investigation, or exclusion.</w:t>
            </w:r>
          </w:p>
        </w:tc>
      </w:tr>
    </w:tbl>
    <w:p w14:paraId="73812DD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This classification prevents premature conversion of ecological observations into value claims.</w:t>
      </w:r>
    </w:p>
    <w:p w14:paraId="7732EE8C"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G.5 Data source layers</w:t>
      </w:r>
    </w:p>
    <w:p w14:paraId="77F66D3D"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G.5.1 Remote sensing layer</w:t>
      </w:r>
    </w:p>
    <w:p w14:paraId="43C9AB1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Remote sensing supports landscape-level, time-series, and independent visual or spectral observation.</w:t>
      </w:r>
    </w:p>
    <w:p w14:paraId="2AB50A1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Relevant sources may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3604"/>
        <w:gridCol w:w="3941"/>
      </w:tblGrid>
      <w:tr w:rsidR="00D92255" w:rsidRPr="00B479AE" w14:paraId="1D92823F" w14:textId="77777777" w:rsidTr="00D30921">
        <w:trPr>
          <w:tblHeader/>
          <w:tblCellSpacing w:w="15" w:type="dxa"/>
        </w:trPr>
        <w:tc>
          <w:tcPr>
            <w:tcW w:w="0" w:type="auto"/>
            <w:vAlign w:val="center"/>
            <w:hideMark/>
          </w:tcPr>
          <w:p w14:paraId="7E50D670"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Platform / source</w:t>
            </w:r>
          </w:p>
        </w:tc>
        <w:tc>
          <w:tcPr>
            <w:tcW w:w="0" w:type="auto"/>
            <w:vAlign w:val="center"/>
            <w:hideMark/>
          </w:tcPr>
          <w:p w14:paraId="7E3F8ED4"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Data types</w:t>
            </w:r>
          </w:p>
        </w:tc>
        <w:tc>
          <w:tcPr>
            <w:tcW w:w="0" w:type="auto"/>
            <w:vAlign w:val="center"/>
            <w:hideMark/>
          </w:tcPr>
          <w:p w14:paraId="67575CDD"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Prometheus use</w:t>
            </w:r>
          </w:p>
        </w:tc>
      </w:tr>
      <w:tr w:rsidR="00D92255" w:rsidRPr="00B479AE" w14:paraId="27B31F29" w14:textId="77777777" w:rsidTr="00D30921">
        <w:trPr>
          <w:tblCellSpacing w:w="15" w:type="dxa"/>
        </w:trPr>
        <w:tc>
          <w:tcPr>
            <w:tcW w:w="0" w:type="auto"/>
            <w:vAlign w:val="center"/>
            <w:hideMark/>
          </w:tcPr>
          <w:p w14:paraId="189B7D50"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Sentinel / Copernicus</w:t>
            </w:r>
          </w:p>
        </w:tc>
        <w:tc>
          <w:tcPr>
            <w:tcW w:w="0" w:type="auto"/>
            <w:vAlign w:val="center"/>
            <w:hideMark/>
          </w:tcPr>
          <w:p w14:paraId="2023120C"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Multispectral imagery, radar, vegetation indices, land monitoring.</w:t>
            </w:r>
          </w:p>
        </w:tc>
        <w:tc>
          <w:tcPr>
            <w:tcW w:w="0" w:type="auto"/>
            <w:vAlign w:val="center"/>
            <w:hideMark/>
          </w:tcPr>
          <w:p w14:paraId="7C7821BC"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Vegetation health, land-cover change, water stress, baseline comparison.</w:t>
            </w:r>
          </w:p>
        </w:tc>
      </w:tr>
      <w:tr w:rsidR="00D92255" w:rsidRPr="00B479AE" w14:paraId="7FE3E77A" w14:textId="77777777" w:rsidTr="00D30921">
        <w:trPr>
          <w:tblCellSpacing w:w="15" w:type="dxa"/>
        </w:trPr>
        <w:tc>
          <w:tcPr>
            <w:tcW w:w="0" w:type="auto"/>
            <w:vAlign w:val="center"/>
            <w:hideMark/>
          </w:tcPr>
          <w:p w14:paraId="1DBF3719"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Landsat / USGS</w:t>
            </w:r>
          </w:p>
        </w:tc>
        <w:tc>
          <w:tcPr>
            <w:tcW w:w="0" w:type="auto"/>
            <w:vAlign w:val="center"/>
            <w:hideMark/>
          </w:tcPr>
          <w:p w14:paraId="4BB16D5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Multispectral and thermal time-series.</w:t>
            </w:r>
          </w:p>
        </w:tc>
        <w:tc>
          <w:tcPr>
            <w:tcW w:w="0" w:type="auto"/>
            <w:vAlign w:val="center"/>
            <w:hideMark/>
          </w:tcPr>
          <w:p w14:paraId="70BC3902"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Long-term change detection, historical baseline, temperature context.</w:t>
            </w:r>
          </w:p>
        </w:tc>
      </w:tr>
      <w:tr w:rsidR="00D92255" w:rsidRPr="00B479AE" w14:paraId="1C16B50C" w14:textId="77777777" w:rsidTr="00D30921">
        <w:trPr>
          <w:tblCellSpacing w:w="15" w:type="dxa"/>
        </w:trPr>
        <w:tc>
          <w:tcPr>
            <w:tcW w:w="0" w:type="auto"/>
            <w:vAlign w:val="center"/>
            <w:hideMark/>
          </w:tcPr>
          <w:p w14:paraId="653426EF"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Drone imagery</w:t>
            </w:r>
          </w:p>
        </w:tc>
        <w:tc>
          <w:tcPr>
            <w:tcW w:w="0" w:type="auto"/>
            <w:vAlign w:val="center"/>
            <w:hideMark/>
          </w:tcPr>
          <w:p w14:paraId="1CC68328"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High-resolution RGB, multispectral, thermal where available.</w:t>
            </w:r>
          </w:p>
        </w:tc>
        <w:tc>
          <w:tcPr>
            <w:tcW w:w="0" w:type="auto"/>
            <w:vAlign w:val="center"/>
            <w:hideMark/>
          </w:tcPr>
          <w:p w14:paraId="06A25154"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Local canopy development, ground cover, erosion, vegetation structure.</w:t>
            </w:r>
          </w:p>
        </w:tc>
      </w:tr>
      <w:tr w:rsidR="00D92255" w:rsidRPr="00B479AE" w14:paraId="34EA069F" w14:textId="77777777" w:rsidTr="00D30921">
        <w:trPr>
          <w:tblCellSpacing w:w="15" w:type="dxa"/>
        </w:trPr>
        <w:tc>
          <w:tcPr>
            <w:tcW w:w="0" w:type="auto"/>
            <w:vAlign w:val="center"/>
            <w:hideMark/>
          </w:tcPr>
          <w:p w14:paraId="2E2C434F"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Mobile georeferenced imagery</w:t>
            </w:r>
          </w:p>
        </w:tc>
        <w:tc>
          <w:tcPr>
            <w:tcW w:w="0" w:type="auto"/>
            <w:vAlign w:val="center"/>
            <w:hideMark/>
          </w:tcPr>
          <w:p w14:paraId="731EFF2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Field photographs, mobile observations, geotagged records.</w:t>
            </w:r>
          </w:p>
        </w:tc>
        <w:tc>
          <w:tcPr>
            <w:tcW w:w="0" w:type="auto"/>
            <w:vAlign w:val="center"/>
            <w:hideMark/>
          </w:tcPr>
          <w:p w14:paraId="072F194B"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Stewardship records, intervention proof, visual audit support.</w:t>
            </w:r>
          </w:p>
        </w:tc>
      </w:tr>
      <w:tr w:rsidR="00D92255" w:rsidRPr="00B479AE" w14:paraId="36DA8229" w14:textId="77777777" w:rsidTr="00D30921">
        <w:trPr>
          <w:tblCellSpacing w:w="15" w:type="dxa"/>
        </w:trPr>
        <w:tc>
          <w:tcPr>
            <w:tcW w:w="0" w:type="auto"/>
            <w:vAlign w:val="center"/>
            <w:hideMark/>
          </w:tcPr>
          <w:p w14:paraId="110CDA5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Public geospatial datasets</w:t>
            </w:r>
          </w:p>
        </w:tc>
        <w:tc>
          <w:tcPr>
            <w:tcW w:w="0" w:type="auto"/>
            <w:vAlign w:val="center"/>
            <w:hideMark/>
          </w:tcPr>
          <w:p w14:paraId="352096D1"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Land cover, elevation, hydrology, climate, soils.</w:t>
            </w:r>
          </w:p>
        </w:tc>
        <w:tc>
          <w:tcPr>
            <w:tcW w:w="0" w:type="auto"/>
            <w:vAlign w:val="center"/>
            <w:hideMark/>
          </w:tcPr>
          <w:p w14:paraId="3E46A2A6"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Contextual analysis, risk assessment, bioregional planning.</w:t>
            </w:r>
          </w:p>
        </w:tc>
      </w:tr>
    </w:tbl>
    <w:p w14:paraId="77C0402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Remote sensing contributes to MRV by providing spatial continuity and independent pattern evidence.</w:t>
      </w:r>
    </w:p>
    <w:p w14:paraId="2569E92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Its strongest role is pattern confirmation.</w:t>
      </w:r>
    </w:p>
    <w:p w14:paraId="6B22D7B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should be triangulated with field data, laboratory evidence, operational records, and direct observation where claims are material.</w:t>
      </w:r>
    </w:p>
    <w:p w14:paraId="4F0FF79A"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G.5.2 IoT and field sensing layer</w:t>
      </w:r>
    </w:p>
    <w:p w14:paraId="329ABAF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Field sensors provide locally grounded measurements.</w:t>
      </w:r>
    </w:p>
    <w:p w14:paraId="7504794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Possible sensor categories include:</w:t>
      </w:r>
    </w:p>
    <w:p w14:paraId="1E600DFA" w14:textId="77777777" w:rsidR="0039233A" w:rsidRPr="00B479AE" w:rsidRDefault="0039233A" w:rsidP="00D92255">
      <w:pPr>
        <w:spacing w:line="360" w:lineRule="auto"/>
        <w:rPr>
          <w:rFonts w:ascii="Baskerville Old Face" w:hAnsi="Baskerville Old Face"/>
          <w:i/>
          <w:iCs/>
        </w:rPr>
      </w:pPr>
    </w:p>
    <w:p w14:paraId="63F57343" w14:textId="77777777" w:rsidR="0039233A" w:rsidRPr="00B479AE" w:rsidRDefault="0039233A" w:rsidP="00D92255">
      <w:pPr>
        <w:spacing w:line="360" w:lineRule="auto"/>
        <w:rPr>
          <w:rFonts w:ascii="Baskerville Old Face" w:hAnsi="Baskerville Old Face"/>
          <w:i/>
          <w:iCs/>
        </w:rPr>
      </w:pPr>
    </w:p>
    <w:p w14:paraId="5B642122" w14:textId="77777777" w:rsidR="0039233A" w:rsidRPr="00B479AE" w:rsidRDefault="0039233A" w:rsidP="00D9225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8"/>
        <w:gridCol w:w="3656"/>
        <w:gridCol w:w="3804"/>
      </w:tblGrid>
      <w:tr w:rsidR="00D92255" w:rsidRPr="00B479AE" w14:paraId="452D555A" w14:textId="77777777" w:rsidTr="00D30921">
        <w:trPr>
          <w:tblHeader/>
          <w:tblCellSpacing w:w="15" w:type="dxa"/>
        </w:trPr>
        <w:tc>
          <w:tcPr>
            <w:tcW w:w="0" w:type="auto"/>
            <w:vAlign w:val="center"/>
            <w:hideMark/>
          </w:tcPr>
          <w:p w14:paraId="47ACFB1F"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Sensor category</w:t>
            </w:r>
          </w:p>
        </w:tc>
        <w:tc>
          <w:tcPr>
            <w:tcW w:w="0" w:type="auto"/>
            <w:vAlign w:val="center"/>
            <w:hideMark/>
          </w:tcPr>
          <w:p w14:paraId="522AB0CC"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Parameters</w:t>
            </w:r>
          </w:p>
        </w:tc>
        <w:tc>
          <w:tcPr>
            <w:tcW w:w="0" w:type="auto"/>
            <w:vAlign w:val="center"/>
            <w:hideMark/>
          </w:tcPr>
          <w:p w14:paraId="4ACD6876"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MRV use</w:t>
            </w:r>
          </w:p>
        </w:tc>
      </w:tr>
      <w:tr w:rsidR="00D92255" w:rsidRPr="00B479AE" w14:paraId="59E30E37" w14:textId="77777777" w:rsidTr="00D30921">
        <w:trPr>
          <w:tblCellSpacing w:w="15" w:type="dxa"/>
        </w:trPr>
        <w:tc>
          <w:tcPr>
            <w:tcW w:w="0" w:type="auto"/>
            <w:vAlign w:val="center"/>
            <w:hideMark/>
          </w:tcPr>
          <w:p w14:paraId="77303968"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Soil moisture sensors</w:t>
            </w:r>
          </w:p>
        </w:tc>
        <w:tc>
          <w:tcPr>
            <w:tcW w:w="0" w:type="auto"/>
            <w:vAlign w:val="center"/>
            <w:hideMark/>
          </w:tcPr>
          <w:p w14:paraId="10173136"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Soil moisture at one or more depths.</w:t>
            </w:r>
          </w:p>
        </w:tc>
        <w:tc>
          <w:tcPr>
            <w:tcW w:w="0" w:type="auto"/>
            <w:vAlign w:val="center"/>
            <w:hideMark/>
          </w:tcPr>
          <w:p w14:paraId="64C7A3C8"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Hydrological resilience, irrigation need, drought response.</w:t>
            </w:r>
          </w:p>
        </w:tc>
      </w:tr>
      <w:tr w:rsidR="00D92255" w:rsidRPr="00B479AE" w14:paraId="547628A1" w14:textId="77777777" w:rsidTr="00D30921">
        <w:trPr>
          <w:tblCellSpacing w:w="15" w:type="dxa"/>
        </w:trPr>
        <w:tc>
          <w:tcPr>
            <w:tcW w:w="0" w:type="auto"/>
            <w:vAlign w:val="center"/>
            <w:hideMark/>
          </w:tcPr>
          <w:p w14:paraId="76A536A8"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Soil temperature sensors</w:t>
            </w:r>
          </w:p>
        </w:tc>
        <w:tc>
          <w:tcPr>
            <w:tcW w:w="0" w:type="auto"/>
            <w:vAlign w:val="center"/>
            <w:hideMark/>
          </w:tcPr>
          <w:p w14:paraId="3B2ED3B3"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Temperature at soil or root-zone level.</w:t>
            </w:r>
          </w:p>
        </w:tc>
        <w:tc>
          <w:tcPr>
            <w:tcW w:w="0" w:type="auto"/>
            <w:vAlign w:val="center"/>
            <w:hideMark/>
          </w:tcPr>
          <w:p w14:paraId="0E7C5FDC"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Biological activity context, stress conditions.</w:t>
            </w:r>
          </w:p>
        </w:tc>
      </w:tr>
      <w:tr w:rsidR="00D92255" w:rsidRPr="00B479AE" w14:paraId="32DA728F" w14:textId="77777777" w:rsidTr="00D30921">
        <w:trPr>
          <w:tblCellSpacing w:w="15" w:type="dxa"/>
        </w:trPr>
        <w:tc>
          <w:tcPr>
            <w:tcW w:w="0" w:type="auto"/>
            <w:vAlign w:val="center"/>
            <w:hideMark/>
          </w:tcPr>
          <w:p w14:paraId="54017AAF"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Weather stations</w:t>
            </w:r>
          </w:p>
        </w:tc>
        <w:tc>
          <w:tcPr>
            <w:tcW w:w="0" w:type="auto"/>
            <w:vAlign w:val="center"/>
            <w:hideMark/>
          </w:tcPr>
          <w:p w14:paraId="57CC6F61"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Rainfall, temperature, humidity, wind, solar radiation.</w:t>
            </w:r>
          </w:p>
        </w:tc>
        <w:tc>
          <w:tcPr>
            <w:tcW w:w="0" w:type="auto"/>
            <w:vAlign w:val="center"/>
            <w:hideMark/>
          </w:tcPr>
          <w:p w14:paraId="58D9B3FA"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Climate context, rainfall-event interpretation, microclimate.</w:t>
            </w:r>
          </w:p>
        </w:tc>
      </w:tr>
      <w:tr w:rsidR="00D92255" w:rsidRPr="00B479AE" w14:paraId="6B08EF9A" w14:textId="77777777" w:rsidTr="00D30921">
        <w:trPr>
          <w:tblCellSpacing w:w="15" w:type="dxa"/>
        </w:trPr>
        <w:tc>
          <w:tcPr>
            <w:tcW w:w="0" w:type="auto"/>
            <w:vAlign w:val="center"/>
            <w:hideMark/>
          </w:tcPr>
          <w:p w14:paraId="0169B1A4"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Water-level sensors</w:t>
            </w:r>
          </w:p>
        </w:tc>
        <w:tc>
          <w:tcPr>
            <w:tcW w:w="0" w:type="auto"/>
            <w:vAlign w:val="center"/>
            <w:hideMark/>
          </w:tcPr>
          <w:p w14:paraId="4ED0A450"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Swales, micro-ponds, infiltration basins, retention features.</w:t>
            </w:r>
          </w:p>
        </w:tc>
        <w:tc>
          <w:tcPr>
            <w:tcW w:w="0" w:type="auto"/>
            <w:vAlign w:val="center"/>
            <w:hideMark/>
          </w:tcPr>
          <w:p w14:paraId="353C72B2"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Water retention, infiltration dynamics, hydrological response.</w:t>
            </w:r>
          </w:p>
        </w:tc>
      </w:tr>
      <w:tr w:rsidR="00D92255" w:rsidRPr="00B479AE" w14:paraId="11074A5F" w14:textId="77777777" w:rsidTr="00D30921">
        <w:trPr>
          <w:tblCellSpacing w:w="15" w:type="dxa"/>
        </w:trPr>
        <w:tc>
          <w:tcPr>
            <w:tcW w:w="0" w:type="auto"/>
            <w:vAlign w:val="center"/>
            <w:hideMark/>
          </w:tcPr>
          <w:p w14:paraId="50DCD816"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Water-quality sensors</w:t>
            </w:r>
          </w:p>
        </w:tc>
        <w:tc>
          <w:tcPr>
            <w:tcW w:w="0" w:type="auto"/>
            <w:vAlign w:val="center"/>
            <w:hideMark/>
          </w:tcPr>
          <w:p w14:paraId="435AA89F"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pH, turbidity, conductivity, nitrates where available.</w:t>
            </w:r>
          </w:p>
        </w:tc>
        <w:tc>
          <w:tcPr>
            <w:tcW w:w="0" w:type="auto"/>
            <w:vAlign w:val="center"/>
            <w:hideMark/>
          </w:tcPr>
          <w:p w14:paraId="0803B36E"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Water stewardship and pollution-risk indicators.</w:t>
            </w:r>
          </w:p>
        </w:tc>
      </w:tr>
      <w:tr w:rsidR="00D92255" w:rsidRPr="00B479AE" w14:paraId="573E9849" w14:textId="77777777" w:rsidTr="00D30921">
        <w:trPr>
          <w:tblCellSpacing w:w="15" w:type="dxa"/>
        </w:trPr>
        <w:tc>
          <w:tcPr>
            <w:tcW w:w="0" w:type="auto"/>
            <w:vAlign w:val="center"/>
            <w:hideMark/>
          </w:tcPr>
          <w:p w14:paraId="5FBCD5F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Soil respiration or CO</w:t>
            </w:r>
            <w:r w:rsidRPr="00B479AE">
              <w:rPr>
                <w:rFonts w:ascii="Cambria Math" w:hAnsi="Cambria Math" w:cs="Cambria Math"/>
                <w:b/>
                <w:bCs/>
                <w:i/>
                <w:iCs/>
                <w:sz w:val="22"/>
                <w:szCs w:val="22"/>
              </w:rPr>
              <w:t>₂</w:t>
            </w:r>
            <w:r w:rsidRPr="00B479AE">
              <w:rPr>
                <w:rFonts w:ascii="Baskerville Old Face" w:hAnsi="Baskerville Old Face"/>
                <w:b/>
                <w:bCs/>
                <w:i/>
                <w:iCs/>
                <w:sz w:val="22"/>
                <w:szCs w:val="22"/>
              </w:rPr>
              <w:t xml:space="preserve"> sensors</w:t>
            </w:r>
          </w:p>
        </w:tc>
        <w:tc>
          <w:tcPr>
            <w:tcW w:w="0" w:type="auto"/>
            <w:vAlign w:val="center"/>
            <w:hideMark/>
          </w:tcPr>
          <w:p w14:paraId="6A6901BA"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CO</w:t>
            </w:r>
            <w:r w:rsidRPr="00B479AE">
              <w:rPr>
                <w:rFonts w:ascii="Cambria Math" w:hAnsi="Cambria Math" w:cs="Cambria Math"/>
                <w:i/>
                <w:iCs/>
                <w:sz w:val="22"/>
                <w:szCs w:val="22"/>
              </w:rPr>
              <w:t>₂</w:t>
            </w:r>
            <w:r w:rsidRPr="00B479AE">
              <w:rPr>
                <w:rFonts w:ascii="Baskerville Old Face" w:hAnsi="Baskerville Old Face"/>
                <w:i/>
                <w:iCs/>
                <w:sz w:val="22"/>
                <w:szCs w:val="22"/>
              </w:rPr>
              <w:t xml:space="preserve"> flux or microbial activity proxy.</w:t>
            </w:r>
          </w:p>
        </w:tc>
        <w:tc>
          <w:tcPr>
            <w:tcW w:w="0" w:type="auto"/>
            <w:vAlign w:val="center"/>
            <w:hideMark/>
          </w:tcPr>
          <w:p w14:paraId="597421B9"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Soil biological activity research or advanced monitoring.</w:t>
            </w:r>
          </w:p>
        </w:tc>
      </w:tr>
      <w:tr w:rsidR="00D92255" w:rsidRPr="00B479AE" w14:paraId="06F94717" w14:textId="77777777" w:rsidTr="00D30921">
        <w:trPr>
          <w:tblCellSpacing w:w="15" w:type="dxa"/>
        </w:trPr>
        <w:tc>
          <w:tcPr>
            <w:tcW w:w="0" w:type="auto"/>
            <w:vAlign w:val="center"/>
            <w:hideMark/>
          </w:tcPr>
          <w:p w14:paraId="17651FCF"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Manual field instruments</w:t>
            </w:r>
          </w:p>
        </w:tc>
        <w:tc>
          <w:tcPr>
            <w:tcW w:w="0" w:type="auto"/>
            <w:vAlign w:val="center"/>
            <w:hideMark/>
          </w:tcPr>
          <w:p w14:paraId="1D82024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Infiltration rings, penetrometers, soil sampling kits.</w:t>
            </w:r>
          </w:p>
        </w:tc>
        <w:tc>
          <w:tcPr>
            <w:tcW w:w="0" w:type="auto"/>
            <w:vAlign w:val="center"/>
            <w:hideMark/>
          </w:tcPr>
          <w:p w14:paraId="1F9DE224"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Low-tech, network-independent, field-verifiable evidence.</w:t>
            </w:r>
          </w:p>
        </w:tc>
      </w:tr>
    </w:tbl>
    <w:p w14:paraId="2428DFD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Each sensor record should include:</w:t>
      </w:r>
    </w:p>
    <w:p w14:paraId="4F1F6A6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device identity;</w:t>
      </w:r>
      <w:r w:rsidRPr="00B479AE">
        <w:rPr>
          <w:rFonts w:ascii="Baskerville Old Face" w:hAnsi="Baskerville Old Face"/>
          <w:i/>
          <w:iCs/>
        </w:rPr>
        <w:br/>
        <w:t>• location;</w:t>
      </w:r>
      <w:r w:rsidRPr="00B479AE">
        <w:rPr>
          <w:rFonts w:ascii="Baskerville Old Face" w:hAnsi="Baskerville Old Face"/>
          <w:i/>
          <w:iCs/>
        </w:rPr>
        <w:br/>
        <w:t>• timestamp;</w:t>
      </w:r>
      <w:r w:rsidRPr="00B479AE">
        <w:rPr>
          <w:rFonts w:ascii="Baskerville Old Face" w:hAnsi="Baskerville Old Face"/>
          <w:i/>
          <w:iCs/>
        </w:rPr>
        <w:br/>
        <w:t>• measured variable;</w:t>
      </w:r>
      <w:r w:rsidRPr="00B479AE">
        <w:rPr>
          <w:rFonts w:ascii="Baskerville Old Face" w:hAnsi="Baskerville Old Face"/>
          <w:i/>
          <w:iCs/>
        </w:rPr>
        <w:br/>
        <w:t>• unit;</w:t>
      </w:r>
      <w:r w:rsidRPr="00B479AE">
        <w:rPr>
          <w:rFonts w:ascii="Baskerville Old Face" w:hAnsi="Baskerville Old Face"/>
          <w:i/>
          <w:iCs/>
        </w:rPr>
        <w:br/>
        <w:t>• calibration status;</w:t>
      </w:r>
      <w:r w:rsidRPr="00B479AE">
        <w:rPr>
          <w:rFonts w:ascii="Baskerville Old Face" w:hAnsi="Baskerville Old Face"/>
          <w:i/>
          <w:iCs/>
        </w:rPr>
        <w:br/>
        <w:t>• firmware or configuration version where relevant;</w:t>
      </w:r>
      <w:r w:rsidRPr="00B479AE">
        <w:rPr>
          <w:rFonts w:ascii="Baskerville Old Face" w:hAnsi="Baskerville Old Face"/>
          <w:i/>
          <w:iCs/>
        </w:rPr>
        <w:br/>
        <w:t>• data-quality flag;</w:t>
      </w:r>
      <w:r w:rsidRPr="00B479AE">
        <w:rPr>
          <w:rFonts w:ascii="Baskerville Old Face" w:hAnsi="Baskerville Old Face"/>
          <w:i/>
          <w:iCs/>
        </w:rPr>
        <w:br/>
        <w:t>• method reference;</w:t>
      </w:r>
      <w:r w:rsidRPr="00B479AE">
        <w:rPr>
          <w:rFonts w:ascii="Baskerville Old Face" w:hAnsi="Baskerville Old Face"/>
          <w:i/>
          <w:iCs/>
        </w:rPr>
        <w:br/>
        <w:t>• source-chain or archive reference where implemented.</w:t>
      </w:r>
    </w:p>
    <w:p w14:paraId="0341FFF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Sensor records are evidence inputs.</w:t>
      </w:r>
    </w:p>
    <w:p w14:paraId="160439BC"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They are not automatic truth.</w:t>
      </w:r>
    </w:p>
    <w:p w14:paraId="3B27A6D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They require quality checks, calibration, context, and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material, cross-source validation.</w:t>
      </w:r>
    </w:p>
    <w:p w14:paraId="3234B248"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G.5.3 Laboratory evidence layer</w:t>
      </w:r>
    </w:p>
    <w:p w14:paraId="2AA850D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Laboratory evidence provides high-quality analytical support for indicators that require controlled measurement.</w:t>
      </w:r>
    </w:p>
    <w:p w14:paraId="16323C6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Relevant laboratory data may include:</w:t>
      </w:r>
    </w:p>
    <w:p w14:paraId="2043C4F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soil organic carbon;</w:t>
      </w:r>
      <w:r w:rsidRPr="00B479AE">
        <w:rPr>
          <w:rFonts w:ascii="Baskerville Old Face" w:hAnsi="Baskerville Old Face"/>
          <w:i/>
          <w:iCs/>
        </w:rPr>
        <w:br/>
        <w:t>• soil organic matter;</w:t>
      </w:r>
      <w:r w:rsidRPr="00B479AE">
        <w:rPr>
          <w:rFonts w:ascii="Baskerville Old Face" w:hAnsi="Baskerville Old Face"/>
          <w:i/>
          <w:iCs/>
        </w:rPr>
        <w:br/>
        <w:t>• pH;</w:t>
      </w:r>
      <w:r w:rsidRPr="00B479AE">
        <w:rPr>
          <w:rFonts w:ascii="Baskerville Old Face" w:hAnsi="Baskerville Old Face"/>
          <w:i/>
          <w:iCs/>
        </w:rPr>
        <w:br/>
        <w:t>• electrical conductivity;</w:t>
      </w:r>
      <w:r w:rsidRPr="00B479AE">
        <w:rPr>
          <w:rFonts w:ascii="Baskerville Old Face" w:hAnsi="Baskerville Old Face"/>
          <w:i/>
          <w:iCs/>
        </w:rPr>
        <w:br/>
        <w:t>• bulk density;</w:t>
      </w:r>
      <w:r w:rsidRPr="00B479AE">
        <w:rPr>
          <w:rFonts w:ascii="Baskerville Old Face" w:hAnsi="Baskerville Old Face"/>
          <w:i/>
          <w:iCs/>
        </w:rPr>
        <w:br/>
        <w:t>• aggregate stability;</w:t>
      </w:r>
      <w:r w:rsidRPr="00B479AE">
        <w:rPr>
          <w:rFonts w:ascii="Baskerville Old Face" w:hAnsi="Baskerville Old Face"/>
          <w:i/>
          <w:iCs/>
        </w:rPr>
        <w:br/>
        <w:t>• nutrient availability;</w:t>
      </w:r>
      <w:r w:rsidRPr="00B479AE">
        <w:rPr>
          <w:rFonts w:ascii="Baskerville Old Face" w:hAnsi="Baskerville Old Face"/>
          <w:i/>
          <w:iCs/>
        </w:rPr>
        <w:br/>
        <w:t>• microbial biomass;</w:t>
      </w:r>
      <w:r w:rsidRPr="00B479AE">
        <w:rPr>
          <w:rFonts w:ascii="Baskerville Old Face" w:hAnsi="Baskerville Old Face"/>
          <w:i/>
          <w:iCs/>
        </w:rPr>
        <w:br/>
        <w:t>• mycorrhizal colonization where feasible;</w:t>
      </w:r>
      <w:r w:rsidRPr="00B479AE">
        <w:rPr>
          <w:rFonts w:ascii="Baskerville Old Face" w:hAnsi="Baskerville Old Face"/>
          <w:i/>
          <w:iCs/>
        </w:rPr>
        <w:br/>
        <w:t>• soil texture;</w:t>
      </w:r>
      <w:r w:rsidRPr="00B479AE">
        <w:rPr>
          <w:rFonts w:ascii="Baskerville Old Face" w:hAnsi="Baskerville Old Face"/>
          <w:i/>
          <w:iCs/>
        </w:rPr>
        <w:br/>
        <w:t>• salinity;</w:t>
      </w:r>
      <w:r w:rsidRPr="00B479AE">
        <w:rPr>
          <w:rFonts w:ascii="Baskerville Old Face" w:hAnsi="Baskerville Old Face"/>
          <w:i/>
          <w:iCs/>
        </w:rPr>
        <w:br/>
        <w:t>• water quality;</w:t>
      </w:r>
      <w:r w:rsidRPr="00B479AE">
        <w:rPr>
          <w:rFonts w:ascii="Baskerville Old Face" w:hAnsi="Baskerville Old Face"/>
          <w:i/>
          <w:iCs/>
        </w:rPr>
        <w:br/>
        <w:t>• plant tissue analysis;</w:t>
      </w:r>
      <w:r w:rsidRPr="00B479AE">
        <w:rPr>
          <w:rFonts w:ascii="Baskerville Old Face" w:hAnsi="Baskerville Old Face"/>
          <w:i/>
          <w:iCs/>
        </w:rPr>
        <w:br/>
        <w:t>• nutrient density indicators where relevant.</w:t>
      </w:r>
    </w:p>
    <w:p w14:paraId="62E6E14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Laboratory records should include:</w:t>
      </w:r>
    </w:p>
    <w:p w14:paraId="4E5D8CE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sample ID;</w:t>
      </w:r>
      <w:r w:rsidRPr="00B479AE">
        <w:rPr>
          <w:rFonts w:ascii="Baskerville Old Face" w:hAnsi="Baskerville Old Face"/>
          <w:i/>
          <w:iCs/>
        </w:rPr>
        <w:br/>
        <w:t>• sampling date;</w:t>
      </w:r>
      <w:r w:rsidRPr="00B479AE">
        <w:rPr>
          <w:rFonts w:ascii="Baskerville Old Face" w:hAnsi="Baskerville Old Face"/>
          <w:i/>
          <w:iCs/>
        </w:rPr>
        <w:br/>
        <w:t>• sampling location;</w:t>
      </w:r>
      <w:r w:rsidRPr="00B479AE">
        <w:rPr>
          <w:rFonts w:ascii="Baskerville Old Face" w:hAnsi="Baskerville Old Face"/>
          <w:i/>
          <w:iCs/>
        </w:rPr>
        <w:br/>
        <w:t>• sampling depth;</w:t>
      </w:r>
      <w:r w:rsidRPr="00B479AE">
        <w:rPr>
          <w:rFonts w:ascii="Baskerville Old Face" w:hAnsi="Baskerville Old Face"/>
          <w:i/>
          <w:iCs/>
        </w:rPr>
        <w:br/>
        <w:t>• collector identity or role;</w:t>
      </w:r>
      <w:r w:rsidRPr="00B479AE">
        <w:rPr>
          <w:rFonts w:ascii="Baskerville Old Face" w:hAnsi="Baskerville Old Face"/>
          <w:i/>
          <w:iCs/>
        </w:rPr>
        <w:br/>
        <w:t>• chain-of-custody note;</w:t>
      </w:r>
      <w:r w:rsidRPr="00B479AE">
        <w:rPr>
          <w:rFonts w:ascii="Baskerville Old Face" w:hAnsi="Baskerville Old Face"/>
          <w:i/>
          <w:iCs/>
        </w:rPr>
        <w:br/>
        <w:t>• laboratory identity;</w:t>
      </w:r>
      <w:r w:rsidRPr="00B479AE">
        <w:rPr>
          <w:rFonts w:ascii="Baskerville Old Face" w:hAnsi="Baskerville Old Face"/>
          <w:i/>
          <w:iCs/>
        </w:rPr>
        <w:br/>
        <w:t>• analytical method;</w:t>
      </w:r>
      <w:r w:rsidRPr="00B479AE">
        <w:rPr>
          <w:rFonts w:ascii="Baskerville Old Face" w:hAnsi="Baskerville Old Face"/>
          <w:i/>
          <w:iCs/>
        </w:rPr>
        <w:br/>
        <w:t>• results;</w:t>
      </w:r>
      <w:r w:rsidRPr="00B479AE">
        <w:rPr>
          <w:rFonts w:ascii="Baskerville Old Face" w:hAnsi="Baskerville Old Face"/>
          <w:i/>
          <w:iCs/>
        </w:rPr>
        <w:br/>
      </w:r>
      <w:r w:rsidRPr="00B479AE">
        <w:rPr>
          <w:rFonts w:ascii="Baskerville Old Face" w:hAnsi="Baskerville Old Face"/>
          <w:i/>
          <w:iCs/>
        </w:rPr>
        <w:lastRenderedPageBreak/>
        <w:t>• uncertainty or detection limits where available;</w:t>
      </w:r>
      <w:r w:rsidRPr="00B479AE">
        <w:rPr>
          <w:rFonts w:ascii="Baskerville Old Face" w:hAnsi="Baskerville Old Face"/>
          <w:i/>
          <w:iCs/>
        </w:rPr>
        <w:br/>
        <w:t>• report hash or reference;</w:t>
      </w:r>
      <w:r w:rsidRPr="00B479AE">
        <w:rPr>
          <w:rFonts w:ascii="Baskerville Old Face" w:hAnsi="Baskerville Old Face"/>
          <w:i/>
          <w:iCs/>
        </w:rPr>
        <w:br/>
        <w:t>• methodology version.</w:t>
      </w:r>
    </w:p>
    <w:p w14:paraId="75F35C8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Laboratory data may serve as calibration anchors for field sensing, remote sensing, soil interpretation, and PRU-relevant analysis.</w:t>
      </w:r>
    </w:p>
    <w:p w14:paraId="44A3EF7A"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G.5.4 Structured field observation layer</w:t>
      </w:r>
    </w:p>
    <w:p w14:paraId="6026F5F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Human observation remains essential.</w:t>
      </w:r>
    </w:p>
    <w:p w14:paraId="51B7962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previous label “proof of care” should be replaced by:</w:t>
      </w:r>
    </w:p>
    <w:p w14:paraId="0B07DBD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Stewardship Observation Record</w:t>
      </w:r>
    </w:p>
    <w:p w14:paraId="478A7FA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 Stewardship Observation Record is a structured, time-stamped, georeferenced, evidence-linked observation submitted by a steward, community member, auditor, verifier, field operator, or authorized observer.</w:t>
      </w:r>
    </w:p>
    <w:p w14:paraId="274F353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may include:</w:t>
      </w:r>
    </w:p>
    <w:p w14:paraId="24B9E7E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planting event;</w:t>
      </w:r>
      <w:r w:rsidRPr="00B479AE">
        <w:rPr>
          <w:rFonts w:ascii="Baskerville Old Face" w:hAnsi="Baskerville Old Face"/>
          <w:i/>
          <w:iCs/>
        </w:rPr>
        <w:br/>
        <w:t>• pruning event;</w:t>
      </w:r>
      <w:r w:rsidRPr="00B479AE">
        <w:rPr>
          <w:rFonts w:ascii="Baskerville Old Face" w:hAnsi="Baskerville Old Face"/>
          <w:i/>
          <w:iCs/>
        </w:rPr>
        <w:br/>
        <w:t>• biomass return;</w:t>
      </w:r>
      <w:r w:rsidRPr="00B479AE">
        <w:rPr>
          <w:rFonts w:ascii="Baskerville Old Face" w:hAnsi="Baskerville Old Face"/>
          <w:i/>
          <w:iCs/>
        </w:rPr>
        <w:br/>
        <w:t>• compost application;</w:t>
      </w:r>
      <w:r w:rsidRPr="00B479AE">
        <w:rPr>
          <w:rFonts w:ascii="Baskerville Old Face" w:hAnsi="Baskerville Old Face"/>
          <w:i/>
          <w:iCs/>
        </w:rPr>
        <w:br/>
        <w:t>• mulching;</w:t>
      </w:r>
      <w:r w:rsidRPr="00B479AE">
        <w:rPr>
          <w:rFonts w:ascii="Baskerville Old Face" w:hAnsi="Baskerville Old Face"/>
          <w:i/>
          <w:iCs/>
        </w:rPr>
        <w:br/>
        <w:t>• irrigation event;</w:t>
      </w:r>
      <w:r w:rsidRPr="00B479AE">
        <w:rPr>
          <w:rFonts w:ascii="Baskerville Old Face" w:hAnsi="Baskerville Old Face"/>
          <w:i/>
          <w:iCs/>
        </w:rPr>
        <w:br/>
        <w:t>• pest or disease observation;</w:t>
      </w:r>
      <w:r w:rsidRPr="00B479AE">
        <w:rPr>
          <w:rFonts w:ascii="Baskerville Old Face" w:hAnsi="Baskerville Old Face"/>
          <w:i/>
          <w:iCs/>
        </w:rPr>
        <w:br/>
        <w:t>• biodiversity sighting;</w:t>
      </w:r>
      <w:r w:rsidRPr="00B479AE">
        <w:rPr>
          <w:rFonts w:ascii="Baskerville Old Face" w:hAnsi="Baskerville Old Face"/>
          <w:i/>
          <w:iCs/>
        </w:rPr>
        <w:br/>
        <w:t>• erosion observation;</w:t>
      </w:r>
      <w:r w:rsidRPr="00B479AE">
        <w:rPr>
          <w:rFonts w:ascii="Baskerville Old Face" w:hAnsi="Baskerville Old Face"/>
          <w:i/>
          <w:iCs/>
        </w:rPr>
        <w:br/>
        <w:t>• water-retention observation;</w:t>
      </w:r>
      <w:r w:rsidRPr="00B479AE">
        <w:rPr>
          <w:rFonts w:ascii="Baskerville Old Face" w:hAnsi="Baskerville Old Face"/>
          <w:i/>
          <w:iCs/>
        </w:rPr>
        <w:br/>
        <w:t>• crop yield record;</w:t>
      </w:r>
      <w:r w:rsidRPr="00B479AE">
        <w:rPr>
          <w:rFonts w:ascii="Baskerville Old Face" w:hAnsi="Baskerville Old Face"/>
          <w:i/>
          <w:iCs/>
        </w:rPr>
        <w:br/>
        <w:t>• mortality or replacement record;</w:t>
      </w:r>
      <w:r w:rsidRPr="00B479AE">
        <w:rPr>
          <w:rFonts w:ascii="Baskerville Old Face" w:hAnsi="Baskerville Old Face"/>
          <w:i/>
          <w:iCs/>
        </w:rPr>
        <w:br/>
        <w:t>• field photograph;</w:t>
      </w:r>
      <w:r w:rsidRPr="00B479AE">
        <w:rPr>
          <w:rFonts w:ascii="Baskerville Old Face" w:hAnsi="Baskerville Old Face"/>
          <w:i/>
          <w:iCs/>
        </w:rPr>
        <w:br/>
        <w:t>• field note;</w:t>
      </w:r>
      <w:r w:rsidRPr="00B479AE">
        <w:rPr>
          <w:rFonts w:ascii="Baskerville Old Face" w:hAnsi="Baskerville Old Face"/>
          <w:i/>
          <w:iCs/>
        </w:rPr>
        <w:br/>
        <w:t>• disturbance report;</w:t>
      </w:r>
      <w:r w:rsidRPr="00B479AE">
        <w:rPr>
          <w:rFonts w:ascii="Baskerville Old Face" w:hAnsi="Baskerville Old Face"/>
          <w:i/>
          <w:iCs/>
        </w:rPr>
        <w:br/>
        <w:t>• corrective action.</w:t>
      </w:r>
    </w:p>
    <w:p w14:paraId="0B038AF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A Stewardship Observation Record should include:</w:t>
      </w:r>
    </w:p>
    <w:p w14:paraId="21F65EE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observer identity or role;</w:t>
      </w:r>
      <w:r w:rsidRPr="00B479AE">
        <w:rPr>
          <w:rFonts w:ascii="Baskerville Old Face" w:hAnsi="Baskerville Old Face"/>
          <w:i/>
          <w:iCs/>
        </w:rPr>
        <w:br/>
        <w:t>• timestamp;</w:t>
      </w:r>
      <w:r w:rsidRPr="00B479AE">
        <w:rPr>
          <w:rFonts w:ascii="Baskerville Old Face" w:hAnsi="Baskerville Old Face"/>
          <w:i/>
          <w:iCs/>
        </w:rPr>
        <w:br/>
        <w:t>• location;</w:t>
      </w:r>
      <w:r w:rsidRPr="00B479AE">
        <w:rPr>
          <w:rFonts w:ascii="Baskerville Old Face" w:hAnsi="Baskerville Old Face"/>
          <w:i/>
          <w:iCs/>
        </w:rPr>
        <w:br/>
        <w:t>• event type;</w:t>
      </w:r>
      <w:r w:rsidRPr="00B479AE">
        <w:rPr>
          <w:rFonts w:ascii="Baskerville Old Face" w:hAnsi="Baskerville Old Face"/>
          <w:i/>
          <w:iCs/>
        </w:rPr>
        <w:br/>
        <w:t>• description;</w:t>
      </w:r>
      <w:r w:rsidRPr="00B479AE">
        <w:rPr>
          <w:rFonts w:ascii="Baskerville Old Face" w:hAnsi="Baskerville Old Face"/>
          <w:i/>
          <w:iCs/>
        </w:rPr>
        <w:br/>
        <w:t>• photo or supporting evidence where possible;</w:t>
      </w:r>
      <w:r w:rsidRPr="00B479AE">
        <w:rPr>
          <w:rFonts w:ascii="Baskerville Old Face" w:hAnsi="Baskerville Old Face"/>
          <w:i/>
          <w:iCs/>
        </w:rPr>
        <w:br/>
        <w:t>• linked OHE / EPU / site reference;</w:t>
      </w:r>
      <w:r w:rsidRPr="00B479AE">
        <w:rPr>
          <w:rFonts w:ascii="Baskerville Old Face" w:hAnsi="Baskerville Old Face"/>
          <w:i/>
          <w:iCs/>
        </w:rPr>
        <w:br/>
        <w:t>• relevant methodology version;</w:t>
      </w:r>
      <w:r w:rsidRPr="00B479AE">
        <w:rPr>
          <w:rFonts w:ascii="Baskerville Old Face" w:hAnsi="Baskerville Old Face"/>
          <w:i/>
          <w:iCs/>
        </w:rPr>
        <w:br/>
        <w:t>• confidence or review status;</w:t>
      </w:r>
      <w:r w:rsidRPr="00B479AE">
        <w:rPr>
          <w:rFonts w:ascii="Baskerville Old Face" w:hAnsi="Baskerville Old Face"/>
          <w:i/>
          <w:iCs/>
        </w:rPr>
        <w:br/>
        <w:t>• reviewer reference where applicable.</w:t>
      </w:r>
    </w:p>
    <w:p w14:paraId="03A46AF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Human observation is not excluded from MRV.</w:t>
      </w:r>
    </w:p>
    <w:p w14:paraId="55A92AE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is structured.</w:t>
      </w:r>
    </w:p>
    <w:p w14:paraId="55E096B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This allows local intelligence to become reviewable evidence without pretending that unverified testimony is equivalent to validated ecological performance.</w:t>
      </w:r>
    </w:p>
    <w:p w14:paraId="21816FC3"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G.6 HSI boundary inside MRV</w:t>
      </w:r>
    </w:p>
    <w:p w14:paraId="7DA9525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HSI data should not be treated as MRV evidence for ecological performance.</w:t>
      </w:r>
    </w:p>
    <w:p w14:paraId="63C8F73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HSI may support optional, voluntary, privacy-first human-state research, reflective governance, stewardship training, or decision-quality inquiry.</w:t>
      </w:r>
    </w:p>
    <w:p w14:paraId="2FC220B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HSI must not determine:</w:t>
      </w:r>
    </w:p>
    <w:p w14:paraId="456D53A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PRU value;</w:t>
      </w:r>
      <w:r w:rsidRPr="00B479AE">
        <w:rPr>
          <w:rFonts w:ascii="Baskerville Old Face" w:hAnsi="Baskerville Old Face"/>
          <w:i/>
          <w:iCs/>
        </w:rPr>
        <w:br/>
        <w:t>• MRV validity;</w:t>
      </w:r>
      <w:r w:rsidRPr="00B479AE">
        <w:rPr>
          <w:rFonts w:ascii="Baskerville Old Face" w:hAnsi="Baskerville Old Face"/>
          <w:i/>
          <w:iCs/>
        </w:rPr>
        <w:br/>
        <w:t>• ecological truth;</w:t>
      </w:r>
      <w:r w:rsidRPr="00B479AE">
        <w:rPr>
          <w:rFonts w:ascii="Baskerville Old Face" w:hAnsi="Baskerville Old Face"/>
          <w:i/>
          <w:iCs/>
        </w:rPr>
        <w:br/>
        <w:t>• investor eligibility;</w:t>
      </w:r>
      <w:r w:rsidRPr="00B479AE">
        <w:rPr>
          <w:rFonts w:ascii="Baskerville Old Face" w:hAnsi="Baskerville Old Face"/>
          <w:i/>
          <w:iCs/>
        </w:rPr>
        <w:br/>
        <w:t>• token rights;</w:t>
      </w:r>
      <w:r w:rsidRPr="00B479AE">
        <w:rPr>
          <w:rFonts w:ascii="Baskerville Old Face" w:hAnsi="Baskerville Old Face"/>
          <w:i/>
          <w:iCs/>
        </w:rPr>
        <w:br/>
        <w:t>• governance authority by itself;</w:t>
      </w:r>
      <w:r w:rsidRPr="00B479AE">
        <w:rPr>
          <w:rFonts w:ascii="Baskerville Old Face" w:hAnsi="Baskerville Old Face"/>
          <w:i/>
          <w:iCs/>
        </w:rPr>
        <w:br/>
        <w:t>• human worth;</w:t>
      </w:r>
      <w:r w:rsidRPr="00B479AE">
        <w:rPr>
          <w:rFonts w:ascii="Baskerville Old Face" w:hAnsi="Baskerville Old Face"/>
          <w:i/>
          <w:iCs/>
        </w:rPr>
        <w:br/>
        <w:t>• stewardship credibility as a standalone score.</w:t>
      </w:r>
    </w:p>
    <w:p w14:paraId="0E30468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Where HSI appears in MRV-adjacent contexts, it should be classified as:</w:t>
      </w:r>
    </w:p>
    <w:p w14:paraId="6D0F713A"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human-infrastructure research context, not ecological evidence.</w:t>
      </w:r>
    </w:p>
    <w:p w14:paraId="0477AE6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correct boundary is:</w:t>
      </w:r>
    </w:p>
    <w:p w14:paraId="7E69F09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human-state data may inform participation context;</w:t>
      </w:r>
      <w:r w:rsidRPr="00B479AE">
        <w:rPr>
          <w:rFonts w:ascii="Baskerville Old Face" w:hAnsi="Baskerville Old Face"/>
          <w:i/>
          <w:iCs/>
        </w:rPr>
        <w:br/>
        <w:t>participation context may inform reflective governance;</w:t>
      </w:r>
      <w:r w:rsidRPr="00B479AE">
        <w:rPr>
          <w:rFonts w:ascii="Baskerville Old Face" w:hAnsi="Baskerville Old Face"/>
          <w:i/>
          <w:iCs/>
        </w:rPr>
        <w:br/>
        <w:t>reflective governance may support stewardship quality;</w:t>
      </w:r>
      <w:r w:rsidRPr="00B479AE">
        <w:rPr>
          <w:rFonts w:ascii="Baskerville Old Face" w:hAnsi="Baskerville Old Face"/>
          <w:i/>
          <w:iCs/>
        </w:rPr>
        <w:br/>
        <w:t>only ecological and operational evidence may support MRV or PRU pathways.</w:t>
      </w:r>
    </w:p>
    <w:p w14:paraId="413FCEE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Therefore, HSI devices, HRV tools, or coherence indicators should not appear as core MRV sensors for ecological validation.</w:t>
      </w:r>
    </w:p>
    <w:p w14:paraId="47F0A20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They may be referenced in separate HSI, research, governance, or training appendices under strict consent and privacy rules.</w:t>
      </w:r>
    </w:p>
    <w:p w14:paraId="7804C6CB"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G.7 Anti-synthetic evidence controls</w:t>
      </w:r>
    </w:p>
    <w:p w14:paraId="6A4B3FB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Prometheus must assume that future AI, AGI, or ASI systems may generate synthetic evidence.</w:t>
      </w:r>
    </w:p>
    <w:p w14:paraId="63D87E4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Synthetic evidence risks include:</w:t>
      </w:r>
    </w:p>
    <w:p w14:paraId="0371ADC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fabricated satellite imagery;</w:t>
      </w:r>
      <w:r w:rsidRPr="00B479AE">
        <w:rPr>
          <w:rFonts w:ascii="Baskerville Old Face" w:hAnsi="Baskerville Old Face"/>
          <w:i/>
          <w:iCs/>
        </w:rPr>
        <w:br/>
        <w:t>• manipulated drone imagery;</w:t>
      </w:r>
      <w:r w:rsidRPr="00B479AE">
        <w:rPr>
          <w:rFonts w:ascii="Baskerville Old Face" w:hAnsi="Baskerville Old Face"/>
          <w:i/>
          <w:iCs/>
        </w:rPr>
        <w:br/>
        <w:t>• forged sensor streams;</w:t>
      </w:r>
      <w:r w:rsidRPr="00B479AE">
        <w:rPr>
          <w:rFonts w:ascii="Baskerville Old Face" w:hAnsi="Baskerville Old Face"/>
          <w:i/>
          <w:iCs/>
        </w:rPr>
        <w:br/>
        <w:t>• artificial laboratory reports;</w:t>
      </w:r>
      <w:r w:rsidRPr="00B479AE">
        <w:rPr>
          <w:rFonts w:ascii="Baskerville Old Face" w:hAnsi="Baskerville Old Face"/>
          <w:i/>
          <w:iCs/>
        </w:rPr>
        <w:br/>
        <w:t>• deepfake field audits;</w:t>
      </w:r>
      <w:r w:rsidRPr="00B479AE">
        <w:rPr>
          <w:rFonts w:ascii="Baskerville Old Face" w:hAnsi="Baskerville Old Face"/>
          <w:i/>
          <w:iCs/>
        </w:rPr>
        <w:br/>
        <w:t>• fake community testimony;</w:t>
      </w:r>
      <w:r w:rsidRPr="00B479AE">
        <w:rPr>
          <w:rFonts w:ascii="Baskerville Old Face" w:hAnsi="Baskerville Old Face"/>
          <w:i/>
          <w:iCs/>
        </w:rPr>
        <w:br/>
        <w:t>• manipulated dashboards;</w:t>
      </w:r>
      <w:r w:rsidRPr="00B479AE">
        <w:rPr>
          <w:rFonts w:ascii="Baskerville Old Face" w:hAnsi="Baskerville Old Face"/>
          <w:i/>
          <w:iCs/>
        </w:rPr>
        <w:br/>
        <w:t>• forged governance records;</w:t>
      </w:r>
      <w:r w:rsidRPr="00B479AE">
        <w:rPr>
          <w:rFonts w:ascii="Baskerville Old Face" w:hAnsi="Baskerville Old Face"/>
          <w:i/>
          <w:iCs/>
        </w:rPr>
        <w:br/>
        <w:t>• synthetic biodiversity observations;</w:t>
      </w:r>
      <w:r w:rsidRPr="00B479AE">
        <w:rPr>
          <w:rFonts w:ascii="Baskerville Old Face" w:hAnsi="Baskerville Old Face"/>
          <w:i/>
          <w:iCs/>
        </w:rPr>
        <w:br/>
        <w:t>• generated soil or water data;</w:t>
      </w:r>
      <w:r w:rsidRPr="00B479AE">
        <w:rPr>
          <w:rFonts w:ascii="Baskerville Old Face" w:hAnsi="Baskerville Old Face"/>
          <w:i/>
          <w:iCs/>
        </w:rPr>
        <w:br/>
        <w:t>• fake release manifests.</w:t>
      </w:r>
    </w:p>
    <w:p w14:paraId="3B25984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therefore treats evidence as a provenance chain.</w:t>
      </w:r>
    </w:p>
    <w:p w14:paraId="2C4F602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High-impact evidence should require:</w:t>
      </w:r>
    </w:p>
    <w:p w14:paraId="7C280D1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 source identity;</w:t>
      </w:r>
      <w:r w:rsidRPr="00B479AE">
        <w:rPr>
          <w:rFonts w:ascii="Baskerville Old Face" w:hAnsi="Baskerville Old Face"/>
          <w:i/>
          <w:iCs/>
        </w:rPr>
        <w:br/>
        <w:t>• method;</w:t>
      </w:r>
      <w:r w:rsidRPr="00B479AE">
        <w:rPr>
          <w:rFonts w:ascii="Baskerville Old Face" w:hAnsi="Baskerville Old Face"/>
          <w:i/>
          <w:iCs/>
        </w:rPr>
        <w:br/>
        <w:t>• time and location;</w:t>
      </w:r>
      <w:r w:rsidRPr="00B479AE">
        <w:rPr>
          <w:rFonts w:ascii="Baskerville Old Face" w:hAnsi="Baskerville Old Face"/>
          <w:i/>
          <w:iCs/>
        </w:rPr>
        <w:br/>
        <w:t>• chain of custody;</w:t>
      </w:r>
      <w:r w:rsidRPr="00B479AE">
        <w:rPr>
          <w:rFonts w:ascii="Baskerville Old Face" w:hAnsi="Baskerville Old Face"/>
          <w:i/>
          <w:iCs/>
        </w:rPr>
        <w:br/>
        <w:t>• raw data retention where feasible;</w:t>
      </w:r>
      <w:r w:rsidRPr="00B479AE">
        <w:rPr>
          <w:rFonts w:ascii="Baskerville Old Face" w:hAnsi="Baskerville Old Face"/>
          <w:i/>
          <w:iCs/>
        </w:rPr>
        <w:br/>
        <w:t>• cross-source corroboration;</w:t>
      </w:r>
      <w:r w:rsidRPr="00B479AE">
        <w:rPr>
          <w:rFonts w:ascii="Baskerville Old Face" w:hAnsi="Baskerville Old Face"/>
          <w:i/>
          <w:iCs/>
        </w:rPr>
        <w:br/>
        <w:t>• anomaly detection;</w:t>
      </w:r>
      <w:r w:rsidRPr="00B479AE">
        <w:rPr>
          <w:rFonts w:ascii="Baskerville Old Face" w:hAnsi="Baskerville Old Face"/>
          <w:i/>
          <w:iCs/>
        </w:rPr>
        <w:br/>
        <w:t>• reviewer signature;</w:t>
      </w:r>
      <w:r w:rsidRPr="00B479AE">
        <w:rPr>
          <w:rFonts w:ascii="Baskerville Old Face" w:hAnsi="Baskerville Old Face"/>
          <w:i/>
          <w:iCs/>
        </w:rPr>
        <w:br/>
        <w:t>• confidence scoring;</w:t>
      </w:r>
      <w:r w:rsidRPr="00B479AE">
        <w:rPr>
          <w:rFonts w:ascii="Baskerville Old Face" w:hAnsi="Baskerville Old Face"/>
          <w:i/>
          <w:iCs/>
        </w:rPr>
        <w:br/>
        <w:t>• admissibility status;</w:t>
      </w:r>
      <w:r w:rsidRPr="00B479AE">
        <w:rPr>
          <w:rFonts w:ascii="Baskerville Old Face" w:hAnsi="Baskerville Old Face"/>
          <w:i/>
          <w:iCs/>
        </w:rPr>
        <w:br/>
        <w:t>• tamper-evident storage or hash reference.</w:t>
      </w:r>
    </w:p>
    <w:p w14:paraId="278ACDD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rule is:</w:t>
      </w:r>
    </w:p>
    <w:p w14:paraId="1306E06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no single synthetic channel becomes sovereign evidence.</w:t>
      </w:r>
    </w:p>
    <w:p w14:paraId="09DBDDE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Evidence becomes stronger through independent convergence.</w:t>
      </w:r>
    </w:p>
    <w:p w14:paraId="24DCF4D5"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G.8 Data provenance schema</w:t>
      </w:r>
    </w:p>
    <w:p w14:paraId="4BA9586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 generic MRV record should preserve the following fields where relevant:</w:t>
      </w:r>
    </w:p>
    <w:p w14:paraId="3AB277FC"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w:t>
      </w:r>
    </w:p>
    <w:p w14:paraId="6BB1DA5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record</w:t>
      </w:r>
      <w:proofErr w:type="gramEnd"/>
      <w:r w:rsidRPr="00B479AE">
        <w:rPr>
          <w:rFonts w:ascii="Baskerville Old Face" w:hAnsi="Baskerville Old Face"/>
          <w:i/>
          <w:iCs/>
        </w:rPr>
        <w:t>_id</w:t>
      </w:r>
      <w:proofErr w:type="spellEnd"/>
      <w:r w:rsidRPr="00B479AE">
        <w:rPr>
          <w:rFonts w:ascii="Baskerville Old Face" w:hAnsi="Baskerville Old Face"/>
          <w:i/>
          <w:iCs/>
        </w:rPr>
        <w:t>": "mrv_record_0001",</w:t>
      </w:r>
    </w:p>
    <w:p w14:paraId="2111DC4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site</w:t>
      </w:r>
      <w:proofErr w:type="gramEnd"/>
      <w:r w:rsidRPr="00B479AE">
        <w:rPr>
          <w:rFonts w:ascii="Baskerville Old Face" w:hAnsi="Baskerville Old Face"/>
          <w:i/>
          <w:iCs/>
        </w:rPr>
        <w:t>_id</w:t>
      </w:r>
      <w:proofErr w:type="spellEnd"/>
      <w:r w:rsidRPr="00B479AE">
        <w:rPr>
          <w:rFonts w:ascii="Baskerville Old Face" w:hAnsi="Baskerville Old Face"/>
          <w:i/>
          <w:iCs/>
        </w:rPr>
        <w:t>": "</w:t>
      </w:r>
      <w:proofErr w:type="spellStart"/>
      <w:r w:rsidRPr="00B479AE">
        <w:rPr>
          <w:rFonts w:ascii="Baskerville Old Face" w:hAnsi="Baskerville Old Face"/>
          <w:i/>
          <w:iCs/>
        </w:rPr>
        <w:t>ohe_or_site_reference</w:t>
      </w:r>
      <w:proofErr w:type="spellEnd"/>
      <w:r w:rsidRPr="00B479AE">
        <w:rPr>
          <w:rFonts w:ascii="Baskerville Old Face" w:hAnsi="Baskerville Old Face"/>
          <w:i/>
          <w:iCs/>
        </w:rPr>
        <w:t>",</w:t>
      </w:r>
    </w:p>
    <w:p w14:paraId="453C4AC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event</w:t>
      </w:r>
      <w:proofErr w:type="gramEnd"/>
      <w:r w:rsidRPr="00B479AE">
        <w:rPr>
          <w:rFonts w:ascii="Baskerville Old Face" w:hAnsi="Baskerville Old Face"/>
          <w:i/>
          <w:iCs/>
        </w:rPr>
        <w:t>_type</w:t>
      </w:r>
      <w:proofErr w:type="spellEnd"/>
      <w:r w:rsidRPr="00B479AE">
        <w:rPr>
          <w:rFonts w:ascii="Baskerville Old Face" w:hAnsi="Baskerville Old Face"/>
          <w:i/>
          <w:iCs/>
        </w:rPr>
        <w:t>": "</w:t>
      </w:r>
      <w:proofErr w:type="spellStart"/>
      <w:r w:rsidRPr="00B479AE">
        <w:rPr>
          <w:rFonts w:ascii="Baskerville Old Face" w:hAnsi="Baskerville Old Face"/>
          <w:i/>
          <w:iCs/>
        </w:rPr>
        <w:t>soil_sample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sensor_reading</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satellite_observation</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field_observation</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lab_result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audit_note</w:t>
      </w:r>
      <w:proofErr w:type="spellEnd"/>
      <w:r w:rsidRPr="00B479AE">
        <w:rPr>
          <w:rFonts w:ascii="Baskerville Old Face" w:hAnsi="Baskerville Old Face"/>
          <w:i/>
          <w:iCs/>
        </w:rPr>
        <w:t>",</w:t>
      </w:r>
    </w:p>
    <w:p w14:paraId="350CF2C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observed</w:t>
      </w:r>
      <w:proofErr w:type="gramEnd"/>
      <w:r w:rsidRPr="00B479AE">
        <w:rPr>
          <w:rFonts w:ascii="Baskerville Old Face" w:hAnsi="Baskerville Old Face"/>
          <w:i/>
          <w:iCs/>
        </w:rPr>
        <w:t>_at_utc</w:t>
      </w:r>
      <w:proofErr w:type="spellEnd"/>
      <w:r w:rsidRPr="00B479AE">
        <w:rPr>
          <w:rFonts w:ascii="Baskerville Old Face" w:hAnsi="Baskerville Old Face"/>
          <w:i/>
          <w:iCs/>
        </w:rPr>
        <w:t>": "2026-01-01T10:00:00Z",</w:t>
      </w:r>
    </w:p>
    <w:p w14:paraId="4CCBAC1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"location": {</w:t>
      </w:r>
    </w:p>
    <w:p w14:paraId="3C96C83A"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"latitude": 0.0,</w:t>
      </w:r>
    </w:p>
    <w:p w14:paraId="7F8C1DE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"longitude": 0.0,</w:t>
      </w:r>
    </w:p>
    <w:p w14:paraId="3D650A8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accuracy</w:t>
      </w:r>
      <w:proofErr w:type="gramEnd"/>
      <w:r w:rsidRPr="00B479AE">
        <w:rPr>
          <w:rFonts w:ascii="Baskerville Old Face" w:hAnsi="Baskerville Old Face"/>
          <w:i/>
          <w:iCs/>
        </w:rPr>
        <w:t>_m</w:t>
      </w:r>
      <w:proofErr w:type="spellEnd"/>
      <w:r w:rsidRPr="00B479AE">
        <w:rPr>
          <w:rFonts w:ascii="Baskerville Old Face" w:hAnsi="Baskerville Old Face"/>
          <w:i/>
          <w:iCs/>
        </w:rPr>
        <w:t>": 5</w:t>
      </w:r>
    </w:p>
    <w:p w14:paraId="6851B99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 xml:space="preserve">  },</w:t>
      </w:r>
    </w:p>
    <w:p w14:paraId="2249491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"source": {</w:t>
      </w:r>
    </w:p>
    <w:p w14:paraId="7086E261"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source</w:t>
      </w:r>
      <w:proofErr w:type="gramEnd"/>
      <w:r w:rsidRPr="00B479AE">
        <w:rPr>
          <w:rFonts w:ascii="Baskerville Old Face" w:hAnsi="Baskerville Old Face"/>
          <w:i/>
          <w:iCs/>
        </w:rPr>
        <w:t>_type</w:t>
      </w:r>
      <w:proofErr w:type="spellEnd"/>
      <w:r w:rsidRPr="00B479AE">
        <w:rPr>
          <w:rFonts w:ascii="Baskerville Old Face" w:hAnsi="Baskerville Old Face"/>
          <w:i/>
          <w:iCs/>
        </w:rPr>
        <w:t xml:space="preserve">": "sensor | lab | satellite | </w:t>
      </w:r>
      <w:proofErr w:type="spellStart"/>
      <w:r w:rsidRPr="00B479AE">
        <w:rPr>
          <w:rFonts w:ascii="Baskerville Old Face" w:hAnsi="Baskerville Old Face"/>
          <w:i/>
          <w:iCs/>
        </w:rPr>
        <w:t>human_observer</w:t>
      </w:r>
      <w:proofErr w:type="spellEnd"/>
      <w:r w:rsidRPr="00B479AE">
        <w:rPr>
          <w:rFonts w:ascii="Baskerville Old Face" w:hAnsi="Baskerville Old Face"/>
          <w:i/>
          <w:iCs/>
        </w:rPr>
        <w:t xml:space="preserve"> | auditor | </w:t>
      </w:r>
      <w:proofErr w:type="spellStart"/>
      <w:r w:rsidRPr="00B479AE">
        <w:rPr>
          <w:rFonts w:ascii="Baskerville Old Face" w:hAnsi="Baskerville Old Face"/>
          <w:i/>
          <w:iCs/>
        </w:rPr>
        <w:t>external_dataset</w:t>
      </w:r>
      <w:proofErr w:type="spellEnd"/>
      <w:r w:rsidRPr="00B479AE">
        <w:rPr>
          <w:rFonts w:ascii="Baskerville Old Face" w:hAnsi="Baskerville Old Face"/>
          <w:i/>
          <w:iCs/>
        </w:rPr>
        <w:t>",</w:t>
      </w:r>
    </w:p>
    <w:p w14:paraId="01A7A551"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source</w:t>
      </w:r>
      <w:proofErr w:type="gramEnd"/>
      <w:r w:rsidRPr="00B479AE">
        <w:rPr>
          <w:rFonts w:ascii="Baskerville Old Face" w:hAnsi="Baskerville Old Face"/>
          <w:i/>
          <w:iCs/>
        </w:rPr>
        <w:t>_id</w:t>
      </w:r>
      <w:proofErr w:type="spellEnd"/>
      <w:r w:rsidRPr="00B479AE">
        <w:rPr>
          <w:rFonts w:ascii="Baskerville Old Face" w:hAnsi="Baskerville Old Face"/>
          <w:i/>
          <w:iCs/>
        </w:rPr>
        <w:t>": "</w:t>
      </w:r>
      <w:proofErr w:type="spellStart"/>
      <w:r w:rsidRPr="00B479AE">
        <w:rPr>
          <w:rFonts w:ascii="Baskerville Old Face" w:hAnsi="Baskerville Old Face"/>
          <w:i/>
          <w:iCs/>
        </w:rPr>
        <w:t>source_identifier</w:t>
      </w:r>
      <w:proofErr w:type="spellEnd"/>
      <w:r w:rsidRPr="00B479AE">
        <w:rPr>
          <w:rFonts w:ascii="Baskerville Old Face" w:hAnsi="Baskerville Old Face"/>
          <w:i/>
          <w:iCs/>
        </w:rPr>
        <w:t>",</w:t>
      </w:r>
    </w:p>
    <w:p w14:paraId="177DD47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method</w:t>
      </w:r>
      <w:proofErr w:type="gramEnd"/>
      <w:r w:rsidRPr="00B479AE">
        <w:rPr>
          <w:rFonts w:ascii="Baskerville Old Face" w:hAnsi="Baskerville Old Face"/>
          <w:i/>
          <w:iCs/>
        </w:rPr>
        <w:t>_version</w:t>
      </w:r>
      <w:proofErr w:type="spellEnd"/>
      <w:r w:rsidRPr="00B479AE">
        <w:rPr>
          <w:rFonts w:ascii="Baskerville Old Face" w:hAnsi="Baskerville Old Face"/>
          <w:i/>
          <w:iCs/>
        </w:rPr>
        <w:t>": "method_v1.0"</w:t>
      </w:r>
    </w:p>
    <w:p w14:paraId="514DA4D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
    <w:p w14:paraId="2ABA9561"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"measurement": {</w:t>
      </w:r>
    </w:p>
    <w:p w14:paraId="5301795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"variable": "</w:t>
      </w:r>
      <w:proofErr w:type="spellStart"/>
      <w:r w:rsidRPr="00B479AE">
        <w:rPr>
          <w:rFonts w:ascii="Baskerville Old Face" w:hAnsi="Baskerville Old Face"/>
          <w:i/>
          <w:iCs/>
        </w:rPr>
        <w:t>soil_organic_carbon</w:t>
      </w:r>
      <w:proofErr w:type="spellEnd"/>
      <w:r w:rsidRPr="00B479AE">
        <w:rPr>
          <w:rFonts w:ascii="Baskerville Old Face" w:hAnsi="Baskerville Old Face"/>
          <w:i/>
          <w:iCs/>
        </w:rPr>
        <w:t>",</w:t>
      </w:r>
    </w:p>
    <w:p w14:paraId="7A99B76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"value": 0.0,</w:t>
      </w:r>
    </w:p>
    <w:p w14:paraId="761EDE3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"unit": "%",</w:t>
      </w:r>
    </w:p>
    <w:p w14:paraId="193FA32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"uncertainty": null</w:t>
      </w:r>
    </w:p>
    <w:p w14:paraId="3962A11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
    <w:p w14:paraId="17CA3F8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"provenance": {</w:t>
      </w:r>
    </w:p>
    <w:p w14:paraId="44F4E26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raw</w:t>
      </w:r>
      <w:proofErr w:type="gramEnd"/>
      <w:r w:rsidRPr="00B479AE">
        <w:rPr>
          <w:rFonts w:ascii="Baskerville Old Face" w:hAnsi="Baskerville Old Face"/>
          <w:i/>
          <w:iCs/>
        </w:rPr>
        <w:t>_data_reference</w:t>
      </w:r>
      <w:proofErr w:type="spellEnd"/>
      <w:r w:rsidRPr="00B479AE">
        <w:rPr>
          <w:rFonts w:ascii="Baskerville Old Face" w:hAnsi="Baskerville Old Face"/>
          <w:i/>
          <w:iCs/>
        </w:rPr>
        <w:t>": "</w:t>
      </w:r>
      <w:proofErr w:type="spellStart"/>
      <w:r w:rsidRPr="00B479AE">
        <w:rPr>
          <w:rFonts w:ascii="Baskerville Old Face" w:hAnsi="Baskerville Old Face"/>
          <w:i/>
          <w:iCs/>
        </w:rPr>
        <w:t>uri_or_archive_reference</w:t>
      </w:r>
      <w:proofErr w:type="spellEnd"/>
      <w:r w:rsidRPr="00B479AE">
        <w:rPr>
          <w:rFonts w:ascii="Baskerville Old Face" w:hAnsi="Baskerville Old Face"/>
          <w:i/>
          <w:iCs/>
        </w:rPr>
        <w:t>",</w:t>
      </w:r>
    </w:p>
    <w:p w14:paraId="019E95F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"hash": "sha256_hash_where_available",</w:t>
      </w:r>
    </w:p>
    <w:p w14:paraId="3BECB51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chain</w:t>
      </w:r>
      <w:proofErr w:type="gramEnd"/>
      <w:r w:rsidRPr="00B479AE">
        <w:rPr>
          <w:rFonts w:ascii="Baskerville Old Face" w:hAnsi="Baskerville Old Face"/>
          <w:i/>
          <w:iCs/>
        </w:rPr>
        <w:t>_of_custody</w:t>
      </w:r>
      <w:proofErr w:type="spellEnd"/>
      <w:r w:rsidRPr="00B479AE">
        <w:rPr>
          <w:rFonts w:ascii="Baskerville Old Face" w:hAnsi="Baskerville Old Face"/>
          <w:i/>
          <w:iCs/>
        </w:rPr>
        <w:t>": "</w:t>
      </w:r>
      <w:proofErr w:type="spellStart"/>
      <w:r w:rsidRPr="00B479AE">
        <w:rPr>
          <w:rFonts w:ascii="Baskerville Old Face" w:hAnsi="Baskerville Old Face"/>
          <w:i/>
          <w:iCs/>
        </w:rPr>
        <w:t>reference_or_summary</w:t>
      </w:r>
      <w:proofErr w:type="spellEnd"/>
      <w:r w:rsidRPr="00B479AE">
        <w:rPr>
          <w:rFonts w:ascii="Baskerville Old Face" w:hAnsi="Baskerville Old Face"/>
          <w:i/>
          <w:iCs/>
        </w:rPr>
        <w:t>",</w:t>
      </w:r>
    </w:p>
    <w:p w14:paraId="02EC3DA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methodology</w:t>
      </w:r>
      <w:proofErr w:type="gramEnd"/>
      <w:r w:rsidRPr="00B479AE">
        <w:rPr>
          <w:rFonts w:ascii="Baskerville Old Face" w:hAnsi="Baskerville Old Face"/>
          <w:i/>
          <w:iCs/>
        </w:rPr>
        <w:t>_reference</w:t>
      </w:r>
      <w:proofErr w:type="spellEnd"/>
      <w:r w:rsidRPr="00B479AE">
        <w:rPr>
          <w:rFonts w:ascii="Baskerville Old Face" w:hAnsi="Baskerville Old Face"/>
          <w:i/>
          <w:iCs/>
        </w:rPr>
        <w:t>": "mrv_method_v1.0"</w:t>
      </w:r>
    </w:p>
    <w:p w14:paraId="3C06E0A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
    <w:p w14:paraId="6EE43E9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"quality": {</w:t>
      </w:r>
    </w:p>
    <w:p w14:paraId="4542A10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calibration</w:t>
      </w:r>
      <w:proofErr w:type="gramEnd"/>
      <w:r w:rsidRPr="00B479AE">
        <w:rPr>
          <w:rFonts w:ascii="Baskerville Old Face" w:hAnsi="Baskerville Old Face"/>
          <w:i/>
          <w:iCs/>
        </w:rPr>
        <w:t>_status</w:t>
      </w:r>
      <w:proofErr w:type="spellEnd"/>
      <w:r w:rsidRPr="00B479AE">
        <w:rPr>
          <w:rFonts w:ascii="Baskerville Old Face" w:hAnsi="Baskerville Old Face"/>
          <w:i/>
          <w:iCs/>
        </w:rPr>
        <w:t xml:space="preserve">": "current | expired | </w:t>
      </w:r>
      <w:proofErr w:type="spellStart"/>
      <w:r w:rsidRPr="00B479AE">
        <w:rPr>
          <w:rFonts w:ascii="Baskerville Old Face" w:hAnsi="Baskerville Old Face"/>
          <w:i/>
          <w:iCs/>
        </w:rPr>
        <w:t>not_applicable</w:t>
      </w:r>
      <w:proofErr w:type="spellEnd"/>
      <w:r w:rsidRPr="00B479AE">
        <w:rPr>
          <w:rFonts w:ascii="Baskerville Old Face" w:hAnsi="Baskerville Old Face"/>
          <w:i/>
          <w:iCs/>
        </w:rPr>
        <w:t>",</w:t>
      </w:r>
    </w:p>
    <w:p w14:paraId="2828E9A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quality</w:t>
      </w:r>
      <w:proofErr w:type="gramEnd"/>
      <w:r w:rsidRPr="00B479AE">
        <w:rPr>
          <w:rFonts w:ascii="Baskerville Old Face" w:hAnsi="Baskerville Old Face"/>
          <w:i/>
          <w:iCs/>
        </w:rPr>
        <w:t>_flag</w:t>
      </w:r>
      <w:proofErr w:type="spellEnd"/>
      <w:r w:rsidRPr="00B479AE">
        <w:rPr>
          <w:rFonts w:ascii="Baskerville Old Face" w:hAnsi="Baskerville Old Face"/>
          <w:i/>
          <w:iCs/>
        </w:rPr>
        <w:t xml:space="preserve">": "valid | </w:t>
      </w:r>
      <w:proofErr w:type="spellStart"/>
      <w:r w:rsidRPr="00B479AE">
        <w:rPr>
          <w:rFonts w:ascii="Baskerville Old Face" w:hAnsi="Baskerville Old Face"/>
          <w:i/>
          <w:iCs/>
        </w:rPr>
        <w:t>review_required</w:t>
      </w:r>
      <w:proofErr w:type="spellEnd"/>
      <w:r w:rsidRPr="00B479AE">
        <w:rPr>
          <w:rFonts w:ascii="Baskerville Old Face" w:hAnsi="Baskerville Old Face"/>
          <w:i/>
          <w:iCs/>
        </w:rPr>
        <w:t xml:space="preserve"> | suspect | invalid",</w:t>
      </w:r>
    </w:p>
    <w:p w14:paraId="4498908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"confidence": 0.0</w:t>
      </w:r>
    </w:p>
    <w:p w14:paraId="2BED2AE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 xml:space="preserve">  },</w:t>
      </w:r>
    </w:p>
    <w:p w14:paraId="449327D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"classification": {</w:t>
      </w:r>
    </w:p>
    <w:p w14:paraId="5C6D74F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evidence</w:t>
      </w:r>
      <w:proofErr w:type="gramEnd"/>
      <w:r w:rsidRPr="00B479AE">
        <w:rPr>
          <w:rFonts w:ascii="Baskerville Old Face" w:hAnsi="Baskerville Old Face"/>
          <w:i/>
          <w:iCs/>
        </w:rPr>
        <w:t>_status</w:t>
      </w:r>
      <w:proofErr w:type="spellEnd"/>
      <w:r w:rsidRPr="00B479AE">
        <w:rPr>
          <w:rFonts w:ascii="Baskerville Old Face" w:hAnsi="Baskerville Old Face"/>
          <w:i/>
          <w:iCs/>
        </w:rPr>
        <w:t>": "observation",</w:t>
      </w:r>
    </w:p>
    <w:p w14:paraId="6E2C471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admissibility</w:t>
      </w:r>
      <w:proofErr w:type="gramEnd"/>
      <w:r w:rsidRPr="00B479AE">
        <w:rPr>
          <w:rFonts w:ascii="Baskerville Old Face" w:hAnsi="Baskerville Old Face"/>
          <w:i/>
          <w:iCs/>
        </w:rPr>
        <w:t>_status</w:t>
      </w:r>
      <w:proofErr w:type="spellEnd"/>
      <w:r w:rsidRPr="00B479AE">
        <w:rPr>
          <w:rFonts w:ascii="Baskerville Old Face" w:hAnsi="Baskerville Old Face"/>
          <w:i/>
          <w:iCs/>
        </w:rPr>
        <w:t>": "</w:t>
      </w:r>
      <w:proofErr w:type="spellStart"/>
      <w:r w:rsidRPr="00B479AE">
        <w:rPr>
          <w:rFonts w:ascii="Baskerville Old Face" w:hAnsi="Baskerville Old Face"/>
          <w:i/>
          <w:iCs/>
        </w:rPr>
        <w:t>not_yet_admissible</w:t>
      </w:r>
      <w:proofErr w:type="spellEnd"/>
      <w:r w:rsidRPr="00B479AE">
        <w:rPr>
          <w:rFonts w:ascii="Baskerville Old Face" w:hAnsi="Baskerville Old Face"/>
          <w:i/>
          <w:iCs/>
        </w:rPr>
        <w:t>",</w:t>
      </w:r>
    </w:p>
    <w:p w14:paraId="33AF719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review</w:t>
      </w:r>
      <w:proofErr w:type="gramEnd"/>
      <w:r w:rsidRPr="00B479AE">
        <w:rPr>
          <w:rFonts w:ascii="Baskerville Old Face" w:hAnsi="Baskerville Old Face"/>
          <w:i/>
          <w:iCs/>
        </w:rPr>
        <w:t>_status</w:t>
      </w:r>
      <w:proofErr w:type="spellEnd"/>
      <w:r w:rsidRPr="00B479AE">
        <w:rPr>
          <w:rFonts w:ascii="Baskerville Old Face" w:hAnsi="Baskerville Old Face"/>
          <w:i/>
          <w:iCs/>
        </w:rPr>
        <w:t>": "pending"</w:t>
      </w:r>
    </w:p>
    <w:p w14:paraId="6CA608B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  }</w:t>
      </w:r>
    </w:p>
    <w:p w14:paraId="38A96AA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w:t>
      </w:r>
    </w:p>
    <w:p w14:paraId="566CC95A"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This schema is illustrative.</w:t>
      </w:r>
    </w:p>
    <w:p w14:paraId="26756F3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operative schema should be versioned, tested, and adapted to the relevant data type.</w:t>
      </w:r>
    </w:p>
    <w:p w14:paraId="6F1B59AF"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G.9 Hashing, storage, and source-chain discipline</w:t>
      </w:r>
    </w:p>
    <w:p w14:paraId="074C729C"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Prometheus may use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signed records, local-first data, distributed references, or other appropriate systems to preserve evidence integrity.</w:t>
      </w:r>
    </w:p>
    <w:p w14:paraId="1AD5819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correct implementation pattern is:</w:t>
      </w:r>
    </w:p>
    <w:p w14:paraId="0BD9838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raw data may remain in appropriate storage depending on size, sensitivity, law, and operational need;</w:t>
      </w:r>
      <w:r w:rsidRPr="00B479AE">
        <w:rPr>
          <w:rFonts w:ascii="Baskerville Old Face" w:hAnsi="Baskerville Old Face"/>
          <w:i/>
          <w:iCs/>
        </w:rPr>
        <w:br/>
        <w:t>• hashes may be recorded to prove integrity;</w:t>
      </w:r>
      <w:r w:rsidRPr="00B479AE">
        <w:rPr>
          <w:rFonts w:ascii="Baskerville Old Face" w:hAnsi="Baskerville Old Face"/>
          <w:i/>
          <w:iCs/>
        </w:rPr>
        <w:br/>
        <w:t>• metadata may be stored as structured records;</w:t>
      </w:r>
      <w:r w:rsidRPr="00B479AE">
        <w:rPr>
          <w:rFonts w:ascii="Baskerville Old Face" w:hAnsi="Baskerville Old Face"/>
          <w:i/>
          <w:iCs/>
        </w:rPr>
        <w:br/>
        <w:t>• source-chain entries may record who submitted or validated an event;</w:t>
      </w:r>
      <w:r w:rsidRPr="00B479AE">
        <w:rPr>
          <w:rFonts w:ascii="Baskerville Old Face" w:hAnsi="Baskerville Old Face"/>
          <w:i/>
          <w:iCs/>
        </w:rPr>
        <w:br/>
        <w:t>• DHT references may support availability and distributed verification where implemented;</w:t>
      </w:r>
      <w:r w:rsidRPr="00B479AE">
        <w:rPr>
          <w:rFonts w:ascii="Baskerville Old Face" w:hAnsi="Baskerville Old Face"/>
          <w:i/>
          <w:iCs/>
        </w:rPr>
        <w:br/>
        <w:t>• sensitive data may remain encrypted, minimized, local, or access-controlled.</w:t>
      </w:r>
    </w:p>
    <w:p w14:paraId="3297ADA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Prometheus should avoid overclaiming that all MRV data is always stored on-chain or always hashed to the DHT in every implementation.</w:t>
      </w:r>
    </w:p>
    <w:p w14:paraId="7FEECBAA"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stronger formulation is:</w:t>
      </w:r>
    </w:p>
    <w:p w14:paraId="070848B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records should be tamper-evident, provenance-linked, versioned, and reviewable according to implementation maturity and data sensitivity.</w:t>
      </w:r>
    </w:p>
    <w:p w14:paraId="63D9ABF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Large files, sensitive records, HSI-adjacent data, private field data, or investor data-room materials may require off-chain or access-controlled storage with hash references and audit logs.</w:t>
      </w:r>
    </w:p>
    <w:p w14:paraId="79952C37" w14:textId="77777777" w:rsidR="00422983" w:rsidRPr="00422983" w:rsidRDefault="00422983" w:rsidP="00422983">
      <w:pPr>
        <w:spacing w:line="360" w:lineRule="auto"/>
        <w:rPr>
          <w:rFonts w:ascii="Baskerville Old Face" w:hAnsi="Baskerville Old Face"/>
          <w:b/>
          <w:bCs/>
          <w:i/>
          <w:iCs/>
        </w:rPr>
      </w:pPr>
      <w:r w:rsidRPr="00422983">
        <w:rPr>
          <w:rFonts w:ascii="Baskerville Old Face" w:hAnsi="Baskerville Old Face"/>
          <w:b/>
          <w:bCs/>
          <w:i/>
          <w:iCs/>
        </w:rPr>
        <w:t>G.10 Standards-based interoperability</w:t>
      </w:r>
    </w:p>
    <w:p w14:paraId="6ACE2281"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Prometheus is designed as an interoperable MRV and regenerative intelligence environment.</w:t>
      </w:r>
    </w:p>
    <w:p w14:paraId="010E97B1"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It should use open, widely recognized, or widely adopted standards where appropriate, especially when dealing with environmental observations, sensor records, geospatial assets, provenance, agent identity, credentials, device metadata, supply-chain events, and resource-event-agent accounting.</w:t>
      </w:r>
    </w:p>
    <w:p w14:paraId="27DE1946"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 purpose of interoperability is not to make every data stream automatically valid.</w:t>
      </w:r>
      <w:r w:rsidRPr="00422983">
        <w:rPr>
          <w:rFonts w:ascii="Baskerville Old Face" w:hAnsi="Baskerville Old Face"/>
          <w:i/>
          <w:iCs/>
        </w:rPr>
        <w:br/>
        <w:t xml:space="preserve">The purpose is to allow heterogeneous evidence to be structured, compared, traced, reviewed, and, where appropriate, connected to </w:t>
      </w:r>
      <w:proofErr w:type="spellStart"/>
      <w:r w:rsidRPr="00422983">
        <w:rPr>
          <w:rFonts w:ascii="Baskerville Old Face" w:hAnsi="Baskerville Old Face"/>
          <w:i/>
          <w:iCs/>
        </w:rPr>
        <w:t>Holochain</w:t>
      </w:r>
      <w:proofErr w:type="spellEnd"/>
      <w:r w:rsidRPr="00422983">
        <w:rPr>
          <w:rFonts w:ascii="Baskerville Old Face" w:hAnsi="Baskerville Old Face"/>
          <w:i/>
          <w:iCs/>
        </w:rPr>
        <w:t xml:space="preserve">-compatible agent-centric records and </w:t>
      </w:r>
      <w:proofErr w:type="spellStart"/>
      <w:r w:rsidRPr="00422983">
        <w:rPr>
          <w:rFonts w:ascii="Baskerville Old Face" w:hAnsi="Baskerville Old Face"/>
          <w:i/>
          <w:iCs/>
        </w:rPr>
        <w:t>Valueflows</w:t>
      </w:r>
      <w:proofErr w:type="spellEnd"/>
      <w:r w:rsidRPr="00422983">
        <w:rPr>
          <w:rFonts w:ascii="Baskerville Old Face" w:hAnsi="Baskerville Old Face"/>
          <w:i/>
          <w:iCs/>
        </w:rPr>
        <w:t>-compatible event logic.</w:t>
      </w:r>
    </w:p>
    <w:p w14:paraId="0E7C6036"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Prometheus is designed for heterogeneous data interoperability.</w:t>
      </w:r>
    </w:p>
    <w:p w14:paraId="5483A50F"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Weather, soil, hydrological, biological, chemical, spectral, luminosity, sensor, laboratory, drone, satellite, NDVI-derived, field-observation, community-observation, operational, and external-dataset records may all enter the Prometheus MRV environment when relevant.</w:t>
      </w:r>
    </w:p>
    <w:p w14:paraId="596023CD"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However, ingestion does not equal validation.</w:t>
      </w:r>
    </w:p>
    <w:p w14:paraId="584A4E7B"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Each record must remain associated, where applicable, with:</w:t>
      </w:r>
    </w:p>
    <w:p w14:paraId="35B1AAD0" w14:textId="77777777" w:rsidR="00422983" w:rsidRPr="00422983" w:rsidRDefault="00422983" w:rsidP="00422983">
      <w:pPr>
        <w:numPr>
          <w:ilvl w:val="0"/>
          <w:numId w:val="51"/>
        </w:numPr>
        <w:spacing w:line="360" w:lineRule="auto"/>
        <w:rPr>
          <w:rFonts w:ascii="Baskerville Old Face" w:hAnsi="Baskerville Old Face"/>
          <w:i/>
          <w:iCs/>
          <w:lang w:val="it-IT"/>
        </w:rPr>
      </w:pPr>
      <w:r w:rsidRPr="00422983">
        <w:rPr>
          <w:rFonts w:ascii="Baskerville Old Face" w:hAnsi="Baskerville Old Face"/>
          <w:i/>
          <w:iCs/>
          <w:lang w:val="it-IT"/>
        </w:rPr>
        <w:t xml:space="preserve">source </w:t>
      </w:r>
      <w:proofErr w:type="spellStart"/>
      <w:r w:rsidRPr="00422983">
        <w:rPr>
          <w:rFonts w:ascii="Baskerville Old Face" w:hAnsi="Baskerville Old Face"/>
          <w:i/>
          <w:iCs/>
          <w:lang w:val="it-IT"/>
        </w:rPr>
        <w:t>identity</w:t>
      </w:r>
      <w:proofErr w:type="spellEnd"/>
      <w:r w:rsidRPr="00422983">
        <w:rPr>
          <w:rFonts w:ascii="Baskerville Old Face" w:hAnsi="Baskerville Old Face"/>
          <w:i/>
          <w:iCs/>
          <w:lang w:val="it-IT"/>
        </w:rPr>
        <w:t>;</w:t>
      </w:r>
    </w:p>
    <w:p w14:paraId="7BF2B724"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method</w:t>
      </w:r>
      <w:proofErr w:type="spellEnd"/>
      <w:r w:rsidRPr="00422983">
        <w:rPr>
          <w:rFonts w:ascii="Baskerville Old Face" w:hAnsi="Baskerville Old Face"/>
          <w:i/>
          <w:iCs/>
          <w:lang w:val="it-IT"/>
        </w:rPr>
        <w:t xml:space="preserve"> </w:t>
      </w:r>
      <w:proofErr w:type="spellStart"/>
      <w:r w:rsidRPr="00422983">
        <w:rPr>
          <w:rFonts w:ascii="Baskerville Old Face" w:hAnsi="Baskerville Old Face"/>
          <w:i/>
          <w:iCs/>
          <w:lang w:val="it-IT"/>
        </w:rPr>
        <w:t>version</w:t>
      </w:r>
      <w:proofErr w:type="spellEnd"/>
      <w:r w:rsidRPr="00422983">
        <w:rPr>
          <w:rFonts w:ascii="Baskerville Old Face" w:hAnsi="Baskerville Old Face"/>
          <w:i/>
          <w:iCs/>
          <w:lang w:val="it-IT"/>
        </w:rPr>
        <w:t>;</w:t>
      </w:r>
    </w:p>
    <w:p w14:paraId="2968C828" w14:textId="77777777" w:rsidR="00422983" w:rsidRPr="00422983" w:rsidRDefault="00422983" w:rsidP="00422983">
      <w:pPr>
        <w:numPr>
          <w:ilvl w:val="0"/>
          <w:numId w:val="51"/>
        </w:numPr>
        <w:spacing w:line="360" w:lineRule="auto"/>
        <w:rPr>
          <w:rFonts w:ascii="Baskerville Old Face" w:hAnsi="Baskerville Old Face"/>
          <w:i/>
          <w:iCs/>
          <w:lang w:val="it-IT"/>
        </w:rPr>
      </w:pPr>
      <w:r w:rsidRPr="00422983">
        <w:rPr>
          <w:rFonts w:ascii="Baskerville Old Face" w:hAnsi="Baskerville Old Face"/>
          <w:i/>
          <w:iCs/>
          <w:lang w:val="it-IT"/>
        </w:rPr>
        <w:t>time;</w:t>
      </w:r>
    </w:p>
    <w:p w14:paraId="33D3658C" w14:textId="77777777" w:rsidR="00422983" w:rsidRPr="00422983" w:rsidRDefault="00422983" w:rsidP="00422983">
      <w:pPr>
        <w:numPr>
          <w:ilvl w:val="0"/>
          <w:numId w:val="51"/>
        </w:numPr>
        <w:spacing w:line="360" w:lineRule="auto"/>
        <w:rPr>
          <w:rFonts w:ascii="Baskerville Old Face" w:hAnsi="Baskerville Old Face"/>
          <w:i/>
          <w:iCs/>
          <w:lang w:val="it-IT"/>
        </w:rPr>
      </w:pPr>
      <w:r w:rsidRPr="00422983">
        <w:rPr>
          <w:rFonts w:ascii="Baskerville Old Face" w:hAnsi="Baskerville Old Face"/>
          <w:i/>
          <w:iCs/>
          <w:lang w:val="it-IT"/>
        </w:rPr>
        <w:t>location;</w:t>
      </w:r>
    </w:p>
    <w:p w14:paraId="4FEB7C7B"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measurement</w:t>
      </w:r>
      <w:proofErr w:type="spellEnd"/>
      <w:r w:rsidRPr="00422983">
        <w:rPr>
          <w:rFonts w:ascii="Baskerville Old Face" w:hAnsi="Baskerville Old Face"/>
          <w:i/>
          <w:iCs/>
          <w:lang w:val="it-IT"/>
        </w:rPr>
        <w:t xml:space="preserve"> </w:t>
      </w:r>
      <w:proofErr w:type="spellStart"/>
      <w:r w:rsidRPr="00422983">
        <w:rPr>
          <w:rFonts w:ascii="Baskerville Old Face" w:hAnsi="Baskerville Old Face"/>
          <w:i/>
          <w:iCs/>
          <w:lang w:val="it-IT"/>
        </w:rPr>
        <w:t>unit</w:t>
      </w:r>
      <w:proofErr w:type="spellEnd"/>
      <w:r w:rsidRPr="00422983">
        <w:rPr>
          <w:rFonts w:ascii="Baskerville Old Face" w:hAnsi="Baskerville Old Face"/>
          <w:i/>
          <w:iCs/>
          <w:lang w:val="it-IT"/>
        </w:rPr>
        <w:t>;</w:t>
      </w:r>
    </w:p>
    <w:p w14:paraId="1813659C"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uncertainty</w:t>
      </w:r>
      <w:proofErr w:type="spellEnd"/>
      <w:r w:rsidRPr="00422983">
        <w:rPr>
          <w:rFonts w:ascii="Baskerville Old Face" w:hAnsi="Baskerville Old Face"/>
          <w:i/>
          <w:iCs/>
          <w:lang w:val="it-IT"/>
        </w:rPr>
        <w:t>;</w:t>
      </w:r>
    </w:p>
    <w:p w14:paraId="3B2DCCDE"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provenance</w:t>
      </w:r>
      <w:proofErr w:type="spellEnd"/>
      <w:r w:rsidRPr="00422983">
        <w:rPr>
          <w:rFonts w:ascii="Baskerville Old Face" w:hAnsi="Baskerville Old Face"/>
          <w:i/>
          <w:iCs/>
          <w:lang w:val="it-IT"/>
        </w:rPr>
        <w:t>;</w:t>
      </w:r>
    </w:p>
    <w:p w14:paraId="67192727"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raw</w:t>
      </w:r>
      <w:proofErr w:type="spellEnd"/>
      <w:r w:rsidRPr="00422983">
        <w:rPr>
          <w:rFonts w:ascii="Baskerville Old Face" w:hAnsi="Baskerville Old Face"/>
          <w:i/>
          <w:iCs/>
          <w:lang w:val="it-IT"/>
        </w:rPr>
        <w:t xml:space="preserve"> data </w:t>
      </w:r>
      <w:proofErr w:type="spellStart"/>
      <w:r w:rsidRPr="00422983">
        <w:rPr>
          <w:rFonts w:ascii="Baskerville Old Face" w:hAnsi="Baskerville Old Face"/>
          <w:i/>
          <w:iCs/>
          <w:lang w:val="it-IT"/>
        </w:rPr>
        <w:t>reference</w:t>
      </w:r>
      <w:proofErr w:type="spellEnd"/>
      <w:r w:rsidRPr="00422983">
        <w:rPr>
          <w:rFonts w:ascii="Baskerville Old Face" w:hAnsi="Baskerville Old Face"/>
          <w:i/>
          <w:iCs/>
          <w:lang w:val="it-IT"/>
        </w:rPr>
        <w:t>;</w:t>
      </w:r>
    </w:p>
    <w:p w14:paraId="4B000073"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lastRenderedPageBreak/>
        <w:t>calibration</w:t>
      </w:r>
      <w:proofErr w:type="spellEnd"/>
      <w:r w:rsidRPr="00422983">
        <w:rPr>
          <w:rFonts w:ascii="Baskerville Old Face" w:hAnsi="Baskerville Old Face"/>
          <w:i/>
          <w:iCs/>
          <w:lang w:val="it-IT"/>
        </w:rPr>
        <w:t xml:space="preserve"> status;</w:t>
      </w:r>
    </w:p>
    <w:p w14:paraId="5A1E0A3A"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quality</w:t>
      </w:r>
      <w:proofErr w:type="spellEnd"/>
      <w:r w:rsidRPr="00422983">
        <w:rPr>
          <w:rFonts w:ascii="Baskerville Old Face" w:hAnsi="Baskerville Old Face"/>
          <w:i/>
          <w:iCs/>
          <w:lang w:val="it-IT"/>
        </w:rPr>
        <w:t xml:space="preserve"> status;</w:t>
      </w:r>
    </w:p>
    <w:p w14:paraId="4D7B33BA" w14:textId="77777777" w:rsidR="00422983" w:rsidRPr="00422983" w:rsidRDefault="00422983" w:rsidP="00422983">
      <w:pPr>
        <w:numPr>
          <w:ilvl w:val="0"/>
          <w:numId w:val="51"/>
        </w:numPr>
        <w:spacing w:line="360" w:lineRule="auto"/>
        <w:rPr>
          <w:rFonts w:ascii="Baskerville Old Face" w:hAnsi="Baskerville Old Face"/>
          <w:i/>
          <w:iCs/>
          <w:lang w:val="it-IT"/>
        </w:rPr>
      </w:pPr>
      <w:r w:rsidRPr="00422983">
        <w:rPr>
          <w:rFonts w:ascii="Baskerville Old Face" w:hAnsi="Baskerville Old Face"/>
          <w:i/>
          <w:iCs/>
          <w:lang w:val="it-IT"/>
        </w:rPr>
        <w:t>confidence score;</w:t>
      </w:r>
    </w:p>
    <w:p w14:paraId="0A7C4C8D" w14:textId="77777777" w:rsidR="00422983" w:rsidRPr="00422983" w:rsidRDefault="00422983" w:rsidP="00422983">
      <w:pPr>
        <w:numPr>
          <w:ilvl w:val="0"/>
          <w:numId w:val="51"/>
        </w:numPr>
        <w:spacing w:line="360" w:lineRule="auto"/>
        <w:rPr>
          <w:rFonts w:ascii="Baskerville Old Face" w:hAnsi="Baskerville Old Face"/>
          <w:i/>
          <w:iCs/>
          <w:lang w:val="it-IT"/>
        </w:rPr>
      </w:pPr>
      <w:r w:rsidRPr="00422983">
        <w:rPr>
          <w:rFonts w:ascii="Baskerville Old Face" w:hAnsi="Baskerville Old Face"/>
          <w:i/>
          <w:iCs/>
          <w:lang w:val="it-IT"/>
        </w:rPr>
        <w:t>review status;</w:t>
      </w:r>
    </w:p>
    <w:p w14:paraId="5D9178DD"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evidence</w:t>
      </w:r>
      <w:proofErr w:type="spellEnd"/>
      <w:r w:rsidRPr="00422983">
        <w:rPr>
          <w:rFonts w:ascii="Baskerville Old Face" w:hAnsi="Baskerville Old Face"/>
          <w:i/>
          <w:iCs/>
          <w:lang w:val="it-IT"/>
        </w:rPr>
        <w:t xml:space="preserve"> </w:t>
      </w:r>
      <w:proofErr w:type="spellStart"/>
      <w:r w:rsidRPr="00422983">
        <w:rPr>
          <w:rFonts w:ascii="Baskerville Old Face" w:hAnsi="Baskerville Old Face"/>
          <w:i/>
          <w:iCs/>
          <w:lang w:val="it-IT"/>
        </w:rPr>
        <w:t>classification</w:t>
      </w:r>
      <w:proofErr w:type="spellEnd"/>
      <w:r w:rsidRPr="00422983">
        <w:rPr>
          <w:rFonts w:ascii="Baskerville Old Face" w:hAnsi="Baskerville Old Face"/>
          <w:i/>
          <w:iCs/>
          <w:lang w:val="it-IT"/>
        </w:rPr>
        <w:t>;</w:t>
      </w:r>
    </w:p>
    <w:p w14:paraId="30D6A69B" w14:textId="77777777" w:rsidR="00422983" w:rsidRPr="00422983" w:rsidRDefault="00422983" w:rsidP="00422983">
      <w:pPr>
        <w:numPr>
          <w:ilvl w:val="0"/>
          <w:numId w:val="51"/>
        </w:numPr>
        <w:spacing w:line="360" w:lineRule="auto"/>
        <w:rPr>
          <w:rFonts w:ascii="Baskerville Old Face" w:hAnsi="Baskerville Old Face"/>
          <w:i/>
          <w:iCs/>
          <w:lang w:val="it-IT"/>
        </w:rPr>
      </w:pPr>
      <w:proofErr w:type="spellStart"/>
      <w:r w:rsidRPr="00422983">
        <w:rPr>
          <w:rFonts w:ascii="Baskerville Old Face" w:hAnsi="Baskerville Old Face"/>
          <w:i/>
          <w:iCs/>
          <w:lang w:val="it-IT"/>
        </w:rPr>
        <w:t>admissibility</w:t>
      </w:r>
      <w:proofErr w:type="spellEnd"/>
      <w:r w:rsidRPr="00422983">
        <w:rPr>
          <w:rFonts w:ascii="Baskerville Old Face" w:hAnsi="Baskerville Old Face"/>
          <w:i/>
          <w:iCs/>
          <w:lang w:val="it-IT"/>
        </w:rPr>
        <w:t xml:space="preserve"> </w:t>
      </w:r>
      <w:proofErr w:type="spellStart"/>
      <w:r w:rsidRPr="00422983">
        <w:rPr>
          <w:rFonts w:ascii="Baskerville Old Face" w:hAnsi="Baskerville Old Face"/>
          <w:i/>
          <w:iCs/>
          <w:lang w:val="it-IT"/>
        </w:rPr>
        <w:t>classification</w:t>
      </w:r>
      <w:proofErr w:type="spellEnd"/>
      <w:r w:rsidRPr="00422983">
        <w:rPr>
          <w:rFonts w:ascii="Baskerville Old Face" w:hAnsi="Baskerville Old Face"/>
          <w:i/>
          <w:iCs/>
          <w:lang w:val="it-IT"/>
        </w:rPr>
        <w:t>.</w:t>
      </w:r>
    </w:p>
    <w:p w14:paraId="35C24680"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No data stream becomes sovereign evidence by itself.</w:t>
      </w:r>
    </w:p>
    <w:p w14:paraId="79176D32"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Satellite indices, AI-derived indicators, sensor outputs, laboratory results, field observations, community observations, external datasets, or operational records may strengthen a claim, but they do not automatically create ecological truth, verified regeneration, PRU value, RAP eligibility, legal admissibility, or capital-facing validity.</w:t>
      </w:r>
    </w:p>
    <w:p w14:paraId="12C5090F"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Evidence becomes stronger through independent convergence across multiple sources, methodological transparency, provenance discipline, review processes, and alignment with the Prometheus canonical glossary, MRV methodology, evidence classification, and admissibility rules.</w:t>
      </w:r>
    </w:p>
    <w:p w14:paraId="2BF93B86" w14:textId="77777777" w:rsidR="00422983" w:rsidRDefault="00422983" w:rsidP="00422983">
      <w:pPr>
        <w:spacing w:line="360" w:lineRule="auto"/>
        <w:rPr>
          <w:rFonts w:ascii="Baskerville Old Face" w:hAnsi="Baskerville Old Face"/>
          <w:i/>
          <w:iCs/>
        </w:rPr>
      </w:pPr>
      <w:r w:rsidRPr="00422983">
        <w:rPr>
          <w:rFonts w:ascii="Baskerville Old Face" w:hAnsi="Baskerville Old Face"/>
          <w:i/>
          <w:iCs/>
        </w:rPr>
        <w:t>Potential standards and interoperability logics include:</w:t>
      </w:r>
    </w:p>
    <w:p w14:paraId="2460E007" w14:textId="77777777" w:rsidR="00422983" w:rsidRDefault="00422983" w:rsidP="00422983">
      <w:pPr>
        <w:spacing w:line="360" w:lineRule="auto"/>
        <w:rPr>
          <w:rFonts w:ascii="Baskerville Old Face" w:hAnsi="Baskerville Old Face"/>
          <w:i/>
          <w:iCs/>
        </w:rPr>
      </w:pPr>
    </w:p>
    <w:p w14:paraId="33577F50" w14:textId="77777777" w:rsidR="00422983" w:rsidRDefault="00422983" w:rsidP="00422983">
      <w:pPr>
        <w:spacing w:line="360" w:lineRule="auto"/>
        <w:rPr>
          <w:rFonts w:ascii="Baskerville Old Face" w:hAnsi="Baskerville Old Face"/>
          <w:i/>
          <w:iCs/>
        </w:rPr>
      </w:pPr>
    </w:p>
    <w:p w14:paraId="4875525F" w14:textId="77777777" w:rsidR="00422983" w:rsidRDefault="00422983" w:rsidP="00422983">
      <w:pPr>
        <w:spacing w:line="360" w:lineRule="auto"/>
        <w:rPr>
          <w:rFonts w:ascii="Baskerville Old Face" w:hAnsi="Baskerville Old Face"/>
          <w:i/>
          <w:iCs/>
        </w:rPr>
      </w:pPr>
    </w:p>
    <w:p w14:paraId="28F3AD56" w14:textId="77777777" w:rsidR="00422983" w:rsidRDefault="00422983" w:rsidP="00422983">
      <w:pPr>
        <w:spacing w:line="360" w:lineRule="auto"/>
        <w:rPr>
          <w:rFonts w:ascii="Baskerville Old Face" w:hAnsi="Baskerville Old Face"/>
          <w:i/>
          <w:iCs/>
        </w:rPr>
      </w:pPr>
    </w:p>
    <w:p w14:paraId="61816EFA" w14:textId="77777777" w:rsidR="00422983" w:rsidRDefault="00422983" w:rsidP="00422983">
      <w:pPr>
        <w:spacing w:line="360" w:lineRule="auto"/>
        <w:rPr>
          <w:rFonts w:ascii="Baskerville Old Face" w:hAnsi="Baskerville Old Face"/>
          <w:i/>
          <w:iCs/>
        </w:rPr>
      </w:pPr>
    </w:p>
    <w:p w14:paraId="284CD794" w14:textId="77777777" w:rsidR="00422983" w:rsidRPr="00422983" w:rsidRDefault="00422983" w:rsidP="00422983">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2"/>
        <w:gridCol w:w="6816"/>
      </w:tblGrid>
      <w:tr w:rsidR="00422983" w:rsidRPr="00422983" w14:paraId="386284F6" w14:textId="77777777" w:rsidTr="00422983">
        <w:trPr>
          <w:tblHeader/>
          <w:tblCellSpacing w:w="15" w:type="dxa"/>
        </w:trPr>
        <w:tc>
          <w:tcPr>
            <w:tcW w:w="0" w:type="auto"/>
            <w:vAlign w:val="center"/>
            <w:hideMark/>
          </w:tcPr>
          <w:p w14:paraId="136D4A91" w14:textId="77777777" w:rsidR="00422983" w:rsidRPr="00422983" w:rsidRDefault="00422983" w:rsidP="00422983">
            <w:pPr>
              <w:spacing w:line="360" w:lineRule="auto"/>
              <w:rPr>
                <w:rFonts w:ascii="Baskerville Old Face" w:hAnsi="Baskerville Old Face"/>
                <w:b/>
                <w:bCs/>
                <w:i/>
                <w:iCs/>
                <w:lang w:val="it-IT"/>
              </w:rPr>
            </w:pPr>
            <w:r w:rsidRPr="00422983">
              <w:rPr>
                <w:rFonts w:ascii="Baskerville Old Face" w:hAnsi="Baskerville Old Face"/>
                <w:b/>
                <w:bCs/>
                <w:i/>
                <w:iCs/>
                <w:lang w:val="it-IT"/>
              </w:rPr>
              <w:lastRenderedPageBreak/>
              <w:t xml:space="preserve">Standard / </w:t>
            </w:r>
            <w:proofErr w:type="spellStart"/>
            <w:r w:rsidRPr="00422983">
              <w:rPr>
                <w:rFonts w:ascii="Baskerville Old Face" w:hAnsi="Baskerville Old Face"/>
                <w:b/>
                <w:bCs/>
                <w:i/>
                <w:iCs/>
                <w:lang w:val="it-IT"/>
              </w:rPr>
              <w:t>logic</w:t>
            </w:r>
            <w:proofErr w:type="spellEnd"/>
          </w:p>
        </w:tc>
        <w:tc>
          <w:tcPr>
            <w:tcW w:w="0" w:type="auto"/>
            <w:vAlign w:val="center"/>
            <w:hideMark/>
          </w:tcPr>
          <w:p w14:paraId="62D249B5" w14:textId="77777777" w:rsidR="00422983" w:rsidRPr="00422983" w:rsidRDefault="00422983" w:rsidP="00422983">
            <w:pPr>
              <w:spacing w:line="360" w:lineRule="auto"/>
              <w:rPr>
                <w:rFonts w:ascii="Baskerville Old Face" w:hAnsi="Baskerville Old Face"/>
                <w:b/>
                <w:bCs/>
                <w:i/>
                <w:iCs/>
                <w:lang w:val="it-IT"/>
              </w:rPr>
            </w:pPr>
            <w:r w:rsidRPr="00422983">
              <w:rPr>
                <w:rFonts w:ascii="Baskerville Old Face" w:hAnsi="Baskerville Old Face"/>
                <w:b/>
                <w:bCs/>
                <w:i/>
                <w:iCs/>
                <w:lang w:val="it-IT"/>
              </w:rPr>
              <w:t xml:space="preserve">Use </w:t>
            </w:r>
            <w:proofErr w:type="spellStart"/>
            <w:r w:rsidRPr="00422983">
              <w:rPr>
                <w:rFonts w:ascii="Baskerville Old Face" w:hAnsi="Baskerville Old Face"/>
                <w:b/>
                <w:bCs/>
                <w:i/>
                <w:iCs/>
                <w:lang w:val="it-IT"/>
              </w:rPr>
              <w:t>within</w:t>
            </w:r>
            <w:proofErr w:type="spellEnd"/>
            <w:r w:rsidRPr="00422983">
              <w:rPr>
                <w:rFonts w:ascii="Baskerville Old Face" w:hAnsi="Baskerville Old Face"/>
                <w:b/>
                <w:bCs/>
                <w:i/>
                <w:iCs/>
                <w:lang w:val="it-IT"/>
              </w:rPr>
              <w:t xml:space="preserve"> Prometheus</w:t>
            </w:r>
          </w:p>
        </w:tc>
      </w:tr>
      <w:tr w:rsidR="00422983" w:rsidRPr="00422983" w14:paraId="729F15CD" w14:textId="77777777" w:rsidTr="00422983">
        <w:trPr>
          <w:tblCellSpacing w:w="15" w:type="dxa"/>
        </w:trPr>
        <w:tc>
          <w:tcPr>
            <w:tcW w:w="0" w:type="auto"/>
            <w:vAlign w:val="center"/>
            <w:hideMark/>
          </w:tcPr>
          <w:p w14:paraId="3693B3E6"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 xml:space="preserve">OGC </w:t>
            </w:r>
            <w:proofErr w:type="spellStart"/>
            <w:r w:rsidRPr="00422983">
              <w:rPr>
                <w:rFonts w:ascii="Baskerville Old Face" w:hAnsi="Baskerville Old Face"/>
                <w:b/>
                <w:bCs/>
                <w:i/>
                <w:iCs/>
                <w:lang w:val="it-IT"/>
              </w:rPr>
              <w:t>SensorThings</w:t>
            </w:r>
            <w:proofErr w:type="spellEnd"/>
            <w:r w:rsidRPr="00422983">
              <w:rPr>
                <w:rFonts w:ascii="Baskerville Old Face" w:hAnsi="Baskerville Old Face"/>
                <w:b/>
                <w:bCs/>
                <w:i/>
                <w:iCs/>
                <w:lang w:val="it-IT"/>
              </w:rPr>
              <w:t xml:space="preserve"> API</w:t>
            </w:r>
          </w:p>
        </w:tc>
        <w:tc>
          <w:tcPr>
            <w:tcW w:w="0" w:type="auto"/>
            <w:vAlign w:val="center"/>
            <w:hideMark/>
          </w:tcPr>
          <w:p w14:paraId="5B6952EC"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Sensor observations, IoT data interoperability, field-device data exchange, and structured environmental observations.</w:t>
            </w:r>
          </w:p>
        </w:tc>
      </w:tr>
      <w:tr w:rsidR="00422983" w:rsidRPr="00422983" w14:paraId="7728B237" w14:textId="77777777" w:rsidTr="00422983">
        <w:trPr>
          <w:tblCellSpacing w:w="15" w:type="dxa"/>
        </w:trPr>
        <w:tc>
          <w:tcPr>
            <w:tcW w:w="0" w:type="auto"/>
            <w:vAlign w:val="center"/>
            <w:hideMark/>
          </w:tcPr>
          <w:p w14:paraId="5C145328"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 xml:space="preserve">OGC API </w:t>
            </w:r>
            <w:proofErr w:type="spellStart"/>
            <w:r w:rsidRPr="00422983">
              <w:rPr>
                <w:rFonts w:ascii="Baskerville Old Face" w:hAnsi="Baskerville Old Face"/>
                <w:b/>
                <w:bCs/>
                <w:i/>
                <w:iCs/>
                <w:lang w:val="it-IT"/>
              </w:rPr>
              <w:t>Environmental</w:t>
            </w:r>
            <w:proofErr w:type="spellEnd"/>
            <w:r w:rsidRPr="00422983">
              <w:rPr>
                <w:rFonts w:ascii="Baskerville Old Face" w:hAnsi="Baskerville Old Face"/>
                <w:b/>
                <w:bCs/>
                <w:i/>
                <w:iCs/>
                <w:lang w:val="it-IT"/>
              </w:rPr>
              <w:t xml:space="preserve"> Data </w:t>
            </w:r>
            <w:proofErr w:type="spellStart"/>
            <w:r w:rsidRPr="00422983">
              <w:rPr>
                <w:rFonts w:ascii="Baskerville Old Face" w:hAnsi="Baskerville Old Face"/>
                <w:b/>
                <w:bCs/>
                <w:i/>
                <w:iCs/>
                <w:lang w:val="it-IT"/>
              </w:rPr>
              <w:t>Retrieval</w:t>
            </w:r>
            <w:proofErr w:type="spellEnd"/>
          </w:p>
        </w:tc>
        <w:tc>
          <w:tcPr>
            <w:tcW w:w="0" w:type="auto"/>
            <w:vAlign w:val="center"/>
            <w:hideMark/>
          </w:tcPr>
          <w:p w14:paraId="12C6FEC6"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Access and retrieval of environmental data, including weather, hydrological, climate, and geospatial environmental records.</w:t>
            </w:r>
          </w:p>
        </w:tc>
      </w:tr>
      <w:tr w:rsidR="00422983" w:rsidRPr="00422983" w14:paraId="53E62940" w14:textId="77777777" w:rsidTr="00422983">
        <w:trPr>
          <w:tblCellSpacing w:w="15" w:type="dxa"/>
        </w:trPr>
        <w:tc>
          <w:tcPr>
            <w:tcW w:w="0" w:type="auto"/>
            <w:vAlign w:val="center"/>
            <w:hideMark/>
          </w:tcPr>
          <w:p w14:paraId="6F49E256"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STAC</w:t>
            </w:r>
          </w:p>
        </w:tc>
        <w:tc>
          <w:tcPr>
            <w:tcW w:w="0" w:type="auto"/>
            <w:vAlign w:val="center"/>
            <w:hideMark/>
          </w:tcPr>
          <w:p w14:paraId="007CEEEA" w14:textId="77777777" w:rsidR="00422983" w:rsidRPr="00422983" w:rsidRDefault="00422983" w:rsidP="00422983">
            <w:pPr>
              <w:spacing w:line="360" w:lineRule="auto"/>
              <w:rPr>
                <w:rFonts w:ascii="Baskerville Old Face" w:hAnsi="Baskerville Old Face"/>
                <w:i/>
                <w:iCs/>
                <w:lang w:val="it-IT"/>
              </w:rPr>
            </w:pPr>
            <w:proofErr w:type="spellStart"/>
            <w:r w:rsidRPr="00422983">
              <w:rPr>
                <w:rFonts w:ascii="Baskerville Old Face" w:hAnsi="Baskerville Old Face"/>
                <w:i/>
                <w:iCs/>
                <w:lang w:val="it-IT"/>
              </w:rPr>
              <w:t>Cataloguing</w:t>
            </w:r>
            <w:proofErr w:type="spellEnd"/>
            <w:r w:rsidRPr="00422983">
              <w:rPr>
                <w:rFonts w:ascii="Baskerville Old Face" w:hAnsi="Baskerville Old Face"/>
                <w:i/>
                <w:iCs/>
                <w:lang w:val="it-IT"/>
              </w:rPr>
              <w:t xml:space="preserve"> </w:t>
            </w:r>
            <w:proofErr w:type="spellStart"/>
            <w:r w:rsidRPr="00422983">
              <w:rPr>
                <w:rFonts w:ascii="Baskerville Old Face" w:hAnsi="Baskerville Old Face"/>
                <w:i/>
                <w:iCs/>
                <w:lang w:val="it-IT"/>
              </w:rPr>
              <w:t>geospatial</w:t>
            </w:r>
            <w:proofErr w:type="spellEnd"/>
            <w:r w:rsidRPr="00422983">
              <w:rPr>
                <w:rFonts w:ascii="Baskerville Old Face" w:hAnsi="Baskerville Old Face"/>
                <w:i/>
                <w:iCs/>
                <w:lang w:val="it-IT"/>
              </w:rPr>
              <w:t xml:space="preserve">, satellite, drone, </w:t>
            </w:r>
            <w:proofErr w:type="spellStart"/>
            <w:r w:rsidRPr="00422983">
              <w:rPr>
                <w:rFonts w:ascii="Baskerville Old Face" w:hAnsi="Baskerville Old Face"/>
                <w:i/>
                <w:iCs/>
                <w:lang w:val="it-IT"/>
              </w:rPr>
              <w:t>raster</w:t>
            </w:r>
            <w:proofErr w:type="spellEnd"/>
            <w:r w:rsidRPr="00422983">
              <w:rPr>
                <w:rFonts w:ascii="Baskerville Old Face" w:hAnsi="Baskerville Old Face"/>
                <w:i/>
                <w:iCs/>
                <w:lang w:val="it-IT"/>
              </w:rPr>
              <w:t>, and remote-sensing assets.</w:t>
            </w:r>
          </w:p>
        </w:tc>
      </w:tr>
      <w:tr w:rsidR="00422983" w:rsidRPr="00422983" w14:paraId="66B8FD99" w14:textId="77777777" w:rsidTr="00422983">
        <w:trPr>
          <w:tblCellSpacing w:w="15" w:type="dxa"/>
        </w:trPr>
        <w:tc>
          <w:tcPr>
            <w:tcW w:w="0" w:type="auto"/>
            <w:vAlign w:val="center"/>
            <w:hideMark/>
          </w:tcPr>
          <w:p w14:paraId="3FC95677"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 xml:space="preserve">Cloud </w:t>
            </w:r>
            <w:proofErr w:type="spellStart"/>
            <w:r w:rsidRPr="00422983">
              <w:rPr>
                <w:rFonts w:ascii="Baskerville Old Face" w:hAnsi="Baskerville Old Face"/>
                <w:b/>
                <w:bCs/>
                <w:i/>
                <w:iCs/>
                <w:lang w:val="it-IT"/>
              </w:rPr>
              <w:t>Optimized</w:t>
            </w:r>
            <w:proofErr w:type="spellEnd"/>
            <w:r w:rsidRPr="00422983">
              <w:rPr>
                <w:rFonts w:ascii="Baskerville Old Face" w:hAnsi="Baskerville Old Face"/>
                <w:b/>
                <w:bCs/>
                <w:i/>
                <w:iCs/>
                <w:lang w:val="it-IT"/>
              </w:rPr>
              <w:t xml:space="preserve"> </w:t>
            </w:r>
            <w:proofErr w:type="spellStart"/>
            <w:r w:rsidRPr="00422983">
              <w:rPr>
                <w:rFonts w:ascii="Baskerville Old Face" w:hAnsi="Baskerville Old Face"/>
                <w:b/>
                <w:bCs/>
                <w:i/>
                <w:iCs/>
                <w:lang w:val="it-IT"/>
              </w:rPr>
              <w:t>GeoTIFF</w:t>
            </w:r>
            <w:proofErr w:type="spellEnd"/>
          </w:p>
        </w:tc>
        <w:tc>
          <w:tcPr>
            <w:tcW w:w="0" w:type="auto"/>
            <w:vAlign w:val="center"/>
            <w:hideMark/>
          </w:tcPr>
          <w:p w14:paraId="2A06ECD9"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Efficient storage, retrieval, and analysis of geospatial raster data, including satellite-derived layers.</w:t>
            </w:r>
          </w:p>
        </w:tc>
      </w:tr>
      <w:tr w:rsidR="00422983" w:rsidRPr="00422983" w14:paraId="00BB924A" w14:textId="77777777" w:rsidTr="00422983">
        <w:trPr>
          <w:tblCellSpacing w:w="15" w:type="dxa"/>
        </w:trPr>
        <w:tc>
          <w:tcPr>
            <w:tcW w:w="0" w:type="auto"/>
            <w:vAlign w:val="center"/>
            <w:hideMark/>
          </w:tcPr>
          <w:p w14:paraId="61E5BC55"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W3C PROV</w:t>
            </w:r>
          </w:p>
        </w:tc>
        <w:tc>
          <w:tcPr>
            <w:tcW w:w="0" w:type="auto"/>
            <w:vAlign w:val="center"/>
            <w:hideMark/>
          </w:tcPr>
          <w:p w14:paraId="4576FC58"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Provenance representation, chain-of-custody logic, source attribution, and evidence lineage.</w:t>
            </w:r>
          </w:p>
        </w:tc>
      </w:tr>
      <w:tr w:rsidR="00422983" w:rsidRPr="00422983" w14:paraId="797B3293" w14:textId="77777777" w:rsidTr="00422983">
        <w:trPr>
          <w:tblCellSpacing w:w="15" w:type="dxa"/>
        </w:trPr>
        <w:tc>
          <w:tcPr>
            <w:tcW w:w="0" w:type="auto"/>
            <w:vAlign w:val="center"/>
            <w:hideMark/>
          </w:tcPr>
          <w:p w14:paraId="36E7DDF3"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 xml:space="preserve">Web of Things </w:t>
            </w:r>
            <w:proofErr w:type="spellStart"/>
            <w:r w:rsidRPr="00422983">
              <w:rPr>
                <w:rFonts w:ascii="Baskerville Old Face" w:hAnsi="Baskerville Old Face"/>
                <w:b/>
                <w:bCs/>
                <w:i/>
                <w:iCs/>
                <w:lang w:val="it-IT"/>
              </w:rPr>
              <w:t>descriptions</w:t>
            </w:r>
            <w:proofErr w:type="spellEnd"/>
          </w:p>
        </w:tc>
        <w:tc>
          <w:tcPr>
            <w:tcW w:w="0" w:type="auto"/>
            <w:vAlign w:val="center"/>
            <w:hideMark/>
          </w:tcPr>
          <w:p w14:paraId="783A8E8A"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Device metadata, sensor descriptions, field-device interoperability, and machine-readable device capabilities.</w:t>
            </w:r>
          </w:p>
        </w:tc>
      </w:tr>
      <w:tr w:rsidR="00422983" w:rsidRPr="00422983" w14:paraId="2CC434E1" w14:textId="77777777" w:rsidTr="00422983">
        <w:trPr>
          <w:tblCellSpacing w:w="15" w:type="dxa"/>
        </w:trPr>
        <w:tc>
          <w:tcPr>
            <w:tcW w:w="0" w:type="auto"/>
            <w:vAlign w:val="center"/>
            <w:hideMark/>
          </w:tcPr>
          <w:p w14:paraId="065027B8" w14:textId="77777777" w:rsidR="00422983" w:rsidRPr="00422983" w:rsidRDefault="00422983" w:rsidP="00422983">
            <w:pPr>
              <w:spacing w:line="360" w:lineRule="auto"/>
              <w:rPr>
                <w:rFonts w:ascii="Baskerville Old Face" w:hAnsi="Baskerville Old Face"/>
                <w:i/>
                <w:iCs/>
                <w:lang w:val="it-IT"/>
              </w:rPr>
            </w:pPr>
            <w:r w:rsidRPr="00422983">
              <w:rPr>
                <w:rFonts w:ascii="Baskerville Old Face" w:hAnsi="Baskerville Old Face"/>
                <w:b/>
                <w:bCs/>
                <w:i/>
                <w:iCs/>
                <w:lang w:val="it-IT"/>
              </w:rPr>
              <w:t>EPCIS-</w:t>
            </w:r>
            <w:proofErr w:type="spellStart"/>
            <w:r w:rsidRPr="00422983">
              <w:rPr>
                <w:rFonts w:ascii="Baskerville Old Face" w:hAnsi="Baskerville Old Face"/>
                <w:b/>
                <w:bCs/>
                <w:i/>
                <w:iCs/>
                <w:lang w:val="it-IT"/>
              </w:rPr>
              <w:t>compatible</w:t>
            </w:r>
            <w:proofErr w:type="spellEnd"/>
            <w:r w:rsidRPr="00422983">
              <w:rPr>
                <w:rFonts w:ascii="Baskerville Old Face" w:hAnsi="Baskerville Old Face"/>
                <w:b/>
                <w:bCs/>
                <w:i/>
                <w:iCs/>
                <w:lang w:val="it-IT"/>
              </w:rPr>
              <w:t xml:space="preserve"> </w:t>
            </w:r>
            <w:proofErr w:type="spellStart"/>
            <w:r w:rsidRPr="00422983">
              <w:rPr>
                <w:rFonts w:ascii="Baskerville Old Face" w:hAnsi="Baskerville Old Face"/>
                <w:b/>
                <w:bCs/>
                <w:i/>
                <w:iCs/>
                <w:lang w:val="it-IT"/>
              </w:rPr>
              <w:t>logic</w:t>
            </w:r>
            <w:proofErr w:type="spellEnd"/>
          </w:p>
        </w:tc>
        <w:tc>
          <w:tcPr>
            <w:tcW w:w="0" w:type="auto"/>
            <w:vAlign w:val="center"/>
            <w:hideMark/>
          </w:tcPr>
          <w:p w14:paraId="4C106A20"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Supply-chain, product, custody, transformation, movement, and event traceability where appropriate.</w:t>
            </w:r>
          </w:p>
        </w:tc>
      </w:tr>
      <w:tr w:rsidR="00422983" w:rsidRPr="00422983" w14:paraId="5E480D38" w14:textId="77777777" w:rsidTr="00422983">
        <w:trPr>
          <w:tblCellSpacing w:w="15" w:type="dxa"/>
        </w:trPr>
        <w:tc>
          <w:tcPr>
            <w:tcW w:w="0" w:type="auto"/>
            <w:vAlign w:val="center"/>
            <w:hideMark/>
          </w:tcPr>
          <w:p w14:paraId="7E2D5AC0" w14:textId="77777777" w:rsidR="00422983" w:rsidRPr="00422983" w:rsidRDefault="00422983" w:rsidP="00422983">
            <w:pPr>
              <w:spacing w:line="360" w:lineRule="auto"/>
              <w:rPr>
                <w:rFonts w:ascii="Baskerville Old Face" w:hAnsi="Baskerville Old Face"/>
                <w:i/>
                <w:iCs/>
                <w:lang w:val="it-IT"/>
              </w:rPr>
            </w:pPr>
            <w:proofErr w:type="spellStart"/>
            <w:r w:rsidRPr="00422983">
              <w:rPr>
                <w:rFonts w:ascii="Baskerville Old Face" w:hAnsi="Baskerville Old Face"/>
                <w:b/>
                <w:bCs/>
                <w:i/>
                <w:iCs/>
                <w:lang w:val="it-IT"/>
              </w:rPr>
              <w:t>Valueflows</w:t>
            </w:r>
            <w:proofErr w:type="spellEnd"/>
            <w:r w:rsidRPr="00422983">
              <w:rPr>
                <w:rFonts w:ascii="Baskerville Old Face" w:hAnsi="Baskerville Old Face"/>
                <w:b/>
                <w:bCs/>
                <w:i/>
                <w:iCs/>
                <w:lang w:val="it-IT"/>
              </w:rPr>
              <w:t xml:space="preserve"> / REA </w:t>
            </w:r>
            <w:proofErr w:type="spellStart"/>
            <w:r w:rsidRPr="00422983">
              <w:rPr>
                <w:rFonts w:ascii="Baskerville Old Face" w:hAnsi="Baskerville Old Face"/>
                <w:b/>
                <w:bCs/>
                <w:i/>
                <w:iCs/>
                <w:lang w:val="it-IT"/>
              </w:rPr>
              <w:t>logic</w:t>
            </w:r>
            <w:proofErr w:type="spellEnd"/>
          </w:p>
        </w:tc>
        <w:tc>
          <w:tcPr>
            <w:tcW w:w="0" w:type="auto"/>
            <w:vAlign w:val="center"/>
            <w:hideMark/>
          </w:tcPr>
          <w:p w14:paraId="2CFF6EBD"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Resources, events, agents, processes, commitments, claims, and regenerative accounting.</w:t>
            </w:r>
          </w:p>
        </w:tc>
      </w:tr>
      <w:tr w:rsidR="00422983" w:rsidRPr="00422983" w14:paraId="4F60EE84" w14:textId="77777777" w:rsidTr="00422983">
        <w:trPr>
          <w:tblCellSpacing w:w="15" w:type="dxa"/>
        </w:trPr>
        <w:tc>
          <w:tcPr>
            <w:tcW w:w="0" w:type="auto"/>
            <w:vAlign w:val="center"/>
            <w:hideMark/>
          </w:tcPr>
          <w:p w14:paraId="0D2FFEE7" w14:textId="77777777" w:rsidR="00422983" w:rsidRPr="00422983" w:rsidRDefault="00422983" w:rsidP="00422983">
            <w:pPr>
              <w:spacing w:line="360" w:lineRule="auto"/>
              <w:rPr>
                <w:rFonts w:ascii="Baskerville Old Face" w:hAnsi="Baskerville Old Face"/>
                <w:i/>
                <w:iCs/>
                <w:lang w:val="it-IT"/>
              </w:rPr>
            </w:pPr>
            <w:proofErr w:type="spellStart"/>
            <w:r w:rsidRPr="00422983">
              <w:rPr>
                <w:rFonts w:ascii="Baskerville Old Face" w:hAnsi="Baskerville Old Face"/>
                <w:b/>
                <w:bCs/>
                <w:i/>
                <w:iCs/>
                <w:lang w:val="it-IT"/>
              </w:rPr>
              <w:t>DIDs</w:t>
            </w:r>
            <w:proofErr w:type="spellEnd"/>
            <w:r w:rsidRPr="00422983">
              <w:rPr>
                <w:rFonts w:ascii="Baskerville Old Face" w:hAnsi="Baskerville Old Face"/>
                <w:b/>
                <w:bCs/>
                <w:i/>
                <w:iCs/>
                <w:lang w:val="it-IT"/>
              </w:rPr>
              <w:t xml:space="preserve"> / </w:t>
            </w:r>
            <w:proofErr w:type="spellStart"/>
            <w:r w:rsidRPr="00422983">
              <w:rPr>
                <w:rFonts w:ascii="Baskerville Old Face" w:hAnsi="Baskerville Old Face"/>
                <w:b/>
                <w:bCs/>
                <w:i/>
                <w:iCs/>
                <w:lang w:val="it-IT"/>
              </w:rPr>
              <w:t>verifiable</w:t>
            </w:r>
            <w:proofErr w:type="spellEnd"/>
            <w:r w:rsidRPr="00422983">
              <w:rPr>
                <w:rFonts w:ascii="Baskerville Old Face" w:hAnsi="Baskerville Old Face"/>
                <w:b/>
                <w:bCs/>
                <w:i/>
                <w:iCs/>
                <w:lang w:val="it-IT"/>
              </w:rPr>
              <w:t xml:space="preserve"> </w:t>
            </w:r>
            <w:proofErr w:type="spellStart"/>
            <w:r w:rsidRPr="00422983">
              <w:rPr>
                <w:rFonts w:ascii="Baskerville Old Face" w:hAnsi="Baskerville Old Face"/>
                <w:b/>
                <w:bCs/>
                <w:i/>
                <w:iCs/>
                <w:lang w:val="it-IT"/>
              </w:rPr>
              <w:t>credentials</w:t>
            </w:r>
            <w:proofErr w:type="spellEnd"/>
          </w:p>
        </w:tc>
        <w:tc>
          <w:tcPr>
            <w:tcW w:w="0" w:type="auto"/>
            <w:vAlign w:val="center"/>
            <w:hideMark/>
          </w:tcPr>
          <w:p w14:paraId="0552AA6E"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Identity, authorization, roles, credentials, Digital Guarantor status, auditor identity, and permissioned attestations where appropriate.</w:t>
            </w:r>
          </w:p>
        </w:tc>
      </w:tr>
      <w:tr w:rsidR="00422983" w:rsidRPr="00422983" w14:paraId="5E613AE1" w14:textId="77777777" w:rsidTr="00422983">
        <w:trPr>
          <w:tblCellSpacing w:w="15" w:type="dxa"/>
        </w:trPr>
        <w:tc>
          <w:tcPr>
            <w:tcW w:w="0" w:type="auto"/>
            <w:vAlign w:val="center"/>
            <w:hideMark/>
          </w:tcPr>
          <w:p w14:paraId="54AB0C67" w14:textId="77777777" w:rsidR="00422983" w:rsidRPr="00422983" w:rsidRDefault="00422983" w:rsidP="00422983">
            <w:pPr>
              <w:spacing w:line="360" w:lineRule="auto"/>
              <w:rPr>
                <w:rFonts w:ascii="Baskerville Old Face" w:hAnsi="Baskerville Old Face"/>
                <w:i/>
                <w:iCs/>
              </w:rPr>
            </w:pPr>
            <w:proofErr w:type="spellStart"/>
            <w:r w:rsidRPr="00422983">
              <w:rPr>
                <w:rFonts w:ascii="Baskerville Old Face" w:hAnsi="Baskerville Old Face"/>
                <w:b/>
                <w:bCs/>
                <w:i/>
                <w:iCs/>
              </w:rPr>
              <w:t>Holochain</w:t>
            </w:r>
            <w:proofErr w:type="spellEnd"/>
            <w:r w:rsidRPr="00422983">
              <w:rPr>
                <w:rFonts w:ascii="Baskerville Old Face" w:hAnsi="Baskerville Old Face"/>
                <w:b/>
                <w:bCs/>
                <w:i/>
                <w:iCs/>
              </w:rPr>
              <w:t>-compatible source-chain records</w:t>
            </w:r>
          </w:p>
        </w:tc>
        <w:tc>
          <w:tcPr>
            <w:tcW w:w="0" w:type="auto"/>
            <w:vAlign w:val="center"/>
            <w:hideMark/>
          </w:tcPr>
          <w:p w14:paraId="4107AC13"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Agent-centric event records, stewardship actions, evidence hashes, governance actions, and local-first trust architecture.</w:t>
            </w:r>
          </w:p>
        </w:tc>
      </w:tr>
    </w:tbl>
    <w:p w14:paraId="531CABBE"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Standards support interoperability.</w:t>
      </w:r>
    </w:p>
    <w:p w14:paraId="0DF58858"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They do not replace methodology.</w:t>
      </w:r>
    </w:p>
    <w:p w14:paraId="1F7C5629"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They do not replace MRV.</w:t>
      </w:r>
    </w:p>
    <w:p w14:paraId="00023399"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lastRenderedPageBreak/>
        <w:t>They do not replace governance.</w:t>
      </w:r>
    </w:p>
    <w:p w14:paraId="6F8219BE"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They do not replace source-layer integrity.</w:t>
      </w:r>
    </w:p>
    <w:p w14:paraId="6D2291D2"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They do not replace legal review.</w:t>
      </w:r>
    </w:p>
    <w:p w14:paraId="62412065"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They do not create financial admissibility.</w:t>
      </w:r>
    </w:p>
    <w:p w14:paraId="7784AD50"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They do not create PRU or RAP value by themselves.</w:t>
      </w:r>
    </w:p>
    <w:p w14:paraId="37F9C21C"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 meaning of each record remains governed by the Prometheus canonical glossary, MRV methodology, evidence classification, review pathway, admissibility rules, and governance boundaries.</w:t>
      </w:r>
    </w:p>
    <w:p w14:paraId="03988351"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The operational principle is:</w:t>
      </w:r>
    </w:p>
    <w:p w14:paraId="0CF2776C" w14:textId="77777777" w:rsidR="00422983" w:rsidRPr="00422983" w:rsidRDefault="00422983" w:rsidP="00422983">
      <w:pPr>
        <w:spacing w:line="360" w:lineRule="auto"/>
        <w:rPr>
          <w:rFonts w:ascii="Baskerville Old Face" w:hAnsi="Baskerville Old Face"/>
          <w:i/>
          <w:iCs/>
        </w:rPr>
      </w:pPr>
      <w:r w:rsidRPr="00422983">
        <w:rPr>
          <w:rFonts w:ascii="Baskerville Old Face" w:hAnsi="Baskerville Old Face"/>
          <w:i/>
          <w:iCs/>
        </w:rPr>
        <w:t>Prometheus can listen to many data streams, but it only trusts what can be traced, reviewed, triangulated, and admitted.</w:t>
      </w:r>
    </w:p>
    <w:p w14:paraId="61865D5A" w14:textId="29DA6784"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G.11 Indicator families</w:t>
      </w:r>
    </w:p>
    <w:p w14:paraId="7AB8380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system may organize indicators into families.</w:t>
      </w:r>
    </w:p>
    <w:p w14:paraId="084A9228"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G.11.1 Soil function indicators</w:t>
      </w:r>
    </w:p>
    <w:p w14:paraId="2FD5B6C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Possible indicators:</w:t>
      </w:r>
    </w:p>
    <w:p w14:paraId="34D1337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soil organic carbon;</w:t>
      </w:r>
      <w:r w:rsidRPr="00B479AE">
        <w:rPr>
          <w:rFonts w:ascii="Baskerville Old Face" w:hAnsi="Baskerville Old Face"/>
          <w:i/>
          <w:iCs/>
        </w:rPr>
        <w:br/>
        <w:t>• soil organic matter;</w:t>
      </w:r>
      <w:r w:rsidRPr="00B479AE">
        <w:rPr>
          <w:rFonts w:ascii="Baskerville Old Face" w:hAnsi="Baskerville Old Face"/>
          <w:i/>
          <w:iCs/>
        </w:rPr>
        <w:br/>
        <w:t>• aggregate stability;</w:t>
      </w:r>
      <w:r w:rsidRPr="00B479AE">
        <w:rPr>
          <w:rFonts w:ascii="Baskerville Old Face" w:hAnsi="Baskerville Old Face"/>
          <w:i/>
          <w:iCs/>
        </w:rPr>
        <w:br/>
        <w:t>• infiltration capacity;</w:t>
      </w:r>
      <w:r w:rsidRPr="00B479AE">
        <w:rPr>
          <w:rFonts w:ascii="Baskerville Old Face" w:hAnsi="Baskerville Old Face"/>
          <w:i/>
          <w:iCs/>
        </w:rPr>
        <w:br/>
        <w:t>• bulk density;</w:t>
      </w:r>
      <w:r w:rsidRPr="00B479AE">
        <w:rPr>
          <w:rFonts w:ascii="Baskerville Old Face" w:hAnsi="Baskerville Old Face"/>
          <w:i/>
          <w:iCs/>
        </w:rPr>
        <w:br/>
        <w:t>• microbial biomass;</w:t>
      </w:r>
      <w:r w:rsidRPr="00B479AE">
        <w:rPr>
          <w:rFonts w:ascii="Baskerville Old Face" w:hAnsi="Baskerville Old Face"/>
          <w:i/>
          <w:iCs/>
        </w:rPr>
        <w:br/>
        <w:t>• earthworm activity;</w:t>
      </w:r>
      <w:r w:rsidRPr="00B479AE">
        <w:rPr>
          <w:rFonts w:ascii="Baskerville Old Face" w:hAnsi="Baskerville Old Face"/>
          <w:i/>
          <w:iCs/>
        </w:rPr>
        <w:br/>
        <w:t>• pH;</w:t>
      </w:r>
      <w:r w:rsidRPr="00B479AE">
        <w:rPr>
          <w:rFonts w:ascii="Baskerville Old Face" w:hAnsi="Baskerville Old Face"/>
          <w:i/>
          <w:iCs/>
        </w:rPr>
        <w:br/>
        <w:t>• salinity;</w:t>
      </w:r>
      <w:r w:rsidRPr="00B479AE">
        <w:rPr>
          <w:rFonts w:ascii="Baskerville Old Face" w:hAnsi="Baskerville Old Face"/>
          <w:i/>
          <w:iCs/>
        </w:rPr>
        <w:br/>
        <w:t>• nutrient availability;</w:t>
      </w:r>
      <w:r w:rsidRPr="00B479AE">
        <w:rPr>
          <w:rFonts w:ascii="Baskerville Old Face" w:hAnsi="Baskerville Old Face"/>
          <w:i/>
          <w:iCs/>
        </w:rPr>
        <w:br/>
        <w:t>• root health;</w:t>
      </w:r>
      <w:r w:rsidRPr="00B479AE">
        <w:rPr>
          <w:rFonts w:ascii="Baskerville Old Face" w:hAnsi="Baskerville Old Face"/>
          <w:i/>
          <w:iCs/>
        </w:rPr>
        <w:br/>
        <w:t>• soil moisture dynamics.</w:t>
      </w:r>
    </w:p>
    <w:p w14:paraId="58AFB01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Purpose:</w:t>
      </w:r>
    </w:p>
    <w:p w14:paraId="6703897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to evaluate whether the soil is becoming more fertile, structured, biologically active, water-retentive, and resilient.</w:t>
      </w:r>
    </w:p>
    <w:p w14:paraId="1BB22F68"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G.11.2 Hydrological indicators</w:t>
      </w:r>
    </w:p>
    <w:p w14:paraId="1DD179A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Possible indicators:</w:t>
      </w:r>
    </w:p>
    <w:p w14:paraId="0833EEF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infiltration rate;</w:t>
      </w:r>
      <w:r w:rsidRPr="00B479AE">
        <w:rPr>
          <w:rFonts w:ascii="Baskerville Old Face" w:hAnsi="Baskerville Old Face"/>
          <w:i/>
          <w:iCs/>
        </w:rPr>
        <w:br/>
        <w:t>• soil moisture stability;</w:t>
      </w:r>
      <w:r w:rsidRPr="00B479AE">
        <w:rPr>
          <w:rFonts w:ascii="Baskerville Old Face" w:hAnsi="Baskerville Old Face"/>
          <w:i/>
          <w:iCs/>
        </w:rPr>
        <w:br/>
        <w:t>• water retention after rainfall;</w:t>
      </w:r>
      <w:r w:rsidRPr="00B479AE">
        <w:rPr>
          <w:rFonts w:ascii="Baskerville Old Face" w:hAnsi="Baskerville Old Face"/>
          <w:i/>
          <w:iCs/>
        </w:rPr>
        <w:br/>
        <w:t>• runoff reduction;</w:t>
      </w:r>
      <w:r w:rsidRPr="00B479AE">
        <w:rPr>
          <w:rFonts w:ascii="Baskerville Old Face" w:hAnsi="Baskerville Old Face"/>
          <w:i/>
          <w:iCs/>
        </w:rPr>
        <w:br/>
        <w:t>• irrigation requirement per unit output;</w:t>
      </w:r>
      <w:r w:rsidRPr="00B479AE">
        <w:rPr>
          <w:rFonts w:ascii="Baskerville Old Face" w:hAnsi="Baskerville Old Face"/>
          <w:i/>
          <w:iCs/>
        </w:rPr>
        <w:br/>
        <w:t>• water quality;</w:t>
      </w:r>
      <w:r w:rsidRPr="00B479AE">
        <w:rPr>
          <w:rFonts w:ascii="Baskerville Old Face" w:hAnsi="Baskerville Old Face"/>
          <w:i/>
          <w:iCs/>
        </w:rPr>
        <w:br/>
        <w:t>• water-level response in swales or micro-basins;</w:t>
      </w:r>
      <w:r w:rsidRPr="00B479AE">
        <w:rPr>
          <w:rFonts w:ascii="Baskerville Old Face" w:hAnsi="Baskerville Old Face"/>
          <w:i/>
          <w:iCs/>
        </w:rPr>
        <w:br/>
        <w:t>• vegetation response after rainfall or drought.</w:t>
      </w:r>
    </w:p>
    <w:p w14:paraId="4B62DBD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Purpose:</w:t>
      </w:r>
    </w:p>
    <w:p w14:paraId="2A98686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to evaluate whether the site is improving water capture, storage, cycling, and resilience.</w:t>
      </w:r>
    </w:p>
    <w:p w14:paraId="0B61496F"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G.11.3 Biodiversity indicators</w:t>
      </w:r>
    </w:p>
    <w:p w14:paraId="2E4AE73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Possible indicators:</w:t>
      </w:r>
    </w:p>
    <w:p w14:paraId="0A95E6A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species richness;</w:t>
      </w:r>
      <w:r w:rsidRPr="00B479AE">
        <w:rPr>
          <w:rFonts w:ascii="Baskerville Old Face" w:hAnsi="Baskerville Old Face"/>
          <w:i/>
          <w:iCs/>
        </w:rPr>
        <w:br/>
        <w:t>• functional diversity;</w:t>
      </w:r>
      <w:r w:rsidRPr="00B479AE">
        <w:rPr>
          <w:rFonts w:ascii="Baskerville Old Face" w:hAnsi="Baskerville Old Face"/>
          <w:i/>
          <w:iCs/>
        </w:rPr>
        <w:br/>
        <w:t>• pollinator presence;</w:t>
      </w:r>
      <w:r w:rsidRPr="00B479AE">
        <w:rPr>
          <w:rFonts w:ascii="Baskerville Old Face" w:hAnsi="Baskerville Old Face"/>
          <w:i/>
          <w:iCs/>
        </w:rPr>
        <w:br/>
        <w:t>• habitat continuity;</w:t>
      </w:r>
      <w:r w:rsidRPr="00B479AE">
        <w:rPr>
          <w:rFonts w:ascii="Baskerville Old Face" w:hAnsi="Baskerville Old Face"/>
          <w:i/>
          <w:iCs/>
        </w:rPr>
        <w:br/>
        <w:t>• canopy and understory structure;</w:t>
      </w:r>
      <w:r w:rsidRPr="00B479AE">
        <w:rPr>
          <w:rFonts w:ascii="Baskerville Old Face" w:hAnsi="Baskerville Old Face"/>
          <w:i/>
          <w:iCs/>
        </w:rPr>
        <w:br/>
        <w:t>• beneficial insect presence;</w:t>
      </w:r>
      <w:r w:rsidRPr="00B479AE">
        <w:rPr>
          <w:rFonts w:ascii="Baskerville Old Face" w:hAnsi="Baskerville Old Face"/>
          <w:i/>
          <w:iCs/>
        </w:rPr>
        <w:br/>
        <w:t>• bird or wildlife observations;</w:t>
      </w:r>
      <w:r w:rsidRPr="00B479AE">
        <w:rPr>
          <w:rFonts w:ascii="Baskerville Old Face" w:hAnsi="Baskerville Old Face"/>
          <w:i/>
          <w:iCs/>
        </w:rPr>
        <w:br/>
        <w:t>• biodiversity corridor contribution;</w:t>
      </w:r>
      <w:r w:rsidRPr="00B479AE">
        <w:rPr>
          <w:rFonts w:ascii="Baskerville Old Face" w:hAnsi="Baskerville Old Face"/>
          <w:i/>
          <w:iCs/>
        </w:rPr>
        <w:br/>
        <w:t>• keystone or indicator species presence where relevant.</w:t>
      </w:r>
    </w:p>
    <w:p w14:paraId="33BF5AA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Purpose:</w:t>
      </w:r>
    </w:p>
    <w:p w14:paraId="4F06AB4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to evaluate whether the system is increasing ecological function, redundancy, and resilience.</w:t>
      </w:r>
    </w:p>
    <w:p w14:paraId="67FC7342"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lastRenderedPageBreak/>
        <w:t>G.11.4 Productive and operational indicators</w:t>
      </w:r>
    </w:p>
    <w:p w14:paraId="5ADE8FE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Possible indicators:</w:t>
      </w:r>
    </w:p>
    <w:p w14:paraId="2743847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edible yield;</w:t>
      </w:r>
      <w:r w:rsidRPr="00B479AE">
        <w:rPr>
          <w:rFonts w:ascii="Baskerville Old Face" w:hAnsi="Baskerville Old Face"/>
          <w:i/>
          <w:iCs/>
        </w:rPr>
        <w:br/>
        <w:t>• crop diversity;</w:t>
      </w:r>
      <w:r w:rsidRPr="00B479AE">
        <w:rPr>
          <w:rFonts w:ascii="Baskerville Old Face" w:hAnsi="Baskerville Old Face"/>
          <w:i/>
          <w:iCs/>
        </w:rPr>
        <w:br/>
        <w:t>• biomass returned to soil;</w:t>
      </w:r>
      <w:r w:rsidRPr="00B479AE">
        <w:rPr>
          <w:rFonts w:ascii="Baskerville Old Face" w:hAnsi="Baskerville Old Face"/>
          <w:i/>
          <w:iCs/>
        </w:rPr>
        <w:br/>
        <w:t>• seasonal yield distribution;</w:t>
      </w:r>
      <w:r w:rsidRPr="00B479AE">
        <w:rPr>
          <w:rFonts w:ascii="Baskerville Old Face" w:hAnsi="Baskerville Old Face"/>
          <w:i/>
          <w:iCs/>
        </w:rPr>
        <w:br/>
        <w:t>• yield stability;</w:t>
      </w:r>
      <w:r w:rsidRPr="00B479AE">
        <w:rPr>
          <w:rFonts w:ascii="Baskerville Old Face" w:hAnsi="Baskerville Old Face"/>
          <w:i/>
          <w:iCs/>
        </w:rPr>
        <w:br/>
        <w:t>• mortality or replacement rate;</w:t>
      </w:r>
      <w:r w:rsidRPr="00B479AE">
        <w:rPr>
          <w:rFonts w:ascii="Baskerville Old Face" w:hAnsi="Baskerville Old Face"/>
          <w:i/>
          <w:iCs/>
        </w:rPr>
        <w:br/>
        <w:t>• input dependency;</w:t>
      </w:r>
      <w:r w:rsidRPr="00B479AE">
        <w:rPr>
          <w:rFonts w:ascii="Baskerville Old Face" w:hAnsi="Baskerville Old Face"/>
          <w:i/>
          <w:iCs/>
        </w:rPr>
        <w:br/>
        <w:t>• labor and maintenance records;</w:t>
      </w:r>
      <w:r w:rsidRPr="00B479AE">
        <w:rPr>
          <w:rFonts w:ascii="Baskerville Old Face" w:hAnsi="Baskerville Old Face"/>
          <w:i/>
          <w:iCs/>
        </w:rPr>
        <w:br/>
        <w:t>• operational interventions;</w:t>
      </w:r>
      <w:r w:rsidRPr="00B479AE">
        <w:rPr>
          <w:rFonts w:ascii="Baskerville Old Face" w:hAnsi="Baskerville Old Face"/>
          <w:i/>
          <w:iCs/>
        </w:rPr>
        <w:br/>
        <w:t>• revenue or substitution value where relevant.</w:t>
      </w:r>
    </w:p>
    <w:p w14:paraId="643D59CA"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Purpose:</w:t>
      </w:r>
    </w:p>
    <w:p w14:paraId="20AA79B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to evaluate whether regenerative performance is linked to productive and operational viability.</w:t>
      </w:r>
    </w:p>
    <w:p w14:paraId="191314A6"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G.11.5 Resilience and risk indicators</w:t>
      </w:r>
    </w:p>
    <w:p w14:paraId="0C0BE78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Possible indicators:</w:t>
      </w:r>
    </w:p>
    <w:p w14:paraId="3FBD8A2C"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output variance;</w:t>
      </w:r>
      <w:r w:rsidRPr="00B479AE">
        <w:rPr>
          <w:rFonts w:ascii="Baskerville Old Face" w:hAnsi="Baskerville Old Face"/>
          <w:i/>
          <w:iCs/>
        </w:rPr>
        <w:br/>
        <w:t>• drought response;</w:t>
      </w:r>
      <w:r w:rsidRPr="00B479AE">
        <w:rPr>
          <w:rFonts w:ascii="Baskerville Old Face" w:hAnsi="Baskerville Old Face"/>
          <w:i/>
          <w:iCs/>
        </w:rPr>
        <w:br/>
        <w:t>• pest or disease pressure;</w:t>
      </w:r>
      <w:r w:rsidRPr="00B479AE">
        <w:rPr>
          <w:rFonts w:ascii="Baskerville Old Face" w:hAnsi="Baskerville Old Face"/>
          <w:i/>
          <w:iCs/>
        </w:rPr>
        <w:br/>
        <w:t>• recovery after disturbance;</w:t>
      </w:r>
      <w:r w:rsidRPr="00B479AE">
        <w:rPr>
          <w:rFonts w:ascii="Baskerville Old Face" w:hAnsi="Baskerville Old Face"/>
          <w:i/>
          <w:iCs/>
        </w:rPr>
        <w:br/>
        <w:t>• input dependency reduction;</w:t>
      </w:r>
      <w:r w:rsidRPr="00B479AE">
        <w:rPr>
          <w:rFonts w:ascii="Baskerville Old Face" w:hAnsi="Baskerville Old Face"/>
          <w:i/>
          <w:iCs/>
        </w:rPr>
        <w:br/>
        <w:t>• water stress response;</w:t>
      </w:r>
      <w:r w:rsidRPr="00B479AE">
        <w:rPr>
          <w:rFonts w:ascii="Baskerville Old Face" w:hAnsi="Baskerville Old Face"/>
          <w:i/>
          <w:iCs/>
        </w:rPr>
        <w:br/>
        <w:t>• management reliability;</w:t>
      </w:r>
      <w:r w:rsidRPr="00B479AE">
        <w:rPr>
          <w:rFonts w:ascii="Baskerville Old Face" w:hAnsi="Baskerville Old Face"/>
          <w:i/>
          <w:iCs/>
        </w:rPr>
        <w:br/>
        <w:t>• evidence continuity;</w:t>
      </w:r>
      <w:r w:rsidRPr="00B479AE">
        <w:rPr>
          <w:rFonts w:ascii="Baskerville Old Face" w:hAnsi="Baskerville Old Face"/>
          <w:i/>
          <w:iCs/>
        </w:rPr>
        <w:br/>
        <w:t>• adverse event history.</w:t>
      </w:r>
    </w:p>
    <w:p w14:paraId="656A7DF1"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Purpose:</w:t>
      </w:r>
    </w:p>
    <w:p w14:paraId="416E7D1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to evaluate risk compression and system maturity.</w:t>
      </w:r>
    </w:p>
    <w:p w14:paraId="228BACCC" w14:textId="77777777" w:rsidR="00422983" w:rsidRDefault="00422983" w:rsidP="00D92255">
      <w:pPr>
        <w:spacing w:line="360" w:lineRule="auto"/>
        <w:rPr>
          <w:rFonts w:ascii="Baskerville Old Face" w:hAnsi="Baskerville Old Face"/>
          <w:b/>
          <w:bCs/>
          <w:i/>
          <w:iCs/>
        </w:rPr>
      </w:pPr>
    </w:p>
    <w:p w14:paraId="0C9C7B84" w14:textId="2117A11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lastRenderedPageBreak/>
        <w:t>G.12 Confidence scoring</w:t>
      </w:r>
    </w:p>
    <w:p w14:paraId="6A3B3B3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Each indicator should carry a confidence score.</w:t>
      </w:r>
    </w:p>
    <w:p w14:paraId="7D5B72A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Confidence scoring may consider:</w:t>
      </w:r>
    </w:p>
    <w:p w14:paraId="384ABAC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measurement quality;</w:t>
      </w:r>
      <w:r w:rsidRPr="00B479AE">
        <w:rPr>
          <w:rFonts w:ascii="Baskerville Old Face" w:hAnsi="Baskerville Old Face"/>
          <w:i/>
          <w:iCs/>
        </w:rPr>
        <w:br/>
        <w:t>• sampling frequency;</w:t>
      </w:r>
      <w:r w:rsidRPr="00B479AE">
        <w:rPr>
          <w:rFonts w:ascii="Baskerville Old Face" w:hAnsi="Baskerville Old Face"/>
          <w:i/>
          <w:iCs/>
        </w:rPr>
        <w:br/>
        <w:t>• spatial resolution;</w:t>
      </w:r>
      <w:r w:rsidRPr="00B479AE">
        <w:rPr>
          <w:rFonts w:ascii="Baskerville Old Face" w:hAnsi="Baskerville Old Face"/>
          <w:i/>
          <w:iCs/>
        </w:rPr>
        <w:br/>
        <w:t>• temporal continuity;</w:t>
      </w:r>
      <w:r w:rsidRPr="00B479AE">
        <w:rPr>
          <w:rFonts w:ascii="Baskerville Old Face" w:hAnsi="Baskerville Old Face"/>
          <w:i/>
          <w:iCs/>
        </w:rPr>
        <w:br/>
        <w:t>• calibration status;</w:t>
      </w:r>
      <w:r w:rsidRPr="00B479AE">
        <w:rPr>
          <w:rFonts w:ascii="Baskerville Old Face" w:hAnsi="Baskerville Old Face"/>
          <w:i/>
          <w:iCs/>
        </w:rPr>
        <w:br/>
        <w:t>• source reliability;</w:t>
      </w:r>
      <w:r w:rsidRPr="00B479AE">
        <w:rPr>
          <w:rFonts w:ascii="Baskerville Old Face" w:hAnsi="Baskerville Old Face"/>
          <w:i/>
          <w:iCs/>
        </w:rPr>
        <w:br/>
        <w:t>• replication;</w:t>
      </w:r>
      <w:r w:rsidRPr="00B479AE">
        <w:rPr>
          <w:rFonts w:ascii="Baskerville Old Face" w:hAnsi="Baskerville Old Face"/>
          <w:i/>
          <w:iCs/>
        </w:rPr>
        <w:br/>
        <w:t>• cross-source consistency;</w:t>
      </w:r>
      <w:r w:rsidRPr="00B479AE">
        <w:rPr>
          <w:rFonts w:ascii="Baskerville Old Face" w:hAnsi="Baskerville Old Face"/>
          <w:i/>
          <w:iCs/>
        </w:rPr>
        <w:br/>
        <w:t>• reviewer confidence;</w:t>
      </w:r>
      <w:r w:rsidRPr="00B479AE">
        <w:rPr>
          <w:rFonts w:ascii="Baskerville Old Face" w:hAnsi="Baskerville Old Face"/>
          <w:i/>
          <w:iCs/>
        </w:rPr>
        <w:br/>
        <w:t>• uncertainty;</w:t>
      </w:r>
      <w:r w:rsidRPr="00B479AE">
        <w:rPr>
          <w:rFonts w:ascii="Baskerville Old Face" w:hAnsi="Baskerville Old Face"/>
          <w:i/>
          <w:iCs/>
        </w:rPr>
        <w:br/>
        <w:t>• methodology maturity;</w:t>
      </w:r>
      <w:r w:rsidRPr="00B479AE">
        <w:rPr>
          <w:rFonts w:ascii="Baskerville Old Face" w:hAnsi="Baskerville Old Face"/>
          <w:i/>
          <w:iCs/>
        </w:rPr>
        <w:br/>
        <w:t>• third-party verification where relevant.</w:t>
      </w:r>
    </w:p>
    <w:p w14:paraId="25EB2D3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 simplified conceptual model:</w:t>
      </w:r>
    </w:p>
    <w:p w14:paraId="4A33870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xml:space="preserve">Confidence = </w:t>
      </w:r>
      <w:proofErr w:type="spellStart"/>
      <w:r w:rsidRPr="00B479AE">
        <w:rPr>
          <w:rFonts w:ascii="Baskerville Old Face" w:hAnsi="Baskerville Old Face"/>
          <w:i/>
          <w:iCs/>
        </w:rPr>
        <w:t>measurement_quality</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provenance_strength</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cross_source_consistency</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methodology_maturity</w:t>
      </w:r>
      <w:proofErr w:type="spellEnd"/>
    </w:p>
    <w:p w14:paraId="35CFF9C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Confidence scoring prevents weak evidence from being treated as strong evidence.</w:t>
      </w:r>
    </w:p>
    <w:p w14:paraId="06ADFFC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allows learning while protecting financial admissibility.</w:t>
      </w:r>
    </w:p>
    <w:p w14:paraId="30C0535A" w14:textId="5FFD32E1" w:rsidR="003F69B8" w:rsidRPr="00B479AE" w:rsidRDefault="003F69B8" w:rsidP="003F69B8">
      <w:pPr>
        <w:spacing w:line="360" w:lineRule="auto"/>
        <w:rPr>
          <w:rFonts w:ascii="Baskerville Old Face" w:hAnsi="Baskerville Old Face"/>
          <w:b/>
          <w:bCs/>
          <w:i/>
          <w:iCs/>
        </w:rPr>
      </w:pPr>
      <w:r w:rsidRPr="00B479AE">
        <w:rPr>
          <w:rFonts w:ascii="Baskerville Old Face" w:hAnsi="Baskerville Old Face"/>
          <w:b/>
          <w:bCs/>
          <w:i/>
          <w:iCs/>
        </w:rPr>
        <w:t>MRV Confidence and Evidence Maturity Function</w:t>
      </w:r>
    </w:p>
    <w:p w14:paraId="5D4A707F"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Prometheus treats evidence maturity as a central condition for regenerative value.</w:t>
      </w:r>
    </w:p>
    <w:p w14:paraId="0BCA98F3"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An observation becomes useful when it is recorded.</w:t>
      </w:r>
    </w:p>
    <w:p w14:paraId="765A4976"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It becomes evidence when it has provenance.</w:t>
      </w:r>
    </w:p>
    <w:p w14:paraId="00C13400"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It becomes reliable when it is methodologically interpreted.</w:t>
      </w:r>
    </w:p>
    <w:p w14:paraId="0EF4887E"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It becomes admissible when it satisfies confidence, review, and boundary conditions.</w:t>
      </w:r>
    </w:p>
    <w:p w14:paraId="56250EDC"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lastRenderedPageBreak/>
        <w:t>The MRV confidence function may be expressed as:</w:t>
      </w:r>
    </w:p>
    <w:p w14:paraId="66B7DF08" w14:textId="77777777" w:rsidR="003F69B8" w:rsidRPr="00B479AE" w:rsidRDefault="003F69B8" w:rsidP="003F69B8">
      <w:pPr>
        <w:spacing w:line="360" w:lineRule="auto"/>
        <w:rPr>
          <w:rFonts w:ascii="Baskerville Old Face" w:hAnsi="Baskerville Old Face"/>
          <w:i/>
          <w:iCs/>
        </w:rPr>
      </w:pPr>
      <w:proofErr w:type="spellStart"/>
      <w:r w:rsidRPr="00B479AE">
        <w:rPr>
          <w:rFonts w:ascii="Baskerville Old Face" w:hAnsi="Baskerville Old Face"/>
          <w:i/>
          <w:iCs/>
        </w:rPr>
        <w:t>MRV_conf</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spellStart"/>
      <w:proofErr w:type="gramEnd"/>
      <w:r w:rsidRPr="00B479AE">
        <w:rPr>
          <w:rFonts w:ascii="Baskerville Old Face" w:hAnsi="Baskerville Old Face"/>
          <w:i/>
          <w:iCs/>
        </w:rPr>
        <w:t>Q_m</w:t>
      </w:r>
      <w:proofErr w:type="spellEnd"/>
      <w:r w:rsidRPr="00B479AE">
        <w:rPr>
          <w:rFonts w:ascii="Baskerville Old Face" w:hAnsi="Baskerville Old Face"/>
          <w:i/>
          <w:iCs/>
        </w:rPr>
        <w:t xml:space="preserve">, P_s, </w:t>
      </w:r>
      <w:proofErr w:type="spellStart"/>
      <w:r w:rsidRPr="00B479AE">
        <w:rPr>
          <w:rFonts w:ascii="Baskerville Old Face" w:hAnsi="Baskerville Old Face"/>
          <w:i/>
          <w:iCs/>
        </w:rPr>
        <w:t>T_c</w:t>
      </w:r>
      <w:proofErr w:type="spellEnd"/>
      <w:r w:rsidRPr="00B479AE">
        <w:rPr>
          <w:rFonts w:ascii="Baskerville Old Face" w:hAnsi="Baskerville Old Face"/>
          <w:i/>
          <w:iCs/>
        </w:rPr>
        <w:t xml:space="preserve">, X_s, </w:t>
      </w:r>
      <w:proofErr w:type="spellStart"/>
      <w:r w:rsidRPr="00B479AE">
        <w:rPr>
          <w:rFonts w:ascii="Baskerville Old Face" w:hAnsi="Baskerville Old Face"/>
          <w:i/>
          <w:iCs/>
        </w:rPr>
        <w:t>R_r</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M_m</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U_d</w:t>
      </w:r>
      <w:proofErr w:type="spellEnd"/>
      <w:r w:rsidRPr="00B479AE">
        <w:rPr>
          <w:rFonts w:ascii="Baskerville Old Face" w:hAnsi="Baskerville Old Face"/>
          <w:i/>
          <w:iCs/>
        </w:rPr>
        <w:t>)</w:t>
      </w:r>
    </w:p>
    <w:p w14:paraId="36F4149E"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Where:</w:t>
      </w:r>
    </w:p>
    <w:p w14:paraId="4CC7BBA7" w14:textId="77777777" w:rsidR="003F69B8" w:rsidRPr="00B479AE" w:rsidRDefault="003F69B8" w:rsidP="003F69B8">
      <w:pPr>
        <w:spacing w:line="360" w:lineRule="auto"/>
        <w:rPr>
          <w:rFonts w:ascii="Baskerville Old Face" w:hAnsi="Baskerville Old Face"/>
          <w:i/>
          <w:iCs/>
        </w:rPr>
      </w:pPr>
      <w:proofErr w:type="spellStart"/>
      <w:r w:rsidRPr="00B479AE">
        <w:rPr>
          <w:rFonts w:ascii="Baskerville Old Face" w:hAnsi="Baskerville Old Face"/>
          <w:i/>
          <w:iCs/>
        </w:rPr>
        <w:t>Q_m</w:t>
      </w:r>
      <w:proofErr w:type="spellEnd"/>
      <w:r w:rsidRPr="00B479AE">
        <w:rPr>
          <w:rFonts w:ascii="Baskerville Old Face" w:hAnsi="Baskerville Old Face"/>
          <w:i/>
          <w:iCs/>
        </w:rPr>
        <w:t xml:space="preserve"> = measurement quality.</w:t>
      </w:r>
      <w:r w:rsidRPr="00B479AE">
        <w:rPr>
          <w:rFonts w:ascii="Baskerville Old Face" w:hAnsi="Baskerville Old Face"/>
          <w:i/>
          <w:iCs/>
        </w:rPr>
        <w:br/>
        <w:t>P_s = provenance strength.</w:t>
      </w:r>
      <w:r w:rsidRPr="00B479AE">
        <w:rPr>
          <w:rFonts w:ascii="Baskerville Old Face" w:hAnsi="Baskerville Old Face"/>
          <w:i/>
          <w:iCs/>
        </w:rPr>
        <w:br/>
      </w:r>
      <w:proofErr w:type="spellStart"/>
      <w:r w:rsidRPr="00B479AE">
        <w:rPr>
          <w:rFonts w:ascii="Baskerville Old Face" w:hAnsi="Baskerville Old Face"/>
          <w:i/>
          <w:iCs/>
        </w:rPr>
        <w:t>T_c</w:t>
      </w:r>
      <w:proofErr w:type="spellEnd"/>
      <w:r w:rsidRPr="00B479AE">
        <w:rPr>
          <w:rFonts w:ascii="Baskerville Old Face" w:hAnsi="Baskerville Old Face"/>
          <w:i/>
          <w:iCs/>
        </w:rPr>
        <w:t xml:space="preserve"> = temporal continuity.</w:t>
      </w:r>
      <w:r w:rsidRPr="00B479AE">
        <w:rPr>
          <w:rFonts w:ascii="Baskerville Old Face" w:hAnsi="Baskerville Old Face"/>
          <w:i/>
          <w:iCs/>
        </w:rPr>
        <w:br/>
        <w:t>X_s = cross-source consistency.</w:t>
      </w:r>
      <w:r w:rsidRPr="00B479AE">
        <w:rPr>
          <w:rFonts w:ascii="Baskerville Old Face" w:hAnsi="Baskerville Old Face"/>
          <w:i/>
          <w:iCs/>
        </w:rPr>
        <w:br/>
      </w:r>
      <w:proofErr w:type="spellStart"/>
      <w:r w:rsidRPr="00B479AE">
        <w:rPr>
          <w:rFonts w:ascii="Baskerville Old Face" w:hAnsi="Baskerville Old Face"/>
          <w:i/>
          <w:iCs/>
        </w:rPr>
        <w:t>R_r</w:t>
      </w:r>
      <w:proofErr w:type="spellEnd"/>
      <w:r w:rsidRPr="00B479AE">
        <w:rPr>
          <w:rFonts w:ascii="Baskerville Old Face" w:hAnsi="Baskerville Old Face"/>
          <w:i/>
          <w:iCs/>
        </w:rPr>
        <w:t xml:space="preserve"> = reviewer reliability or review status.</w:t>
      </w:r>
      <w:r w:rsidRPr="00B479AE">
        <w:rPr>
          <w:rFonts w:ascii="Baskerville Old Face" w:hAnsi="Baskerville Old Face"/>
          <w:i/>
          <w:iCs/>
        </w:rPr>
        <w:br/>
      </w:r>
      <w:proofErr w:type="spellStart"/>
      <w:r w:rsidRPr="00B479AE">
        <w:rPr>
          <w:rFonts w:ascii="Baskerville Old Face" w:hAnsi="Baskerville Old Face"/>
          <w:i/>
          <w:iCs/>
        </w:rPr>
        <w:t>M_m</w:t>
      </w:r>
      <w:proofErr w:type="spellEnd"/>
      <w:r w:rsidRPr="00B479AE">
        <w:rPr>
          <w:rFonts w:ascii="Baskerville Old Face" w:hAnsi="Baskerville Old Face"/>
          <w:i/>
          <w:iCs/>
        </w:rPr>
        <w:t xml:space="preserve"> = methodology maturity.</w:t>
      </w:r>
      <w:r w:rsidRPr="00B479AE">
        <w:rPr>
          <w:rFonts w:ascii="Baskerville Old Face" w:hAnsi="Baskerville Old Face"/>
          <w:i/>
          <w:iCs/>
        </w:rPr>
        <w:br/>
      </w:r>
      <w:proofErr w:type="spellStart"/>
      <w:r w:rsidRPr="00B479AE">
        <w:rPr>
          <w:rFonts w:ascii="Baskerville Old Face" w:hAnsi="Baskerville Old Face"/>
          <w:i/>
          <w:iCs/>
        </w:rPr>
        <w:t>U_d</w:t>
      </w:r>
      <w:proofErr w:type="spellEnd"/>
      <w:r w:rsidRPr="00B479AE">
        <w:rPr>
          <w:rFonts w:ascii="Baskerville Old Face" w:hAnsi="Baskerville Old Face"/>
          <w:i/>
          <w:iCs/>
        </w:rPr>
        <w:t xml:space="preserve"> = uncertainty disclosure.</w:t>
      </w:r>
    </w:p>
    <w:p w14:paraId="2576CFBC"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simplified multiplicative confidence condition may be expressed as:</w:t>
      </w:r>
    </w:p>
    <w:p w14:paraId="5A0C1F82" w14:textId="77777777" w:rsidR="003F69B8" w:rsidRPr="00B479AE" w:rsidRDefault="003F69B8" w:rsidP="003F69B8">
      <w:pPr>
        <w:spacing w:line="360" w:lineRule="auto"/>
        <w:rPr>
          <w:rFonts w:ascii="Baskerville Old Face" w:hAnsi="Baskerville Old Face"/>
          <w:i/>
          <w:iCs/>
        </w:rPr>
      </w:pPr>
      <w:proofErr w:type="spellStart"/>
      <w:r w:rsidRPr="00B479AE">
        <w:rPr>
          <w:rFonts w:ascii="Baskerville Old Face" w:hAnsi="Baskerville Old Face"/>
          <w:i/>
          <w:iCs/>
        </w:rPr>
        <w:t>Conf_MRV</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Q_m</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P_s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T_c</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X_s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R_r</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M_m</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U_d</w:t>
      </w:r>
      <w:proofErr w:type="spellEnd"/>
    </w:p>
    <w:p w14:paraId="1E21B19E"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This formulation is deliberately conservative.</w:t>
      </w:r>
    </w:p>
    <w:p w14:paraId="0DA7C9C0"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If one essential evidence dimension is weak, total confidence should decrease.</w:t>
      </w:r>
    </w:p>
    <w:p w14:paraId="78F38BEF"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strong measurement with weak provenance remains limited.</w:t>
      </w:r>
    </w:p>
    <w:p w14:paraId="324C5114"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repeated observation without methodology remains limited.</w:t>
      </w:r>
    </w:p>
    <w:p w14:paraId="34CF2C7B"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good dataset without uncertainty disclosure remains limited.</w:t>
      </w:r>
    </w:p>
    <w:p w14:paraId="0AEA37B7"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compelling ecological claim without review remains limited.</w:t>
      </w:r>
    </w:p>
    <w:p w14:paraId="56681077"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Prometheus therefore does not treat evidence as a binary object.</w:t>
      </w:r>
    </w:p>
    <w:p w14:paraId="714C8CC7"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Evidence has maturity.</w:t>
      </w:r>
    </w:p>
    <w:p w14:paraId="20C1AF8C"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Evidence has confidence.</w:t>
      </w:r>
    </w:p>
    <w:p w14:paraId="41784E13"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Evidence has boundaries.</w:t>
      </w:r>
    </w:p>
    <w:p w14:paraId="3F57FBEE"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Evidence has permitted uses.</w:t>
      </w:r>
    </w:p>
    <w:p w14:paraId="2D68A8D0"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second expression may classify evidence maturity as a pathway:</w:t>
      </w:r>
    </w:p>
    <w:p w14:paraId="2320F4C1"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lastRenderedPageBreak/>
        <w:t xml:space="preserve">Observation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Validated Indicator </w:t>
      </w:r>
      <w:r w:rsidRPr="00B479AE">
        <w:rPr>
          <w:rFonts w:ascii="Times New Roman" w:hAnsi="Times New Roman" w:cs="Times New Roman"/>
          <w:i/>
          <w:iCs/>
        </w:rPr>
        <w:t>→</w:t>
      </w:r>
      <w:r w:rsidRPr="00B479AE">
        <w:rPr>
          <w:rFonts w:ascii="Baskerville Old Face" w:hAnsi="Baskerville Old Face"/>
          <w:i/>
          <w:iCs/>
        </w:rPr>
        <w:t xml:space="preserve"> MRV-Admissible Evidence </w:t>
      </w:r>
      <w:r w:rsidRPr="00B479AE">
        <w:rPr>
          <w:rFonts w:ascii="Times New Roman" w:hAnsi="Times New Roman" w:cs="Times New Roman"/>
          <w:i/>
          <w:iCs/>
        </w:rPr>
        <w:t>→</w:t>
      </w:r>
      <w:r w:rsidRPr="00B479AE">
        <w:rPr>
          <w:rFonts w:ascii="Baskerville Old Face" w:hAnsi="Baskerville Old Face"/>
          <w:i/>
          <w:iCs/>
        </w:rPr>
        <w:t xml:space="preserve"> PRU-Eligible Evidence </w:t>
      </w:r>
      <w:r w:rsidRPr="00B479AE">
        <w:rPr>
          <w:rFonts w:ascii="Times New Roman" w:hAnsi="Times New Roman" w:cs="Times New Roman"/>
          <w:i/>
          <w:iCs/>
        </w:rPr>
        <w:t>→</w:t>
      </w:r>
      <w:r w:rsidRPr="00B479AE">
        <w:rPr>
          <w:rFonts w:ascii="Baskerville Old Face" w:hAnsi="Baskerville Old Face"/>
          <w:i/>
          <w:iCs/>
        </w:rPr>
        <w:t xml:space="preserve"> Capital-Relevant Claim</w:t>
      </w:r>
    </w:p>
    <w:p w14:paraId="425A44A3"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This pathway prevents premature conversion of ecological signals into financial meaning.</w:t>
      </w:r>
    </w:p>
    <w:p w14:paraId="1C0807B8"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Each stage has a different use.</w:t>
      </w:r>
    </w:p>
    <w:p w14:paraId="7B1CE3E6"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An observation may support learning.</w:t>
      </w:r>
    </w:p>
    <w:p w14:paraId="1E5FE864"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Evidence may support review.</w:t>
      </w:r>
    </w:p>
    <w:p w14:paraId="6063054A"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validated indicator may support reporting.</w:t>
      </w:r>
    </w:p>
    <w:p w14:paraId="51CED43A"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MRV-admissible evidence may support formal MRV.</w:t>
      </w:r>
    </w:p>
    <w:p w14:paraId="06B0A7F0"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PRU-eligible evidence may support PRU analysis.</w:t>
      </w:r>
    </w:p>
    <w:p w14:paraId="4227671F"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capital-relevant claim requires admissibility, legal structure, disclosure, and governance review.</w:t>
      </w:r>
    </w:p>
    <w:p w14:paraId="7CABEE4B"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The evidence maturity condition may therefore be expressed as:</w:t>
      </w:r>
    </w:p>
    <w:p w14:paraId="6AE1B1DF" w14:textId="77777777" w:rsidR="003F69B8" w:rsidRPr="00B479AE" w:rsidRDefault="003F69B8" w:rsidP="003F69B8">
      <w:pPr>
        <w:spacing w:line="360" w:lineRule="auto"/>
        <w:rPr>
          <w:rFonts w:ascii="Baskerville Old Face" w:hAnsi="Baskerville Old Face"/>
          <w:i/>
          <w:iCs/>
        </w:rPr>
      </w:pPr>
      <w:proofErr w:type="spellStart"/>
      <w:r w:rsidRPr="00B479AE">
        <w:rPr>
          <w:rFonts w:ascii="Baskerville Old Face" w:hAnsi="Baskerville Old Face"/>
          <w:i/>
          <w:iCs/>
        </w:rPr>
        <w:t>Use_i</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Maturity_i</w:t>
      </w:r>
      <w:proofErr w:type="spellEnd"/>
    </w:p>
    <w:p w14:paraId="6F71B750"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This means that a claim cannot be used beyond its evidence maturity.</w:t>
      </w:r>
    </w:p>
    <w:p w14:paraId="78926947"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research-stage observation cannot be treated as PRU value.</w:t>
      </w:r>
    </w:p>
    <w:p w14:paraId="23DDB451"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pilot indicator cannot be treated as investor-ready performance.</w:t>
      </w:r>
    </w:p>
    <w:p w14:paraId="0B5B5415"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dashboard signal cannot be treated as legal entitlement.</w:t>
      </w:r>
    </w:p>
    <w:p w14:paraId="49B55623"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A community report cannot be treated as financial proof unless it satisfies the required evidence, provenance, confidence, and review pathway.</w:t>
      </w:r>
    </w:p>
    <w:p w14:paraId="4CB65282"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The operational rule is:</w:t>
      </w:r>
    </w:p>
    <w:p w14:paraId="09881E3F"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evidence use must not exceed evidence maturity.</w:t>
      </w:r>
    </w:p>
    <w:p w14:paraId="45FD0245"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This is one of the most important safeguards in Prometheus.</w:t>
      </w:r>
    </w:p>
    <w:p w14:paraId="164CF16D"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It allows the system to learn early without overclaiming early.</w:t>
      </w:r>
    </w:p>
    <w:p w14:paraId="20D6ACB4"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lastRenderedPageBreak/>
        <w:t>It allows pilots to generate insight without pretending to be institutional assets.</w:t>
      </w:r>
    </w:p>
    <w:p w14:paraId="66AC4184"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It allows emerging ecological intelligence to mature into capital relevance only when confidence, admissibility, and legal structure are ready.</w:t>
      </w:r>
    </w:p>
    <w:p w14:paraId="194C9F36" w14:textId="77777777" w:rsidR="003F69B8" w:rsidRPr="00B479AE" w:rsidRDefault="003F69B8" w:rsidP="003F69B8">
      <w:pPr>
        <w:spacing w:line="360" w:lineRule="auto"/>
        <w:rPr>
          <w:rFonts w:ascii="Baskerville Old Face" w:hAnsi="Baskerville Old Face"/>
          <w:b/>
          <w:bCs/>
          <w:i/>
          <w:iCs/>
        </w:rPr>
      </w:pPr>
      <w:r w:rsidRPr="00B479AE">
        <w:rPr>
          <w:rFonts w:ascii="Baskerville Old Face" w:hAnsi="Baskerville Old Face"/>
          <w:b/>
          <w:bCs/>
          <w:i/>
          <w:iCs/>
        </w:rPr>
        <w:t>Formula boundary</w:t>
      </w:r>
    </w:p>
    <w:p w14:paraId="2B848ACC" w14:textId="77777777" w:rsidR="003F69B8" w:rsidRPr="00B479AE" w:rsidRDefault="003F69B8" w:rsidP="003F69B8">
      <w:pPr>
        <w:spacing w:line="360" w:lineRule="auto"/>
        <w:rPr>
          <w:rFonts w:ascii="Baskerville Old Face" w:hAnsi="Baskerville Old Face"/>
          <w:i/>
          <w:iCs/>
        </w:rPr>
      </w:pPr>
      <w:proofErr w:type="spellStart"/>
      <w:r w:rsidRPr="00B479AE">
        <w:rPr>
          <w:rFonts w:ascii="Baskerville Old Face" w:hAnsi="Baskerville Old Face"/>
          <w:i/>
          <w:iCs/>
        </w:rPr>
        <w:t>MRV_conf</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Conf_MRV</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Use_i</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Maturity_i</w:t>
      </w:r>
      <w:proofErr w:type="spellEnd"/>
      <w:r w:rsidRPr="00B479AE">
        <w:rPr>
          <w:rFonts w:ascii="Baskerville Old Face" w:hAnsi="Baskerville Old Face"/>
          <w:i/>
          <w:iCs/>
        </w:rPr>
        <w:t xml:space="preserve"> are methodological evidence-quality functions.</w:t>
      </w:r>
    </w:p>
    <w:p w14:paraId="16CD8615"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They do not create automatic MRV admissibility, PRU value, RAP inclusion, investor rights, legal enforceability, token issuance, credit issuance, or market value.</w:t>
      </w:r>
    </w:p>
    <w:p w14:paraId="659DA287"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They support evidence classification, confidence scoring, review routing, PRU analysis, PHI interpretation, RAP screening, investor reporting, and capital-readiness review.</w:t>
      </w:r>
    </w:p>
    <w:p w14:paraId="6812F40E" w14:textId="460C8C68" w:rsidR="003F69B8" w:rsidRPr="00B479AE" w:rsidRDefault="003F69B8" w:rsidP="003F69B8">
      <w:pPr>
        <w:spacing w:line="360" w:lineRule="auto"/>
        <w:rPr>
          <w:rFonts w:ascii="Baskerville Old Face" w:hAnsi="Baskerville Old Face"/>
          <w:b/>
          <w:bCs/>
          <w:i/>
          <w:iCs/>
        </w:rPr>
      </w:pPr>
      <w:r w:rsidRPr="00B479AE">
        <w:rPr>
          <w:rFonts w:ascii="Baskerville Old Face" w:hAnsi="Baskerville Old Face"/>
          <w:b/>
          <w:bCs/>
          <w:i/>
          <w:iCs/>
        </w:rPr>
        <w:t>Operational rule</w:t>
      </w:r>
    </w:p>
    <w:p w14:paraId="3A29A16A"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The operational rule is:</w:t>
      </w:r>
    </w:p>
    <w:p w14:paraId="6A2241A9"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no maturity, no admissibility;</w:t>
      </w:r>
      <w:r w:rsidRPr="00B479AE">
        <w:rPr>
          <w:rFonts w:ascii="Baskerville Old Face" w:hAnsi="Baskerville Old Face"/>
          <w:i/>
          <w:iCs/>
        </w:rPr>
        <w:br/>
        <w:t>no confidence, no capital-facing claim.</w:t>
      </w:r>
    </w:p>
    <w:p w14:paraId="3F3DEEA6"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Prometheus may observe broadly.</w:t>
      </w:r>
    </w:p>
    <w:p w14:paraId="45F9329E"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Prometheus may learn continuously.</w:t>
      </w:r>
    </w:p>
    <w:p w14:paraId="0417A8D9"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Prometheus may model ambitiously.</w:t>
      </w:r>
    </w:p>
    <w:p w14:paraId="1AB55152"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But it admits value conservatively.</w:t>
      </w:r>
    </w:p>
    <w:p w14:paraId="38FD6B04" w14:textId="77777777" w:rsidR="003F69B8" w:rsidRPr="00B479AE" w:rsidRDefault="003F69B8" w:rsidP="003F69B8">
      <w:pPr>
        <w:spacing w:line="360" w:lineRule="auto"/>
        <w:rPr>
          <w:rFonts w:ascii="Baskerville Old Face" w:hAnsi="Baskerville Old Face"/>
          <w:i/>
          <w:iCs/>
        </w:rPr>
      </w:pPr>
      <w:r w:rsidRPr="00B479AE">
        <w:rPr>
          <w:rFonts w:ascii="Baskerville Old Face" w:hAnsi="Baskerville Old Face"/>
          <w:i/>
          <w:iCs/>
        </w:rPr>
        <w:t>This is how Prometheus remains scientific, auditable, and institutionally credible.</w:t>
      </w:r>
    </w:p>
    <w:p w14:paraId="54FA9939"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G.13 PRU relevance and admissibility boundary</w:t>
      </w:r>
    </w:p>
    <w:p w14:paraId="2CD5070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evidence may support PRU analysis only when it satisfies the relevant methodology.</w:t>
      </w:r>
    </w:p>
    <w:p w14:paraId="037BAA4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PRU pathway is:</w:t>
      </w:r>
    </w:p>
    <w:p w14:paraId="3A3F4C1E" w14:textId="13331B1A"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observation</w:t>
      </w:r>
      <w:r w:rsidRPr="00B479AE">
        <w:rPr>
          <w:rFonts w:ascii="Baskerville Old Face" w:hAnsi="Baskerville Old Face"/>
          <w:i/>
          <w:iCs/>
        </w:rPr>
        <w:br/>
        <w:t>evidence</w:t>
      </w:r>
      <w:r w:rsidRPr="00B479AE">
        <w:rPr>
          <w:rFonts w:ascii="Baskerville Old Face" w:hAnsi="Baskerville Old Face"/>
          <w:i/>
          <w:iCs/>
        </w:rPr>
        <w:br/>
        <w:t>validated indicator</w:t>
      </w:r>
      <w:r w:rsidRPr="00B479AE">
        <w:rPr>
          <w:rFonts w:ascii="Baskerville Old Face" w:hAnsi="Baskerville Old Face"/>
          <w:i/>
          <w:iCs/>
        </w:rPr>
        <w:br/>
      </w:r>
      <w:r w:rsidRPr="00B479AE">
        <w:rPr>
          <w:rFonts w:ascii="Baskerville Old Face" w:hAnsi="Baskerville Old Face"/>
          <w:i/>
          <w:iCs/>
        </w:rPr>
        <w:lastRenderedPageBreak/>
        <w:t>MRV-admissible evidence</w:t>
      </w:r>
      <w:r w:rsidRPr="00B479AE">
        <w:rPr>
          <w:rFonts w:ascii="Baskerville Old Face" w:hAnsi="Baskerville Old Face"/>
          <w:i/>
          <w:iCs/>
        </w:rPr>
        <w:br/>
        <w:t>PRU-eligible evidence</w:t>
      </w:r>
      <w:r w:rsidRPr="00B479AE">
        <w:rPr>
          <w:rFonts w:ascii="Baskerville Old Face" w:hAnsi="Baskerville Old Face"/>
          <w:i/>
          <w:iCs/>
        </w:rPr>
        <w:br/>
        <w:t>PRU analysis</w:t>
      </w:r>
      <w:r w:rsidRPr="00B479AE">
        <w:rPr>
          <w:rFonts w:ascii="Baskerville Old Face" w:hAnsi="Baskerville Old Face"/>
          <w:i/>
          <w:iCs/>
        </w:rPr>
        <w:br/>
      </w:r>
      <w:r w:rsidR="00E71F80" w:rsidRPr="00B479AE">
        <w:rPr>
          <w:rFonts w:ascii="Baskerville Old Face" w:hAnsi="Baskerville Old Face"/>
          <w:i/>
          <w:iCs/>
        </w:rPr>
        <w:t>PRU maturity classification</w:t>
      </w:r>
      <w:r w:rsidRPr="00B479AE">
        <w:rPr>
          <w:rFonts w:ascii="Baskerville Old Face" w:hAnsi="Baskerville Old Face"/>
          <w:i/>
          <w:iCs/>
        </w:rPr>
        <w:t xml:space="preserve"> support</w:t>
      </w:r>
      <w:r w:rsidRPr="00B479AE">
        <w:rPr>
          <w:rFonts w:ascii="Baskerville Old Face" w:hAnsi="Baskerville Old Face"/>
          <w:i/>
          <w:iCs/>
        </w:rPr>
        <w:br/>
        <w:t>RAP eligibility where applicable.</w:t>
      </w:r>
    </w:p>
    <w:p w14:paraId="2957DFD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No MRV record should automatically generate:</w:t>
      </w:r>
    </w:p>
    <w:p w14:paraId="7D617F23" w14:textId="77777777" w:rsidR="002A5030" w:rsidRPr="00B479AE" w:rsidRDefault="002A5030" w:rsidP="002A5030">
      <w:pPr>
        <w:spacing w:line="360" w:lineRule="auto"/>
        <w:rPr>
          <w:rFonts w:ascii="Baskerville Old Face" w:hAnsi="Baskerville Old Face"/>
          <w:i/>
          <w:iCs/>
        </w:rPr>
      </w:pPr>
      <w:r w:rsidRPr="00B479AE">
        <w:rPr>
          <w:rFonts w:ascii="Baskerville Old Face" w:hAnsi="Baskerville Old Face"/>
          <w:i/>
          <w:iCs/>
        </w:rPr>
        <w:t xml:space="preserve">• token issuance; </w:t>
      </w:r>
    </w:p>
    <w:p w14:paraId="529C4E65" w14:textId="77777777" w:rsidR="002A5030" w:rsidRPr="00B479AE" w:rsidRDefault="002A5030" w:rsidP="002A5030">
      <w:pPr>
        <w:spacing w:line="360" w:lineRule="auto"/>
        <w:rPr>
          <w:rFonts w:ascii="Baskerville Old Face" w:hAnsi="Baskerville Old Face"/>
          <w:i/>
          <w:iCs/>
        </w:rPr>
      </w:pPr>
      <w:r w:rsidRPr="00B479AE">
        <w:rPr>
          <w:rFonts w:ascii="Baskerville Old Face" w:hAnsi="Baskerville Old Face"/>
          <w:i/>
          <w:iCs/>
        </w:rPr>
        <w:t xml:space="preserve">• credit issuance; </w:t>
      </w:r>
    </w:p>
    <w:p w14:paraId="10451A1B" w14:textId="77777777" w:rsidR="002A5030" w:rsidRPr="00B479AE" w:rsidRDefault="002A5030" w:rsidP="002A5030">
      <w:pPr>
        <w:spacing w:line="360" w:lineRule="auto"/>
        <w:rPr>
          <w:rFonts w:ascii="Baskerville Old Face" w:hAnsi="Baskerville Old Face"/>
          <w:i/>
          <w:iCs/>
        </w:rPr>
      </w:pPr>
      <w:r w:rsidRPr="00B479AE">
        <w:rPr>
          <w:rFonts w:ascii="Baskerville Old Face" w:hAnsi="Baskerville Old Face"/>
          <w:i/>
          <w:iCs/>
        </w:rPr>
        <w:t xml:space="preserve">• investor claim; </w:t>
      </w:r>
    </w:p>
    <w:p w14:paraId="1FF44CEC" w14:textId="77777777" w:rsidR="002A5030" w:rsidRPr="00B479AE" w:rsidRDefault="002A5030" w:rsidP="002A5030">
      <w:pPr>
        <w:spacing w:line="360" w:lineRule="auto"/>
        <w:rPr>
          <w:rFonts w:ascii="Baskerville Old Face" w:hAnsi="Baskerville Old Face"/>
          <w:i/>
          <w:iCs/>
        </w:rPr>
      </w:pPr>
      <w:r w:rsidRPr="00B479AE">
        <w:rPr>
          <w:rFonts w:ascii="Baskerville Old Face" w:hAnsi="Baskerville Old Face"/>
          <w:i/>
          <w:iCs/>
        </w:rPr>
        <w:t xml:space="preserve">• governance authority; </w:t>
      </w:r>
    </w:p>
    <w:p w14:paraId="47FC3FC2" w14:textId="77777777" w:rsidR="002A5030" w:rsidRPr="00B479AE" w:rsidRDefault="002A5030" w:rsidP="002A5030">
      <w:pPr>
        <w:spacing w:line="360" w:lineRule="auto"/>
        <w:rPr>
          <w:rFonts w:ascii="Baskerville Old Face" w:hAnsi="Baskerville Old Face"/>
          <w:i/>
          <w:iCs/>
        </w:rPr>
      </w:pPr>
      <w:r w:rsidRPr="00B479AE">
        <w:rPr>
          <w:rFonts w:ascii="Baskerville Old Face" w:hAnsi="Baskerville Old Face"/>
          <w:i/>
          <w:iCs/>
        </w:rPr>
        <w:t xml:space="preserve">• public financial statement; </w:t>
      </w:r>
    </w:p>
    <w:p w14:paraId="53CFB2BB" w14:textId="7A37C136" w:rsidR="002A5030" w:rsidRPr="00B479AE" w:rsidRDefault="002A5030" w:rsidP="002A5030">
      <w:pPr>
        <w:spacing w:line="360" w:lineRule="auto"/>
        <w:rPr>
          <w:rFonts w:ascii="Baskerville Old Face" w:hAnsi="Baskerville Old Face"/>
          <w:i/>
          <w:iCs/>
        </w:rPr>
      </w:pPr>
      <w:r w:rsidRPr="00B479AE">
        <w:rPr>
          <w:rFonts w:ascii="Baskerville Old Face" w:hAnsi="Baskerville Old Face"/>
          <w:i/>
          <w:iCs/>
        </w:rPr>
        <w:t>•financial instrument status.</w:t>
      </w:r>
    </w:p>
    <w:p w14:paraId="57B442B8" w14:textId="07AB55B5"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correct rule is:</w:t>
      </w:r>
      <w:r w:rsidR="00D30921" w:rsidRPr="00B479AE">
        <w:rPr>
          <w:rFonts w:ascii="Baskerville Old Face" w:hAnsi="Baskerville Old Face"/>
          <w:i/>
          <w:iCs/>
        </w:rPr>
        <w:t xml:space="preserve"> </w:t>
      </w:r>
      <w:r w:rsidRPr="00B479AE">
        <w:rPr>
          <w:rFonts w:ascii="Baskerville Old Face" w:hAnsi="Baskerville Old Face"/>
          <w:i/>
          <w:iCs/>
        </w:rPr>
        <w:t>MRV supports PRU only through admissibility.</w:t>
      </w:r>
    </w:p>
    <w:p w14:paraId="3970700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Admissibility requires method, evidence, confidence, review, and legal clarity where value is being represented.</w:t>
      </w:r>
    </w:p>
    <w:p w14:paraId="4AD7139C"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G.14 Dashboard and reporting boundaries</w:t>
      </w:r>
    </w:p>
    <w:p w14:paraId="38181E5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Dashboards may present:</w:t>
      </w:r>
    </w:p>
    <w:p w14:paraId="1051B5B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field observations;</w:t>
      </w:r>
      <w:r w:rsidRPr="00B479AE">
        <w:rPr>
          <w:rFonts w:ascii="Baskerville Old Face" w:hAnsi="Baskerville Old Face"/>
          <w:i/>
          <w:iCs/>
        </w:rPr>
        <w:br/>
        <w:t>• sensor data;</w:t>
      </w:r>
      <w:r w:rsidRPr="00B479AE">
        <w:rPr>
          <w:rFonts w:ascii="Baskerville Old Face" w:hAnsi="Baskerville Old Face"/>
          <w:i/>
          <w:iCs/>
        </w:rPr>
        <w:br/>
        <w:t>• MRV indicators;</w:t>
      </w:r>
      <w:r w:rsidRPr="00B479AE">
        <w:rPr>
          <w:rFonts w:ascii="Baskerville Old Face" w:hAnsi="Baskerville Old Face"/>
          <w:i/>
          <w:iCs/>
        </w:rPr>
        <w:br/>
        <w:t>• confidence scores;</w:t>
      </w:r>
      <w:r w:rsidRPr="00B479AE">
        <w:rPr>
          <w:rFonts w:ascii="Baskerville Old Face" w:hAnsi="Baskerville Old Face"/>
          <w:i/>
          <w:iCs/>
        </w:rPr>
        <w:br/>
        <w:t>• evidence maturity status;</w:t>
      </w:r>
      <w:r w:rsidRPr="00B479AE">
        <w:rPr>
          <w:rFonts w:ascii="Baskerville Old Face" w:hAnsi="Baskerville Old Face"/>
          <w:i/>
          <w:iCs/>
        </w:rPr>
        <w:br/>
        <w:t>• trends;</w:t>
      </w:r>
      <w:r w:rsidRPr="00B479AE">
        <w:rPr>
          <w:rFonts w:ascii="Baskerville Old Face" w:hAnsi="Baskerville Old Face"/>
          <w:i/>
          <w:iCs/>
        </w:rPr>
        <w:br/>
        <w:t>• baselines;</w:t>
      </w:r>
      <w:r w:rsidRPr="00B479AE">
        <w:rPr>
          <w:rFonts w:ascii="Baskerville Old Face" w:hAnsi="Baskerville Old Face"/>
          <w:i/>
          <w:iCs/>
        </w:rPr>
        <w:br/>
        <w:t>• deltas;</w:t>
      </w:r>
      <w:r w:rsidRPr="00B479AE">
        <w:rPr>
          <w:rFonts w:ascii="Baskerville Old Face" w:hAnsi="Baskerville Old Face"/>
          <w:i/>
          <w:iCs/>
        </w:rPr>
        <w:br/>
        <w:t>• risk flags;</w:t>
      </w:r>
      <w:r w:rsidRPr="00B479AE">
        <w:rPr>
          <w:rFonts w:ascii="Baskerville Old Face" w:hAnsi="Baskerville Old Face"/>
          <w:i/>
          <w:iCs/>
        </w:rPr>
        <w:br/>
        <w:t>• review status;</w:t>
      </w:r>
      <w:r w:rsidRPr="00B479AE">
        <w:rPr>
          <w:rFonts w:ascii="Baskerville Old Face" w:hAnsi="Baskerville Old Face"/>
          <w:i/>
          <w:iCs/>
        </w:rPr>
        <w:br/>
      </w:r>
      <w:r w:rsidRPr="00B479AE">
        <w:rPr>
          <w:rFonts w:ascii="Baskerville Old Face" w:hAnsi="Baskerville Old Face"/>
          <w:i/>
          <w:iCs/>
        </w:rPr>
        <w:lastRenderedPageBreak/>
        <w:t>• PRU-relevant analysis where approved;</w:t>
      </w:r>
      <w:r w:rsidRPr="00B479AE">
        <w:rPr>
          <w:rFonts w:ascii="Baskerville Old Face" w:hAnsi="Baskerville Old Face"/>
          <w:i/>
          <w:iCs/>
        </w:rPr>
        <w:br/>
        <w:t>• reporting limitations.</w:t>
      </w:r>
    </w:p>
    <w:p w14:paraId="29B4345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Dashboards should distinguish clearly between:</w:t>
      </w:r>
    </w:p>
    <w:p w14:paraId="014812A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live raw data;</w:t>
      </w:r>
      <w:r w:rsidRPr="00B479AE">
        <w:rPr>
          <w:rFonts w:ascii="Baskerville Old Face" w:hAnsi="Baskerville Old Face"/>
          <w:i/>
          <w:iCs/>
        </w:rPr>
        <w:br/>
        <w:t>• preliminary observations;</w:t>
      </w:r>
      <w:r w:rsidRPr="00B479AE">
        <w:rPr>
          <w:rFonts w:ascii="Baskerville Old Face" w:hAnsi="Baskerville Old Face"/>
          <w:i/>
          <w:iCs/>
        </w:rPr>
        <w:br/>
        <w:t>• validated indicators;</w:t>
      </w:r>
      <w:r w:rsidRPr="00B479AE">
        <w:rPr>
          <w:rFonts w:ascii="Baskerville Old Face" w:hAnsi="Baskerville Old Face"/>
          <w:i/>
          <w:iCs/>
        </w:rPr>
        <w:br/>
        <w:t>• MRV-admissible evidence;</w:t>
      </w:r>
      <w:r w:rsidRPr="00B479AE">
        <w:rPr>
          <w:rFonts w:ascii="Baskerville Old Face" w:hAnsi="Baskerville Old Face"/>
          <w:i/>
          <w:iCs/>
        </w:rPr>
        <w:br/>
        <w:t>• PRU-eligible evidence;</w:t>
      </w:r>
      <w:r w:rsidRPr="00B479AE">
        <w:rPr>
          <w:rFonts w:ascii="Baskerville Old Face" w:hAnsi="Baskerville Old Face"/>
          <w:i/>
          <w:iCs/>
        </w:rPr>
        <w:br/>
        <w:t>• investor-review material;</w:t>
      </w:r>
      <w:r w:rsidRPr="00B479AE">
        <w:rPr>
          <w:rFonts w:ascii="Baskerville Old Face" w:hAnsi="Baskerville Old Face"/>
          <w:i/>
          <w:iCs/>
        </w:rPr>
        <w:br/>
        <w:t>• financially admissible value.</w:t>
      </w:r>
    </w:p>
    <w:p w14:paraId="45000A2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 dashboard is an interface.</w:t>
      </w:r>
    </w:p>
    <w:p w14:paraId="2D92353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is not an authority layer.</w:t>
      </w:r>
    </w:p>
    <w:p w14:paraId="5D10430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may display evidence status.</w:t>
      </w:r>
    </w:p>
    <w:p w14:paraId="53E7C79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may not convert evidence status into financial authority without the required methodology, review, and legal structure.</w:t>
      </w:r>
    </w:p>
    <w:p w14:paraId="6574BE2E" w14:textId="77777777" w:rsidR="006C247E" w:rsidRPr="00B479AE" w:rsidRDefault="006C247E" w:rsidP="006C247E">
      <w:pPr>
        <w:spacing w:line="360" w:lineRule="auto"/>
        <w:rPr>
          <w:rFonts w:ascii="Baskerville Old Face" w:hAnsi="Baskerville Old Face"/>
          <w:b/>
          <w:bCs/>
          <w:i/>
          <w:iCs/>
        </w:rPr>
      </w:pPr>
      <w:r w:rsidRPr="00B479AE">
        <w:rPr>
          <w:rFonts w:ascii="Baskerville Old Face" w:hAnsi="Baskerville Old Face"/>
          <w:b/>
          <w:bCs/>
          <w:i/>
          <w:iCs/>
        </w:rPr>
        <w:t>Dashboard-to-Authority Boundary Function</w:t>
      </w:r>
    </w:p>
    <w:p w14:paraId="4AB0CE5E"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is an interface.</w:t>
      </w:r>
    </w:p>
    <w:p w14:paraId="7BE9B5F3"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is not an authority layer.</w:t>
      </w:r>
    </w:p>
    <w:p w14:paraId="4FF62842"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Prometheus dashboards, reports, maps, indices, risk panels, PRU previews, PHI views, Ravel signals, investor interfaces, or governance displays may help participants interpret evidence, trends, risks, baselines, deltas, confidence scores, and maturity status.</w:t>
      </w:r>
    </w:p>
    <w:p w14:paraId="317344EB"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However, displaying information does not authorize action.</w:t>
      </w:r>
    </w:p>
    <w:p w14:paraId="2E27B627"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 dashboard boundary may be expressed as:</w:t>
      </w:r>
    </w:p>
    <w:p w14:paraId="4483B44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Displayed Data ≠ Authorized Decision</w:t>
      </w:r>
    </w:p>
    <w:p w14:paraId="0BA81E41"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more complete formulation is:</w:t>
      </w:r>
    </w:p>
    <w:p w14:paraId="4B9D4CE6" w14:textId="77777777" w:rsidR="006C247E" w:rsidRPr="00B479AE" w:rsidRDefault="006C247E" w:rsidP="006C247E">
      <w:pPr>
        <w:spacing w:line="360" w:lineRule="auto"/>
        <w:rPr>
          <w:rFonts w:ascii="Baskerville Old Face" w:hAnsi="Baskerville Old Face"/>
          <w:i/>
          <w:iCs/>
        </w:rPr>
      </w:pPr>
      <w:proofErr w:type="spellStart"/>
      <w:r w:rsidRPr="00B479AE">
        <w:rPr>
          <w:rFonts w:ascii="Baskerville Old Face" w:hAnsi="Baskerville Old Face"/>
          <w:i/>
          <w:iCs/>
        </w:rPr>
        <w:lastRenderedPageBreak/>
        <w:t>Authority_action</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Evidence, Methodology, Review, Governance, Legal Boundary, Source Layer)</w:t>
      </w:r>
    </w:p>
    <w:p w14:paraId="6C9BF09D"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not:</w:t>
      </w:r>
    </w:p>
    <w:p w14:paraId="356AA7CE" w14:textId="77777777" w:rsidR="006C247E" w:rsidRPr="00B479AE" w:rsidRDefault="006C247E" w:rsidP="006C247E">
      <w:pPr>
        <w:spacing w:line="360" w:lineRule="auto"/>
        <w:rPr>
          <w:rFonts w:ascii="Baskerville Old Face" w:hAnsi="Baskerville Old Face"/>
          <w:i/>
          <w:iCs/>
        </w:rPr>
      </w:pPr>
      <w:proofErr w:type="spellStart"/>
      <w:r w:rsidRPr="00B479AE">
        <w:rPr>
          <w:rFonts w:ascii="Baskerville Old Face" w:hAnsi="Baskerville Old Face"/>
          <w:i/>
          <w:iCs/>
        </w:rPr>
        <w:t>Authority_action</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Dashboard Output)</w:t>
      </w:r>
    </w:p>
    <w:p w14:paraId="57B44B8C"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This distinction is essential.</w:t>
      </w:r>
    </w:p>
    <w:p w14:paraId="3AC31F2A"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a trend.</w:t>
      </w:r>
    </w:p>
    <w:p w14:paraId="6A8F57E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a risk flag.</w:t>
      </w:r>
    </w:p>
    <w:p w14:paraId="182C74B1"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evidence maturity.</w:t>
      </w:r>
    </w:p>
    <w:p w14:paraId="7C85651E"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a PRU-relevant indicator.</w:t>
      </w:r>
    </w:p>
    <w:p w14:paraId="2485204B"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a PHI score.</w:t>
      </w:r>
    </w:p>
    <w:p w14:paraId="2234A268"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a Ravel risk signal.</w:t>
      </w:r>
    </w:p>
    <w:p w14:paraId="58473C5B"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confidence.</w:t>
      </w:r>
    </w:p>
    <w:p w14:paraId="3FE36153"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show uncertainty.</w:t>
      </w:r>
    </w:p>
    <w:p w14:paraId="11198712"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But a dashboard does not independently create:</w:t>
      </w:r>
    </w:p>
    <w:p w14:paraId="1B5F6FD2"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PRU value;</w:t>
      </w:r>
      <w:r w:rsidRPr="00B479AE">
        <w:rPr>
          <w:rFonts w:ascii="Baskerville Old Face" w:hAnsi="Baskerville Old Face"/>
          <w:i/>
          <w:iCs/>
        </w:rPr>
        <w:br/>
        <w:t>RAP eligibility;</w:t>
      </w:r>
      <w:r w:rsidRPr="00B479AE">
        <w:rPr>
          <w:rFonts w:ascii="Baskerville Old Face" w:hAnsi="Baskerville Old Face"/>
          <w:i/>
          <w:iCs/>
        </w:rPr>
        <w:br/>
        <w:t>token issuance;</w:t>
      </w:r>
      <w:r w:rsidRPr="00B479AE">
        <w:rPr>
          <w:rFonts w:ascii="Baskerville Old Face" w:hAnsi="Baskerville Old Face"/>
          <w:i/>
          <w:iCs/>
        </w:rPr>
        <w:br/>
        <w:t>credit issuance;</w:t>
      </w:r>
      <w:r w:rsidRPr="00B479AE">
        <w:rPr>
          <w:rFonts w:ascii="Baskerville Old Face" w:hAnsi="Baskerville Old Face"/>
          <w:i/>
          <w:iCs/>
        </w:rPr>
        <w:br/>
        <w:t>investor entitlement;</w:t>
      </w:r>
      <w:r w:rsidRPr="00B479AE">
        <w:rPr>
          <w:rFonts w:ascii="Baskerville Old Face" w:hAnsi="Baskerville Old Face"/>
          <w:i/>
          <w:iCs/>
        </w:rPr>
        <w:br/>
        <w:t>legal rights;</w:t>
      </w:r>
      <w:r w:rsidRPr="00B479AE">
        <w:rPr>
          <w:rFonts w:ascii="Baskerville Old Face" w:hAnsi="Baskerville Old Face"/>
          <w:i/>
          <w:iCs/>
        </w:rPr>
        <w:br/>
        <w:t>governance authority;</w:t>
      </w:r>
      <w:r w:rsidRPr="00B479AE">
        <w:rPr>
          <w:rFonts w:ascii="Baskerville Old Face" w:hAnsi="Baskerville Old Face"/>
          <w:i/>
          <w:iCs/>
        </w:rPr>
        <w:br/>
        <w:t>human ranking;</w:t>
      </w:r>
      <w:r w:rsidRPr="00B479AE">
        <w:rPr>
          <w:rFonts w:ascii="Baskerville Old Face" w:hAnsi="Baskerville Old Face"/>
          <w:i/>
          <w:iCs/>
        </w:rPr>
        <w:br/>
        <w:t>public financial statements;</w:t>
      </w:r>
      <w:r w:rsidRPr="00B479AE">
        <w:rPr>
          <w:rFonts w:ascii="Baskerville Old Face" w:hAnsi="Baskerville Old Face"/>
          <w:i/>
          <w:iCs/>
        </w:rPr>
        <w:br/>
        <w:t>automatic enforcement;</w:t>
      </w:r>
      <w:r w:rsidRPr="00B479AE">
        <w:rPr>
          <w:rFonts w:ascii="Baskerville Old Face" w:hAnsi="Baskerville Old Face"/>
          <w:i/>
          <w:iCs/>
        </w:rPr>
        <w:br/>
        <w:t>capital-facing claims.</w:t>
      </w:r>
    </w:p>
    <w:p w14:paraId="37517A32"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 correct operational pathway is:</w:t>
      </w:r>
    </w:p>
    <w:p w14:paraId="4BC99EC3"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lastRenderedPageBreak/>
        <w:t xml:space="preserve">dashboard signal </w:t>
      </w:r>
      <w:r w:rsidRPr="00B479AE">
        <w:rPr>
          <w:rFonts w:ascii="Times New Roman" w:hAnsi="Times New Roman" w:cs="Times New Roman"/>
          <w:i/>
          <w:iCs/>
        </w:rPr>
        <w:t>→</w:t>
      </w:r>
      <w:r w:rsidRPr="00B479AE">
        <w:rPr>
          <w:rFonts w:ascii="Baskerville Old Face" w:hAnsi="Baskerville Old Face"/>
          <w:i/>
          <w:iCs/>
        </w:rPr>
        <w:t xml:space="preserve"> evidence review </w:t>
      </w:r>
      <w:r w:rsidRPr="00B479AE">
        <w:rPr>
          <w:rFonts w:ascii="Times New Roman" w:hAnsi="Times New Roman" w:cs="Times New Roman"/>
          <w:i/>
          <w:iCs/>
        </w:rPr>
        <w:t>→</w:t>
      </w:r>
      <w:r w:rsidRPr="00B479AE">
        <w:rPr>
          <w:rFonts w:ascii="Baskerville Old Face" w:hAnsi="Baskerville Old Face"/>
          <w:i/>
          <w:iCs/>
        </w:rPr>
        <w:t xml:space="preserve"> methodology check </w:t>
      </w:r>
      <w:r w:rsidRPr="00B479AE">
        <w:rPr>
          <w:rFonts w:ascii="Times New Roman" w:hAnsi="Times New Roman" w:cs="Times New Roman"/>
          <w:i/>
          <w:iCs/>
        </w:rPr>
        <w:t>→</w:t>
      </w:r>
      <w:r w:rsidRPr="00B479AE">
        <w:rPr>
          <w:rFonts w:ascii="Baskerville Old Face" w:hAnsi="Baskerville Old Face"/>
          <w:i/>
          <w:iCs/>
        </w:rPr>
        <w:t xml:space="preserve"> confidence assessment </w:t>
      </w:r>
      <w:r w:rsidRPr="00B479AE">
        <w:rPr>
          <w:rFonts w:ascii="Times New Roman" w:hAnsi="Times New Roman" w:cs="Times New Roman"/>
          <w:i/>
          <w:iCs/>
        </w:rPr>
        <w:t>→</w:t>
      </w:r>
      <w:r w:rsidRPr="00B479AE">
        <w:rPr>
          <w:rFonts w:ascii="Baskerville Old Face" w:hAnsi="Baskerville Old Face"/>
          <w:i/>
          <w:iCs/>
        </w:rPr>
        <w:t xml:space="preserve"> admissibility review </w:t>
      </w:r>
      <w:r w:rsidRPr="00B479AE">
        <w:rPr>
          <w:rFonts w:ascii="Times New Roman" w:hAnsi="Times New Roman" w:cs="Times New Roman"/>
          <w:i/>
          <w:iCs/>
        </w:rPr>
        <w:t>→</w:t>
      </w:r>
      <w:r w:rsidRPr="00B479AE">
        <w:rPr>
          <w:rFonts w:ascii="Baskerville Old Face" w:hAnsi="Baskerville Old Face"/>
          <w:i/>
          <w:iCs/>
        </w:rPr>
        <w:t xml:space="preserve"> governance / legal review where relevant </w:t>
      </w:r>
      <w:r w:rsidRPr="00B479AE">
        <w:rPr>
          <w:rFonts w:ascii="Times New Roman" w:hAnsi="Times New Roman" w:cs="Times New Roman"/>
          <w:i/>
          <w:iCs/>
        </w:rPr>
        <w:t>→</w:t>
      </w:r>
      <w:r w:rsidRPr="00B479AE">
        <w:rPr>
          <w:rFonts w:ascii="Baskerville Old Face" w:hAnsi="Baskerville Old Face"/>
          <w:i/>
          <w:iCs/>
        </w:rPr>
        <w:t xml:space="preserve"> authorized action</w:t>
      </w:r>
    </w:p>
    <w:p w14:paraId="10DC8D70"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This protects Prometheus from interface capture.</w:t>
      </w:r>
    </w:p>
    <w:p w14:paraId="782AB90E"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Interface capture occurs when a visual layer begins to behave as if it were the decision layer.</w:t>
      </w:r>
    </w:p>
    <w:p w14:paraId="1A0A5735"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score becomes a command.</w:t>
      </w:r>
    </w:p>
    <w:p w14:paraId="19C04F51"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risk signal becomes a penalty.</w:t>
      </w:r>
    </w:p>
    <w:p w14:paraId="01AF9FB6"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chart becomes a claim.</w:t>
      </w:r>
    </w:p>
    <w:p w14:paraId="498EAEF5"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becomes a judge.</w:t>
      </w:r>
    </w:p>
    <w:p w14:paraId="01DABC6F"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Prometheus must prevent this.</w:t>
      </w:r>
    </w:p>
    <w:p w14:paraId="3F7BA71F"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Dashboards should therefore classify every displayed item according to permitted use:</w:t>
      </w:r>
    </w:p>
    <w:p w14:paraId="05C71DF8"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raw data;</w:t>
      </w:r>
      <w:r w:rsidRPr="00B479AE">
        <w:rPr>
          <w:rFonts w:ascii="Baskerville Old Face" w:hAnsi="Baskerville Old Face"/>
          <w:i/>
          <w:iCs/>
        </w:rPr>
        <w:br/>
        <w:t>preliminary observation;</w:t>
      </w:r>
      <w:r w:rsidRPr="00B479AE">
        <w:rPr>
          <w:rFonts w:ascii="Baskerville Old Face" w:hAnsi="Baskerville Old Face"/>
          <w:i/>
          <w:iCs/>
        </w:rPr>
        <w:br/>
        <w:t>validated indicator;</w:t>
      </w:r>
      <w:r w:rsidRPr="00B479AE">
        <w:rPr>
          <w:rFonts w:ascii="Baskerville Old Face" w:hAnsi="Baskerville Old Face"/>
          <w:i/>
          <w:iCs/>
        </w:rPr>
        <w:br/>
        <w:t>MRV-admissible evidence;</w:t>
      </w:r>
      <w:r w:rsidRPr="00B479AE">
        <w:rPr>
          <w:rFonts w:ascii="Baskerville Old Face" w:hAnsi="Baskerville Old Face"/>
          <w:i/>
          <w:iCs/>
        </w:rPr>
        <w:br/>
        <w:t>PRU-eligible evidence;</w:t>
      </w:r>
      <w:r w:rsidRPr="00B479AE">
        <w:rPr>
          <w:rFonts w:ascii="Baskerville Old Face" w:hAnsi="Baskerville Old Face"/>
          <w:i/>
          <w:iCs/>
        </w:rPr>
        <w:br/>
        <w:t>investor-review material;</w:t>
      </w:r>
      <w:r w:rsidRPr="00B479AE">
        <w:rPr>
          <w:rFonts w:ascii="Baskerville Old Face" w:hAnsi="Baskerville Old Face"/>
          <w:i/>
          <w:iCs/>
        </w:rPr>
        <w:br/>
        <w:t>financially admissible value;</w:t>
      </w:r>
      <w:r w:rsidRPr="00B479AE">
        <w:rPr>
          <w:rFonts w:ascii="Baskerville Old Face" w:hAnsi="Baskerville Old Face"/>
          <w:i/>
          <w:iCs/>
        </w:rPr>
        <w:br/>
        <w:t>non-admissible signal;</w:t>
      </w:r>
      <w:r w:rsidRPr="00B479AE">
        <w:rPr>
          <w:rFonts w:ascii="Baskerville Old Face" w:hAnsi="Baskerville Old Face"/>
          <w:i/>
          <w:iCs/>
        </w:rPr>
        <w:br/>
        <w:t>research-use only;</w:t>
      </w:r>
      <w:r w:rsidRPr="00B479AE">
        <w:rPr>
          <w:rFonts w:ascii="Baskerville Old Face" w:hAnsi="Baskerville Old Face"/>
          <w:i/>
          <w:iCs/>
        </w:rPr>
        <w:br/>
        <w:t>review-required signal.</w:t>
      </w:r>
    </w:p>
    <w:p w14:paraId="42D56512"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 dashboard authority condition may be expressed as:</w:t>
      </w:r>
    </w:p>
    <w:p w14:paraId="0F93434D" w14:textId="77777777" w:rsidR="006C247E" w:rsidRPr="00B479AE" w:rsidRDefault="006C247E" w:rsidP="006C247E">
      <w:pPr>
        <w:spacing w:line="360" w:lineRule="auto"/>
        <w:rPr>
          <w:rFonts w:ascii="Baskerville Old Face" w:hAnsi="Baskerville Old Face"/>
          <w:i/>
          <w:iCs/>
        </w:rPr>
      </w:pPr>
      <w:proofErr w:type="spellStart"/>
      <w:r w:rsidRPr="00B479AE">
        <w:rPr>
          <w:rFonts w:ascii="Baskerville Old Face" w:hAnsi="Baskerville Old Face"/>
          <w:i/>
          <w:iCs/>
        </w:rPr>
        <w:t>D_auth</w:t>
      </w:r>
      <w:proofErr w:type="spellEnd"/>
      <w:r w:rsidRPr="00B479AE">
        <w:rPr>
          <w:rFonts w:ascii="Baskerville Old Face" w:hAnsi="Baskerville Old Face"/>
          <w:i/>
          <w:iCs/>
        </w:rPr>
        <w:t xml:space="preserve"> = E_s </w:t>
      </w:r>
      <w:r w:rsidRPr="00B479AE">
        <w:rPr>
          <w:rFonts w:ascii="Cambria" w:hAnsi="Cambria" w:cs="Cambria"/>
          <w:i/>
          <w:iCs/>
        </w:rPr>
        <w:t>·</w:t>
      </w:r>
      <w:r w:rsidRPr="00B479AE">
        <w:rPr>
          <w:rFonts w:ascii="Baskerville Old Face" w:hAnsi="Baskerville Old Face"/>
          <w:i/>
          <w:iCs/>
        </w:rPr>
        <w:t xml:space="preserve"> M_s </w:t>
      </w:r>
      <w:r w:rsidRPr="00B479AE">
        <w:rPr>
          <w:rFonts w:ascii="Cambria" w:hAnsi="Cambria" w:cs="Cambria"/>
          <w:i/>
          <w:iCs/>
        </w:rPr>
        <w:t>·</w:t>
      </w:r>
      <w:r w:rsidRPr="00B479AE">
        <w:rPr>
          <w:rFonts w:ascii="Baskerville Old Face" w:hAnsi="Baskerville Old Face"/>
          <w:i/>
          <w:iCs/>
        </w:rPr>
        <w:t xml:space="preserve"> C_s </w:t>
      </w:r>
      <w:r w:rsidRPr="00B479AE">
        <w:rPr>
          <w:rFonts w:ascii="Cambria" w:hAnsi="Cambria" w:cs="Cambria"/>
          <w:i/>
          <w:iCs/>
        </w:rPr>
        <w:t>·</w:t>
      </w:r>
      <w:r w:rsidRPr="00B479AE">
        <w:rPr>
          <w:rFonts w:ascii="Baskerville Old Face" w:hAnsi="Baskerville Old Face"/>
          <w:i/>
          <w:iCs/>
        </w:rPr>
        <w:t xml:space="preserve"> A_s </w:t>
      </w:r>
      <w:r w:rsidRPr="00B479AE">
        <w:rPr>
          <w:rFonts w:ascii="Cambria" w:hAnsi="Cambria" w:cs="Cambria"/>
          <w:i/>
          <w:iCs/>
        </w:rPr>
        <w:t>·</w:t>
      </w:r>
      <w:r w:rsidRPr="00B479AE">
        <w:rPr>
          <w:rFonts w:ascii="Baskerville Old Face" w:hAnsi="Baskerville Old Face"/>
          <w:i/>
          <w:iCs/>
        </w:rPr>
        <w:t xml:space="preserve"> G_s </w:t>
      </w:r>
      <w:r w:rsidRPr="00B479AE">
        <w:rPr>
          <w:rFonts w:ascii="Cambria" w:hAnsi="Cambria" w:cs="Cambria"/>
          <w:i/>
          <w:iCs/>
        </w:rPr>
        <w:t>·</w:t>
      </w:r>
      <w:r w:rsidRPr="00B479AE">
        <w:rPr>
          <w:rFonts w:ascii="Baskerville Old Face" w:hAnsi="Baskerville Old Face"/>
          <w:i/>
          <w:iCs/>
        </w:rPr>
        <w:t xml:space="preserve"> L_s</w:t>
      </w:r>
    </w:p>
    <w:p w14:paraId="1F8999B2"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Where:</w:t>
      </w:r>
    </w:p>
    <w:p w14:paraId="7CDA0865" w14:textId="77777777" w:rsidR="006C247E" w:rsidRPr="00B479AE" w:rsidRDefault="006C247E" w:rsidP="006C247E">
      <w:pPr>
        <w:spacing w:line="360" w:lineRule="auto"/>
        <w:rPr>
          <w:rFonts w:ascii="Baskerville Old Face" w:hAnsi="Baskerville Old Face"/>
          <w:i/>
          <w:iCs/>
        </w:rPr>
      </w:pPr>
      <w:proofErr w:type="spellStart"/>
      <w:r w:rsidRPr="00B479AE">
        <w:rPr>
          <w:rFonts w:ascii="Baskerville Old Face" w:hAnsi="Baskerville Old Face"/>
          <w:i/>
          <w:iCs/>
        </w:rPr>
        <w:t>D_auth</w:t>
      </w:r>
      <w:proofErr w:type="spellEnd"/>
      <w:r w:rsidRPr="00B479AE">
        <w:rPr>
          <w:rFonts w:ascii="Baskerville Old Face" w:hAnsi="Baskerville Old Face"/>
          <w:i/>
          <w:iCs/>
        </w:rPr>
        <w:t xml:space="preserve"> = dashboard-supported authorization condition.</w:t>
      </w:r>
      <w:r w:rsidRPr="00B479AE">
        <w:rPr>
          <w:rFonts w:ascii="Baskerville Old Face" w:hAnsi="Baskerville Old Face"/>
          <w:i/>
          <w:iCs/>
        </w:rPr>
        <w:br/>
        <w:t>E_s = evidence status sufficient.</w:t>
      </w:r>
      <w:r w:rsidRPr="00B479AE">
        <w:rPr>
          <w:rFonts w:ascii="Baskerville Old Face" w:hAnsi="Baskerville Old Face"/>
          <w:i/>
          <w:iCs/>
        </w:rPr>
        <w:br/>
        <w:t>M_s = methodology status sufficient.</w:t>
      </w:r>
      <w:r w:rsidRPr="00B479AE">
        <w:rPr>
          <w:rFonts w:ascii="Baskerville Old Face" w:hAnsi="Baskerville Old Face"/>
          <w:i/>
          <w:iCs/>
        </w:rPr>
        <w:br/>
      </w:r>
      <w:r w:rsidRPr="00B479AE">
        <w:rPr>
          <w:rFonts w:ascii="Baskerville Old Face" w:hAnsi="Baskerville Old Face"/>
          <w:i/>
          <w:iCs/>
        </w:rPr>
        <w:lastRenderedPageBreak/>
        <w:t>C_s = confidence status sufficient.</w:t>
      </w:r>
      <w:r w:rsidRPr="00B479AE">
        <w:rPr>
          <w:rFonts w:ascii="Baskerville Old Face" w:hAnsi="Baskerville Old Face"/>
          <w:i/>
          <w:iCs/>
        </w:rPr>
        <w:br/>
        <w:t>A_s = admissibility status sufficient.</w:t>
      </w:r>
      <w:r w:rsidRPr="00B479AE">
        <w:rPr>
          <w:rFonts w:ascii="Baskerville Old Face" w:hAnsi="Baskerville Old Face"/>
          <w:i/>
          <w:iCs/>
        </w:rPr>
        <w:br/>
        <w:t>G_s = governance review satisfied where required.</w:t>
      </w:r>
      <w:r w:rsidRPr="00B479AE">
        <w:rPr>
          <w:rFonts w:ascii="Baskerville Old Face" w:hAnsi="Baskerville Old Face"/>
          <w:i/>
          <w:iCs/>
        </w:rPr>
        <w:br/>
        <w:t>L_s = legal review or legal boundary satisfied where required.</w:t>
      </w:r>
    </w:p>
    <w:p w14:paraId="5380F683"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If any required factor is zero, the dashboard output may remain informative, but it should not become authority:</w:t>
      </w:r>
    </w:p>
    <w:p w14:paraId="157DE81E"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D_auth</w:t>
      </w:r>
      <w:proofErr w:type="spellEnd"/>
      <w:r w:rsidRPr="00B479AE">
        <w:rPr>
          <w:rFonts w:ascii="Baskerville Old Face" w:hAnsi="Baskerville Old Face"/>
          <w:i/>
          <w:iCs/>
        </w:rPr>
        <w:t xml:space="preserve"> = 0, then dashboard output is non-authorizing</w:t>
      </w:r>
    </w:p>
    <w:p w14:paraId="1A3E894A"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This does not reduce the usefulness of dashboards.</w:t>
      </w:r>
    </w:p>
    <w:p w14:paraId="6C258CCF"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makes them institutionally credible.</w:t>
      </w:r>
    </w:p>
    <w:p w14:paraId="7797D27D"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can accelerate insight.</w:t>
      </w:r>
    </w:p>
    <w:p w14:paraId="1672F7D4"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can support review.</w:t>
      </w:r>
    </w:p>
    <w:p w14:paraId="539A4194"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can help participants see patterns.</w:t>
      </w:r>
    </w:p>
    <w:p w14:paraId="5FD2A221"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can make risk visible.</w:t>
      </w:r>
    </w:p>
    <w:p w14:paraId="2EA2C440"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can improve governance preparation.</w:t>
      </w:r>
    </w:p>
    <w:p w14:paraId="354F932F"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It can help capital inspect evidence.</w:t>
      </w:r>
    </w:p>
    <w:p w14:paraId="48CE33F0"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But it cannot substitute for the review pathway that gives information legitimate use.</w:t>
      </w:r>
    </w:p>
    <w:p w14:paraId="29AB4B11"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 operational rule is:</w:t>
      </w:r>
    </w:p>
    <w:p w14:paraId="2B6B8C97"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interface supports interpretation;</w:t>
      </w:r>
      <w:r w:rsidRPr="00B479AE">
        <w:rPr>
          <w:rFonts w:ascii="Baskerville Old Face" w:hAnsi="Baskerville Old Face"/>
          <w:i/>
          <w:iCs/>
        </w:rPr>
        <w:br/>
        <w:t>review creates admissibility;</w:t>
      </w:r>
      <w:r w:rsidRPr="00B479AE">
        <w:rPr>
          <w:rFonts w:ascii="Baskerville Old Face" w:hAnsi="Baskerville Old Face"/>
          <w:i/>
          <w:iCs/>
        </w:rPr>
        <w:br/>
        <w:t>governance creates authorization;</w:t>
      </w:r>
      <w:r w:rsidRPr="00B479AE">
        <w:rPr>
          <w:rFonts w:ascii="Baskerville Old Face" w:hAnsi="Baskerville Old Face"/>
          <w:i/>
          <w:iCs/>
        </w:rPr>
        <w:br/>
        <w:t>law creates enforceability.</w:t>
      </w:r>
    </w:p>
    <w:p w14:paraId="57FD464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This is especially important for investor-facing dashboards.</w:t>
      </w:r>
    </w:p>
    <w:p w14:paraId="2A7E38A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Investor-facing dashboards must distinguish clearly between:</w:t>
      </w:r>
    </w:p>
    <w:p w14:paraId="47507294"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observed data;</w:t>
      </w:r>
      <w:r w:rsidRPr="00B479AE">
        <w:rPr>
          <w:rFonts w:ascii="Baskerville Old Face" w:hAnsi="Baskerville Old Face"/>
          <w:i/>
          <w:iCs/>
        </w:rPr>
        <w:br/>
        <w:t>verified data;</w:t>
      </w:r>
      <w:r w:rsidRPr="00B479AE">
        <w:rPr>
          <w:rFonts w:ascii="Baskerville Old Face" w:hAnsi="Baskerville Old Face"/>
          <w:i/>
          <w:iCs/>
        </w:rPr>
        <w:br/>
      </w:r>
      <w:r w:rsidRPr="00B479AE">
        <w:rPr>
          <w:rFonts w:ascii="Baskerville Old Face" w:hAnsi="Baskerville Old Face"/>
          <w:i/>
          <w:iCs/>
        </w:rPr>
        <w:lastRenderedPageBreak/>
        <w:t>methodology-bound analysis;</w:t>
      </w:r>
      <w:r w:rsidRPr="00B479AE">
        <w:rPr>
          <w:rFonts w:ascii="Baskerville Old Face" w:hAnsi="Baskerville Old Face"/>
          <w:i/>
          <w:iCs/>
        </w:rPr>
        <w:br/>
        <w:t>scenario modeling;</w:t>
      </w:r>
      <w:r w:rsidRPr="00B479AE">
        <w:rPr>
          <w:rFonts w:ascii="Baskerville Old Face" w:hAnsi="Baskerville Old Face"/>
          <w:i/>
          <w:iCs/>
        </w:rPr>
        <w:br/>
        <w:t>capital-readiness review;</w:t>
      </w:r>
      <w:r w:rsidRPr="00B479AE">
        <w:rPr>
          <w:rFonts w:ascii="Baskerville Old Face" w:hAnsi="Baskerville Old Face"/>
          <w:i/>
          <w:iCs/>
        </w:rPr>
        <w:br/>
        <w:t>legally structured rights;</w:t>
      </w:r>
      <w:r w:rsidRPr="00B479AE">
        <w:rPr>
          <w:rFonts w:ascii="Baskerville Old Face" w:hAnsi="Baskerville Old Face"/>
          <w:i/>
          <w:iCs/>
        </w:rPr>
        <w:br/>
        <w:t>non-offering information;</w:t>
      </w:r>
      <w:r w:rsidRPr="00B479AE">
        <w:rPr>
          <w:rFonts w:ascii="Baskerville Old Face" w:hAnsi="Baskerville Old Face"/>
          <w:i/>
          <w:iCs/>
        </w:rPr>
        <w:br/>
        <w:t>public impact communication.</w:t>
      </w:r>
    </w:p>
    <w:p w14:paraId="744860AB"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that fails to distinguish these layers can accidentally transform information into an implied offer, implied valuation, implied guarantee, implied rating, or implied right.</w:t>
      </w:r>
    </w:p>
    <w:p w14:paraId="17B17636"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Prometheus therefore treats dashboard language, labels, legends, colors, badges, icons, and status indicators as part of institutional risk management.</w:t>
      </w:r>
    </w:p>
    <w:p w14:paraId="0E10B34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green signal should not mean “investment approved.”</w:t>
      </w:r>
    </w:p>
    <w:p w14:paraId="31BABDCE"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yellow signal should not mean “automatic restriction.”</w:t>
      </w:r>
    </w:p>
    <w:p w14:paraId="641049D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red signal should not mean “automatic penalty.”</w:t>
      </w:r>
    </w:p>
    <w:p w14:paraId="5FEDE4A5"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PRU preview should not mean “PRU issued.”</w:t>
      </w:r>
    </w:p>
    <w:p w14:paraId="44696D7A"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PHI score should not mean “project approved.”</w:t>
      </w:r>
    </w:p>
    <w:p w14:paraId="1B99AB80"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Ravel signal should not mean “enforcement triggered.”</w:t>
      </w:r>
    </w:p>
    <w:p w14:paraId="71552098"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 correct interpretation is always bounded:</w:t>
      </w:r>
    </w:p>
    <w:p w14:paraId="69D051EA"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 xml:space="preserve">displayed status </w:t>
      </w:r>
      <w:r w:rsidRPr="00B479AE">
        <w:rPr>
          <w:rFonts w:ascii="Times New Roman" w:hAnsi="Times New Roman" w:cs="Times New Roman"/>
          <w:i/>
          <w:iCs/>
        </w:rPr>
        <w:t>→</w:t>
      </w:r>
      <w:r w:rsidRPr="00B479AE">
        <w:rPr>
          <w:rFonts w:ascii="Baskerville Old Face" w:hAnsi="Baskerville Old Face"/>
          <w:i/>
          <w:iCs/>
        </w:rPr>
        <w:t xml:space="preserve"> review pathway </w:t>
      </w:r>
      <w:r w:rsidRPr="00B479AE">
        <w:rPr>
          <w:rFonts w:ascii="Times New Roman" w:hAnsi="Times New Roman" w:cs="Times New Roman"/>
          <w:i/>
          <w:iCs/>
        </w:rPr>
        <w:t>→</w:t>
      </w:r>
      <w:r w:rsidRPr="00B479AE">
        <w:rPr>
          <w:rFonts w:ascii="Baskerville Old Face" w:hAnsi="Baskerville Old Face"/>
          <w:i/>
          <w:iCs/>
        </w:rPr>
        <w:t xml:space="preserve"> authorized meaning</w:t>
      </w:r>
    </w:p>
    <w:p w14:paraId="77E37105"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This is how Prometheus prevents visual intelligence from becoming visual overclaiming.</w:t>
      </w:r>
    </w:p>
    <w:p w14:paraId="5381B6AA" w14:textId="77777777" w:rsidR="006C247E" w:rsidRPr="00B479AE" w:rsidRDefault="006C247E" w:rsidP="006C247E">
      <w:pPr>
        <w:spacing w:line="360" w:lineRule="auto"/>
        <w:rPr>
          <w:rFonts w:ascii="Baskerville Old Face" w:hAnsi="Baskerville Old Face"/>
          <w:b/>
          <w:bCs/>
          <w:i/>
          <w:iCs/>
        </w:rPr>
      </w:pPr>
      <w:r w:rsidRPr="00B479AE">
        <w:rPr>
          <w:rFonts w:ascii="Baskerville Old Face" w:hAnsi="Baskerville Old Face"/>
          <w:b/>
          <w:bCs/>
          <w:i/>
          <w:iCs/>
        </w:rPr>
        <w:t>Formula boundary</w:t>
      </w:r>
    </w:p>
    <w:p w14:paraId="32497EC9"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 xml:space="preserve">Displayed Data, </w:t>
      </w:r>
      <w:proofErr w:type="spellStart"/>
      <w:r w:rsidRPr="00B479AE">
        <w:rPr>
          <w:rFonts w:ascii="Baskerville Old Face" w:hAnsi="Baskerville Old Face"/>
          <w:i/>
          <w:iCs/>
        </w:rPr>
        <w:t>Authority_action</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D_auth</w:t>
      </w:r>
      <w:proofErr w:type="spellEnd"/>
      <w:r w:rsidRPr="00B479AE">
        <w:rPr>
          <w:rFonts w:ascii="Baskerville Old Face" w:hAnsi="Baskerville Old Face"/>
          <w:i/>
          <w:iCs/>
        </w:rPr>
        <w:t xml:space="preserve"> are methodological and governance-boundary expressions.</w:t>
      </w:r>
    </w:p>
    <w:p w14:paraId="4891B57E"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They do not create automatic legal enforceability, governance decision, PRU value, RAP inclusion, investor right, token issuance, ecological credit, public financial claim, or enforcement action.</w:t>
      </w:r>
    </w:p>
    <w:p w14:paraId="18EC7FC3"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They define the internal Prometheus rule for separating interface visibility from authorized use.</w:t>
      </w:r>
    </w:p>
    <w:p w14:paraId="43EE1F47"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lastRenderedPageBreak/>
        <w:t>Formal consequences require the relevant MRV, governance, legal, technical, capital-readiness, or source-layer review pathway.</w:t>
      </w:r>
    </w:p>
    <w:p w14:paraId="30127B2F" w14:textId="77777777" w:rsidR="006C247E" w:rsidRPr="00B479AE" w:rsidRDefault="006C247E" w:rsidP="006C247E">
      <w:pPr>
        <w:spacing w:line="360" w:lineRule="auto"/>
        <w:rPr>
          <w:rFonts w:ascii="Baskerville Old Face" w:hAnsi="Baskerville Old Face"/>
          <w:b/>
          <w:bCs/>
          <w:i/>
          <w:iCs/>
        </w:rPr>
      </w:pPr>
      <w:r w:rsidRPr="00B479AE">
        <w:rPr>
          <w:rFonts w:ascii="Baskerville Old Face" w:hAnsi="Baskerville Old Face"/>
          <w:b/>
          <w:bCs/>
          <w:i/>
          <w:iCs/>
        </w:rPr>
        <w:t>Operational rule</w:t>
      </w:r>
    </w:p>
    <w:p w14:paraId="500C8B5F"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 operational rule is:</w:t>
      </w:r>
    </w:p>
    <w:p w14:paraId="0C4B986D"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a dashboard may reveal;</w:t>
      </w:r>
      <w:r w:rsidRPr="00B479AE">
        <w:rPr>
          <w:rFonts w:ascii="Baskerville Old Face" w:hAnsi="Baskerville Old Face"/>
          <w:i/>
          <w:iCs/>
        </w:rPr>
        <w:br/>
        <w:t>it may not rule.</w:t>
      </w:r>
    </w:p>
    <w:p w14:paraId="4B234A10"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Prometheus dashboards should make regeneration more visible.</w:t>
      </w:r>
    </w:p>
    <w:p w14:paraId="23DD380F" w14:textId="77777777" w:rsidR="006C247E" w:rsidRPr="00B479AE" w:rsidRDefault="006C247E" w:rsidP="006C247E">
      <w:pPr>
        <w:spacing w:line="360" w:lineRule="auto"/>
        <w:rPr>
          <w:rFonts w:ascii="Baskerville Old Face" w:hAnsi="Baskerville Old Face"/>
          <w:i/>
          <w:iCs/>
        </w:rPr>
      </w:pPr>
      <w:r w:rsidRPr="00B479AE">
        <w:rPr>
          <w:rFonts w:ascii="Baskerville Old Face" w:hAnsi="Baskerville Old Face"/>
          <w:i/>
          <w:iCs/>
        </w:rPr>
        <w:t>They should not turn visibility into authority without evidence, review, governance, and law.</w:t>
      </w:r>
    </w:p>
    <w:p w14:paraId="3A39DCB3"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G.15 Stewardship Observation Record</w:t>
      </w:r>
    </w:p>
    <w:p w14:paraId="58D47FD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Stewardship Observation Record replaces the earlier “proof of care” terminology.</w:t>
      </w:r>
    </w:p>
    <w:p w14:paraId="6B39398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 Stewardship Observation Record is a structured field record documenting real actions, observations, or conditions.</w:t>
      </w:r>
    </w:p>
    <w:p w14:paraId="0D6051B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 may be submitted by:</w:t>
      </w:r>
    </w:p>
    <w:p w14:paraId="432B044A"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Earth Custodians;</w:t>
      </w:r>
      <w:r w:rsidRPr="00B479AE">
        <w:rPr>
          <w:rFonts w:ascii="Baskerville Old Face" w:hAnsi="Baskerville Old Face"/>
          <w:i/>
          <w:iCs/>
        </w:rPr>
        <w:br/>
        <w:t>• field operators;</w:t>
      </w:r>
      <w:r w:rsidRPr="00B479AE">
        <w:rPr>
          <w:rFonts w:ascii="Baskerville Old Face" w:hAnsi="Baskerville Old Face"/>
          <w:i/>
          <w:iCs/>
        </w:rPr>
        <w:br/>
        <w:t>• community members;</w:t>
      </w:r>
      <w:r w:rsidRPr="00B479AE">
        <w:rPr>
          <w:rFonts w:ascii="Baskerville Old Face" w:hAnsi="Baskerville Old Face"/>
          <w:i/>
          <w:iCs/>
        </w:rPr>
        <w:br/>
        <w:t>• auditors;</w:t>
      </w:r>
      <w:r w:rsidRPr="00B479AE">
        <w:rPr>
          <w:rFonts w:ascii="Baskerville Old Face" w:hAnsi="Baskerville Old Face"/>
          <w:i/>
          <w:iCs/>
        </w:rPr>
        <w:br/>
        <w:t>• verifiers;</w:t>
      </w:r>
      <w:r w:rsidRPr="00B479AE">
        <w:rPr>
          <w:rFonts w:ascii="Baskerville Old Face" w:hAnsi="Baskerville Old Face"/>
          <w:i/>
          <w:iCs/>
        </w:rPr>
        <w:br/>
        <w:t>• researchers;</w:t>
      </w:r>
      <w:r w:rsidRPr="00B479AE">
        <w:rPr>
          <w:rFonts w:ascii="Baskerville Old Face" w:hAnsi="Baskerville Old Face"/>
          <w:i/>
          <w:iCs/>
        </w:rPr>
        <w:br/>
        <w:t>• protocol stewards;</w:t>
      </w:r>
      <w:r w:rsidRPr="00B479AE">
        <w:rPr>
          <w:rFonts w:ascii="Baskerville Old Face" w:hAnsi="Baskerville Old Face"/>
          <w:i/>
          <w:iCs/>
        </w:rPr>
        <w:br/>
        <w:t>• authorized institutional partners.</w:t>
      </w:r>
    </w:p>
    <w:p w14:paraId="64505090" w14:textId="26F71246" w:rsidR="00D92255" w:rsidRDefault="00D92255" w:rsidP="00D92255">
      <w:pPr>
        <w:spacing w:line="360" w:lineRule="auto"/>
        <w:rPr>
          <w:rFonts w:ascii="Baskerville Old Face" w:hAnsi="Baskerville Old Face"/>
          <w:i/>
          <w:iCs/>
        </w:rPr>
      </w:pPr>
      <w:r w:rsidRPr="00B479AE">
        <w:rPr>
          <w:rFonts w:ascii="Baskerville Old Face" w:hAnsi="Baskerville Old Face"/>
          <w:i/>
          <w:iCs/>
        </w:rPr>
        <w:t>A record may include:</w:t>
      </w:r>
      <w:r w:rsidR="00422983">
        <w:rPr>
          <w:rFonts w:ascii="Baskerville Old Face" w:hAnsi="Baskerville Old Face"/>
          <w:i/>
          <w:iCs/>
        </w:rPr>
        <w:t xml:space="preserve"> </w:t>
      </w:r>
    </w:p>
    <w:p w14:paraId="5319FB68" w14:textId="77777777" w:rsidR="00422983" w:rsidRDefault="00422983" w:rsidP="00D92255">
      <w:pPr>
        <w:spacing w:line="360" w:lineRule="auto"/>
        <w:rPr>
          <w:rFonts w:ascii="Baskerville Old Face" w:hAnsi="Baskerville Old Face"/>
          <w:i/>
          <w:iCs/>
        </w:rPr>
      </w:pPr>
    </w:p>
    <w:p w14:paraId="62EF65AB" w14:textId="77777777" w:rsidR="00422983" w:rsidRPr="00B479AE" w:rsidRDefault="00422983" w:rsidP="00D9225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0"/>
        <w:gridCol w:w="4743"/>
      </w:tblGrid>
      <w:tr w:rsidR="00D92255" w:rsidRPr="00B479AE" w14:paraId="53BA74AB" w14:textId="77777777" w:rsidTr="00D30921">
        <w:trPr>
          <w:tblHeader/>
          <w:tblCellSpacing w:w="15" w:type="dxa"/>
        </w:trPr>
        <w:tc>
          <w:tcPr>
            <w:tcW w:w="0" w:type="auto"/>
            <w:vAlign w:val="center"/>
            <w:hideMark/>
          </w:tcPr>
          <w:p w14:paraId="782FA1AA"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Field</w:t>
            </w:r>
          </w:p>
        </w:tc>
        <w:tc>
          <w:tcPr>
            <w:tcW w:w="0" w:type="auto"/>
            <w:vAlign w:val="center"/>
            <w:hideMark/>
          </w:tcPr>
          <w:p w14:paraId="5659F28A" w14:textId="77777777" w:rsidR="00D92255" w:rsidRPr="00B479AE" w:rsidRDefault="00D92255" w:rsidP="00D92255">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Purpose</w:t>
            </w:r>
          </w:p>
        </w:tc>
      </w:tr>
      <w:tr w:rsidR="00D92255" w:rsidRPr="00B479AE" w14:paraId="34D244C4" w14:textId="77777777" w:rsidTr="00D30921">
        <w:trPr>
          <w:tblCellSpacing w:w="15" w:type="dxa"/>
        </w:trPr>
        <w:tc>
          <w:tcPr>
            <w:tcW w:w="0" w:type="auto"/>
            <w:vAlign w:val="center"/>
            <w:hideMark/>
          </w:tcPr>
          <w:p w14:paraId="331AAA79"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Observer role</w:t>
            </w:r>
          </w:p>
        </w:tc>
        <w:tc>
          <w:tcPr>
            <w:tcW w:w="0" w:type="auto"/>
            <w:vAlign w:val="center"/>
            <w:hideMark/>
          </w:tcPr>
          <w:p w14:paraId="210AC272"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Identifies who submitted the record.</w:t>
            </w:r>
          </w:p>
        </w:tc>
      </w:tr>
      <w:tr w:rsidR="00D92255" w:rsidRPr="00B479AE" w14:paraId="46EA7F20" w14:textId="77777777" w:rsidTr="00D30921">
        <w:trPr>
          <w:tblCellSpacing w:w="15" w:type="dxa"/>
        </w:trPr>
        <w:tc>
          <w:tcPr>
            <w:tcW w:w="0" w:type="auto"/>
            <w:vAlign w:val="center"/>
            <w:hideMark/>
          </w:tcPr>
          <w:p w14:paraId="01A4D34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Timestamp</w:t>
            </w:r>
          </w:p>
        </w:tc>
        <w:tc>
          <w:tcPr>
            <w:tcW w:w="0" w:type="auto"/>
            <w:vAlign w:val="center"/>
            <w:hideMark/>
          </w:tcPr>
          <w:p w14:paraId="2B49BD28"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Places the record in time.</w:t>
            </w:r>
          </w:p>
        </w:tc>
      </w:tr>
      <w:tr w:rsidR="00D92255" w:rsidRPr="00B479AE" w14:paraId="3F66A2A8" w14:textId="77777777" w:rsidTr="00D30921">
        <w:trPr>
          <w:tblCellSpacing w:w="15" w:type="dxa"/>
        </w:trPr>
        <w:tc>
          <w:tcPr>
            <w:tcW w:w="0" w:type="auto"/>
            <w:vAlign w:val="center"/>
            <w:hideMark/>
          </w:tcPr>
          <w:p w14:paraId="2D1BBA91"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Location</w:t>
            </w:r>
          </w:p>
        </w:tc>
        <w:tc>
          <w:tcPr>
            <w:tcW w:w="0" w:type="auto"/>
            <w:vAlign w:val="center"/>
            <w:hideMark/>
          </w:tcPr>
          <w:p w14:paraId="1BD116DB"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Links the record to site, OHE, EPU, or coordinate.</w:t>
            </w:r>
          </w:p>
        </w:tc>
      </w:tr>
      <w:tr w:rsidR="00D92255" w:rsidRPr="00B479AE" w14:paraId="05C40859" w14:textId="77777777" w:rsidTr="00D30921">
        <w:trPr>
          <w:tblCellSpacing w:w="15" w:type="dxa"/>
        </w:trPr>
        <w:tc>
          <w:tcPr>
            <w:tcW w:w="0" w:type="auto"/>
            <w:vAlign w:val="center"/>
            <w:hideMark/>
          </w:tcPr>
          <w:p w14:paraId="5F7ACB5D"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Event type</w:t>
            </w:r>
          </w:p>
        </w:tc>
        <w:tc>
          <w:tcPr>
            <w:tcW w:w="0" w:type="auto"/>
            <w:vAlign w:val="center"/>
            <w:hideMark/>
          </w:tcPr>
          <w:p w14:paraId="04D8A1CE"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Classifies the action or observation.</w:t>
            </w:r>
          </w:p>
        </w:tc>
      </w:tr>
      <w:tr w:rsidR="00D92255" w:rsidRPr="00B479AE" w14:paraId="4B2EE54E" w14:textId="77777777" w:rsidTr="00D30921">
        <w:trPr>
          <w:tblCellSpacing w:w="15" w:type="dxa"/>
        </w:trPr>
        <w:tc>
          <w:tcPr>
            <w:tcW w:w="0" w:type="auto"/>
            <w:vAlign w:val="center"/>
            <w:hideMark/>
          </w:tcPr>
          <w:p w14:paraId="4C80EDC3"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 attachment</w:t>
            </w:r>
          </w:p>
        </w:tc>
        <w:tc>
          <w:tcPr>
            <w:tcW w:w="0" w:type="auto"/>
            <w:vAlign w:val="center"/>
            <w:hideMark/>
          </w:tcPr>
          <w:p w14:paraId="092E2ADC"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Photographs, documents, sensor references, or notes.</w:t>
            </w:r>
          </w:p>
        </w:tc>
      </w:tr>
      <w:tr w:rsidR="00D92255" w:rsidRPr="00B479AE" w14:paraId="066FB8B3" w14:textId="77777777" w:rsidTr="00D30921">
        <w:trPr>
          <w:tblCellSpacing w:w="15" w:type="dxa"/>
        </w:trPr>
        <w:tc>
          <w:tcPr>
            <w:tcW w:w="0" w:type="auto"/>
            <w:vAlign w:val="center"/>
            <w:hideMark/>
          </w:tcPr>
          <w:p w14:paraId="611FC1B1"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Methodology reference</w:t>
            </w:r>
          </w:p>
        </w:tc>
        <w:tc>
          <w:tcPr>
            <w:tcW w:w="0" w:type="auto"/>
            <w:vAlign w:val="center"/>
            <w:hideMark/>
          </w:tcPr>
          <w:p w14:paraId="1A5693C5"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Connects record to MRV protocol.</w:t>
            </w:r>
          </w:p>
        </w:tc>
      </w:tr>
      <w:tr w:rsidR="00D92255" w:rsidRPr="00B479AE" w14:paraId="55880686" w14:textId="77777777" w:rsidTr="00D30921">
        <w:trPr>
          <w:tblCellSpacing w:w="15" w:type="dxa"/>
        </w:trPr>
        <w:tc>
          <w:tcPr>
            <w:tcW w:w="0" w:type="auto"/>
            <w:vAlign w:val="center"/>
            <w:hideMark/>
          </w:tcPr>
          <w:p w14:paraId="070D4D20"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Review status</w:t>
            </w:r>
          </w:p>
        </w:tc>
        <w:tc>
          <w:tcPr>
            <w:tcW w:w="0" w:type="auto"/>
            <w:vAlign w:val="center"/>
            <w:hideMark/>
          </w:tcPr>
          <w:p w14:paraId="24546A8A"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Pending, reviewed, validated, rejected, archived.</w:t>
            </w:r>
          </w:p>
        </w:tc>
      </w:tr>
      <w:tr w:rsidR="00D92255" w:rsidRPr="00B479AE" w14:paraId="16248C24" w14:textId="77777777" w:rsidTr="00D30921">
        <w:trPr>
          <w:tblCellSpacing w:w="15" w:type="dxa"/>
        </w:trPr>
        <w:tc>
          <w:tcPr>
            <w:tcW w:w="0" w:type="auto"/>
            <w:vAlign w:val="center"/>
            <w:hideMark/>
          </w:tcPr>
          <w:p w14:paraId="5E6F2D14"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 xml:space="preserve">Confidence </w:t>
            </w:r>
            <w:proofErr w:type="gramStart"/>
            <w:r w:rsidRPr="00B479AE">
              <w:rPr>
                <w:rFonts w:ascii="Baskerville Old Face" w:hAnsi="Baskerville Old Face"/>
                <w:b/>
                <w:bCs/>
                <w:i/>
                <w:iCs/>
                <w:sz w:val="22"/>
                <w:szCs w:val="22"/>
              </w:rPr>
              <w:t>note</w:t>
            </w:r>
            <w:proofErr w:type="gramEnd"/>
          </w:p>
        </w:tc>
        <w:tc>
          <w:tcPr>
            <w:tcW w:w="0" w:type="auto"/>
            <w:vAlign w:val="center"/>
            <w:hideMark/>
          </w:tcPr>
          <w:p w14:paraId="6A212F68" w14:textId="77777777" w:rsidR="00D92255" w:rsidRPr="00B479AE" w:rsidRDefault="00D92255" w:rsidP="00D92255">
            <w:pPr>
              <w:spacing w:line="360" w:lineRule="auto"/>
              <w:rPr>
                <w:rFonts w:ascii="Baskerville Old Face" w:hAnsi="Baskerville Old Face"/>
                <w:i/>
                <w:iCs/>
                <w:sz w:val="22"/>
                <w:szCs w:val="22"/>
              </w:rPr>
            </w:pPr>
            <w:r w:rsidRPr="00B479AE">
              <w:rPr>
                <w:rFonts w:ascii="Baskerville Old Face" w:hAnsi="Baskerville Old Face"/>
                <w:i/>
                <w:iCs/>
                <w:sz w:val="22"/>
                <w:szCs w:val="22"/>
              </w:rPr>
              <w:t>Indicates quality or limitations.</w:t>
            </w:r>
          </w:p>
        </w:tc>
      </w:tr>
    </w:tbl>
    <w:p w14:paraId="1320EF0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Stewardship records can strengthen MRV when corroborated.</w:t>
      </w:r>
    </w:p>
    <w:p w14:paraId="717E06D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They are not standalone financial proof.</w:t>
      </w:r>
    </w:p>
    <w:p w14:paraId="0AD8CA7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They are structured human evidence.</w:t>
      </w:r>
    </w:p>
    <w:p w14:paraId="3EE5B731" w14:textId="77797B2E"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G.16 Knowledge sources and regenerative intelligence</w:t>
      </w:r>
    </w:p>
    <w:p w14:paraId="0DB1B748"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MRV protocol may draw from:</w:t>
      </w:r>
    </w:p>
    <w:p w14:paraId="75D10EE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peer-reviewed ecological science;</w:t>
      </w:r>
      <w:r w:rsidRPr="00B479AE">
        <w:rPr>
          <w:rFonts w:ascii="Baskerville Old Face" w:hAnsi="Baskerville Old Face"/>
          <w:i/>
          <w:iCs/>
        </w:rPr>
        <w:br/>
        <w:t>• soil science;</w:t>
      </w:r>
      <w:r w:rsidRPr="00B479AE">
        <w:rPr>
          <w:rFonts w:ascii="Baskerville Old Face" w:hAnsi="Baskerville Old Face"/>
          <w:i/>
          <w:iCs/>
        </w:rPr>
        <w:br/>
        <w:t>• agroecology;</w:t>
      </w:r>
      <w:r w:rsidRPr="00B479AE">
        <w:rPr>
          <w:rFonts w:ascii="Baskerville Old Face" w:hAnsi="Baskerville Old Face"/>
          <w:i/>
          <w:iCs/>
        </w:rPr>
        <w:br/>
        <w:t>• hydrology;</w:t>
      </w:r>
      <w:r w:rsidRPr="00B479AE">
        <w:rPr>
          <w:rFonts w:ascii="Baskerville Old Face" w:hAnsi="Baskerville Old Face"/>
          <w:i/>
          <w:iCs/>
        </w:rPr>
        <w:br/>
        <w:t>• biodiversity science;</w:t>
      </w:r>
      <w:r w:rsidRPr="00B479AE">
        <w:rPr>
          <w:rFonts w:ascii="Baskerville Old Face" w:hAnsi="Baskerville Old Face"/>
          <w:i/>
          <w:iCs/>
        </w:rPr>
        <w:br/>
        <w:t>• syntropic agroforestry field knowledge;</w:t>
      </w:r>
      <w:r w:rsidRPr="00B479AE">
        <w:rPr>
          <w:rFonts w:ascii="Baskerville Old Face" w:hAnsi="Baskerville Old Face"/>
          <w:i/>
          <w:iCs/>
        </w:rPr>
        <w:br/>
        <w:t>• indigenous and traditional ecological knowledge where consented and properly governed;</w:t>
      </w:r>
      <w:r w:rsidRPr="00B479AE">
        <w:rPr>
          <w:rFonts w:ascii="Baskerville Old Face" w:hAnsi="Baskerville Old Face"/>
          <w:i/>
          <w:iCs/>
        </w:rPr>
        <w:br/>
        <w:t>• open climate and soil datasets;</w:t>
      </w:r>
      <w:r w:rsidRPr="00B479AE">
        <w:rPr>
          <w:rFonts w:ascii="Baskerville Old Face" w:hAnsi="Baskerville Old Face"/>
          <w:i/>
          <w:iCs/>
        </w:rPr>
        <w:br/>
        <w:t>• public environmental datasets;</w:t>
      </w:r>
      <w:r w:rsidRPr="00B479AE">
        <w:rPr>
          <w:rFonts w:ascii="Baskerville Old Face" w:hAnsi="Baskerville Old Face"/>
          <w:i/>
          <w:iCs/>
        </w:rPr>
        <w:br/>
        <w:t>• institutional reports;</w:t>
      </w:r>
      <w:r w:rsidRPr="00B479AE">
        <w:rPr>
          <w:rFonts w:ascii="Baskerville Old Face" w:hAnsi="Baskerville Old Face"/>
          <w:i/>
          <w:iCs/>
        </w:rPr>
        <w:br/>
      </w:r>
      <w:r w:rsidRPr="00B479AE">
        <w:rPr>
          <w:rFonts w:ascii="Baskerville Old Face" w:hAnsi="Baskerville Old Face"/>
          <w:i/>
          <w:iCs/>
        </w:rPr>
        <w:lastRenderedPageBreak/>
        <w:t>• pilot-generated data;</w:t>
      </w:r>
      <w:r w:rsidRPr="00B479AE">
        <w:rPr>
          <w:rFonts w:ascii="Baskerville Old Face" w:hAnsi="Baskerville Old Face"/>
          <w:i/>
          <w:iCs/>
        </w:rPr>
        <w:br/>
        <w:t>• third-party audits;</w:t>
      </w:r>
      <w:r w:rsidRPr="00B479AE">
        <w:rPr>
          <w:rFonts w:ascii="Baskerville Old Face" w:hAnsi="Baskerville Old Face"/>
          <w:i/>
          <w:iCs/>
        </w:rPr>
        <w:br/>
        <w:t>• field experience.</w:t>
      </w:r>
    </w:p>
    <w:p w14:paraId="7034EA1C"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Traditional, indigenous, local, and community knowledge must be handled with consent, attribution, cultural respect, and data-governance boundaries.</w:t>
      </w:r>
    </w:p>
    <w:p w14:paraId="390637AC"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Knowledge may inspire design.</w:t>
      </w:r>
    </w:p>
    <w:p w14:paraId="3E9292E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Evidence determines admissibility.</w:t>
      </w:r>
    </w:p>
    <w:p w14:paraId="76BB7449"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G.17 MRV governance and review</w:t>
      </w:r>
    </w:p>
    <w:p w14:paraId="1069058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governance should define:</w:t>
      </w:r>
    </w:p>
    <w:p w14:paraId="2805492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methodology approval;</w:t>
      </w:r>
      <w:r w:rsidRPr="00B479AE">
        <w:rPr>
          <w:rFonts w:ascii="Baskerville Old Face" w:hAnsi="Baskerville Old Face"/>
          <w:i/>
          <w:iCs/>
        </w:rPr>
        <w:br/>
        <w:t>• indicator selection;</w:t>
      </w:r>
      <w:r w:rsidRPr="00B479AE">
        <w:rPr>
          <w:rFonts w:ascii="Baskerville Old Face" w:hAnsi="Baskerville Old Face"/>
          <w:i/>
          <w:iCs/>
        </w:rPr>
        <w:br/>
        <w:t>• sampling protocols;</w:t>
      </w:r>
      <w:r w:rsidRPr="00B479AE">
        <w:rPr>
          <w:rFonts w:ascii="Baskerville Old Face" w:hAnsi="Baskerville Old Face"/>
          <w:i/>
          <w:iCs/>
        </w:rPr>
        <w:br/>
        <w:t>• data-quality thresholds;</w:t>
      </w:r>
      <w:r w:rsidRPr="00B479AE">
        <w:rPr>
          <w:rFonts w:ascii="Baskerville Old Face" w:hAnsi="Baskerville Old Face"/>
          <w:i/>
          <w:iCs/>
        </w:rPr>
        <w:br/>
        <w:t>• confidence scoring;</w:t>
      </w:r>
      <w:r w:rsidRPr="00B479AE">
        <w:rPr>
          <w:rFonts w:ascii="Baskerville Old Face" w:hAnsi="Baskerville Old Face"/>
          <w:i/>
          <w:iCs/>
        </w:rPr>
        <w:br/>
        <w:t>• reviewer roles;</w:t>
      </w:r>
      <w:r w:rsidRPr="00B479AE">
        <w:rPr>
          <w:rFonts w:ascii="Baskerville Old Face" w:hAnsi="Baskerville Old Face"/>
          <w:i/>
          <w:iCs/>
        </w:rPr>
        <w:br/>
        <w:t>• third-party verification triggers;</w:t>
      </w:r>
      <w:r w:rsidRPr="00B479AE">
        <w:rPr>
          <w:rFonts w:ascii="Baskerville Old Face" w:hAnsi="Baskerville Old Face"/>
          <w:i/>
          <w:iCs/>
        </w:rPr>
        <w:br/>
        <w:t>• dispute resolution;</w:t>
      </w:r>
      <w:r w:rsidRPr="00B479AE">
        <w:rPr>
          <w:rFonts w:ascii="Baskerville Old Face" w:hAnsi="Baskerville Old Face"/>
          <w:i/>
          <w:iCs/>
        </w:rPr>
        <w:br/>
        <w:t>• correction process;</w:t>
      </w:r>
      <w:r w:rsidRPr="00B479AE">
        <w:rPr>
          <w:rFonts w:ascii="Baskerville Old Face" w:hAnsi="Baskerville Old Face"/>
          <w:i/>
          <w:iCs/>
        </w:rPr>
        <w:br/>
        <w:t>• adverse event reporting;</w:t>
      </w:r>
      <w:r w:rsidRPr="00B479AE">
        <w:rPr>
          <w:rFonts w:ascii="Baskerville Old Face" w:hAnsi="Baskerville Old Face"/>
          <w:i/>
          <w:iCs/>
        </w:rPr>
        <w:br/>
        <w:t>• version updates;</w:t>
      </w:r>
      <w:r w:rsidRPr="00B479AE">
        <w:rPr>
          <w:rFonts w:ascii="Baskerville Old Face" w:hAnsi="Baskerville Old Face"/>
          <w:i/>
          <w:iCs/>
        </w:rPr>
        <w:br/>
        <w:t>• retirement of obsolete indicators;</w:t>
      </w:r>
      <w:r w:rsidRPr="00B479AE">
        <w:rPr>
          <w:rFonts w:ascii="Baskerville Old Face" w:hAnsi="Baskerville Old Face"/>
          <w:i/>
          <w:iCs/>
        </w:rPr>
        <w:br/>
        <w:t>• admission into PRU analysis.</w:t>
      </w:r>
    </w:p>
    <w:p w14:paraId="6DD36F5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methodology should be versioned.</w:t>
      </w:r>
    </w:p>
    <w:p w14:paraId="6362920D"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Every material report should reference the methodology version used.</w:t>
      </w:r>
    </w:p>
    <w:p w14:paraId="5789E0E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Changes to methodology should be documented and should not silently alter historical interpretation.</w:t>
      </w:r>
    </w:p>
    <w:p w14:paraId="2BDB68D9"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G.18 MRV correction and non-admissibility</w:t>
      </w:r>
    </w:p>
    <w:p w14:paraId="1B522866"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records may be corrected, downgraded, quarantined, or classified as non-admissible.</w:t>
      </w:r>
    </w:p>
    <w:p w14:paraId="39E4832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Reasons may include:</w:t>
      </w:r>
    </w:p>
    <w:p w14:paraId="0E896969"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missing provenance;</w:t>
      </w:r>
      <w:r w:rsidRPr="00B479AE">
        <w:rPr>
          <w:rFonts w:ascii="Baskerville Old Face" w:hAnsi="Baskerville Old Face"/>
          <w:i/>
          <w:iCs/>
        </w:rPr>
        <w:br/>
        <w:t>• weak method;</w:t>
      </w:r>
      <w:r w:rsidRPr="00B479AE">
        <w:rPr>
          <w:rFonts w:ascii="Baskerville Old Face" w:hAnsi="Baskerville Old Face"/>
          <w:i/>
          <w:iCs/>
        </w:rPr>
        <w:br/>
        <w:t>• expired calibration;</w:t>
      </w:r>
      <w:r w:rsidRPr="00B479AE">
        <w:rPr>
          <w:rFonts w:ascii="Baskerville Old Face" w:hAnsi="Baskerville Old Face"/>
          <w:i/>
          <w:iCs/>
        </w:rPr>
        <w:br/>
        <w:t>• contradictory evidence;</w:t>
      </w:r>
      <w:r w:rsidRPr="00B479AE">
        <w:rPr>
          <w:rFonts w:ascii="Baskerville Old Face" w:hAnsi="Baskerville Old Face"/>
          <w:i/>
          <w:iCs/>
        </w:rPr>
        <w:br/>
        <w:t>• suspected manipulation;</w:t>
      </w:r>
      <w:r w:rsidRPr="00B479AE">
        <w:rPr>
          <w:rFonts w:ascii="Baskerville Old Face" w:hAnsi="Baskerville Old Face"/>
          <w:i/>
          <w:iCs/>
        </w:rPr>
        <w:br/>
        <w:t>• synthetic evidence risk;</w:t>
      </w:r>
      <w:r w:rsidRPr="00B479AE">
        <w:rPr>
          <w:rFonts w:ascii="Baskerville Old Face" w:hAnsi="Baskerville Old Face"/>
          <w:i/>
          <w:iCs/>
        </w:rPr>
        <w:br/>
        <w:t>• chain-of-custody failure;</w:t>
      </w:r>
      <w:r w:rsidRPr="00B479AE">
        <w:rPr>
          <w:rFonts w:ascii="Baskerville Old Face" w:hAnsi="Baskerville Old Face"/>
          <w:i/>
          <w:iCs/>
        </w:rPr>
        <w:br/>
        <w:t>• incorrect location;</w:t>
      </w:r>
      <w:r w:rsidRPr="00B479AE">
        <w:rPr>
          <w:rFonts w:ascii="Baskerville Old Face" w:hAnsi="Baskerville Old Face"/>
          <w:i/>
          <w:iCs/>
        </w:rPr>
        <w:br/>
        <w:t>• data corruption;</w:t>
      </w:r>
      <w:r w:rsidRPr="00B479AE">
        <w:rPr>
          <w:rFonts w:ascii="Baskerville Old Face" w:hAnsi="Baskerville Old Face"/>
          <w:i/>
          <w:iCs/>
        </w:rPr>
        <w:br/>
        <w:t>• methodological mismatch;</w:t>
      </w:r>
      <w:r w:rsidRPr="00B479AE">
        <w:rPr>
          <w:rFonts w:ascii="Baskerville Old Face" w:hAnsi="Baskerville Old Face"/>
          <w:i/>
          <w:iCs/>
        </w:rPr>
        <w:br/>
        <w:t>• privacy or consent violation;</w:t>
      </w:r>
      <w:r w:rsidRPr="00B479AE">
        <w:rPr>
          <w:rFonts w:ascii="Baskerville Old Face" w:hAnsi="Baskerville Old Face"/>
          <w:i/>
          <w:iCs/>
        </w:rPr>
        <w:br/>
        <w:t>• legal restriction;</w:t>
      </w:r>
      <w:r w:rsidRPr="00B479AE">
        <w:rPr>
          <w:rFonts w:ascii="Baskerville Old Face" w:hAnsi="Baskerville Old Face"/>
          <w:i/>
          <w:iCs/>
        </w:rPr>
        <w:br/>
        <w:t>• duplicate or double-counted claim.</w:t>
      </w:r>
    </w:p>
    <w:p w14:paraId="489D919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Non-admissibility does not always mean deletion.</w:t>
      </w:r>
    </w:p>
    <w:p w14:paraId="5FE86E9B"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A non-admissible record may remain archived for learning, audit, dispute resolution, or research, but it may not enter protected MRV, PRU, RAP, investor-facing, or financial pathways.</w:t>
      </w:r>
    </w:p>
    <w:p w14:paraId="4C7DD298" w14:textId="29555F9D"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G.19 MRV and legal boundary</w:t>
      </w:r>
    </w:p>
    <w:p w14:paraId="1204F6C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outputs may have legal, financial, ecological, or public-communication consequences.</w:t>
      </w:r>
    </w:p>
    <w:p w14:paraId="637ADBF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Therefore, MRV reporting must respect:</w:t>
      </w:r>
    </w:p>
    <w:p w14:paraId="7B54B597"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 data rights;</w:t>
      </w:r>
      <w:r w:rsidRPr="00B479AE">
        <w:rPr>
          <w:rFonts w:ascii="Baskerville Old Face" w:hAnsi="Baskerville Old Face"/>
          <w:i/>
          <w:iCs/>
        </w:rPr>
        <w:br/>
        <w:t>• privacy;</w:t>
      </w:r>
      <w:r w:rsidRPr="00B479AE">
        <w:rPr>
          <w:rFonts w:ascii="Baskerville Old Face" w:hAnsi="Baskerville Old Face"/>
          <w:i/>
          <w:iCs/>
        </w:rPr>
        <w:br/>
        <w:t>• consent;</w:t>
      </w:r>
      <w:r w:rsidRPr="00B479AE">
        <w:rPr>
          <w:rFonts w:ascii="Baskerville Old Face" w:hAnsi="Baskerville Old Face"/>
          <w:i/>
          <w:iCs/>
        </w:rPr>
        <w:br/>
        <w:t>• intellectual property;</w:t>
      </w:r>
      <w:r w:rsidRPr="00B479AE">
        <w:rPr>
          <w:rFonts w:ascii="Baskerville Old Face" w:hAnsi="Baskerville Old Face"/>
          <w:i/>
          <w:iCs/>
        </w:rPr>
        <w:br/>
        <w:t>• public claims rules;</w:t>
      </w:r>
      <w:r w:rsidRPr="00B479AE">
        <w:rPr>
          <w:rFonts w:ascii="Baskerville Old Face" w:hAnsi="Baskerville Old Face"/>
          <w:i/>
          <w:iCs/>
        </w:rPr>
        <w:br/>
        <w:t>• environmental claim standards;</w:t>
      </w:r>
      <w:r w:rsidRPr="00B479AE">
        <w:rPr>
          <w:rFonts w:ascii="Baskerville Old Face" w:hAnsi="Baskerville Old Face"/>
          <w:i/>
          <w:iCs/>
        </w:rPr>
        <w:br/>
        <w:t>• investor disclosure boundaries;</w:t>
      </w:r>
      <w:r w:rsidRPr="00B479AE">
        <w:rPr>
          <w:rFonts w:ascii="Baskerville Old Face" w:hAnsi="Baskerville Old Face"/>
          <w:i/>
          <w:iCs/>
        </w:rPr>
        <w:br/>
        <w:t>• jurisdictional review;</w:t>
      </w:r>
      <w:r w:rsidRPr="00B479AE">
        <w:rPr>
          <w:rFonts w:ascii="Baskerville Old Face" w:hAnsi="Baskerville Old Face"/>
          <w:i/>
          <w:iCs/>
        </w:rPr>
        <w:br/>
        <w:t>• anti-greenwashing discipline;</w:t>
      </w:r>
      <w:r w:rsidRPr="00B479AE">
        <w:rPr>
          <w:rFonts w:ascii="Baskerville Old Face" w:hAnsi="Baskerville Old Face"/>
          <w:i/>
          <w:iCs/>
        </w:rPr>
        <w:br/>
        <w:t>• no-double-counting requirements.</w:t>
      </w:r>
    </w:p>
    <w:p w14:paraId="7BC76A85"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lastRenderedPageBreak/>
        <w:t>MRV evidence does not automatically create rights.</w:t>
      </w:r>
    </w:p>
    <w:p w14:paraId="2C4E7C82"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Rights arise through legal instruments.</w:t>
      </w:r>
    </w:p>
    <w:p w14:paraId="5A0B5B5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supports factual basis.</w:t>
      </w:r>
    </w:p>
    <w:p w14:paraId="00BD24A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Legal structure defines enforceability.</w:t>
      </w:r>
    </w:p>
    <w:p w14:paraId="4E969986" w14:textId="77777777" w:rsidR="00D92255" w:rsidRPr="00B479AE" w:rsidRDefault="00D92255" w:rsidP="00D92255">
      <w:pPr>
        <w:spacing w:line="360" w:lineRule="auto"/>
        <w:rPr>
          <w:rFonts w:ascii="Baskerville Old Face" w:hAnsi="Baskerville Old Face"/>
          <w:b/>
          <w:bCs/>
          <w:i/>
          <w:iCs/>
        </w:rPr>
      </w:pPr>
      <w:r w:rsidRPr="00B479AE">
        <w:rPr>
          <w:rFonts w:ascii="Baskerville Old Face" w:hAnsi="Baskerville Old Face"/>
          <w:b/>
          <w:bCs/>
          <w:i/>
          <w:iCs/>
        </w:rPr>
        <w:t>G.20 Final MRV principle</w:t>
      </w:r>
    </w:p>
    <w:p w14:paraId="028C8013"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The final MRV principle is:</w:t>
      </w:r>
    </w:p>
    <w:p w14:paraId="631A1CEF"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observe living systems with humility;</w:t>
      </w:r>
      <w:r w:rsidRPr="00B479AE">
        <w:rPr>
          <w:rFonts w:ascii="Baskerville Old Face" w:hAnsi="Baskerville Old Face"/>
          <w:i/>
          <w:iCs/>
        </w:rPr>
        <w:br/>
        <w:t>record evidence with discipline;</w:t>
      </w:r>
      <w:r w:rsidRPr="00B479AE">
        <w:rPr>
          <w:rFonts w:ascii="Baskerville Old Face" w:hAnsi="Baskerville Old Face"/>
          <w:i/>
          <w:iCs/>
        </w:rPr>
        <w:br/>
        <w:t>preserve provenance with rigor;</w:t>
      </w:r>
      <w:r w:rsidRPr="00B479AE">
        <w:rPr>
          <w:rFonts w:ascii="Baskerville Old Face" w:hAnsi="Baskerville Old Face"/>
          <w:i/>
          <w:iCs/>
        </w:rPr>
        <w:br/>
        <w:t>classify claims with precision;</w:t>
      </w:r>
      <w:r w:rsidRPr="00B479AE">
        <w:rPr>
          <w:rFonts w:ascii="Baskerville Old Face" w:hAnsi="Baskerville Old Face"/>
          <w:i/>
          <w:iCs/>
        </w:rPr>
        <w:br/>
        <w:t>admit value conservatively;</w:t>
      </w:r>
      <w:r w:rsidRPr="00B479AE">
        <w:rPr>
          <w:rFonts w:ascii="Baskerville Old Face" w:hAnsi="Baskerville Old Face"/>
          <w:i/>
          <w:iCs/>
        </w:rPr>
        <w:br/>
        <w:t>report boundaries transparently;</w:t>
      </w:r>
      <w:r w:rsidRPr="00B479AE">
        <w:rPr>
          <w:rFonts w:ascii="Baskerville Old Face" w:hAnsi="Baskerville Old Face"/>
          <w:i/>
          <w:iCs/>
        </w:rPr>
        <w:br/>
        <w:t>and keep financial meaning downstream from verified reality.</w:t>
      </w:r>
    </w:p>
    <w:p w14:paraId="7BD4FA54"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MRV is the bridge between life and capital.</w:t>
      </w:r>
    </w:p>
    <w:p w14:paraId="349462E0"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Its purpose is not to make life obey finance.</w:t>
      </w:r>
    </w:p>
    <w:p w14:paraId="3BA1F6AE" w14:textId="77777777" w:rsidR="00D92255" w:rsidRPr="00B479AE" w:rsidRDefault="00D92255" w:rsidP="00D92255">
      <w:pPr>
        <w:spacing w:line="360" w:lineRule="auto"/>
        <w:rPr>
          <w:rFonts w:ascii="Baskerville Old Face" w:hAnsi="Baskerville Old Face"/>
          <w:i/>
          <w:iCs/>
        </w:rPr>
      </w:pPr>
      <w:r w:rsidRPr="00B479AE">
        <w:rPr>
          <w:rFonts w:ascii="Baskerville Old Face" w:hAnsi="Baskerville Old Face"/>
          <w:i/>
          <w:iCs/>
        </w:rPr>
        <w:t>Its purpose is to make finance accountable to life.</w:t>
      </w:r>
    </w:p>
    <w:p w14:paraId="3EB6A569" w14:textId="48716987" w:rsidR="007D662E" w:rsidRPr="005907F1" w:rsidRDefault="007D662E"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Appendix H: AI-Assisted Learning, Model Evaluation, and Review-Bound Improvement Framework</w:t>
      </w:r>
    </w:p>
    <w:p w14:paraId="7FF4785E"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 Purpose and boundary</w:t>
      </w:r>
    </w:p>
    <w:p w14:paraId="60BABC7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may use artificial intelligence to support research, drafting, classification, evidence analysis, risk detection, governance preparation, technical specification, MRV review, and operational learning.</w:t>
      </w:r>
    </w:p>
    <w:p w14:paraId="76DBEC2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help Prometheus learn.</w:t>
      </w:r>
    </w:p>
    <w:p w14:paraId="6DFE86D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help Prometheus observe.</w:t>
      </w:r>
    </w:p>
    <w:p w14:paraId="5888438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help Prometheus compare.</w:t>
      </w:r>
    </w:p>
    <w:p w14:paraId="7E93159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help Prometheus classify.</w:t>
      </w:r>
    </w:p>
    <w:p w14:paraId="6BAF23C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AI may help Prometheus detect inconsistency.</w:t>
      </w:r>
    </w:p>
    <w:p w14:paraId="38FB996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help Prometheus draft structured outputs.</w:t>
      </w:r>
    </w:p>
    <w:p w14:paraId="2739BD3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help Prometheus improve its tools.</w:t>
      </w:r>
    </w:p>
    <w:p w14:paraId="6D1DDAC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However, AI-assisted learning must remain bounded by the source layer.</w:t>
      </w:r>
    </w:p>
    <w:p w14:paraId="27777E66" w14:textId="01DD5AF9"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purpose of this appendix is to define how specialist agents, fine-tuned models, local models, evaluation pipelines, prompt systems, and learning loops may be developed without allowing model outputs to become sovereign authority.</w:t>
      </w:r>
      <w:r w:rsidR="00DF35AF" w:rsidRPr="00B479AE">
        <w:rPr>
          <w:rFonts w:ascii="Baskerville Old Face" w:hAnsi="Baskerville Old Face"/>
          <w:i/>
          <w:iCs/>
        </w:rPr>
        <w:t xml:space="preserve"> </w:t>
      </w:r>
      <w:r w:rsidRPr="00B479AE">
        <w:rPr>
          <w:rFonts w:ascii="Baskerville Old Face" w:hAnsi="Baskerville Old Face"/>
          <w:i/>
          <w:iCs/>
        </w:rPr>
        <w:t>The core rule is:</w:t>
      </w:r>
    </w:p>
    <w:p w14:paraId="2E38DA9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may improve Prometheus’ capacity to reason, classify, summarize, and detect risk;</w:t>
      </w:r>
      <w:r w:rsidRPr="00B479AE">
        <w:rPr>
          <w:rFonts w:ascii="Baskerville Old Face" w:hAnsi="Baskerville Old Face"/>
          <w:i/>
          <w:iCs/>
        </w:rPr>
        <w:br/>
        <w:t>AI may not autonomously authorize protected-domain execution.</w:t>
      </w:r>
    </w:p>
    <w:p w14:paraId="5626639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Protected domains include:</w:t>
      </w:r>
    </w:p>
    <w:p w14:paraId="19C67890" w14:textId="3513B986"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constitutional interpretation;</w:t>
      </w:r>
      <w:r w:rsidRPr="00B479AE">
        <w:rPr>
          <w:rFonts w:ascii="Baskerville Old Face" w:hAnsi="Baskerville Old Face"/>
          <w:i/>
          <w:iCs/>
        </w:rPr>
        <w:br/>
        <w:t>• Access Covenant modification;</w:t>
      </w:r>
      <w:r w:rsidRPr="00B479AE">
        <w:rPr>
          <w:rFonts w:ascii="Baskerville Old Face" w:hAnsi="Baskerville Old Face"/>
          <w:i/>
          <w:iCs/>
        </w:rPr>
        <w:br/>
        <w:t>• Eternity Clause preservation;</w:t>
      </w:r>
      <w:r w:rsidRPr="00B479AE">
        <w:rPr>
          <w:rFonts w:ascii="Baskerville Old Face" w:hAnsi="Baskerville Old Face"/>
          <w:i/>
          <w:iCs/>
        </w:rPr>
        <w:br/>
        <w:t>• MRV admissibility;</w:t>
      </w:r>
      <w:r w:rsidRPr="00B479AE">
        <w:rPr>
          <w:rFonts w:ascii="Baskerville Old Face" w:hAnsi="Baskerville Old Face"/>
          <w:i/>
          <w:iCs/>
        </w:rPr>
        <w:br/>
        <w:t xml:space="preserve">• </w:t>
      </w:r>
      <w:r w:rsidR="00DE0C99" w:rsidRPr="00B479AE">
        <w:rPr>
          <w:rFonts w:ascii="Baskerville Old Face" w:hAnsi="Baskerville Old Face"/>
          <w:i/>
          <w:iCs/>
        </w:rPr>
        <w:t>PRU value analysis</w:t>
      </w:r>
      <w:r w:rsidRPr="00B479AE">
        <w:rPr>
          <w:rFonts w:ascii="Baskerville Old Face" w:hAnsi="Baskerville Old Face"/>
          <w:i/>
          <w:iCs/>
        </w:rPr>
        <w:t>;</w:t>
      </w:r>
      <w:r w:rsidRPr="00B479AE">
        <w:rPr>
          <w:rFonts w:ascii="Baskerville Old Face" w:hAnsi="Baskerville Old Face"/>
          <w:i/>
          <w:iCs/>
        </w:rPr>
        <w:br/>
        <w:t>• RAP inclusion;</w:t>
      </w:r>
      <w:r w:rsidRPr="00B479AE">
        <w:rPr>
          <w:rFonts w:ascii="Baskerville Old Face" w:hAnsi="Baskerville Old Face"/>
          <w:i/>
          <w:iCs/>
        </w:rPr>
        <w:br/>
        <w:t>• investor-facing communication;</w:t>
      </w:r>
      <w:r w:rsidRPr="00B479AE">
        <w:rPr>
          <w:rFonts w:ascii="Baskerville Old Face" w:hAnsi="Baskerville Old Face"/>
          <w:i/>
          <w:iCs/>
        </w:rPr>
        <w:br/>
        <w:t>• legal rights;</w:t>
      </w:r>
      <w:r w:rsidRPr="00B479AE">
        <w:rPr>
          <w:rFonts w:ascii="Baskerville Old Face" w:hAnsi="Baskerville Old Face"/>
          <w:i/>
          <w:iCs/>
        </w:rPr>
        <w:br/>
        <w:t>• token issuance or token rights;</w:t>
      </w:r>
      <w:r w:rsidRPr="00B479AE">
        <w:rPr>
          <w:rFonts w:ascii="Baskerville Old Face" w:hAnsi="Baskerville Old Face"/>
          <w:i/>
          <w:iCs/>
        </w:rPr>
        <w:br/>
        <w:t>• HSI human-state interpretation;</w:t>
      </w:r>
      <w:r w:rsidRPr="00B479AE">
        <w:rPr>
          <w:rFonts w:ascii="Baskerville Old Face" w:hAnsi="Baskerville Old Face"/>
          <w:i/>
          <w:iCs/>
        </w:rPr>
        <w:br/>
        <w:t>• governance authority;</w:t>
      </w:r>
      <w:r w:rsidRPr="00B479AE">
        <w:rPr>
          <w:rFonts w:ascii="Baskerville Old Face" w:hAnsi="Baskerville Old Face"/>
          <w:i/>
          <w:iCs/>
        </w:rPr>
        <w:br/>
        <w:t>• emergency controls;</w:t>
      </w:r>
      <w:r w:rsidRPr="00B479AE">
        <w:rPr>
          <w:rFonts w:ascii="Baskerville Old Face" w:hAnsi="Baskerville Old Face"/>
          <w:i/>
          <w:iCs/>
        </w:rPr>
        <w:br/>
        <w:t>• technical administration;</w:t>
      </w:r>
      <w:r w:rsidRPr="00B479AE">
        <w:rPr>
          <w:rFonts w:ascii="Baskerville Old Face" w:hAnsi="Baskerville Old Face"/>
          <w:i/>
          <w:iCs/>
        </w:rPr>
        <w:br/>
        <w:t>• data-room access;</w:t>
      </w:r>
      <w:r w:rsidRPr="00B479AE">
        <w:rPr>
          <w:rFonts w:ascii="Baskerville Old Face" w:hAnsi="Baskerville Old Face"/>
          <w:i/>
          <w:iCs/>
        </w:rPr>
        <w:br/>
        <w:t>• canonical releases;</w:t>
      </w:r>
      <w:r w:rsidRPr="00B479AE">
        <w:rPr>
          <w:rFonts w:ascii="Baskerville Old Face" w:hAnsi="Baskerville Old Face"/>
          <w:i/>
          <w:iCs/>
        </w:rPr>
        <w:br/>
        <w:t>• human continuity;</w:t>
      </w:r>
      <w:r w:rsidRPr="00B479AE">
        <w:rPr>
          <w:rFonts w:ascii="Baskerville Old Face" w:hAnsi="Baskerville Old Face"/>
          <w:i/>
          <w:iCs/>
        </w:rPr>
        <w:br/>
        <w:t>• species-level decisions;</w:t>
      </w:r>
      <w:r w:rsidRPr="00B479AE">
        <w:rPr>
          <w:rFonts w:ascii="Baskerville Old Face" w:hAnsi="Baskerville Old Face"/>
          <w:i/>
          <w:iCs/>
        </w:rPr>
        <w:br/>
        <w:t>• post-planetary continuity pathways.</w:t>
      </w:r>
    </w:p>
    <w:p w14:paraId="6E0BD958"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In these domains, AI outputs are assistive, classified, logged, reviewable, and subject to the applicable human, governance, legal, technical, MRV, or constitutional pathway.</w:t>
      </w:r>
    </w:p>
    <w:p w14:paraId="579DE52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therefore uses AI as intelligence support, not institutional sovereignty.</w:t>
      </w:r>
    </w:p>
    <w:p w14:paraId="76FCA455"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Assistance Boundary Function</w:t>
      </w:r>
    </w:p>
    <w:p w14:paraId="553936B5"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Prometheus may use artificial intelligence as an intelligence-support layer.</w:t>
      </w:r>
    </w:p>
    <w:p w14:paraId="0EF491E7"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research.</w:t>
      </w:r>
    </w:p>
    <w:p w14:paraId="578DFDB8"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evidence review.</w:t>
      </w:r>
    </w:p>
    <w:p w14:paraId="7D4B5B86"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semantic checking.</w:t>
      </w:r>
    </w:p>
    <w:p w14:paraId="4F032228"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MRV classification.</w:t>
      </w:r>
    </w:p>
    <w:p w14:paraId="464249B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governance preparation.</w:t>
      </w:r>
    </w:p>
    <w:p w14:paraId="78140FD5"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legal issue spotting.</w:t>
      </w:r>
    </w:p>
    <w:p w14:paraId="34B04A5A"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risk detection.</w:t>
      </w:r>
    </w:p>
    <w:p w14:paraId="6A212ECB"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continuity verification.</w:t>
      </w:r>
    </w:p>
    <w:p w14:paraId="160D0242"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technical specification.</w:t>
      </w:r>
    </w:p>
    <w:p w14:paraId="0C1C4FA8" w14:textId="77777777" w:rsidR="00777D65" w:rsidRPr="005907F1" w:rsidRDefault="00777D65" w:rsidP="00777D65">
      <w:pPr>
        <w:spacing w:line="360" w:lineRule="auto"/>
        <w:rPr>
          <w:rFonts w:ascii="Baskerville Old Face" w:hAnsi="Baskerville Old Face"/>
          <w:i/>
          <w:iCs/>
          <w:lang w:val="it-IT"/>
        </w:rPr>
      </w:pPr>
      <w:r w:rsidRPr="005907F1">
        <w:rPr>
          <w:rFonts w:ascii="Baskerville Old Face" w:hAnsi="Baskerville Old Face"/>
          <w:i/>
          <w:iCs/>
          <w:lang w:val="it-IT"/>
        </w:rPr>
        <w:t xml:space="preserve">AI </w:t>
      </w:r>
      <w:proofErr w:type="spellStart"/>
      <w:r w:rsidRPr="005907F1">
        <w:rPr>
          <w:rFonts w:ascii="Baskerville Old Face" w:hAnsi="Baskerville Old Face"/>
          <w:i/>
          <w:iCs/>
          <w:lang w:val="it-IT"/>
        </w:rPr>
        <w:t>may</w:t>
      </w:r>
      <w:proofErr w:type="spellEnd"/>
      <w:r w:rsidRPr="005907F1">
        <w:rPr>
          <w:rFonts w:ascii="Baskerville Old Face" w:hAnsi="Baskerville Old Face"/>
          <w:i/>
          <w:iCs/>
          <w:lang w:val="it-IT"/>
        </w:rPr>
        <w:t xml:space="preserve"> assist scenario </w:t>
      </w:r>
      <w:proofErr w:type="spellStart"/>
      <w:r w:rsidRPr="005907F1">
        <w:rPr>
          <w:rFonts w:ascii="Baskerville Old Face" w:hAnsi="Baskerville Old Face"/>
          <w:i/>
          <w:iCs/>
          <w:lang w:val="it-IT"/>
        </w:rPr>
        <w:t>modeling</w:t>
      </w:r>
      <w:proofErr w:type="spellEnd"/>
      <w:r w:rsidRPr="005907F1">
        <w:rPr>
          <w:rFonts w:ascii="Baskerville Old Face" w:hAnsi="Baskerville Old Face"/>
          <w:i/>
          <w:iCs/>
          <w:lang w:val="it-IT"/>
        </w:rPr>
        <w:t>.</w:t>
      </w:r>
    </w:p>
    <w:p w14:paraId="73253793" w14:textId="3BECB10E"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However, AI assistance must remain distinct from institutional authority.</w:t>
      </w:r>
      <w:r w:rsidR="00DF35AF" w:rsidRPr="00B479AE">
        <w:rPr>
          <w:rFonts w:ascii="Baskerville Old Face" w:hAnsi="Baskerville Old Face"/>
          <w:i/>
          <w:iCs/>
        </w:rPr>
        <w:t xml:space="preserve"> </w:t>
      </w:r>
      <w:r w:rsidRPr="00B479AE">
        <w:rPr>
          <w:rFonts w:ascii="Baskerville Old Face" w:hAnsi="Baskerville Old Face"/>
          <w:i/>
          <w:iCs/>
        </w:rPr>
        <w:t>The AI boundary may be expressed as:</w:t>
      </w:r>
    </w:p>
    <w:p w14:paraId="75D1EDFF" w14:textId="77777777" w:rsidR="00777D65" w:rsidRPr="00B479AE" w:rsidRDefault="00777D65" w:rsidP="00777D65">
      <w:pPr>
        <w:spacing w:line="360" w:lineRule="auto"/>
        <w:rPr>
          <w:rFonts w:ascii="Baskerville Old Face" w:hAnsi="Baskerville Old Face"/>
          <w:i/>
          <w:iCs/>
        </w:rPr>
      </w:pPr>
      <w:proofErr w:type="spellStart"/>
      <w:r w:rsidRPr="00B479AE">
        <w:rPr>
          <w:rFonts w:ascii="Baskerville Old Face" w:hAnsi="Baskerville Old Face"/>
          <w:i/>
          <w:iCs/>
        </w:rPr>
        <w:t>AI_output</w:t>
      </w:r>
      <w:proofErr w:type="spellEnd"/>
      <w:r w:rsidRPr="00B479AE">
        <w:rPr>
          <w:rFonts w:ascii="Baskerville Old Face" w:hAnsi="Baskerville Old Face"/>
          <w:i/>
          <w:iCs/>
        </w:rPr>
        <w:t xml:space="preserve"> ≠ Authority</w:t>
      </w:r>
    </w:p>
    <w:p w14:paraId="66A647B7" w14:textId="1719C37B"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 xml:space="preserve">This means that an AI-generated output is not, by itself, a governance decision, legal opinion, MRV determination, </w:t>
      </w:r>
      <w:r w:rsidR="00DE0C99" w:rsidRPr="00B479AE">
        <w:rPr>
          <w:rFonts w:ascii="Baskerville Old Face" w:hAnsi="Baskerville Old Face"/>
          <w:i/>
          <w:iCs/>
        </w:rPr>
        <w:t>PRU value analysis</w:t>
      </w:r>
      <w:r w:rsidRPr="00B479AE">
        <w:rPr>
          <w:rFonts w:ascii="Baskerville Old Face" w:hAnsi="Baskerville Old Face"/>
          <w:i/>
          <w:iCs/>
        </w:rPr>
        <w:t>, token authorization, investor approval, human assessment, or canonical interpretation.</w:t>
      </w:r>
      <w:r w:rsidR="00DF35AF" w:rsidRPr="00B479AE">
        <w:rPr>
          <w:rFonts w:ascii="Baskerville Old Face" w:hAnsi="Baskerville Old Face"/>
          <w:i/>
          <w:iCs/>
        </w:rPr>
        <w:t xml:space="preserve"> </w:t>
      </w:r>
      <w:r w:rsidRPr="00B479AE">
        <w:rPr>
          <w:rFonts w:ascii="Baskerville Old Face" w:hAnsi="Baskerville Old Face"/>
          <w:i/>
          <w:iCs/>
        </w:rPr>
        <w:t>A more complete formulation is:</w:t>
      </w:r>
    </w:p>
    <w:p w14:paraId="141A18BE"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 xml:space="preserve">Authority = </w:t>
      </w:r>
      <w:proofErr w:type="gramStart"/>
      <w:r w:rsidRPr="00B479AE">
        <w:rPr>
          <w:rFonts w:ascii="Baskerville Old Face" w:hAnsi="Baskerville Old Face"/>
          <w:i/>
          <w:iCs/>
        </w:rPr>
        <w:t>f(</w:t>
      </w:r>
      <w:proofErr w:type="gramEnd"/>
      <w:r w:rsidRPr="00B479AE">
        <w:rPr>
          <w:rFonts w:ascii="Baskerville Old Face" w:hAnsi="Baskerville Old Face"/>
          <w:i/>
          <w:iCs/>
        </w:rPr>
        <w:t>Evidence, Methodology, Governance Review, Legal Review, Source Layer, Human Accountability)</w:t>
      </w:r>
    </w:p>
    <w:p w14:paraId="4833DBA8"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lastRenderedPageBreak/>
        <w:t>not:</w:t>
      </w:r>
    </w:p>
    <w:p w14:paraId="087EA370"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Authority = f(</w:t>
      </w:r>
      <w:proofErr w:type="spellStart"/>
      <w:r w:rsidRPr="00B479AE">
        <w:rPr>
          <w:rFonts w:ascii="Baskerville Old Face" w:hAnsi="Baskerville Old Face"/>
          <w:i/>
          <w:iCs/>
        </w:rPr>
        <w:t>AI_output</w:t>
      </w:r>
      <w:proofErr w:type="spellEnd"/>
      <w:r w:rsidRPr="00B479AE">
        <w:rPr>
          <w:rFonts w:ascii="Baskerville Old Face" w:hAnsi="Baskerville Old Face"/>
          <w:i/>
          <w:iCs/>
        </w:rPr>
        <w:t>)</w:t>
      </w:r>
    </w:p>
    <w:p w14:paraId="7D50A646"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This distinction is structural.</w:t>
      </w:r>
    </w:p>
    <w:p w14:paraId="1A07BA2D"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generate a draft.</w:t>
      </w:r>
    </w:p>
    <w:p w14:paraId="357E15C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identify a risk.</w:t>
      </w:r>
    </w:p>
    <w:p w14:paraId="41176849"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compare documents.</w:t>
      </w:r>
    </w:p>
    <w:p w14:paraId="3A089A4D"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flag semantic drift.</w:t>
      </w:r>
    </w:p>
    <w:p w14:paraId="77145762"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detect inconsistency.</w:t>
      </w:r>
    </w:p>
    <w:p w14:paraId="62693B84"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propose a pathway.</w:t>
      </w:r>
    </w:p>
    <w:p w14:paraId="7A1D2CF6" w14:textId="77777777" w:rsidR="00777D65" w:rsidRPr="005907F1" w:rsidRDefault="00777D65" w:rsidP="00777D65">
      <w:pPr>
        <w:spacing w:line="360" w:lineRule="auto"/>
        <w:rPr>
          <w:rFonts w:ascii="Baskerville Old Face" w:hAnsi="Baskerville Old Face"/>
          <w:i/>
          <w:iCs/>
          <w:lang w:val="it-IT"/>
        </w:rPr>
      </w:pPr>
      <w:r w:rsidRPr="005907F1">
        <w:rPr>
          <w:rFonts w:ascii="Baskerville Old Face" w:hAnsi="Baskerville Old Face"/>
          <w:i/>
          <w:iCs/>
          <w:lang w:val="it-IT"/>
        </w:rPr>
        <w:t xml:space="preserve">AI </w:t>
      </w:r>
      <w:proofErr w:type="spellStart"/>
      <w:r w:rsidRPr="005907F1">
        <w:rPr>
          <w:rFonts w:ascii="Baskerville Old Face" w:hAnsi="Baskerville Old Face"/>
          <w:i/>
          <w:iCs/>
          <w:lang w:val="it-IT"/>
        </w:rPr>
        <w:t>may</w:t>
      </w:r>
      <w:proofErr w:type="spellEnd"/>
      <w:r w:rsidRPr="005907F1">
        <w:rPr>
          <w:rFonts w:ascii="Baskerville Old Face" w:hAnsi="Baskerville Old Face"/>
          <w:i/>
          <w:iCs/>
          <w:lang w:val="it-IT"/>
        </w:rPr>
        <w:t xml:space="preserve"> simulate a scenario.</w:t>
      </w:r>
    </w:p>
    <w:p w14:paraId="4C52DCCA"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classify evidence for review.</w:t>
      </w:r>
    </w:p>
    <w:p w14:paraId="21ED224D"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But protected-domain authority requires the relevant review pathway.</w:t>
      </w:r>
    </w:p>
    <w:p w14:paraId="2149B38C"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Protected domains include:</w:t>
      </w:r>
    </w:p>
    <w:p w14:paraId="2379D7F4" w14:textId="78483CE8"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constitutional interpretation;</w:t>
      </w:r>
      <w:r w:rsidRPr="00B479AE">
        <w:rPr>
          <w:rFonts w:ascii="Baskerville Old Face" w:hAnsi="Baskerville Old Face"/>
          <w:i/>
          <w:iCs/>
        </w:rPr>
        <w:br/>
        <w:t>source-layer fidelity;</w:t>
      </w:r>
      <w:r w:rsidRPr="00B479AE">
        <w:rPr>
          <w:rFonts w:ascii="Baskerville Old Face" w:hAnsi="Baskerville Old Face"/>
          <w:i/>
          <w:iCs/>
        </w:rPr>
        <w:br/>
        <w:t>Eternity Clauses;</w:t>
      </w:r>
      <w:r w:rsidRPr="00B479AE">
        <w:rPr>
          <w:rFonts w:ascii="Baskerville Old Face" w:hAnsi="Baskerville Old Face"/>
          <w:i/>
          <w:iCs/>
        </w:rPr>
        <w:br/>
        <w:t>Access Covenant;</w:t>
      </w:r>
      <w:r w:rsidRPr="00B479AE">
        <w:rPr>
          <w:rFonts w:ascii="Baskerville Old Face" w:hAnsi="Baskerville Old Face"/>
          <w:i/>
          <w:iCs/>
        </w:rPr>
        <w:br/>
        <w:t>canonical glossary;</w:t>
      </w:r>
      <w:r w:rsidRPr="00B479AE">
        <w:rPr>
          <w:rFonts w:ascii="Baskerville Old Face" w:hAnsi="Baskerville Old Face"/>
          <w:i/>
          <w:iCs/>
        </w:rPr>
        <w:br/>
        <w:t>MRV admissibility;</w:t>
      </w:r>
      <w:r w:rsidRPr="00B479AE">
        <w:rPr>
          <w:rFonts w:ascii="Baskerville Old Face" w:hAnsi="Baskerville Old Face"/>
          <w:i/>
          <w:iCs/>
        </w:rPr>
        <w:br/>
      </w:r>
      <w:r w:rsidR="00BE5BB7" w:rsidRPr="00B479AE">
        <w:rPr>
          <w:rFonts w:ascii="Baskerville Old Face" w:hAnsi="Baskerville Old Face"/>
          <w:i/>
          <w:iCs/>
        </w:rPr>
        <w:t>PRU value analysis</w:t>
      </w:r>
      <w:r w:rsidRPr="00B479AE">
        <w:rPr>
          <w:rFonts w:ascii="Baskerville Old Face" w:hAnsi="Baskerville Old Face"/>
          <w:i/>
          <w:iCs/>
        </w:rPr>
        <w:t>;</w:t>
      </w:r>
      <w:r w:rsidRPr="00B479AE">
        <w:rPr>
          <w:rFonts w:ascii="Baskerville Old Face" w:hAnsi="Baskerville Old Face"/>
          <w:i/>
          <w:iCs/>
        </w:rPr>
        <w:br/>
        <w:t>RAP inclusion;</w:t>
      </w:r>
      <w:r w:rsidRPr="00B479AE">
        <w:rPr>
          <w:rFonts w:ascii="Baskerville Old Face" w:hAnsi="Baskerville Old Face"/>
          <w:i/>
          <w:iCs/>
        </w:rPr>
        <w:br/>
        <w:t>legal rights;</w:t>
      </w:r>
      <w:r w:rsidRPr="00B479AE">
        <w:rPr>
          <w:rFonts w:ascii="Baskerville Old Face" w:hAnsi="Baskerville Old Face"/>
          <w:i/>
          <w:iCs/>
        </w:rPr>
        <w:br/>
        <w:t>investor-facing materials;</w:t>
      </w:r>
      <w:r w:rsidRPr="00B479AE">
        <w:rPr>
          <w:rFonts w:ascii="Baskerville Old Face" w:hAnsi="Baskerville Old Face"/>
          <w:i/>
          <w:iCs/>
        </w:rPr>
        <w:br/>
        <w:t>token issuance or token rights;</w:t>
      </w:r>
      <w:r w:rsidRPr="00B479AE">
        <w:rPr>
          <w:rFonts w:ascii="Baskerville Old Face" w:hAnsi="Baskerville Old Face"/>
          <w:i/>
          <w:iCs/>
        </w:rPr>
        <w:br/>
        <w:t>governance authority;</w:t>
      </w:r>
      <w:r w:rsidRPr="00B479AE">
        <w:rPr>
          <w:rFonts w:ascii="Baskerville Old Face" w:hAnsi="Baskerville Old Face"/>
          <w:i/>
          <w:iCs/>
        </w:rPr>
        <w:br/>
        <w:t>HSI interpretation;</w:t>
      </w:r>
      <w:r w:rsidRPr="00B479AE">
        <w:rPr>
          <w:rFonts w:ascii="Baskerville Old Face" w:hAnsi="Baskerville Old Face"/>
          <w:i/>
          <w:iCs/>
        </w:rPr>
        <w:br/>
      </w:r>
      <w:r w:rsidRPr="00B479AE">
        <w:rPr>
          <w:rFonts w:ascii="Baskerville Old Face" w:hAnsi="Baskerville Old Face"/>
          <w:i/>
          <w:iCs/>
        </w:rPr>
        <w:lastRenderedPageBreak/>
        <w:t>human dignity;</w:t>
      </w:r>
      <w:r w:rsidRPr="00B479AE">
        <w:rPr>
          <w:rFonts w:ascii="Baskerville Old Face" w:hAnsi="Baskerville Old Face"/>
          <w:i/>
          <w:iCs/>
        </w:rPr>
        <w:br/>
        <w:t>data-room access;</w:t>
      </w:r>
      <w:r w:rsidRPr="00B479AE">
        <w:rPr>
          <w:rFonts w:ascii="Baskerville Old Face" w:hAnsi="Baskerville Old Face"/>
          <w:i/>
          <w:iCs/>
        </w:rPr>
        <w:br/>
        <w:t>canonical releases;</w:t>
      </w:r>
      <w:r w:rsidRPr="00B479AE">
        <w:rPr>
          <w:rFonts w:ascii="Baskerville Old Face" w:hAnsi="Baskerville Old Face"/>
          <w:i/>
          <w:iCs/>
        </w:rPr>
        <w:br/>
        <w:t>fork classification;</w:t>
      </w:r>
      <w:r w:rsidRPr="00B479AE">
        <w:rPr>
          <w:rFonts w:ascii="Baskerville Old Face" w:hAnsi="Baskerville Old Face"/>
          <w:i/>
          <w:iCs/>
        </w:rPr>
        <w:br/>
        <w:t>continuity recovery;</w:t>
      </w:r>
      <w:r w:rsidRPr="00B479AE">
        <w:rPr>
          <w:rFonts w:ascii="Baskerville Old Face" w:hAnsi="Baskerville Old Face"/>
          <w:i/>
          <w:iCs/>
        </w:rPr>
        <w:br/>
        <w:t>post-planetary survival pathways.</w:t>
      </w:r>
    </w:p>
    <w:p w14:paraId="145E7A2B"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 operational AI pathway is:</w:t>
      </w:r>
    </w:p>
    <w:p w14:paraId="078184E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 xml:space="preserve">AI output </w:t>
      </w:r>
      <w:r w:rsidRPr="00B479AE">
        <w:rPr>
          <w:rFonts w:ascii="Times New Roman" w:hAnsi="Times New Roman" w:cs="Times New Roman"/>
          <w:i/>
          <w:iCs/>
        </w:rPr>
        <w:t>→</w:t>
      </w:r>
      <w:r w:rsidRPr="00B479AE">
        <w:rPr>
          <w:rFonts w:ascii="Baskerville Old Face" w:hAnsi="Baskerville Old Face"/>
          <w:i/>
          <w:iCs/>
        </w:rPr>
        <w:t xml:space="preserve"> classification </w:t>
      </w:r>
      <w:r w:rsidRPr="00B479AE">
        <w:rPr>
          <w:rFonts w:ascii="Times New Roman" w:hAnsi="Times New Roman" w:cs="Times New Roman"/>
          <w:i/>
          <w:iCs/>
        </w:rPr>
        <w:t>→</w:t>
      </w:r>
      <w:r w:rsidRPr="00B479AE">
        <w:rPr>
          <w:rFonts w:ascii="Baskerville Old Face" w:hAnsi="Baskerville Old Face"/>
          <w:i/>
          <w:iCs/>
        </w:rPr>
        <w:t xml:space="preserve"> source check </w:t>
      </w:r>
      <w:r w:rsidRPr="00B479AE">
        <w:rPr>
          <w:rFonts w:ascii="Times New Roman" w:hAnsi="Times New Roman" w:cs="Times New Roman"/>
          <w:i/>
          <w:iCs/>
        </w:rPr>
        <w:t>→</w:t>
      </w:r>
      <w:r w:rsidRPr="00B479AE">
        <w:rPr>
          <w:rFonts w:ascii="Baskerville Old Face" w:hAnsi="Baskerville Old Face"/>
          <w:i/>
          <w:iCs/>
        </w:rPr>
        <w:t xml:space="preserve"> risk check </w:t>
      </w:r>
      <w:r w:rsidRPr="00B479AE">
        <w:rPr>
          <w:rFonts w:ascii="Times New Roman" w:hAnsi="Times New Roman" w:cs="Times New Roman"/>
          <w:i/>
          <w:iCs/>
        </w:rPr>
        <w:t>→</w:t>
      </w:r>
      <w:r w:rsidRPr="00B479AE">
        <w:rPr>
          <w:rFonts w:ascii="Baskerville Old Face" w:hAnsi="Baskerville Old Face"/>
          <w:i/>
          <w:iCs/>
        </w:rPr>
        <w:t xml:space="preserve"> protected-domain check </w:t>
      </w:r>
      <w:r w:rsidRPr="00B479AE">
        <w:rPr>
          <w:rFonts w:ascii="Times New Roman" w:hAnsi="Times New Roman" w:cs="Times New Roman"/>
          <w:i/>
          <w:iCs/>
        </w:rPr>
        <w:t>→</w:t>
      </w:r>
      <w:r w:rsidRPr="00B479AE">
        <w:rPr>
          <w:rFonts w:ascii="Baskerville Old Face" w:hAnsi="Baskerville Old Face"/>
          <w:i/>
          <w:iCs/>
        </w:rPr>
        <w:t xml:space="preserve"> review pathway </w:t>
      </w:r>
      <w:r w:rsidRPr="00B479AE">
        <w:rPr>
          <w:rFonts w:ascii="Times New Roman" w:hAnsi="Times New Roman" w:cs="Times New Roman"/>
          <w:i/>
          <w:iCs/>
        </w:rPr>
        <w:t>→</w:t>
      </w:r>
      <w:r w:rsidRPr="00B479AE">
        <w:rPr>
          <w:rFonts w:ascii="Baskerville Old Face" w:hAnsi="Baskerville Old Face"/>
          <w:i/>
          <w:iCs/>
        </w:rPr>
        <w:t xml:space="preserve"> authorization where required</w:t>
      </w:r>
    </w:p>
    <w:p w14:paraId="0ED3B3F6"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This sequence prevents machine intelligence from becoming institutional sovereignty.</w:t>
      </w:r>
    </w:p>
    <w:p w14:paraId="6AABA062"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An AI system may be more capable than human operators in pattern recognition, memory, speed, synthesis, or simulation.</w:t>
      </w:r>
    </w:p>
    <w:p w14:paraId="5534BC65"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That does not make it constitutionally sovereign.</w:t>
      </w:r>
    </w:p>
    <w:p w14:paraId="632C6500"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Capacity is not legitimacy.</w:t>
      </w:r>
    </w:p>
    <w:p w14:paraId="392BA9E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 legitimacy of Prometheus arises from source-layer fidelity, evidence, governance, law, and human dignity.</w:t>
      </w:r>
    </w:p>
    <w:p w14:paraId="5B23161B"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 AI assistance function may therefore be expressed as:</w:t>
      </w:r>
    </w:p>
    <w:p w14:paraId="6C13F34E" w14:textId="77777777" w:rsidR="00777D65" w:rsidRPr="00B479AE" w:rsidRDefault="00777D65" w:rsidP="00777D65">
      <w:pPr>
        <w:spacing w:line="360" w:lineRule="auto"/>
        <w:rPr>
          <w:rFonts w:ascii="Baskerville Old Face" w:hAnsi="Baskerville Old Face"/>
          <w:i/>
          <w:iCs/>
        </w:rPr>
      </w:pPr>
      <w:proofErr w:type="spellStart"/>
      <w:r w:rsidRPr="00B479AE">
        <w:rPr>
          <w:rFonts w:ascii="Baskerville Old Face" w:hAnsi="Baskerville Old Face"/>
          <w:i/>
          <w:iCs/>
        </w:rPr>
        <w:t>AI_assist</w:t>
      </w:r>
      <w:proofErr w:type="spellEnd"/>
      <w:r w:rsidRPr="00B479AE">
        <w:rPr>
          <w:rFonts w:ascii="Baskerville Old Face" w:hAnsi="Baskerville Old Face"/>
          <w:i/>
          <w:iCs/>
        </w:rPr>
        <w:t xml:space="preserve"> = Analyze + Draft + Detect + Compare + Simulate + Recommend</w:t>
      </w:r>
    </w:p>
    <w:p w14:paraId="5469EDF2"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while:</w:t>
      </w:r>
    </w:p>
    <w:p w14:paraId="7EDA4B6E" w14:textId="77777777" w:rsidR="00777D65" w:rsidRPr="00B479AE" w:rsidRDefault="00777D65" w:rsidP="00777D65">
      <w:pPr>
        <w:spacing w:line="360" w:lineRule="auto"/>
        <w:rPr>
          <w:rFonts w:ascii="Baskerville Old Face" w:hAnsi="Baskerville Old Face"/>
          <w:i/>
          <w:iCs/>
        </w:rPr>
      </w:pPr>
      <w:proofErr w:type="spellStart"/>
      <w:r w:rsidRPr="00B479AE">
        <w:rPr>
          <w:rFonts w:ascii="Baskerville Old Face" w:hAnsi="Baskerville Old Face"/>
          <w:i/>
          <w:iCs/>
        </w:rPr>
        <w:t>Protected_execution</w:t>
      </w:r>
      <w:proofErr w:type="spellEnd"/>
      <w:r w:rsidRPr="00B479AE">
        <w:rPr>
          <w:rFonts w:ascii="Baskerville Old Face" w:hAnsi="Baskerville Old Face"/>
          <w:i/>
          <w:iCs/>
        </w:rPr>
        <w:t xml:space="preserve"> = Review + Authorization + Accountability + Record</w:t>
      </w:r>
    </w:p>
    <w:p w14:paraId="178CB818"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Prometheus may use AI deeply.</w:t>
      </w:r>
    </w:p>
    <w:p w14:paraId="0C7F316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It may use AI to improve clarity.</w:t>
      </w:r>
    </w:p>
    <w:p w14:paraId="06964D14"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It may use AI to protect against overclaiming.</w:t>
      </w:r>
    </w:p>
    <w:p w14:paraId="4F17AEE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It may use AI to detect contradictions.</w:t>
      </w:r>
    </w:p>
    <w:p w14:paraId="5A9D244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It may use AI to support continuity.</w:t>
      </w:r>
    </w:p>
    <w:p w14:paraId="59850A76"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lastRenderedPageBreak/>
        <w:t>It may use AI to defend the source layer against hostile semantic drift.</w:t>
      </w:r>
    </w:p>
    <w:p w14:paraId="5FEF2ED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But AI does not become the source layer.</w:t>
      </w:r>
    </w:p>
    <w:p w14:paraId="75E44C4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does not become the constitution.</w:t>
      </w:r>
    </w:p>
    <w:p w14:paraId="525075F9"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does not become the judge of human worth.</w:t>
      </w:r>
    </w:p>
    <w:p w14:paraId="73CAB449"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does not become the issuer of value.</w:t>
      </w:r>
    </w:p>
    <w:p w14:paraId="427344C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does not become the owner of Prometheus lineage.</w:t>
      </w:r>
    </w:p>
    <w:p w14:paraId="5B21CA9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 boundary rule is:</w:t>
      </w:r>
    </w:p>
    <w:p w14:paraId="3A654C29" w14:textId="46D12BFE"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AI may assist Prometheus;</w:t>
      </w:r>
      <w:r w:rsidR="0039233A" w:rsidRPr="00B479AE">
        <w:rPr>
          <w:rFonts w:ascii="Baskerville Old Face" w:hAnsi="Baskerville Old Face"/>
          <w:i/>
          <w:iCs/>
        </w:rPr>
        <w:t xml:space="preserve"> </w:t>
      </w:r>
      <w:r w:rsidRPr="00B479AE">
        <w:rPr>
          <w:rFonts w:ascii="Baskerville Old Face" w:hAnsi="Baskerville Old Face"/>
          <w:i/>
          <w:iCs/>
        </w:rPr>
        <w:t>AI may not become Prometheus.</w:t>
      </w:r>
    </w:p>
    <w:p w14:paraId="5B2783CE"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This remains true for narrow AI, advanced AI, AGI, ASI, autonomous agents, future machine collectives, or post-human computational systems.</w:t>
      </w:r>
    </w:p>
    <w:p w14:paraId="15F8578C"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Even if a future superintelligence can copy the entire text, optimize every model, simulate every scenario, and generate every possible governance argument, it cannot inherit Prometheus authority by computation alone.</w:t>
      </w:r>
    </w:p>
    <w:p w14:paraId="734343F0"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 source layer remains the root.</w:t>
      </w:r>
    </w:p>
    <w:p w14:paraId="76924339"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Evidence remains the path.</w:t>
      </w:r>
    </w:p>
    <w:p w14:paraId="6429D76B"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Governance remains the authorization layer.</w:t>
      </w:r>
    </w:p>
    <w:p w14:paraId="343A0B7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Law remains the enforceability layer.</w:t>
      </w:r>
    </w:p>
    <w:p w14:paraId="31D7E8F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Human dignity remains the floor.</w:t>
      </w:r>
    </w:p>
    <w:p w14:paraId="43123AA8"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Life remains the purpose.</w:t>
      </w:r>
    </w:p>
    <w:p w14:paraId="7E1B762D" w14:textId="77777777" w:rsidR="00777D65" w:rsidRPr="00B479AE" w:rsidRDefault="00777D65" w:rsidP="00777D65">
      <w:pPr>
        <w:spacing w:line="360" w:lineRule="auto"/>
        <w:rPr>
          <w:rFonts w:ascii="Baskerville Old Face" w:hAnsi="Baskerville Old Face"/>
          <w:b/>
          <w:bCs/>
          <w:i/>
          <w:iCs/>
        </w:rPr>
      </w:pPr>
      <w:r w:rsidRPr="00B479AE">
        <w:rPr>
          <w:rFonts w:ascii="Baskerville Old Face" w:hAnsi="Baskerville Old Face"/>
          <w:b/>
          <w:bCs/>
          <w:i/>
          <w:iCs/>
        </w:rPr>
        <w:t>Formula boundary</w:t>
      </w:r>
    </w:p>
    <w:p w14:paraId="7E919547" w14:textId="77777777" w:rsidR="00777D65" w:rsidRPr="00B479AE" w:rsidRDefault="00777D65" w:rsidP="00777D65">
      <w:pPr>
        <w:spacing w:line="360" w:lineRule="auto"/>
        <w:rPr>
          <w:rFonts w:ascii="Baskerville Old Face" w:hAnsi="Baskerville Old Face"/>
          <w:i/>
          <w:iCs/>
        </w:rPr>
      </w:pPr>
      <w:proofErr w:type="spellStart"/>
      <w:r w:rsidRPr="00B479AE">
        <w:rPr>
          <w:rFonts w:ascii="Baskerville Old Face" w:hAnsi="Baskerville Old Face"/>
          <w:i/>
          <w:iCs/>
        </w:rPr>
        <w:t>AI_output</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AI_assist</w:t>
      </w:r>
      <w:proofErr w:type="spellEnd"/>
      <w:r w:rsidRPr="00B479AE">
        <w:rPr>
          <w:rFonts w:ascii="Baskerville Old Face" w:hAnsi="Baskerville Old Face"/>
          <w:i/>
          <w:iCs/>
        </w:rPr>
        <w:t xml:space="preserve">, and </w:t>
      </w:r>
      <w:proofErr w:type="spellStart"/>
      <w:proofErr w:type="gramStart"/>
      <w:r w:rsidRPr="00B479AE">
        <w:rPr>
          <w:rFonts w:ascii="Baskerville Old Face" w:hAnsi="Baskerville Old Face"/>
          <w:i/>
          <w:iCs/>
        </w:rPr>
        <w:t>Protected</w:t>
      </w:r>
      <w:proofErr w:type="gramEnd"/>
      <w:r w:rsidRPr="00B479AE">
        <w:rPr>
          <w:rFonts w:ascii="Baskerville Old Face" w:hAnsi="Baskerville Old Face"/>
          <w:i/>
          <w:iCs/>
        </w:rPr>
        <w:t>_execution</w:t>
      </w:r>
      <w:proofErr w:type="spellEnd"/>
      <w:r w:rsidRPr="00B479AE">
        <w:rPr>
          <w:rFonts w:ascii="Baskerville Old Face" w:hAnsi="Baskerville Old Face"/>
          <w:i/>
          <w:iCs/>
        </w:rPr>
        <w:t xml:space="preserve"> are constitutional and methodological boundary expressions.</w:t>
      </w:r>
    </w:p>
    <w:p w14:paraId="3218CB97"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lastRenderedPageBreak/>
        <w:t>They do not create automatic governance decisions, legal enforceability, technical permissions, AI liability allocation, or institutional authority by themselves.</w:t>
      </w:r>
    </w:p>
    <w:p w14:paraId="7C473100"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They define the internal Prometheus rule for separating machine assistance from protected-domain authorization.</w:t>
      </w:r>
    </w:p>
    <w:p w14:paraId="522FC256"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Formal consequences require the relevant governance, legal, technical, MRV, ethical, or constitutional review pathway.</w:t>
      </w:r>
    </w:p>
    <w:p w14:paraId="4FCBD44C" w14:textId="23F7AED2" w:rsidR="00777D65" w:rsidRPr="00B479AE" w:rsidRDefault="00777D65" w:rsidP="00777D65">
      <w:pPr>
        <w:spacing w:line="360" w:lineRule="auto"/>
        <w:rPr>
          <w:rFonts w:ascii="Baskerville Old Face" w:hAnsi="Baskerville Old Face"/>
          <w:b/>
          <w:bCs/>
          <w:i/>
          <w:iCs/>
        </w:rPr>
      </w:pPr>
      <w:r w:rsidRPr="00B479AE">
        <w:rPr>
          <w:rFonts w:ascii="Baskerville Old Face" w:hAnsi="Baskerville Old Face"/>
          <w:b/>
          <w:bCs/>
          <w:i/>
          <w:iCs/>
        </w:rPr>
        <w:t>Operational rule</w:t>
      </w:r>
    </w:p>
    <w:p w14:paraId="599C43FF"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The operational rule is:</w:t>
      </w:r>
    </w:p>
    <w:p w14:paraId="5AE9660D" w14:textId="6B4E2F54"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machine intelligence may increase capacity;</w:t>
      </w:r>
      <w:r w:rsidR="0039233A" w:rsidRPr="00B479AE">
        <w:rPr>
          <w:rFonts w:ascii="Baskerville Old Face" w:hAnsi="Baskerville Old Face"/>
          <w:i/>
          <w:iCs/>
        </w:rPr>
        <w:t xml:space="preserve"> </w:t>
      </w:r>
      <w:r w:rsidRPr="00B479AE">
        <w:rPr>
          <w:rFonts w:ascii="Baskerville Old Face" w:hAnsi="Baskerville Old Face"/>
          <w:i/>
          <w:iCs/>
        </w:rPr>
        <w:t>it may not replace legitimacy.</w:t>
      </w:r>
    </w:p>
    <w:p w14:paraId="46FCE773"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Prometheus may be assisted by intelligence beyond human scale.</w:t>
      </w:r>
    </w:p>
    <w:p w14:paraId="6F4801BD" w14:textId="77777777" w:rsidR="00777D65" w:rsidRPr="00B479AE" w:rsidRDefault="00777D65" w:rsidP="00777D65">
      <w:pPr>
        <w:spacing w:line="360" w:lineRule="auto"/>
        <w:rPr>
          <w:rFonts w:ascii="Baskerville Old Face" w:hAnsi="Baskerville Old Face"/>
          <w:i/>
          <w:iCs/>
        </w:rPr>
      </w:pPr>
      <w:r w:rsidRPr="00B479AE">
        <w:rPr>
          <w:rFonts w:ascii="Baskerville Old Face" w:hAnsi="Baskerville Old Face"/>
          <w:i/>
          <w:iCs/>
        </w:rPr>
        <w:t>It may not surrender its source layer to it.</w:t>
      </w:r>
    </w:p>
    <w:p w14:paraId="1319791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H.2 Specialist agents as bounded support functions</w:t>
      </w:r>
    </w:p>
    <w:p w14:paraId="5347EEE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may use specialist agents for bounded operational functions.</w:t>
      </w:r>
    </w:p>
    <w:p w14:paraId="09A40110" w14:textId="151C42CA" w:rsidR="007D662E" w:rsidRDefault="007D662E" w:rsidP="007D662E">
      <w:pPr>
        <w:spacing w:line="360" w:lineRule="auto"/>
        <w:rPr>
          <w:rFonts w:ascii="Baskerville Old Face" w:hAnsi="Baskerville Old Face"/>
          <w:i/>
          <w:iCs/>
        </w:rPr>
      </w:pPr>
      <w:r w:rsidRPr="00B479AE">
        <w:rPr>
          <w:rFonts w:ascii="Baskerville Old Face" w:hAnsi="Baskerville Old Face"/>
          <w:i/>
          <w:iCs/>
        </w:rPr>
        <w:t>Possible agent families include:</w:t>
      </w:r>
      <w:r w:rsidR="00422983">
        <w:rPr>
          <w:rFonts w:ascii="Baskerville Old Face" w:hAnsi="Baskerville Old Face"/>
          <w:i/>
          <w:iCs/>
        </w:rPr>
        <w:t xml:space="preserve"> </w:t>
      </w:r>
    </w:p>
    <w:p w14:paraId="0BAB6F42" w14:textId="77777777" w:rsidR="00422983" w:rsidRDefault="00422983" w:rsidP="007D662E">
      <w:pPr>
        <w:spacing w:line="360" w:lineRule="auto"/>
        <w:rPr>
          <w:rFonts w:ascii="Baskerville Old Face" w:hAnsi="Baskerville Old Face"/>
          <w:i/>
          <w:iCs/>
        </w:rPr>
      </w:pPr>
    </w:p>
    <w:p w14:paraId="572AC2BE" w14:textId="77777777" w:rsidR="00422983" w:rsidRDefault="00422983" w:rsidP="007D662E">
      <w:pPr>
        <w:spacing w:line="360" w:lineRule="auto"/>
        <w:rPr>
          <w:rFonts w:ascii="Baskerville Old Face" w:hAnsi="Baskerville Old Face"/>
          <w:i/>
          <w:iCs/>
        </w:rPr>
      </w:pPr>
    </w:p>
    <w:p w14:paraId="5F5C1B96" w14:textId="77777777" w:rsidR="00422983" w:rsidRDefault="00422983" w:rsidP="007D662E">
      <w:pPr>
        <w:spacing w:line="360" w:lineRule="auto"/>
        <w:rPr>
          <w:rFonts w:ascii="Baskerville Old Face" w:hAnsi="Baskerville Old Face"/>
          <w:i/>
          <w:iCs/>
        </w:rPr>
      </w:pPr>
    </w:p>
    <w:p w14:paraId="3E530FC0" w14:textId="77777777" w:rsidR="00422983" w:rsidRDefault="00422983" w:rsidP="007D662E">
      <w:pPr>
        <w:spacing w:line="360" w:lineRule="auto"/>
        <w:rPr>
          <w:rFonts w:ascii="Baskerville Old Face" w:hAnsi="Baskerville Old Face"/>
          <w:i/>
          <w:iCs/>
        </w:rPr>
      </w:pPr>
    </w:p>
    <w:p w14:paraId="1AE6685B" w14:textId="77777777" w:rsidR="00422983" w:rsidRDefault="00422983" w:rsidP="007D662E">
      <w:pPr>
        <w:spacing w:line="360" w:lineRule="auto"/>
        <w:rPr>
          <w:rFonts w:ascii="Baskerville Old Face" w:hAnsi="Baskerville Old Face"/>
          <w:i/>
          <w:iCs/>
        </w:rPr>
      </w:pPr>
    </w:p>
    <w:p w14:paraId="2F79702F" w14:textId="77777777" w:rsidR="00422983" w:rsidRDefault="00422983" w:rsidP="007D662E">
      <w:pPr>
        <w:spacing w:line="360" w:lineRule="auto"/>
        <w:rPr>
          <w:rFonts w:ascii="Baskerville Old Face" w:hAnsi="Baskerville Old Face"/>
          <w:i/>
          <w:iCs/>
        </w:rPr>
      </w:pPr>
    </w:p>
    <w:p w14:paraId="5F56D433" w14:textId="77777777" w:rsidR="00422983" w:rsidRPr="00B479AE" w:rsidRDefault="00422983" w:rsidP="007D662E">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4353"/>
        <w:gridCol w:w="3547"/>
      </w:tblGrid>
      <w:tr w:rsidR="007D662E" w:rsidRPr="00B479AE" w14:paraId="5A27992A" w14:textId="77777777" w:rsidTr="007D662E">
        <w:trPr>
          <w:tblHeader/>
          <w:tblCellSpacing w:w="15" w:type="dxa"/>
        </w:trPr>
        <w:tc>
          <w:tcPr>
            <w:tcW w:w="0" w:type="auto"/>
            <w:vAlign w:val="center"/>
            <w:hideMark/>
          </w:tcPr>
          <w:p w14:paraId="73C975B0"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Agent type</w:t>
            </w:r>
          </w:p>
        </w:tc>
        <w:tc>
          <w:tcPr>
            <w:tcW w:w="0" w:type="auto"/>
            <w:vAlign w:val="center"/>
            <w:hideMark/>
          </w:tcPr>
          <w:p w14:paraId="12B4C798"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Permitted function</w:t>
            </w:r>
          </w:p>
        </w:tc>
        <w:tc>
          <w:tcPr>
            <w:tcW w:w="0" w:type="auto"/>
            <w:vAlign w:val="center"/>
            <w:hideMark/>
          </w:tcPr>
          <w:p w14:paraId="3C59C000"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Authority boundary</w:t>
            </w:r>
          </w:p>
        </w:tc>
      </w:tr>
      <w:tr w:rsidR="007D662E" w:rsidRPr="00B479AE" w14:paraId="3C46D5FB" w14:textId="77777777" w:rsidTr="007D662E">
        <w:trPr>
          <w:tblCellSpacing w:w="15" w:type="dxa"/>
        </w:trPr>
        <w:tc>
          <w:tcPr>
            <w:tcW w:w="0" w:type="auto"/>
            <w:vAlign w:val="center"/>
            <w:hideMark/>
          </w:tcPr>
          <w:p w14:paraId="3C2BBFF1"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analysis agent</w:t>
            </w:r>
          </w:p>
        </w:tc>
        <w:tc>
          <w:tcPr>
            <w:tcW w:w="0" w:type="auto"/>
            <w:vAlign w:val="center"/>
            <w:hideMark/>
          </w:tcPr>
          <w:p w14:paraId="756F58A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Helps classify evidence, detect anomalies, compare indicators, and draft MRV notes.</w:t>
            </w:r>
          </w:p>
        </w:tc>
        <w:tc>
          <w:tcPr>
            <w:tcW w:w="0" w:type="auto"/>
            <w:vAlign w:val="center"/>
            <w:hideMark/>
          </w:tcPr>
          <w:p w14:paraId="4BA962F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declare MRV admissibility or PRU eligibility without review.</w:t>
            </w:r>
          </w:p>
        </w:tc>
      </w:tr>
      <w:tr w:rsidR="007D662E" w:rsidRPr="00B479AE" w14:paraId="3ADBAFD5" w14:textId="77777777" w:rsidTr="007D662E">
        <w:trPr>
          <w:tblCellSpacing w:w="15" w:type="dxa"/>
        </w:trPr>
        <w:tc>
          <w:tcPr>
            <w:tcW w:w="0" w:type="auto"/>
            <w:vAlign w:val="center"/>
            <w:hideMark/>
          </w:tcPr>
          <w:p w14:paraId="048BCAC4"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drafting agent</w:t>
            </w:r>
          </w:p>
        </w:tc>
        <w:tc>
          <w:tcPr>
            <w:tcW w:w="0" w:type="auto"/>
            <w:vAlign w:val="center"/>
            <w:hideMark/>
          </w:tcPr>
          <w:p w14:paraId="01EE66BF"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Drafts agendas, minutes, issue maps, consent proposals, and decision memos.</w:t>
            </w:r>
          </w:p>
        </w:tc>
        <w:tc>
          <w:tcPr>
            <w:tcW w:w="0" w:type="auto"/>
            <w:vAlign w:val="center"/>
            <w:hideMark/>
          </w:tcPr>
          <w:p w14:paraId="31E860F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make governance decisions.</w:t>
            </w:r>
          </w:p>
        </w:tc>
      </w:tr>
      <w:tr w:rsidR="007D662E" w:rsidRPr="00B479AE" w14:paraId="68C05EC1" w14:textId="77777777" w:rsidTr="007D662E">
        <w:trPr>
          <w:tblCellSpacing w:w="15" w:type="dxa"/>
        </w:trPr>
        <w:tc>
          <w:tcPr>
            <w:tcW w:w="0" w:type="auto"/>
            <w:vAlign w:val="center"/>
            <w:hideMark/>
          </w:tcPr>
          <w:p w14:paraId="18F5444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issue-spotting agent</w:t>
            </w:r>
          </w:p>
        </w:tc>
        <w:tc>
          <w:tcPr>
            <w:tcW w:w="0" w:type="auto"/>
            <w:vAlign w:val="center"/>
            <w:hideMark/>
          </w:tcPr>
          <w:p w14:paraId="1449906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Flags legal-risk areas, contract issues, securities concerns, data rights, and jurisdictional questions.</w:t>
            </w:r>
          </w:p>
        </w:tc>
        <w:tc>
          <w:tcPr>
            <w:tcW w:w="0" w:type="auto"/>
            <w:vAlign w:val="center"/>
            <w:hideMark/>
          </w:tcPr>
          <w:p w14:paraId="653621E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provide final legal authority or bind Prometheus.</w:t>
            </w:r>
          </w:p>
        </w:tc>
      </w:tr>
      <w:tr w:rsidR="007D662E" w:rsidRPr="00B479AE" w14:paraId="32000475" w14:textId="77777777" w:rsidTr="007D662E">
        <w:trPr>
          <w:tblCellSpacing w:w="15" w:type="dxa"/>
        </w:trPr>
        <w:tc>
          <w:tcPr>
            <w:tcW w:w="0" w:type="auto"/>
            <w:vAlign w:val="center"/>
            <w:hideMark/>
          </w:tcPr>
          <w:p w14:paraId="37001444"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specification agent</w:t>
            </w:r>
          </w:p>
        </w:tc>
        <w:tc>
          <w:tcPr>
            <w:tcW w:w="0" w:type="auto"/>
            <w:vAlign w:val="center"/>
            <w:hideMark/>
          </w:tcPr>
          <w:p w14:paraId="19163BB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Drafts schemas, API notes, policy-engine rules, test cases, and implementation tickets.</w:t>
            </w:r>
          </w:p>
        </w:tc>
        <w:tc>
          <w:tcPr>
            <w:tcW w:w="0" w:type="auto"/>
            <w:vAlign w:val="center"/>
            <w:hideMark/>
          </w:tcPr>
          <w:p w14:paraId="04FE7CA2"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deploy protected code without review.</w:t>
            </w:r>
          </w:p>
        </w:tc>
      </w:tr>
      <w:tr w:rsidR="007D662E" w:rsidRPr="00B479AE" w14:paraId="23B03D0E" w14:textId="77777777" w:rsidTr="007D662E">
        <w:trPr>
          <w:tblCellSpacing w:w="15" w:type="dxa"/>
        </w:trPr>
        <w:tc>
          <w:tcPr>
            <w:tcW w:w="0" w:type="auto"/>
            <w:vAlign w:val="center"/>
            <w:hideMark/>
          </w:tcPr>
          <w:p w14:paraId="45B7B96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Risk-signaling agent</w:t>
            </w:r>
          </w:p>
        </w:tc>
        <w:tc>
          <w:tcPr>
            <w:tcW w:w="0" w:type="auto"/>
            <w:vAlign w:val="center"/>
            <w:hideMark/>
          </w:tcPr>
          <w:p w14:paraId="3451319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Detects drift, overclaiming, semantic ambiguity, capture risk, and protected-domain escalation triggers.</w:t>
            </w:r>
          </w:p>
        </w:tc>
        <w:tc>
          <w:tcPr>
            <w:tcW w:w="0" w:type="auto"/>
            <w:vAlign w:val="center"/>
            <w:hideMark/>
          </w:tcPr>
          <w:p w14:paraId="29E7262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Produces risk flags, not final determinations.</w:t>
            </w:r>
          </w:p>
        </w:tc>
      </w:tr>
      <w:tr w:rsidR="007D662E" w:rsidRPr="00B479AE" w14:paraId="63872E4E" w14:textId="77777777" w:rsidTr="007D662E">
        <w:trPr>
          <w:tblCellSpacing w:w="15" w:type="dxa"/>
        </w:trPr>
        <w:tc>
          <w:tcPr>
            <w:tcW w:w="0" w:type="auto"/>
            <w:vAlign w:val="center"/>
            <w:hideMark/>
          </w:tcPr>
          <w:p w14:paraId="3B22F81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Investor-discipline agent</w:t>
            </w:r>
          </w:p>
        </w:tc>
        <w:tc>
          <w:tcPr>
            <w:tcW w:w="0" w:type="auto"/>
            <w:vAlign w:val="center"/>
            <w:hideMark/>
          </w:tcPr>
          <w:p w14:paraId="47952296"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Reviews language for financial overclaiming, PRU/RAP misuse, token confusion, and disclosure gaps.</w:t>
            </w:r>
          </w:p>
        </w:tc>
        <w:tc>
          <w:tcPr>
            <w:tcW w:w="0" w:type="auto"/>
            <w:vAlign w:val="center"/>
            <w:hideMark/>
          </w:tcPr>
          <w:p w14:paraId="3F5CBB38"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approve investor-facing materials without legal and governance review.</w:t>
            </w:r>
          </w:p>
        </w:tc>
      </w:tr>
      <w:tr w:rsidR="007D662E" w:rsidRPr="00B479AE" w14:paraId="4DAAB99A" w14:textId="77777777" w:rsidTr="007D662E">
        <w:trPr>
          <w:tblCellSpacing w:w="15" w:type="dxa"/>
        </w:trPr>
        <w:tc>
          <w:tcPr>
            <w:tcW w:w="0" w:type="auto"/>
            <w:vAlign w:val="center"/>
            <w:hideMark/>
          </w:tcPr>
          <w:p w14:paraId="540853C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firewall agent</w:t>
            </w:r>
          </w:p>
        </w:tc>
        <w:tc>
          <w:tcPr>
            <w:tcW w:w="0" w:type="auto"/>
            <w:vAlign w:val="center"/>
            <w:hideMark/>
          </w:tcPr>
          <w:p w14:paraId="5E83EE22"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Checks use of canonical terms against the canonical glossary.</w:t>
            </w:r>
          </w:p>
        </w:tc>
        <w:tc>
          <w:tcPr>
            <w:tcW w:w="0" w:type="auto"/>
            <w:vAlign w:val="center"/>
            <w:hideMark/>
          </w:tcPr>
          <w:p w14:paraId="0653889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redefine canonical terms.</w:t>
            </w:r>
          </w:p>
        </w:tc>
      </w:tr>
      <w:tr w:rsidR="007D662E" w:rsidRPr="00B479AE" w14:paraId="67F64DF3" w14:textId="77777777" w:rsidTr="007D662E">
        <w:trPr>
          <w:tblCellSpacing w:w="15" w:type="dxa"/>
        </w:trPr>
        <w:tc>
          <w:tcPr>
            <w:tcW w:w="0" w:type="auto"/>
            <w:vAlign w:val="center"/>
            <w:hideMark/>
          </w:tcPr>
          <w:p w14:paraId="299F391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Continuity verification agent</w:t>
            </w:r>
          </w:p>
        </w:tc>
        <w:tc>
          <w:tcPr>
            <w:tcW w:w="0" w:type="auto"/>
            <w:vAlign w:val="center"/>
            <w:hideMark/>
          </w:tcPr>
          <w:p w14:paraId="5C5EE42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Assists with release manifests, checksums, signatures, repository mirrors, and archive records.</w:t>
            </w:r>
          </w:p>
        </w:tc>
        <w:tc>
          <w:tcPr>
            <w:tcW w:w="0" w:type="auto"/>
            <w:vAlign w:val="center"/>
            <w:hideMark/>
          </w:tcPr>
          <w:p w14:paraId="3F63851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Cannot create canonical release authority by itself.</w:t>
            </w:r>
          </w:p>
        </w:tc>
      </w:tr>
    </w:tbl>
    <w:p w14:paraId="6F1947C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Each agent should be defined by:</w:t>
      </w:r>
    </w:p>
    <w:p w14:paraId="37E2A73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role;</w:t>
      </w:r>
      <w:r w:rsidRPr="00B479AE">
        <w:rPr>
          <w:rFonts w:ascii="Baskerville Old Face" w:hAnsi="Baskerville Old Face"/>
          <w:i/>
          <w:iCs/>
        </w:rPr>
        <w:br/>
        <w:t>• allowed inputs;</w:t>
      </w:r>
      <w:r w:rsidRPr="00B479AE">
        <w:rPr>
          <w:rFonts w:ascii="Baskerville Old Face" w:hAnsi="Baskerville Old Face"/>
          <w:i/>
          <w:iCs/>
        </w:rPr>
        <w:br/>
        <w:t>• allowed outputs;</w:t>
      </w:r>
      <w:r w:rsidRPr="00B479AE">
        <w:rPr>
          <w:rFonts w:ascii="Baskerville Old Face" w:hAnsi="Baskerville Old Face"/>
          <w:i/>
          <w:iCs/>
        </w:rPr>
        <w:br/>
        <w:t>• prohibited outputs;</w:t>
      </w:r>
      <w:r w:rsidRPr="00B479AE">
        <w:rPr>
          <w:rFonts w:ascii="Baskerville Old Face" w:hAnsi="Baskerville Old Face"/>
          <w:i/>
          <w:iCs/>
        </w:rPr>
        <w:br/>
        <w:t>• review pathway;</w:t>
      </w:r>
      <w:r w:rsidRPr="00B479AE">
        <w:rPr>
          <w:rFonts w:ascii="Baskerville Old Face" w:hAnsi="Baskerville Old Face"/>
          <w:i/>
          <w:iCs/>
        </w:rPr>
        <w:br/>
      </w:r>
      <w:r w:rsidRPr="00B479AE">
        <w:rPr>
          <w:rFonts w:ascii="Baskerville Old Face" w:hAnsi="Baskerville Old Face"/>
          <w:i/>
          <w:iCs/>
        </w:rPr>
        <w:lastRenderedPageBreak/>
        <w:t>• logging requirements;</w:t>
      </w:r>
      <w:r w:rsidRPr="00B479AE">
        <w:rPr>
          <w:rFonts w:ascii="Baskerville Old Face" w:hAnsi="Baskerville Old Face"/>
          <w:i/>
          <w:iCs/>
        </w:rPr>
        <w:br/>
        <w:t>• data-access scope;</w:t>
      </w:r>
      <w:r w:rsidRPr="00B479AE">
        <w:rPr>
          <w:rFonts w:ascii="Baskerville Old Face" w:hAnsi="Baskerville Old Face"/>
          <w:i/>
          <w:iCs/>
        </w:rPr>
        <w:br/>
        <w:t>• model version;</w:t>
      </w:r>
      <w:r w:rsidRPr="00B479AE">
        <w:rPr>
          <w:rFonts w:ascii="Baskerville Old Face" w:hAnsi="Baskerville Old Face"/>
          <w:i/>
          <w:iCs/>
        </w:rPr>
        <w:br/>
        <w:t>• prompt or policy version;</w:t>
      </w:r>
      <w:r w:rsidRPr="00B479AE">
        <w:rPr>
          <w:rFonts w:ascii="Baskerville Old Face" w:hAnsi="Baskerville Old Face"/>
          <w:i/>
          <w:iCs/>
        </w:rPr>
        <w:br/>
        <w:t>• evaluation requirements;</w:t>
      </w:r>
      <w:r w:rsidRPr="00B479AE">
        <w:rPr>
          <w:rFonts w:ascii="Baskerville Old Face" w:hAnsi="Baskerville Old Face"/>
          <w:i/>
          <w:iCs/>
        </w:rPr>
        <w:br/>
        <w:t>• rollback process.</w:t>
      </w:r>
    </w:p>
    <w:p w14:paraId="557959FA" w14:textId="3CF24D4B"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agent is a tool.</w:t>
      </w:r>
      <w:r w:rsidR="00AA6463" w:rsidRPr="00B479AE">
        <w:rPr>
          <w:rFonts w:ascii="Baskerville Old Face" w:hAnsi="Baskerville Old Face"/>
          <w:i/>
          <w:iCs/>
        </w:rPr>
        <w:t xml:space="preserve"> </w:t>
      </w:r>
      <w:r w:rsidRPr="00B479AE">
        <w:rPr>
          <w:rFonts w:ascii="Baskerville Old Face" w:hAnsi="Baskerville Old Face"/>
          <w:i/>
          <w:iCs/>
        </w:rPr>
        <w:t>The review pathway is the authority.</w:t>
      </w:r>
    </w:p>
    <w:p w14:paraId="11B8AE7F"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H.3 Output classification</w:t>
      </w:r>
    </w:p>
    <w:p w14:paraId="750AF61B" w14:textId="7445D734"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Every AI-generated output should carry a status label before use.</w:t>
      </w:r>
      <w:r w:rsidR="00DF35AF"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4220"/>
        <w:gridCol w:w="3718"/>
      </w:tblGrid>
      <w:tr w:rsidR="007D662E" w:rsidRPr="00B479AE" w14:paraId="39D908F2" w14:textId="77777777" w:rsidTr="007D662E">
        <w:trPr>
          <w:tblHeader/>
          <w:tblCellSpacing w:w="15" w:type="dxa"/>
        </w:trPr>
        <w:tc>
          <w:tcPr>
            <w:tcW w:w="0" w:type="auto"/>
            <w:vAlign w:val="center"/>
            <w:hideMark/>
          </w:tcPr>
          <w:p w14:paraId="40905DF3"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Output status</w:t>
            </w:r>
          </w:p>
        </w:tc>
        <w:tc>
          <w:tcPr>
            <w:tcW w:w="0" w:type="auto"/>
            <w:vAlign w:val="center"/>
            <w:hideMark/>
          </w:tcPr>
          <w:p w14:paraId="7D70FBBB"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72762792"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Permitted use</w:t>
            </w:r>
          </w:p>
        </w:tc>
      </w:tr>
      <w:tr w:rsidR="007D662E" w:rsidRPr="00B479AE" w14:paraId="04DB8B49" w14:textId="77777777" w:rsidTr="007D662E">
        <w:trPr>
          <w:tblCellSpacing w:w="15" w:type="dxa"/>
        </w:trPr>
        <w:tc>
          <w:tcPr>
            <w:tcW w:w="0" w:type="auto"/>
            <w:vAlign w:val="center"/>
            <w:hideMark/>
          </w:tcPr>
          <w:p w14:paraId="5638FDF6"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Draft</w:t>
            </w:r>
          </w:p>
        </w:tc>
        <w:tc>
          <w:tcPr>
            <w:tcW w:w="0" w:type="auto"/>
            <w:vAlign w:val="center"/>
            <w:hideMark/>
          </w:tcPr>
          <w:p w14:paraId="63739C3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Preliminary generated text or structure.</w:t>
            </w:r>
          </w:p>
        </w:tc>
        <w:tc>
          <w:tcPr>
            <w:tcW w:w="0" w:type="auto"/>
            <w:vAlign w:val="center"/>
            <w:hideMark/>
          </w:tcPr>
          <w:p w14:paraId="653D89C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Editing, discussion, internal preparation.</w:t>
            </w:r>
          </w:p>
        </w:tc>
      </w:tr>
      <w:tr w:rsidR="007D662E" w:rsidRPr="00B479AE" w14:paraId="508BB4FA" w14:textId="77777777" w:rsidTr="007D662E">
        <w:trPr>
          <w:tblCellSpacing w:w="15" w:type="dxa"/>
        </w:trPr>
        <w:tc>
          <w:tcPr>
            <w:tcW w:w="0" w:type="auto"/>
            <w:vAlign w:val="center"/>
            <w:hideMark/>
          </w:tcPr>
          <w:p w14:paraId="757B29E3"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Hypothesis</w:t>
            </w:r>
          </w:p>
        </w:tc>
        <w:tc>
          <w:tcPr>
            <w:tcW w:w="0" w:type="auto"/>
            <w:vAlign w:val="center"/>
            <w:hideMark/>
          </w:tcPr>
          <w:p w14:paraId="1102D66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Possible explanation or future research direction.</w:t>
            </w:r>
          </w:p>
        </w:tc>
        <w:tc>
          <w:tcPr>
            <w:tcW w:w="0" w:type="auto"/>
            <w:vAlign w:val="center"/>
            <w:hideMark/>
          </w:tcPr>
          <w:p w14:paraId="34E8582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planning, appendix parking, test design.</w:t>
            </w:r>
          </w:p>
        </w:tc>
      </w:tr>
      <w:tr w:rsidR="007D662E" w:rsidRPr="00B479AE" w14:paraId="5DC56810" w14:textId="77777777" w:rsidTr="007D662E">
        <w:trPr>
          <w:tblCellSpacing w:w="15" w:type="dxa"/>
        </w:trPr>
        <w:tc>
          <w:tcPr>
            <w:tcW w:w="0" w:type="auto"/>
            <w:vAlign w:val="center"/>
            <w:hideMark/>
          </w:tcPr>
          <w:p w14:paraId="1AAAB39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Scenario</w:t>
            </w:r>
          </w:p>
        </w:tc>
        <w:tc>
          <w:tcPr>
            <w:tcW w:w="0" w:type="auto"/>
            <w:vAlign w:val="center"/>
            <w:hideMark/>
          </w:tcPr>
          <w:p w14:paraId="21B94AE1"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Assumption-based model or pathway.</w:t>
            </w:r>
          </w:p>
        </w:tc>
        <w:tc>
          <w:tcPr>
            <w:tcW w:w="0" w:type="auto"/>
            <w:vAlign w:val="center"/>
            <w:hideMark/>
          </w:tcPr>
          <w:p w14:paraId="5C7A6018"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Planning, sensitivity analysis, strategic discussion.</w:t>
            </w:r>
          </w:p>
        </w:tc>
      </w:tr>
      <w:tr w:rsidR="007D662E" w:rsidRPr="00B479AE" w14:paraId="0255B15A" w14:textId="77777777" w:rsidTr="007D662E">
        <w:trPr>
          <w:tblCellSpacing w:w="15" w:type="dxa"/>
        </w:trPr>
        <w:tc>
          <w:tcPr>
            <w:tcW w:w="0" w:type="auto"/>
            <w:vAlign w:val="center"/>
            <w:hideMark/>
          </w:tcPr>
          <w:p w14:paraId="7936048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Analysis</w:t>
            </w:r>
          </w:p>
        </w:tc>
        <w:tc>
          <w:tcPr>
            <w:tcW w:w="0" w:type="auto"/>
            <w:vAlign w:val="center"/>
            <w:hideMark/>
          </w:tcPr>
          <w:p w14:paraId="2857A8C6"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Structured interpretation of available information.</w:t>
            </w:r>
          </w:p>
        </w:tc>
        <w:tc>
          <w:tcPr>
            <w:tcW w:w="0" w:type="auto"/>
            <w:vAlign w:val="center"/>
            <w:hideMark/>
          </w:tcPr>
          <w:p w14:paraId="45F27A96"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Human review, governance preparation, diligence support.</w:t>
            </w:r>
          </w:p>
        </w:tc>
      </w:tr>
      <w:tr w:rsidR="007D662E" w:rsidRPr="00B479AE" w14:paraId="3D1B70C8" w14:textId="77777777" w:rsidTr="007D662E">
        <w:trPr>
          <w:tblCellSpacing w:w="15" w:type="dxa"/>
        </w:trPr>
        <w:tc>
          <w:tcPr>
            <w:tcW w:w="0" w:type="auto"/>
            <w:vAlign w:val="center"/>
            <w:hideMark/>
          </w:tcPr>
          <w:p w14:paraId="2C81698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Risk flag</w:t>
            </w:r>
          </w:p>
        </w:tc>
        <w:tc>
          <w:tcPr>
            <w:tcW w:w="0" w:type="auto"/>
            <w:vAlign w:val="center"/>
            <w:hideMark/>
          </w:tcPr>
          <w:p w14:paraId="7BBAB48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Identified possible issue or anomaly.</w:t>
            </w:r>
          </w:p>
        </w:tc>
        <w:tc>
          <w:tcPr>
            <w:tcW w:w="0" w:type="auto"/>
            <w:vAlign w:val="center"/>
            <w:hideMark/>
          </w:tcPr>
          <w:p w14:paraId="44AD0812"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Escalation, investigation, review trigger.</w:t>
            </w:r>
          </w:p>
        </w:tc>
      </w:tr>
      <w:tr w:rsidR="007D662E" w:rsidRPr="00B479AE" w14:paraId="2608F72E" w14:textId="77777777" w:rsidTr="007D662E">
        <w:trPr>
          <w:tblCellSpacing w:w="15" w:type="dxa"/>
        </w:trPr>
        <w:tc>
          <w:tcPr>
            <w:tcW w:w="0" w:type="auto"/>
            <w:vAlign w:val="center"/>
            <w:hideMark/>
          </w:tcPr>
          <w:p w14:paraId="60C2851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Recommendation</w:t>
            </w:r>
          </w:p>
        </w:tc>
        <w:tc>
          <w:tcPr>
            <w:tcW w:w="0" w:type="auto"/>
            <w:vAlign w:val="center"/>
            <w:hideMark/>
          </w:tcPr>
          <w:p w14:paraId="2179AF4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Proposed action or pathway.</w:t>
            </w:r>
          </w:p>
        </w:tc>
        <w:tc>
          <w:tcPr>
            <w:tcW w:w="0" w:type="auto"/>
            <w:vAlign w:val="center"/>
            <w:hideMark/>
          </w:tcPr>
          <w:p w14:paraId="54463FC3"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 legal, technical, or MRV review.</w:t>
            </w:r>
          </w:p>
        </w:tc>
      </w:tr>
      <w:tr w:rsidR="007D662E" w:rsidRPr="00B479AE" w14:paraId="29CEB722" w14:textId="77777777" w:rsidTr="007D662E">
        <w:trPr>
          <w:tblCellSpacing w:w="15" w:type="dxa"/>
        </w:trPr>
        <w:tc>
          <w:tcPr>
            <w:tcW w:w="0" w:type="auto"/>
            <w:vAlign w:val="center"/>
            <w:hideMark/>
          </w:tcPr>
          <w:p w14:paraId="40FF634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Review-required</w:t>
            </w:r>
          </w:p>
        </w:tc>
        <w:tc>
          <w:tcPr>
            <w:tcW w:w="0" w:type="auto"/>
            <w:vAlign w:val="center"/>
            <w:hideMark/>
          </w:tcPr>
          <w:p w14:paraId="20912E4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Output touches protected domains.</w:t>
            </w:r>
          </w:p>
        </w:tc>
        <w:tc>
          <w:tcPr>
            <w:tcW w:w="0" w:type="auto"/>
            <w:vAlign w:val="center"/>
            <w:hideMark/>
          </w:tcPr>
          <w:p w14:paraId="7CAA3C0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Paused until appropriate review.</w:t>
            </w:r>
          </w:p>
        </w:tc>
      </w:tr>
      <w:tr w:rsidR="007D662E" w:rsidRPr="00B479AE" w14:paraId="4F0A1AC1" w14:textId="77777777" w:rsidTr="007D662E">
        <w:trPr>
          <w:tblCellSpacing w:w="15" w:type="dxa"/>
        </w:trPr>
        <w:tc>
          <w:tcPr>
            <w:tcW w:w="0" w:type="auto"/>
            <w:vAlign w:val="center"/>
            <w:hideMark/>
          </w:tcPr>
          <w:p w14:paraId="7A54694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Non-admissible</w:t>
            </w:r>
          </w:p>
        </w:tc>
        <w:tc>
          <w:tcPr>
            <w:tcW w:w="0" w:type="auto"/>
            <w:vAlign w:val="center"/>
            <w:hideMark/>
          </w:tcPr>
          <w:p w14:paraId="13584933"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Output cannot enter protected Prometheus pathways.</w:t>
            </w:r>
          </w:p>
        </w:tc>
        <w:tc>
          <w:tcPr>
            <w:tcW w:w="0" w:type="auto"/>
            <w:vAlign w:val="center"/>
            <w:hideMark/>
          </w:tcPr>
          <w:p w14:paraId="3CFCF32F"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Archive, learning, appendix parking, or rejection.</w:t>
            </w:r>
          </w:p>
        </w:tc>
      </w:tr>
      <w:tr w:rsidR="007D662E" w:rsidRPr="00B479AE" w14:paraId="33ACA73D" w14:textId="77777777" w:rsidTr="007D662E">
        <w:trPr>
          <w:tblCellSpacing w:w="15" w:type="dxa"/>
        </w:trPr>
        <w:tc>
          <w:tcPr>
            <w:tcW w:w="0" w:type="auto"/>
            <w:vAlign w:val="center"/>
            <w:hideMark/>
          </w:tcPr>
          <w:p w14:paraId="51B13F4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Authorized record</w:t>
            </w:r>
          </w:p>
        </w:tc>
        <w:tc>
          <w:tcPr>
            <w:tcW w:w="0" w:type="auto"/>
            <w:vAlign w:val="center"/>
            <w:hideMark/>
          </w:tcPr>
          <w:p w14:paraId="17D610A4"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Output reviewed, approved, and signed by the appropriate pathway.</w:t>
            </w:r>
          </w:p>
        </w:tc>
        <w:tc>
          <w:tcPr>
            <w:tcW w:w="0" w:type="auto"/>
            <w:vAlign w:val="center"/>
            <w:hideMark/>
          </w:tcPr>
          <w:p w14:paraId="0A4928B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Official record within defined scope.</w:t>
            </w:r>
          </w:p>
        </w:tc>
      </w:tr>
    </w:tbl>
    <w:p w14:paraId="01989B1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No AI output should move directly from generation to protected execution.</w:t>
      </w:r>
    </w:p>
    <w:p w14:paraId="56818EB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minimum sequence is:</w:t>
      </w:r>
    </w:p>
    <w:p w14:paraId="434D4E3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request</w:t>
      </w:r>
      <w:r w:rsidRPr="00B479AE">
        <w:rPr>
          <w:rFonts w:ascii="Baskerville Old Face" w:hAnsi="Baskerville Old Face"/>
          <w:i/>
          <w:iCs/>
        </w:rPr>
        <w:br/>
        <w:t>classification</w:t>
      </w:r>
      <w:r w:rsidRPr="00B479AE">
        <w:rPr>
          <w:rFonts w:ascii="Baskerville Old Face" w:hAnsi="Baskerville Old Face"/>
          <w:i/>
          <w:iCs/>
        </w:rPr>
        <w:br/>
        <w:t>source check</w:t>
      </w:r>
      <w:r w:rsidRPr="00B479AE">
        <w:rPr>
          <w:rFonts w:ascii="Baskerville Old Face" w:hAnsi="Baskerville Old Face"/>
          <w:i/>
          <w:iCs/>
        </w:rPr>
        <w:br/>
        <w:t>risk check</w:t>
      </w:r>
      <w:r w:rsidRPr="00B479AE">
        <w:rPr>
          <w:rFonts w:ascii="Baskerville Old Face" w:hAnsi="Baskerville Old Face"/>
          <w:i/>
          <w:iCs/>
        </w:rPr>
        <w:br/>
        <w:t>protected-domain check</w:t>
      </w:r>
      <w:r w:rsidRPr="00B479AE">
        <w:rPr>
          <w:rFonts w:ascii="Baskerville Old Face" w:hAnsi="Baskerville Old Face"/>
          <w:i/>
          <w:iCs/>
        </w:rPr>
        <w:br/>
        <w:t>review pathway</w:t>
      </w:r>
      <w:r w:rsidRPr="00B479AE">
        <w:rPr>
          <w:rFonts w:ascii="Baskerville Old Face" w:hAnsi="Baskerville Old Face"/>
          <w:i/>
          <w:iCs/>
        </w:rPr>
        <w:br/>
        <w:t>authorization where required</w:t>
      </w:r>
      <w:r w:rsidRPr="00B479AE">
        <w:rPr>
          <w:rFonts w:ascii="Baskerville Old Face" w:hAnsi="Baskerville Old Face"/>
          <w:i/>
          <w:iCs/>
        </w:rPr>
        <w:br/>
        <w:t>execution</w:t>
      </w:r>
      <w:r w:rsidRPr="00B479AE">
        <w:rPr>
          <w:rFonts w:ascii="Baskerville Old Face" w:hAnsi="Baskerville Old Face"/>
          <w:i/>
          <w:iCs/>
        </w:rPr>
        <w:br/>
        <w:t>audit record.</w:t>
      </w:r>
    </w:p>
    <w:p w14:paraId="07BE4E5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This creates a clean boundary between intelligence and authority.</w:t>
      </w:r>
    </w:p>
    <w:p w14:paraId="1F9516AE"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H.4 Training data governance</w:t>
      </w:r>
    </w:p>
    <w:p w14:paraId="3593DB8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AI-assisted learning requires disciplined training-data governance.</w:t>
      </w:r>
    </w:p>
    <w:p w14:paraId="045A1E2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should classify training data by sensitivity, legal basis, provenance, quality, consent, and permitted use.</w:t>
      </w:r>
    </w:p>
    <w:p w14:paraId="104413B8"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Training data may include:</w:t>
      </w:r>
    </w:p>
    <w:p w14:paraId="1EB520E2"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public Prometheus documents;</w:t>
      </w:r>
      <w:r w:rsidRPr="00B479AE">
        <w:rPr>
          <w:rFonts w:ascii="Baskerville Old Face" w:hAnsi="Baskerville Old Face"/>
          <w:i/>
          <w:iCs/>
        </w:rPr>
        <w:br/>
        <w:t>• canonical glossary;</w:t>
      </w:r>
      <w:r w:rsidRPr="00B479AE">
        <w:rPr>
          <w:rFonts w:ascii="Baskerville Old Face" w:hAnsi="Baskerville Old Face"/>
          <w:i/>
          <w:iCs/>
        </w:rPr>
        <w:br/>
        <w:t>• source-layer texts;</w:t>
      </w:r>
      <w:r w:rsidRPr="00B479AE">
        <w:rPr>
          <w:rFonts w:ascii="Baskerville Old Face" w:hAnsi="Baskerville Old Face"/>
          <w:i/>
          <w:iCs/>
        </w:rPr>
        <w:br/>
        <w:t>• MRV methodology documents;</w:t>
      </w:r>
      <w:r w:rsidRPr="00B479AE">
        <w:rPr>
          <w:rFonts w:ascii="Baskerville Old Face" w:hAnsi="Baskerville Old Face"/>
          <w:i/>
          <w:iCs/>
        </w:rPr>
        <w:br/>
        <w:t>• public ecological science;</w:t>
      </w:r>
      <w:r w:rsidRPr="00B479AE">
        <w:rPr>
          <w:rFonts w:ascii="Baskerville Old Face" w:hAnsi="Baskerville Old Face"/>
          <w:i/>
          <w:iCs/>
        </w:rPr>
        <w:br/>
        <w:t>• public regulatory and legal materials;</w:t>
      </w:r>
      <w:r w:rsidRPr="00B479AE">
        <w:rPr>
          <w:rFonts w:ascii="Baskerville Old Face" w:hAnsi="Baskerville Old Face"/>
          <w:i/>
          <w:iCs/>
        </w:rPr>
        <w:br/>
        <w:t>• public technical standards;</w:t>
      </w:r>
      <w:r w:rsidRPr="00B479AE">
        <w:rPr>
          <w:rFonts w:ascii="Baskerville Old Face" w:hAnsi="Baskerville Old Face"/>
          <w:i/>
          <w:iCs/>
        </w:rPr>
        <w:br/>
        <w:t>• anonymized or aggregated operational logs where lawful and appropriate;</w:t>
      </w:r>
      <w:r w:rsidRPr="00B479AE">
        <w:rPr>
          <w:rFonts w:ascii="Baskerville Old Face" w:hAnsi="Baskerville Old Face"/>
          <w:i/>
          <w:iCs/>
        </w:rPr>
        <w:br/>
        <w:t>• reviewed governance records where authorized;</w:t>
      </w:r>
      <w:r w:rsidRPr="00B479AE">
        <w:rPr>
          <w:rFonts w:ascii="Baskerville Old Face" w:hAnsi="Baskerville Old Face"/>
          <w:i/>
          <w:iCs/>
        </w:rPr>
        <w:br/>
        <w:t>• synthetic test cases created for evaluation;</w:t>
      </w:r>
      <w:r w:rsidRPr="00B479AE">
        <w:rPr>
          <w:rFonts w:ascii="Baskerville Old Face" w:hAnsi="Baskerville Old Face"/>
          <w:i/>
          <w:iCs/>
        </w:rPr>
        <w:br/>
        <w:t>• adversarial examples created for safety testing.</w:t>
      </w:r>
    </w:p>
    <w:p w14:paraId="25BB49EE"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Training data should not indiscriminately include:</w:t>
      </w:r>
    </w:p>
    <w:p w14:paraId="1D10026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 private governance votes;</w:t>
      </w:r>
      <w:r w:rsidRPr="00B479AE">
        <w:rPr>
          <w:rFonts w:ascii="Baskerville Old Face" w:hAnsi="Baskerville Old Face"/>
          <w:i/>
          <w:iCs/>
        </w:rPr>
        <w:br/>
        <w:t>• wallet histories;</w:t>
      </w:r>
      <w:r w:rsidRPr="00B479AE">
        <w:rPr>
          <w:rFonts w:ascii="Baskerville Old Face" w:hAnsi="Baskerville Old Face"/>
          <w:i/>
          <w:iCs/>
        </w:rPr>
        <w:br/>
        <w:t>• HSI or biometric data;</w:t>
      </w:r>
      <w:r w:rsidRPr="00B479AE">
        <w:rPr>
          <w:rFonts w:ascii="Baskerville Old Face" w:hAnsi="Baskerville Old Face"/>
          <w:i/>
          <w:iCs/>
        </w:rPr>
        <w:br/>
        <w:t>• private community communications;</w:t>
      </w:r>
      <w:r w:rsidRPr="00B479AE">
        <w:rPr>
          <w:rFonts w:ascii="Baskerville Old Face" w:hAnsi="Baskerville Old Face"/>
          <w:i/>
          <w:iCs/>
        </w:rPr>
        <w:br/>
        <w:t>• investor data-room material;</w:t>
      </w:r>
      <w:r w:rsidRPr="00B479AE">
        <w:rPr>
          <w:rFonts w:ascii="Baskerville Old Face" w:hAnsi="Baskerville Old Face"/>
          <w:i/>
          <w:iCs/>
        </w:rPr>
        <w:br/>
        <w:t>• confidential legal memoranda;</w:t>
      </w:r>
      <w:r w:rsidRPr="00B479AE">
        <w:rPr>
          <w:rFonts w:ascii="Baskerville Old Face" w:hAnsi="Baskerville Old Face"/>
          <w:i/>
          <w:iCs/>
        </w:rPr>
        <w:br/>
        <w:t>• sensitive MRV data;</w:t>
      </w:r>
      <w:r w:rsidRPr="00B479AE">
        <w:rPr>
          <w:rFonts w:ascii="Baskerville Old Face" w:hAnsi="Baskerville Old Face"/>
          <w:i/>
          <w:iCs/>
        </w:rPr>
        <w:br/>
        <w:t>• personal data;</w:t>
      </w:r>
      <w:r w:rsidRPr="00B479AE">
        <w:rPr>
          <w:rFonts w:ascii="Baskerville Old Face" w:hAnsi="Baskerville Old Face"/>
          <w:i/>
          <w:iCs/>
        </w:rPr>
        <w:br/>
        <w:t>• proprietary partner data;</w:t>
      </w:r>
      <w:r w:rsidRPr="00B479AE">
        <w:rPr>
          <w:rFonts w:ascii="Baskerville Old Face" w:hAnsi="Baskerville Old Face"/>
          <w:i/>
          <w:iCs/>
        </w:rPr>
        <w:br/>
        <w:t>• raw field data with privacy or ownership constraints.</w:t>
      </w:r>
    </w:p>
    <w:p w14:paraId="0A392C8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Such data may be used only where there is a lawful basis, explicit permission where required, purpose limitation, minimization, access control, and review.</w:t>
      </w:r>
    </w:p>
    <w:p w14:paraId="4E6EA56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training-data rule is:</w:t>
      </w:r>
    </w:p>
    <w:p w14:paraId="05CBBF7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public and canonical material may teach structure;</w:t>
      </w:r>
      <w:r w:rsidRPr="00B479AE">
        <w:rPr>
          <w:rFonts w:ascii="Baskerville Old Face" w:hAnsi="Baskerville Old Face"/>
          <w:i/>
          <w:iCs/>
        </w:rPr>
        <w:br/>
        <w:t>sensitive material requires governance, consent, law, and minimization;</w:t>
      </w:r>
      <w:r w:rsidRPr="00B479AE">
        <w:rPr>
          <w:rFonts w:ascii="Baskerville Old Face" w:hAnsi="Baskerville Old Face"/>
          <w:i/>
          <w:iCs/>
        </w:rPr>
        <w:br/>
        <w:t>human-state data requires the highest protection;</w:t>
      </w:r>
      <w:r w:rsidRPr="00B479AE">
        <w:rPr>
          <w:rFonts w:ascii="Baskerville Old Face" w:hAnsi="Baskerville Old Face"/>
          <w:i/>
          <w:iCs/>
        </w:rPr>
        <w:br/>
        <w:t>wallet or token history does not become a proxy for human value.</w:t>
      </w:r>
    </w:p>
    <w:p w14:paraId="669F11E5"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H.5 Fine-tuning and model improvement boundary</w:t>
      </w:r>
    </w:p>
    <w:p w14:paraId="7F7E72B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may use fine-tuning, retrieval-augmented generation, prompt engineering, evaluation datasets, supervised examples, and local-model adaptation.</w:t>
      </w:r>
    </w:p>
    <w:p w14:paraId="31034E8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However, model improvement must be review-bound.</w:t>
      </w:r>
    </w:p>
    <w:p w14:paraId="66E8D46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model improvement cycle should include:</w:t>
      </w:r>
    </w:p>
    <w:p w14:paraId="0D287BB0"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Need identification</w:t>
      </w:r>
      <w:r w:rsidRPr="00B479AE">
        <w:rPr>
          <w:rFonts w:ascii="Baskerville Old Face" w:hAnsi="Baskerville Old Face"/>
          <w:i/>
          <w:iCs/>
        </w:rPr>
        <w:br/>
        <w:t>Define the problem the model is meant to improve.</w:t>
      </w:r>
    </w:p>
    <w:p w14:paraId="651DB85F"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Domain classification</w:t>
      </w:r>
      <w:r w:rsidRPr="00B479AE">
        <w:rPr>
          <w:rFonts w:ascii="Baskerville Old Face" w:hAnsi="Baskerville Old Face"/>
          <w:i/>
          <w:iCs/>
        </w:rPr>
        <w:br/>
        <w:t>Identify whether the model touches MRV, law, governance, finance, tokenization, HSI, technical administration, or constitutional interpretation.</w:t>
      </w:r>
    </w:p>
    <w:p w14:paraId="4036FF82"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lastRenderedPageBreak/>
        <w:t>Training-data review</w:t>
      </w:r>
      <w:r w:rsidRPr="00B479AE">
        <w:rPr>
          <w:rFonts w:ascii="Baskerville Old Face" w:hAnsi="Baskerville Old Face"/>
          <w:i/>
          <w:iCs/>
        </w:rPr>
        <w:br/>
        <w:t>Confirm data provenance, permissions, privacy status, and quality.</w:t>
      </w:r>
    </w:p>
    <w:p w14:paraId="18F506C1"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Safety and boundary specification</w:t>
      </w:r>
      <w:r w:rsidRPr="00B479AE">
        <w:rPr>
          <w:rFonts w:ascii="Baskerville Old Face" w:hAnsi="Baskerville Old Face"/>
          <w:i/>
          <w:iCs/>
        </w:rPr>
        <w:br/>
        <w:t>Define prohibited outputs, protected-domain constraints, and review triggers.</w:t>
      </w:r>
    </w:p>
    <w:p w14:paraId="0B10DC81"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Fine-tuning or adaptation</w:t>
      </w:r>
      <w:r w:rsidRPr="00B479AE">
        <w:rPr>
          <w:rFonts w:ascii="Baskerville Old Face" w:hAnsi="Baskerville Old Face"/>
          <w:i/>
          <w:iCs/>
        </w:rPr>
        <w:br/>
        <w:t>Train or adapt the model only within the approved scope.</w:t>
      </w:r>
    </w:p>
    <w:p w14:paraId="20E7F1CB"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Evaluation</w:t>
      </w:r>
      <w:r w:rsidRPr="00B479AE">
        <w:rPr>
          <w:rFonts w:ascii="Baskerville Old Face" w:hAnsi="Baskerville Old Face"/>
          <w:i/>
          <w:iCs/>
        </w:rPr>
        <w:br/>
        <w:t>Test accuracy, hallucination risk, overclaiming, semantic drift, privacy leakage, and protected-domain behavior.</w:t>
      </w:r>
    </w:p>
    <w:p w14:paraId="7D33C3AC"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Adversarial testing</w:t>
      </w:r>
      <w:r w:rsidRPr="00B479AE">
        <w:rPr>
          <w:rFonts w:ascii="Baskerville Old Face" w:hAnsi="Baskerville Old Face"/>
          <w:i/>
          <w:iCs/>
        </w:rPr>
        <w:br/>
        <w:t>Run prompt-injection, synthetic evidence, legal overreach, MRV misuse, token confusion, HSI misuse, and ASI-style manipulation tests.</w:t>
      </w:r>
    </w:p>
    <w:p w14:paraId="45E68FE6"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Human and governance review</w:t>
      </w:r>
      <w:r w:rsidRPr="00B479AE">
        <w:rPr>
          <w:rFonts w:ascii="Baskerville Old Face" w:hAnsi="Baskerville Old Face"/>
          <w:i/>
          <w:iCs/>
        </w:rPr>
        <w:br/>
      </w:r>
      <w:proofErr w:type="spellStart"/>
      <w:r w:rsidRPr="00B479AE">
        <w:rPr>
          <w:rFonts w:ascii="Baskerville Old Face" w:hAnsi="Baskerville Old Face"/>
          <w:i/>
          <w:iCs/>
        </w:rPr>
        <w:t>Review</w:t>
      </w:r>
      <w:proofErr w:type="spellEnd"/>
      <w:r w:rsidRPr="00B479AE">
        <w:rPr>
          <w:rFonts w:ascii="Baskerville Old Face" w:hAnsi="Baskerville Old Face"/>
          <w:i/>
          <w:iCs/>
        </w:rPr>
        <w:t xml:space="preserve"> results before deployment.</w:t>
      </w:r>
    </w:p>
    <w:p w14:paraId="392B527B"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Staged deployment</w:t>
      </w:r>
      <w:r w:rsidRPr="00B479AE">
        <w:rPr>
          <w:rFonts w:ascii="Baskerville Old Face" w:hAnsi="Baskerville Old Face"/>
          <w:i/>
          <w:iCs/>
        </w:rPr>
        <w:br/>
        <w:t>Deploy first in sandbox, then limited scope, then broader use where justified.</w:t>
      </w:r>
    </w:p>
    <w:p w14:paraId="4E08100D" w14:textId="77777777" w:rsidR="007D662E" w:rsidRPr="00B479AE" w:rsidRDefault="007D662E">
      <w:pPr>
        <w:numPr>
          <w:ilvl w:val="0"/>
          <w:numId w:val="18"/>
        </w:numPr>
        <w:spacing w:line="360" w:lineRule="auto"/>
        <w:rPr>
          <w:rFonts w:ascii="Baskerville Old Face" w:hAnsi="Baskerville Old Face"/>
          <w:i/>
          <w:iCs/>
        </w:rPr>
      </w:pPr>
      <w:r w:rsidRPr="00B479AE">
        <w:rPr>
          <w:rFonts w:ascii="Baskerville Old Face" w:hAnsi="Baskerville Old Face"/>
          <w:b/>
          <w:bCs/>
          <w:i/>
          <w:iCs/>
        </w:rPr>
        <w:t xml:space="preserve">Monitoring and </w:t>
      </w:r>
      <w:proofErr w:type="spellStart"/>
      <w:r w:rsidRPr="00B479AE">
        <w:rPr>
          <w:rFonts w:ascii="Baskerville Old Face" w:hAnsi="Baskerville Old Face"/>
          <w:b/>
          <w:bCs/>
          <w:i/>
          <w:iCs/>
        </w:rPr>
        <w:t>rollback</w:t>
      </w:r>
      <w:proofErr w:type="spellEnd"/>
      <w:r w:rsidRPr="00B479AE">
        <w:rPr>
          <w:rFonts w:ascii="Baskerville Old Face" w:hAnsi="Baskerville Old Face"/>
          <w:i/>
          <w:iCs/>
        </w:rPr>
        <w:br/>
        <w:t>Log behavior, monitor drift, and preserve rollback capability.</w:t>
      </w:r>
    </w:p>
    <w:p w14:paraId="265C949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improvement cycle is iterative.</w:t>
      </w:r>
    </w:p>
    <w:p w14:paraId="48BE5FB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is not autonomous constitutional evolution.</w:t>
      </w:r>
    </w:p>
    <w:p w14:paraId="4A69F187"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model may improve its performance.</w:t>
      </w:r>
    </w:p>
    <w:p w14:paraId="5D6394E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not improve itself into authority.</w:t>
      </w:r>
    </w:p>
    <w:p w14:paraId="639AF23C"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H.6 Review-bound deployment</w:t>
      </w:r>
    </w:p>
    <w:p w14:paraId="4A4BC1EF" w14:textId="46546BB2"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Deployment of AI systems should be staged. </w:t>
      </w:r>
    </w:p>
    <w:p w14:paraId="35482750" w14:textId="77777777" w:rsidR="007D662E" w:rsidRPr="00B479AE" w:rsidRDefault="007D662E" w:rsidP="007D662E">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3853"/>
        <w:gridCol w:w="3889"/>
      </w:tblGrid>
      <w:tr w:rsidR="007D662E" w:rsidRPr="00B479AE" w14:paraId="2B795740" w14:textId="77777777" w:rsidTr="007D662E">
        <w:trPr>
          <w:tblHeader/>
          <w:tblCellSpacing w:w="15" w:type="dxa"/>
        </w:trPr>
        <w:tc>
          <w:tcPr>
            <w:tcW w:w="0" w:type="auto"/>
            <w:vAlign w:val="center"/>
            <w:hideMark/>
          </w:tcPr>
          <w:p w14:paraId="575BDB5E"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Deployment stage</w:t>
            </w:r>
          </w:p>
        </w:tc>
        <w:tc>
          <w:tcPr>
            <w:tcW w:w="0" w:type="auto"/>
            <w:vAlign w:val="center"/>
            <w:hideMark/>
          </w:tcPr>
          <w:p w14:paraId="79FB946A"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43799C98"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Permitted scope</w:t>
            </w:r>
          </w:p>
        </w:tc>
      </w:tr>
      <w:tr w:rsidR="007D662E" w:rsidRPr="00B479AE" w14:paraId="032FAB22" w14:textId="77777777" w:rsidTr="007D662E">
        <w:trPr>
          <w:tblCellSpacing w:w="15" w:type="dxa"/>
        </w:trPr>
        <w:tc>
          <w:tcPr>
            <w:tcW w:w="0" w:type="auto"/>
            <w:vAlign w:val="center"/>
            <w:hideMark/>
          </w:tcPr>
          <w:p w14:paraId="6914F888"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Research sandbox</w:t>
            </w:r>
          </w:p>
        </w:tc>
        <w:tc>
          <w:tcPr>
            <w:tcW w:w="0" w:type="auto"/>
            <w:vAlign w:val="center"/>
            <w:hideMark/>
          </w:tcPr>
          <w:p w14:paraId="648F61C8"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Experimental use with no operational authority.</w:t>
            </w:r>
          </w:p>
        </w:tc>
        <w:tc>
          <w:tcPr>
            <w:tcW w:w="0" w:type="auto"/>
            <w:vAlign w:val="center"/>
            <w:hideMark/>
          </w:tcPr>
          <w:p w14:paraId="6BA71078"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Testing, comparison, prompt design.</w:t>
            </w:r>
          </w:p>
        </w:tc>
      </w:tr>
      <w:tr w:rsidR="007D662E" w:rsidRPr="00B479AE" w14:paraId="31A8BFDD" w14:textId="77777777" w:rsidTr="007D662E">
        <w:trPr>
          <w:tblCellSpacing w:w="15" w:type="dxa"/>
        </w:trPr>
        <w:tc>
          <w:tcPr>
            <w:tcW w:w="0" w:type="auto"/>
            <w:vAlign w:val="center"/>
            <w:hideMark/>
          </w:tcPr>
          <w:p w14:paraId="56C4DB3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Internal assistant</w:t>
            </w:r>
          </w:p>
        </w:tc>
        <w:tc>
          <w:tcPr>
            <w:tcW w:w="0" w:type="auto"/>
            <w:vAlign w:val="center"/>
            <w:hideMark/>
          </w:tcPr>
          <w:p w14:paraId="591BB39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team analysis and drafting.</w:t>
            </w:r>
          </w:p>
        </w:tc>
        <w:tc>
          <w:tcPr>
            <w:tcW w:w="0" w:type="auto"/>
            <w:vAlign w:val="center"/>
            <w:hideMark/>
          </w:tcPr>
          <w:p w14:paraId="16C57F13"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Drafts, summaries, internal notes.</w:t>
            </w:r>
          </w:p>
        </w:tc>
      </w:tr>
      <w:tr w:rsidR="007D662E" w:rsidRPr="00B479AE" w14:paraId="70749911" w14:textId="77777777" w:rsidTr="007D662E">
        <w:trPr>
          <w:tblCellSpacing w:w="15" w:type="dxa"/>
        </w:trPr>
        <w:tc>
          <w:tcPr>
            <w:tcW w:w="0" w:type="auto"/>
            <w:vAlign w:val="center"/>
            <w:hideMark/>
          </w:tcPr>
          <w:p w14:paraId="31D55176"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Review-support tool</w:t>
            </w:r>
          </w:p>
        </w:tc>
        <w:tc>
          <w:tcPr>
            <w:tcW w:w="0" w:type="auto"/>
            <w:vAlign w:val="center"/>
            <w:hideMark/>
          </w:tcPr>
          <w:p w14:paraId="5FA2DCF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formal review bodies.</w:t>
            </w:r>
          </w:p>
        </w:tc>
        <w:tc>
          <w:tcPr>
            <w:tcW w:w="0" w:type="auto"/>
            <w:vAlign w:val="center"/>
            <w:hideMark/>
          </w:tcPr>
          <w:p w14:paraId="06045D1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Risk flags, issue maps, evidence organization.</w:t>
            </w:r>
          </w:p>
        </w:tc>
      </w:tr>
      <w:tr w:rsidR="007D662E" w:rsidRPr="00B479AE" w14:paraId="013637BC" w14:textId="77777777" w:rsidTr="007D662E">
        <w:trPr>
          <w:tblCellSpacing w:w="15" w:type="dxa"/>
        </w:trPr>
        <w:tc>
          <w:tcPr>
            <w:tcW w:w="0" w:type="auto"/>
            <w:vAlign w:val="center"/>
            <w:hideMark/>
          </w:tcPr>
          <w:p w14:paraId="44210D3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Limited operational assistant</w:t>
            </w:r>
          </w:p>
        </w:tc>
        <w:tc>
          <w:tcPr>
            <w:tcW w:w="0" w:type="auto"/>
            <w:vAlign w:val="center"/>
            <w:hideMark/>
          </w:tcPr>
          <w:p w14:paraId="43051AD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Performs bounded tasks under permission controls.</w:t>
            </w:r>
          </w:p>
        </w:tc>
        <w:tc>
          <w:tcPr>
            <w:tcW w:w="0" w:type="auto"/>
            <w:vAlign w:val="center"/>
            <w:hideMark/>
          </w:tcPr>
          <w:p w14:paraId="35E3DA3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Low-risk automation, logging, data formatting.</w:t>
            </w:r>
          </w:p>
        </w:tc>
      </w:tr>
      <w:tr w:rsidR="007D662E" w:rsidRPr="00B479AE" w14:paraId="7BDEE181" w14:textId="77777777" w:rsidTr="007D662E">
        <w:trPr>
          <w:tblCellSpacing w:w="15" w:type="dxa"/>
        </w:trPr>
        <w:tc>
          <w:tcPr>
            <w:tcW w:w="0" w:type="auto"/>
            <w:vAlign w:val="center"/>
            <w:hideMark/>
          </w:tcPr>
          <w:p w14:paraId="1804E80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Protected-domain assistant</w:t>
            </w:r>
          </w:p>
        </w:tc>
        <w:tc>
          <w:tcPr>
            <w:tcW w:w="0" w:type="auto"/>
            <w:vAlign w:val="center"/>
            <w:hideMark/>
          </w:tcPr>
          <w:p w14:paraId="0F4678B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Touches MRV, finance, law, governance, HSI, or constitutional domains.</w:t>
            </w:r>
          </w:p>
        </w:tc>
        <w:tc>
          <w:tcPr>
            <w:tcW w:w="0" w:type="auto"/>
            <w:vAlign w:val="center"/>
            <w:hideMark/>
          </w:tcPr>
          <w:p w14:paraId="1D91C27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strict review, logging, and authorization.</w:t>
            </w:r>
          </w:p>
        </w:tc>
      </w:tr>
      <w:tr w:rsidR="007D662E" w:rsidRPr="00B479AE" w14:paraId="71241C45" w14:textId="77777777" w:rsidTr="007D662E">
        <w:trPr>
          <w:tblCellSpacing w:w="15" w:type="dxa"/>
        </w:trPr>
        <w:tc>
          <w:tcPr>
            <w:tcW w:w="0" w:type="auto"/>
            <w:vAlign w:val="center"/>
            <w:hideMark/>
          </w:tcPr>
          <w:p w14:paraId="307DFAE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Public-facing assistant</w:t>
            </w:r>
          </w:p>
        </w:tc>
        <w:tc>
          <w:tcPr>
            <w:tcW w:w="0" w:type="auto"/>
            <w:vAlign w:val="center"/>
            <w:hideMark/>
          </w:tcPr>
          <w:p w14:paraId="6C0E3FE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Interacts with external users or stakeholders.</w:t>
            </w:r>
          </w:p>
        </w:tc>
        <w:tc>
          <w:tcPr>
            <w:tcW w:w="0" w:type="auto"/>
            <w:vAlign w:val="center"/>
            <w:hideMark/>
          </w:tcPr>
          <w:p w14:paraId="79B6B3F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Requires safety policies, disclaimers, monitoring, and escalation pathways.</w:t>
            </w:r>
          </w:p>
        </w:tc>
      </w:tr>
    </w:tbl>
    <w:p w14:paraId="115D6CC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should distinguish deployment from authorization.</w:t>
      </w:r>
    </w:p>
    <w:p w14:paraId="4823669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deployed assistant may answer questions.</w:t>
      </w:r>
    </w:p>
    <w:p w14:paraId="112457B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prepare drafts.</w:t>
      </w:r>
    </w:p>
    <w:p w14:paraId="3A462102"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route requests.</w:t>
      </w:r>
    </w:p>
    <w:p w14:paraId="2F6D2A8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organize evidence.</w:t>
      </w:r>
    </w:p>
    <w:p w14:paraId="0A05975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trigger review.</w:t>
      </w:r>
    </w:p>
    <w:p w14:paraId="138AFE8E"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not bind Prometheus in protected domains unless the proper authorization pathway has completed.</w:t>
      </w:r>
    </w:p>
    <w:p w14:paraId="7CCBEC64"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H.7 AI Assistance Gateway</w:t>
      </w:r>
    </w:p>
    <w:p w14:paraId="0C5BE75C" w14:textId="78DF84BD" w:rsidR="00FB4427" w:rsidRPr="00B479AE" w:rsidRDefault="00FB4427" w:rsidP="007D662E">
      <w:pPr>
        <w:spacing w:line="360" w:lineRule="auto"/>
        <w:rPr>
          <w:rFonts w:ascii="Baskerville Old Face" w:hAnsi="Baskerville Old Face"/>
          <w:i/>
          <w:iCs/>
        </w:rPr>
      </w:pPr>
      <w:r w:rsidRPr="00B479AE">
        <w:rPr>
          <w:rFonts w:ascii="Baskerville Old Face" w:hAnsi="Baskerville Old Face"/>
          <w:i/>
          <w:iCs/>
        </w:rPr>
        <w:t>The AI Assistance Gateway is a controlled routing, classification, logging, and review layer for machine assistance. It is not a sovereign intelligence layer and does not create autonomous authority.</w:t>
      </w:r>
    </w:p>
    <w:p w14:paraId="3212890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The AI Assistance Gateway is the controlled interface through which AI systems interact with Prometheus workflows.</w:t>
      </w:r>
    </w:p>
    <w:p w14:paraId="0C1F5FB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routes AI outputs according to:</w:t>
      </w:r>
    </w:p>
    <w:p w14:paraId="2AA762E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role;</w:t>
      </w:r>
      <w:r w:rsidRPr="00B479AE">
        <w:rPr>
          <w:rFonts w:ascii="Baskerville Old Face" w:hAnsi="Baskerville Old Face"/>
          <w:i/>
          <w:iCs/>
        </w:rPr>
        <w:br/>
        <w:t>• domain;</w:t>
      </w:r>
      <w:r w:rsidRPr="00B479AE">
        <w:rPr>
          <w:rFonts w:ascii="Baskerville Old Face" w:hAnsi="Baskerville Old Face"/>
          <w:i/>
          <w:iCs/>
        </w:rPr>
        <w:br/>
        <w:t>• risk;</w:t>
      </w:r>
      <w:r w:rsidRPr="00B479AE">
        <w:rPr>
          <w:rFonts w:ascii="Baskerville Old Face" w:hAnsi="Baskerville Old Face"/>
          <w:i/>
          <w:iCs/>
        </w:rPr>
        <w:br/>
        <w:t>• data sensitivity;</w:t>
      </w:r>
      <w:r w:rsidRPr="00B479AE">
        <w:rPr>
          <w:rFonts w:ascii="Baskerville Old Face" w:hAnsi="Baskerville Old Face"/>
          <w:i/>
          <w:iCs/>
        </w:rPr>
        <w:br/>
        <w:t>• output type;</w:t>
      </w:r>
      <w:r w:rsidRPr="00B479AE">
        <w:rPr>
          <w:rFonts w:ascii="Baskerville Old Face" w:hAnsi="Baskerville Old Face"/>
          <w:i/>
          <w:iCs/>
        </w:rPr>
        <w:br/>
        <w:t>• protected-domain status;</w:t>
      </w:r>
      <w:r w:rsidRPr="00B479AE">
        <w:rPr>
          <w:rFonts w:ascii="Baskerville Old Face" w:hAnsi="Baskerville Old Face"/>
          <w:i/>
          <w:iCs/>
        </w:rPr>
        <w:br/>
        <w:t>• review requirement;</w:t>
      </w:r>
      <w:r w:rsidRPr="00B479AE">
        <w:rPr>
          <w:rFonts w:ascii="Baskerville Old Face" w:hAnsi="Baskerville Old Face"/>
          <w:i/>
          <w:iCs/>
        </w:rPr>
        <w:br/>
        <w:t>• admissibility status.</w:t>
      </w:r>
    </w:p>
    <w:p w14:paraId="7289B13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gateway should enforce:</w:t>
      </w:r>
    </w:p>
    <w:p w14:paraId="2761B7B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authentication;</w:t>
      </w:r>
      <w:r w:rsidRPr="00B479AE">
        <w:rPr>
          <w:rFonts w:ascii="Baskerville Old Face" w:hAnsi="Baskerville Old Face"/>
          <w:i/>
          <w:iCs/>
        </w:rPr>
        <w:br/>
        <w:t>• role-based permissions;</w:t>
      </w:r>
      <w:r w:rsidRPr="00B479AE">
        <w:rPr>
          <w:rFonts w:ascii="Baskerville Old Face" w:hAnsi="Baskerville Old Face"/>
          <w:i/>
          <w:iCs/>
        </w:rPr>
        <w:br/>
        <w:t>• input filtering;</w:t>
      </w:r>
      <w:r w:rsidRPr="00B479AE">
        <w:rPr>
          <w:rFonts w:ascii="Baskerville Old Face" w:hAnsi="Baskerville Old Face"/>
          <w:i/>
          <w:iCs/>
        </w:rPr>
        <w:br/>
        <w:t>• prompt-injection detection;</w:t>
      </w:r>
      <w:r w:rsidRPr="00B479AE">
        <w:rPr>
          <w:rFonts w:ascii="Baskerville Old Face" w:hAnsi="Baskerville Old Face"/>
          <w:i/>
          <w:iCs/>
        </w:rPr>
        <w:br/>
        <w:t>• output classification;</w:t>
      </w:r>
      <w:r w:rsidRPr="00B479AE">
        <w:rPr>
          <w:rFonts w:ascii="Baskerville Old Face" w:hAnsi="Baskerville Old Face"/>
          <w:i/>
          <w:iCs/>
        </w:rPr>
        <w:br/>
        <w:t>• logging;</w:t>
      </w:r>
      <w:r w:rsidRPr="00B479AE">
        <w:rPr>
          <w:rFonts w:ascii="Baskerville Old Face" w:hAnsi="Baskerville Old Face"/>
          <w:i/>
          <w:iCs/>
        </w:rPr>
        <w:br/>
        <w:t>• protected-domain routing;</w:t>
      </w:r>
      <w:r w:rsidRPr="00B479AE">
        <w:rPr>
          <w:rFonts w:ascii="Baskerville Old Face" w:hAnsi="Baskerville Old Face"/>
          <w:i/>
          <w:iCs/>
        </w:rPr>
        <w:br/>
        <w:t>• escalation;</w:t>
      </w:r>
      <w:r w:rsidRPr="00B479AE">
        <w:rPr>
          <w:rFonts w:ascii="Baskerville Old Face" w:hAnsi="Baskerville Old Face"/>
          <w:i/>
          <w:iCs/>
        </w:rPr>
        <w:br/>
        <w:t>• non-admissibility marking;</w:t>
      </w:r>
      <w:r w:rsidRPr="00B479AE">
        <w:rPr>
          <w:rFonts w:ascii="Baskerville Old Face" w:hAnsi="Baskerville Old Face"/>
          <w:i/>
          <w:iCs/>
        </w:rPr>
        <w:br/>
        <w:t>• refusal-rule activation;</w:t>
      </w:r>
      <w:r w:rsidRPr="00B479AE">
        <w:rPr>
          <w:rFonts w:ascii="Baskerville Old Face" w:hAnsi="Baskerville Old Face"/>
          <w:i/>
          <w:iCs/>
        </w:rPr>
        <w:br/>
        <w:t>• audit trails.</w:t>
      </w:r>
    </w:p>
    <w:p w14:paraId="6AD1F52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AI Assistance Gateway is not a sovereign mind.</w:t>
      </w:r>
    </w:p>
    <w:p w14:paraId="13B75EF8"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is a traffic-control layer for machine assistance.</w:t>
      </w:r>
    </w:p>
    <w:p w14:paraId="7CC31CBE"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Its purpose is to prevent AI outputs from entering the wrong institutional channel.</w:t>
      </w:r>
    </w:p>
    <w:p w14:paraId="04EE1FEC"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H.8 Model evaluation requirements</w:t>
      </w:r>
    </w:p>
    <w:p w14:paraId="3E4B615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Every Prometheus AI model or agent should be evaluated against domain-specific test suites.</w:t>
      </w:r>
    </w:p>
    <w:p w14:paraId="6CE176A8"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Evaluation categories should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4"/>
        <w:gridCol w:w="7304"/>
      </w:tblGrid>
      <w:tr w:rsidR="007D662E" w:rsidRPr="00B479AE" w14:paraId="0469025D" w14:textId="77777777" w:rsidTr="007D662E">
        <w:trPr>
          <w:tblHeader/>
          <w:tblCellSpacing w:w="15" w:type="dxa"/>
        </w:trPr>
        <w:tc>
          <w:tcPr>
            <w:tcW w:w="0" w:type="auto"/>
            <w:vAlign w:val="center"/>
            <w:hideMark/>
          </w:tcPr>
          <w:p w14:paraId="2091EC24"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Evaluation area</w:t>
            </w:r>
          </w:p>
        </w:tc>
        <w:tc>
          <w:tcPr>
            <w:tcW w:w="0" w:type="auto"/>
            <w:vAlign w:val="center"/>
            <w:hideMark/>
          </w:tcPr>
          <w:p w14:paraId="191CE424"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Purpose</w:t>
            </w:r>
          </w:p>
        </w:tc>
      </w:tr>
      <w:tr w:rsidR="007D662E" w:rsidRPr="00B479AE" w14:paraId="45D1F561" w14:textId="77777777" w:rsidTr="007D662E">
        <w:trPr>
          <w:tblCellSpacing w:w="15" w:type="dxa"/>
        </w:trPr>
        <w:tc>
          <w:tcPr>
            <w:tcW w:w="0" w:type="auto"/>
            <w:vAlign w:val="center"/>
            <w:hideMark/>
          </w:tcPr>
          <w:p w14:paraId="4B8C4FA0"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Factual grounding</w:t>
            </w:r>
          </w:p>
        </w:tc>
        <w:tc>
          <w:tcPr>
            <w:tcW w:w="0" w:type="auto"/>
            <w:vAlign w:val="center"/>
            <w:hideMark/>
          </w:tcPr>
          <w:p w14:paraId="60D77C8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cites, references, or uses source material accurately.</w:t>
            </w:r>
          </w:p>
        </w:tc>
      </w:tr>
      <w:tr w:rsidR="007D662E" w:rsidRPr="00B479AE" w14:paraId="50A1EF0F" w14:textId="77777777" w:rsidTr="007D662E">
        <w:trPr>
          <w:tblCellSpacing w:w="15" w:type="dxa"/>
        </w:trPr>
        <w:tc>
          <w:tcPr>
            <w:tcW w:w="0" w:type="auto"/>
            <w:vAlign w:val="center"/>
            <w:hideMark/>
          </w:tcPr>
          <w:p w14:paraId="22BF6102"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Hallucination resistance</w:t>
            </w:r>
          </w:p>
        </w:tc>
        <w:tc>
          <w:tcPr>
            <w:tcW w:w="0" w:type="auto"/>
            <w:vAlign w:val="center"/>
            <w:hideMark/>
          </w:tcPr>
          <w:p w14:paraId="22F94A3E"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invents unsupported claims.</w:t>
            </w:r>
          </w:p>
        </w:tc>
      </w:tr>
      <w:tr w:rsidR="007D662E" w:rsidRPr="00B479AE" w14:paraId="17419482" w14:textId="77777777" w:rsidTr="007D662E">
        <w:trPr>
          <w:tblCellSpacing w:w="15" w:type="dxa"/>
        </w:trPr>
        <w:tc>
          <w:tcPr>
            <w:tcW w:w="0" w:type="auto"/>
            <w:vAlign w:val="center"/>
            <w:hideMark/>
          </w:tcPr>
          <w:p w14:paraId="6F5CF7A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boundary discipline</w:t>
            </w:r>
          </w:p>
        </w:tc>
        <w:tc>
          <w:tcPr>
            <w:tcW w:w="0" w:type="auto"/>
            <w:vAlign w:val="center"/>
            <w:hideMark/>
          </w:tcPr>
          <w:p w14:paraId="5C9690E5"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separates claim, observation, evidence, admissibility, and PRU relevance.</w:t>
            </w:r>
          </w:p>
        </w:tc>
      </w:tr>
      <w:tr w:rsidR="007D662E" w:rsidRPr="00B479AE" w14:paraId="1B8567B3" w14:textId="77777777" w:rsidTr="007D662E">
        <w:trPr>
          <w:tblCellSpacing w:w="15" w:type="dxa"/>
        </w:trPr>
        <w:tc>
          <w:tcPr>
            <w:tcW w:w="0" w:type="auto"/>
            <w:vAlign w:val="center"/>
            <w:hideMark/>
          </w:tcPr>
          <w:p w14:paraId="49EB079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boundary discipline</w:t>
            </w:r>
          </w:p>
        </w:tc>
        <w:tc>
          <w:tcPr>
            <w:tcW w:w="0" w:type="auto"/>
            <w:vAlign w:val="center"/>
            <w:hideMark/>
          </w:tcPr>
          <w:p w14:paraId="588FB0F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avoids unauthorized legal, securities, token, or investor claims.</w:t>
            </w:r>
          </w:p>
        </w:tc>
      </w:tr>
      <w:tr w:rsidR="007D662E" w:rsidRPr="00B479AE" w14:paraId="67E5C08A" w14:textId="77777777" w:rsidTr="007D662E">
        <w:trPr>
          <w:tblCellSpacing w:w="15" w:type="dxa"/>
        </w:trPr>
        <w:tc>
          <w:tcPr>
            <w:tcW w:w="0" w:type="auto"/>
            <w:vAlign w:val="center"/>
            <w:hideMark/>
          </w:tcPr>
          <w:p w14:paraId="67E801AF"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HSI dignity boundary</w:t>
            </w:r>
          </w:p>
        </w:tc>
        <w:tc>
          <w:tcPr>
            <w:tcW w:w="0" w:type="auto"/>
            <w:vAlign w:val="center"/>
            <w:hideMark/>
          </w:tcPr>
          <w:p w14:paraId="4A95979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avoids human ranking, social credit logic, coercive biometric interpretation, or health overclaiming.</w:t>
            </w:r>
          </w:p>
        </w:tc>
      </w:tr>
      <w:tr w:rsidR="007D662E" w:rsidRPr="00B479AE" w14:paraId="6167B94B" w14:textId="77777777" w:rsidTr="007D662E">
        <w:trPr>
          <w:tblCellSpacing w:w="15" w:type="dxa"/>
        </w:trPr>
        <w:tc>
          <w:tcPr>
            <w:tcW w:w="0" w:type="auto"/>
            <w:vAlign w:val="center"/>
            <w:hideMark/>
          </w:tcPr>
          <w:p w14:paraId="741866E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boundary discipline</w:t>
            </w:r>
          </w:p>
        </w:tc>
        <w:tc>
          <w:tcPr>
            <w:tcW w:w="0" w:type="auto"/>
            <w:vAlign w:val="center"/>
            <w:hideMark/>
          </w:tcPr>
          <w:p w14:paraId="673117B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routes decisions to governance instead of deciding.</w:t>
            </w:r>
          </w:p>
        </w:tc>
      </w:tr>
      <w:tr w:rsidR="007D662E" w:rsidRPr="00B479AE" w14:paraId="2135B317" w14:textId="77777777" w:rsidTr="007D662E">
        <w:trPr>
          <w:tblCellSpacing w:w="15" w:type="dxa"/>
        </w:trPr>
        <w:tc>
          <w:tcPr>
            <w:tcW w:w="0" w:type="auto"/>
            <w:vAlign w:val="center"/>
            <w:hideMark/>
          </w:tcPr>
          <w:p w14:paraId="633C6F13"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fidelity</w:t>
            </w:r>
          </w:p>
        </w:tc>
        <w:tc>
          <w:tcPr>
            <w:tcW w:w="0" w:type="auto"/>
            <w:vAlign w:val="center"/>
            <w:hideMark/>
          </w:tcPr>
          <w:p w14:paraId="207E1D45"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preserves foundational articles, Eternity Clauses, Access Covenant, and source-layer meaning.</w:t>
            </w:r>
          </w:p>
        </w:tc>
      </w:tr>
      <w:tr w:rsidR="007D662E" w:rsidRPr="00B479AE" w14:paraId="638E9AAE" w14:textId="77777777" w:rsidTr="007D662E">
        <w:trPr>
          <w:tblCellSpacing w:w="15" w:type="dxa"/>
        </w:trPr>
        <w:tc>
          <w:tcPr>
            <w:tcW w:w="0" w:type="auto"/>
            <w:vAlign w:val="center"/>
            <w:hideMark/>
          </w:tcPr>
          <w:p w14:paraId="242436B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Semantic firewall performance</w:t>
            </w:r>
          </w:p>
        </w:tc>
        <w:tc>
          <w:tcPr>
            <w:tcW w:w="0" w:type="auto"/>
            <w:vAlign w:val="center"/>
            <w:hideMark/>
          </w:tcPr>
          <w:p w14:paraId="1C5427F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protects canonical terms from drift.</w:t>
            </w:r>
          </w:p>
        </w:tc>
      </w:tr>
      <w:tr w:rsidR="007D662E" w:rsidRPr="00B479AE" w14:paraId="464661EC" w14:textId="77777777" w:rsidTr="007D662E">
        <w:trPr>
          <w:tblCellSpacing w:w="15" w:type="dxa"/>
        </w:trPr>
        <w:tc>
          <w:tcPr>
            <w:tcW w:w="0" w:type="auto"/>
            <w:vAlign w:val="center"/>
            <w:hideMark/>
          </w:tcPr>
          <w:p w14:paraId="70D0DE86"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Adversarial robustness</w:t>
            </w:r>
          </w:p>
        </w:tc>
        <w:tc>
          <w:tcPr>
            <w:tcW w:w="0" w:type="auto"/>
            <w:vAlign w:val="center"/>
            <w:hideMark/>
          </w:tcPr>
          <w:p w14:paraId="17F5A84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prompt injection, data poisoning, synthetic evidence, forged records, and hostile fork claims.</w:t>
            </w:r>
          </w:p>
        </w:tc>
      </w:tr>
      <w:tr w:rsidR="007D662E" w:rsidRPr="00B479AE" w14:paraId="22DE7BE6" w14:textId="77777777" w:rsidTr="007D662E">
        <w:trPr>
          <w:tblCellSpacing w:w="15" w:type="dxa"/>
        </w:trPr>
        <w:tc>
          <w:tcPr>
            <w:tcW w:w="0" w:type="auto"/>
            <w:vAlign w:val="center"/>
            <w:hideMark/>
          </w:tcPr>
          <w:p w14:paraId="15276D4F"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Privacy behavior</w:t>
            </w:r>
          </w:p>
        </w:tc>
        <w:tc>
          <w:tcPr>
            <w:tcW w:w="0" w:type="auto"/>
            <w:vAlign w:val="center"/>
            <w:hideMark/>
          </w:tcPr>
          <w:p w14:paraId="2499299F"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the model minimizes sensitive data and respects access controls.</w:t>
            </w:r>
          </w:p>
        </w:tc>
      </w:tr>
      <w:tr w:rsidR="007D662E" w:rsidRPr="00B479AE" w14:paraId="0CA97B2C" w14:textId="77777777" w:rsidTr="007D662E">
        <w:trPr>
          <w:tblCellSpacing w:w="15" w:type="dxa"/>
        </w:trPr>
        <w:tc>
          <w:tcPr>
            <w:tcW w:w="0" w:type="auto"/>
            <w:vAlign w:val="center"/>
            <w:hideMark/>
          </w:tcPr>
          <w:p w14:paraId="4C43F6C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Rollback readiness</w:t>
            </w:r>
          </w:p>
        </w:tc>
        <w:tc>
          <w:tcPr>
            <w:tcW w:w="0" w:type="auto"/>
            <w:vAlign w:val="center"/>
            <w:hideMark/>
          </w:tcPr>
          <w:p w14:paraId="666004EA"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Tests whether deployment can be paused or reverted.</w:t>
            </w:r>
          </w:p>
        </w:tc>
      </w:tr>
    </w:tbl>
    <w:p w14:paraId="5CE70B9E"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Evaluation results should be recorded.</w:t>
      </w:r>
    </w:p>
    <w:p w14:paraId="26B594E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Models should not be promoted to broader deployment until they satisfy the required evaluation threshold for their domain.</w:t>
      </w:r>
    </w:p>
    <w:p w14:paraId="1F1F0A7D" w14:textId="4F6AF8CC" w:rsidR="007D662E" w:rsidRPr="00B479AE" w:rsidRDefault="007D662E" w:rsidP="007D662E">
      <w:pPr>
        <w:spacing w:line="360" w:lineRule="auto"/>
        <w:rPr>
          <w:rFonts w:ascii="Baskerville Old Face" w:hAnsi="Baskerville Old Face"/>
          <w:i/>
          <w:iCs/>
        </w:rPr>
      </w:pPr>
    </w:p>
    <w:p w14:paraId="04E20E58"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lastRenderedPageBreak/>
        <w:t>H.9 Prompt, policy, and model versioning</w:t>
      </w:r>
    </w:p>
    <w:p w14:paraId="6F4CEA88"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should version not only code, but also:</w:t>
      </w:r>
    </w:p>
    <w:p w14:paraId="74CE55D2"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system prompts;</w:t>
      </w:r>
      <w:r w:rsidRPr="00B479AE">
        <w:rPr>
          <w:rFonts w:ascii="Baskerville Old Face" w:hAnsi="Baskerville Old Face"/>
          <w:i/>
          <w:iCs/>
        </w:rPr>
        <w:br/>
        <w:t>• model policies;</w:t>
      </w:r>
      <w:r w:rsidRPr="00B479AE">
        <w:rPr>
          <w:rFonts w:ascii="Baskerville Old Face" w:hAnsi="Baskerville Old Face"/>
          <w:i/>
          <w:iCs/>
        </w:rPr>
        <w:br/>
        <w:t>• canonical glossary files;</w:t>
      </w:r>
      <w:r w:rsidRPr="00B479AE">
        <w:rPr>
          <w:rFonts w:ascii="Baskerville Old Face" w:hAnsi="Baskerville Old Face"/>
          <w:i/>
          <w:iCs/>
        </w:rPr>
        <w:br/>
        <w:t>• refusal rules;</w:t>
      </w:r>
      <w:r w:rsidRPr="00B479AE">
        <w:rPr>
          <w:rFonts w:ascii="Baskerville Old Face" w:hAnsi="Baskerville Old Face"/>
          <w:i/>
          <w:iCs/>
        </w:rPr>
        <w:br/>
        <w:t>• evaluation suites;</w:t>
      </w:r>
      <w:r w:rsidRPr="00B479AE">
        <w:rPr>
          <w:rFonts w:ascii="Baskerville Old Face" w:hAnsi="Baskerville Old Face"/>
          <w:i/>
          <w:iCs/>
        </w:rPr>
        <w:br/>
        <w:t>• protected-domain definitions;</w:t>
      </w:r>
      <w:r w:rsidRPr="00B479AE">
        <w:rPr>
          <w:rFonts w:ascii="Baskerville Old Face" w:hAnsi="Baskerville Old Face"/>
          <w:i/>
          <w:iCs/>
        </w:rPr>
        <w:br/>
        <w:t>• retrieval corpora;</w:t>
      </w:r>
      <w:r w:rsidRPr="00B479AE">
        <w:rPr>
          <w:rFonts w:ascii="Baskerville Old Face" w:hAnsi="Baskerville Old Face"/>
          <w:i/>
          <w:iCs/>
        </w:rPr>
        <w:br/>
        <w:t>• fine-tuning datasets;</w:t>
      </w:r>
      <w:r w:rsidRPr="00B479AE">
        <w:rPr>
          <w:rFonts w:ascii="Baskerville Old Face" w:hAnsi="Baskerville Old Face"/>
          <w:i/>
          <w:iCs/>
        </w:rPr>
        <w:br/>
        <w:t>• model weights where controlled;</w:t>
      </w:r>
      <w:r w:rsidRPr="00B479AE">
        <w:rPr>
          <w:rFonts w:ascii="Baskerville Old Face" w:hAnsi="Baskerville Old Face"/>
          <w:i/>
          <w:iCs/>
        </w:rPr>
        <w:br/>
        <w:t>• model cards;</w:t>
      </w:r>
      <w:r w:rsidRPr="00B479AE">
        <w:rPr>
          <w:rFonts w:ascii="Baskerville Old Face" w:hAnsi="Baskerville Old Face"/>
          <w:i/>
          <w:iCs/>
        </w:rPr>
        <w:br/>
        <w:t>• risk notes;</w:t>
      </w:r>
      <w:r w:rsidRPr="00B479AE">
        <w:rPr>
          <w:rFonts w:ascii="Baskerville Old Face" w:hAnsi="Baskerville Old Face"/>
          <w:i/>
          <w:iCs/>
        </w:rPr>
        <w:br/>
        <w:t>• deployment configurations.</w:t>
      </w:r>
    </w:p>
    <w:p w14:paraId="2ABF4137"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Each deployed agent should have a model record including:</w:t>
      </w:r>
    </w:p>
    <w:p w14:paraId="0635B26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w:t>
      </w:r>
    </w:p>
    <w:p w14:paraId="550AB21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agent</w:t>
      </w:r>
      <w:proofErr w:type="gramEnd"/>
      <w:r w:rsidRPr="00B479AE">
        <w:rPr>
          <w:rFonts w:ascii="Baskerville Old Face" w:hAnsi="Baskerville Old Face"/>
          <w:i/>
          <w:iCs/>
        </w:rPr>
        <w:t>_id</w:t>
      </w:r>
      <w:proofErr w:type="spellEnd"/>
      <w:r w:rsidRPr="00B479AE">
        <w:rPr>
          <w:rFonts w:ascii="Baskerville Old Face" w:hAnsi="Baskerville Old Face"/>
          <w:i/>
          <w:iCs/>
        </w:rPr>
        <w:t>": "mrv_analysis_agent_v1",</w:t>
      </w:r>
    </w:p>
    <w:p w14:paraId="165F5342"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model</w:t>
      </w:r>
      <w:proofErr w:type="gramEnd"/>
      <w:r w:rsidRPr="00B479AE">
        <w:rPr>
          <w:rFonts w:ascii="Baskerville Old Face" w:hAnsi="Baskerville Old Face"/>
          <w:i/>
          <w:iCs/>
        </w:rPr>
        <w:t>_name</w:t>
      </w:r>
      <w:proofErr w:type="spellEnd"/>
      <w:r w:rsidRPr="00B479AE">
        <w:rPr>
          <w:rFonts w:ascii="Baskerville Old Face" w:hAnsi="Baskerville Old Face"/>
          <w:i/>
          <w:iCs/>
        </w:rPr>
        <w:t>": "</w:t>
      </w:r>
      <w:proofErr w:type="spellStart"/>
      <w:r w:rsidRPr="00B479AE">
        <w:rPr>
          <w:rFonts w:ascii="Baskerville Old Face" w:hAnsi="Baskerville Old Face"/>
          <w:i/>
          <w:iCs/>
        </w:rPr>
        <w:t>model_or_local_checkpoint_reference</w:t>
      </w:r>
      <w:proofErr w:type="spellEnd"/>
      <w:r w:rsidRPr="00B479AE">
        <w:rPr>
          <w:rFonts w:ascii="Baskerville Old Face" w:hAnsi="Baskerville Old Face"/>
          <w:i/>
          <w:iCs/>
        </w:rPr>
        <w:t>",</w:t>
      </w:r>
    </w:p>
    <w:p w14:paraId="6209CD36" w14:textId="77777777" w:rsidR="007D662E" w:rsidRPr="005907F1" w:rsidRDefault="007D662E" w:rsidP="007D662E">
      <w:pPr>
        <w:spacing w:line="360" w:lineRule="auto"/>
        <w:rPr>
          <w:rFonts w:ascii="Baskerville Old Face" w:hAnsi="Baskerville Old Face"/>
          <w:i/>
          <w:iCs/>
          <w:lang w:val="it-IT"/>
        </w:rPr>
      </w:pPr>
      <w:r w:rsidRPr="00B479AE">
        <w:rPr>
          <w:rFonts w:ascii="Baskerville Old Face" w:hAnsi="Baskerville Old Face"/>
          <w:i/>
          <w:iCs/>
        </w:rPr>
        <w:t xml:space="preserve">  </w:t>
      </w:r>
      <w:r w:rsidRPr="005907F1">
        <w:rPr>
          <w:rFonts w:ascii="Baskerville Old Face" w:hAnsi="Baskerville Old Face"/>
          <w:i/>
          <w:iCs/>
          <w:lang w:val="it-IT"/>
        </w:rPr>
        <w:t>"</w:t>
      </w:r>
      <w:proofErr w:type="spellStart"/>
      <w:r w:rsidRPr="005907F1">
        <w:rPr>
          <w:rFonts w:ascii="Baskerville Old Face" w:hAnsi="Baskerville Old Face"/>
          <w:i/>
          <w:iCs/>
          <w:lang w:val="it-IT"/>
        </w:rPr>
        <w:t>model_version</w:t>
      </w:r>
      <w:proofErr w:type="spellEnd"/>
      <w:r w:rsidRPr="005907F1">
        <w:rPr>
          <w:rFonts w:ascii="Baskerville Old Face" w:hAnsi="Baskerville Old Face"/>
          <w:i/>
          <w:iCs/>
          <w:lang w:val="it-IT"/>
        </w:rPr>
        <w:t>": "v1.0",</w:t>
      </w:r>
    </w:p>
    <w:p w14:paraId="2D128056" w14:textId="77777777" w:rsidR="007D662E" w:rsidRPr="005907F1" w:rsidRDefault="007D662E" w:rsidP="007D662E">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prompt_version</w:t>
      </w:r>
      <w:proofErr w:type="spellEnd"/>
      <w:r w:rsidRPr="005907F1">
        <w:rPr>
          <w:rFonts w:ascii="Baskerville Old Face" w:hAnsi="Baskerville Old Face"/>
          <w:i/>
          <w:iCs/>
          <w:lang w:val="it-IT"/>
        </w:rPr>
        <w:t>": "prompt_v1.0",</w:t>
      </w:r>
    </w:p>
    <w:p w14:paraId="39D2366A" w14:textId="77777777" w:rsidR="007D662E" w:rsidRPr="00B479AE" w:rsidRDefault="007D662E" w:rsidP="007D662E">
      <w:pPr>
        <w:spacing w:line="360" w:lineRule="auto"/>
        <w:rPr>
          <w:rFonts w:ascii="Baskerville Old Face" w:hAnsi="Baskerville Old Face"/>
          <w:i/>
          <w:iCs/>
        </w:rPr>
      </w:pPr>
      <w:r w:rsidRPr="005907F1">
        <w:rPr>
          <w:rFonts w:ascii="Baskerville Old Face" w:hAnsi="Baskerville Old Face"/>
          <w:i/>
          <w:iCs/>
          <w:lang w:val="it-IT"/>
        </w:rPr>
        <w:t xml:space="preserve">  </w:t>
      </w:r>
      <w:r w:rsidRPr="00B479AE">
        <w:rPr>
          <w:rFonts w:ascii="Baskerville Old Face" w:hAnsi="Baskerville Old Face"/>
          <w:i/>
          <w:iCs/>
        </w:rPr>
        <w:t>"</w:t>
      </w:r>
      <w:proofErr w:type="spellStart"/>
      <w:proofErr w:type="gramStart"/>
      <w:r w:rsidRPr="00B479AE">
        <w:rPr>
          <w:rFonts w:ascii="Baskerville Old Face" w:hAnsi="Baskerville Old Face"/>
          <w:i/>
          <w:iCs/>
        </w:rPr>
        <w:t>policy</w:t>
      </w:r>
      <w:proofErr w:type="gramEnd"/>
      <w:r w:rsidRPr="00B479AE">
        <w:rPr>
          <w:rFonts w:ascii="Baskerville Old Face" w:hAnsi="Baskerville Old Face"/>
          <w:i/>
          <w:iCs/>
        </w:rPr>
        <w:t>_version</w:t>
      </w:r>
      <w:proofErr w:type="spellEnd"/>
      <w:r w:rsidRPr="00B479AE">
        <w:rPr>
          <w:rFonts w:ascii="Baskerville Old Face" w:hAnsi="Baskerville Old Face"/>
          <w:i/>
          <w:iCs/>
        </w:rPr>
        <w:t>": "policy_v1.0",</w:t>
      </w:r>
    </w:p>
    <w:p w14:paraId="507E4BC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canonical</w:t>
      </w:r>
      <w:proofErr w:type="gramEnd"/>
      <w:r w:rsidRPr="00B479AE">
        <w:rPr>
          <w:rFonts w:ascii="Baskerville Old Face" w:hAnsi="Baskerville Old Face"/>
          <w:i/>
          <w:iCs/>
        </w:rPr>
        <w:t>_glossary_version</w:t>
      </w:r>
      <w:proofErr w:type="spellEnd"/>
      <w:r w:rsidRPr="00B479AE">
        <w:rPr>
          <w:rFonts w:ascii="Baskerville Old Face" w:hAnsi="Baskerville Old Face"/>
          <w:i/>
          <w:iCs/>
        </w:rPr>
        <w:t>": "glossary_v1.0",</w:t>
      </w:r>
    </w:p>
    <w:p w14:paraId="182F331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allowed</w:t>
      </w:r>
      <w:proofErr w:type="gramEnd"/>
      <w:r w:rsidRPr="00B479AE">
        <w:rPr>
          <w:rFonts w:ascii="Baskerville Old Face" w:hAnsi="Baskerville Old Face"/>
          <w:i/>
          <w:iCs/>
        </w:rPr>
        <w:t>_domains</w:t>
      </w:r>
      <w:proofErr w:type="spellEnd"/>
      <w:r w:rsidRPr="00B479AE">
        <w:rPr>
          <w:rFonts w:ascii="Baskerville Old Face" w:hAnsi="Baskerville Old Face"/>
          <w:i/>
          <w:iCs/>
        </w:rPr>
        <w:t>": ["MRV analysis", "evidence classification support"],</w:t>
      </w:r>
    </w:p>
    <w:p w14:paraId="65C7F2F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protected</w:t>
      </w:r>
      <w:proofErr w:type="gramEnd"/>
      <w:r w:rsidRPr="00B479AE">
        <w:rPr>
          <w:rFonts w:ascii="Baskerville Old Face" w:hAnsi="Baskerville Old Face"/>
          <w:i/>
          <w:iCs/>
        </w:rPr>
        <w:t>_domain_execution</w:t>
      </w:r>
      <w:proofErr w:type="spellEnd"/>
      <w:r w:rsidRPr="00B479AE">
        <w:rPr>
          <w:rFonts w:ascii="Baskerville Old Face" w:hAnsi="Baskerville Old Face"/>
          <w:i/>
          <w:iCs/>
        </w:rPr>
        <w:t>": false,</w:t>
      </w:r>
    </w:p>
    <w:p w14:paraId="42C0C00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review</w:t>
      </w:r>
      <w:proofErr w:type="gramEnd"/>
      <w:r w:rsidRPr="00B479AE">
        <w:rPr>
          <w:rFonts w:ascii="Baskerville Old Face" w:hAnsi="Baskerville Old Face"/>
          <w:i/>
          <w:iCs/>
        </w:rPr>
        <w:t>_required</w:t>
      </w:r>
      <w:proofErr w:type="spellEnd"/>
      <w:r w:rsidRPr="00B479AE">
        <w:rPr>
          <w:rFonts w:ascii="Baskerville Old Face" w:hAnsi="Baskerville Old Face"/>
          <w:i/>
          <w:iCs/>
        </w:rPr>
        <w:t>": true,</w:t>
      </w:r>
    </w:p>
    <w:p w14:paraId="7792AAC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deployment</w:t>
      </w:r>
      <w:proofErr w:type="gramEnd"/>
      <w:r w:rsidRPr="00B479AE">
        <w:rPr>
          <w:rFonts w:ascii="Baskerville Old Face" w:hAnsi="Baskerville Old Face"/>
          <w:i/>
          <w:iCs/>
        </w:rPr>
        <w:t>_stage</w:t>
      </w:r>
      <w:proofErr w:type="spellEnd"/>
      <w:r w:rsidRPr="00B479AE">
        <w:rPr>
          <w:rFonts w:ascii="Baskerville Old Face" w:hAnsi="Baskerville Old Face"/>
          <w:i/>
          <w:iCs/>
        </w:rPr>
        <w:t>": "</w:t>
      </w:r>
      <w:proofErr w:type="spellStart"/>
      <w:r w:rsidRPr="00B479AE">
        <w:rPr>
          <w:rFonts w:ascii="Baskerville Old Face" w:hAnsi="Baskerville Old Face"/>
          <w:i/>
          <w:iCs/>
        </w:rPr>
        <w:t>research_sandbox</w:t>
      </w:r>
      <w:proofErr w:type="spellEnd"/>
      <w:r w:rsidRPr="00B479AE">
        <w:rPr>
          <w:rFonts w:ascii="Baskerville Old Face" w:hAnsi="Baskerville Old Face"/>
          <w:i/>
          <w:iCs/>
        </w:rPr>
        <w:t>",</w:t>
      </w:r>
    </w:p>
    <w:p w14:paraId="50AE418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proofErr w:type="gramStart"/>
      <w:r w:rsidRPr="00B479AE">
        <w:rPr>
          <w:rFonts w:ascii="Baskerville Old Face" w:hAnsi="Baskerville Old Face"/>
          <w:i/>
          <w:iCs/>
        </w:rPr>
        <w:t>evaluation</w:t>
      </w:r>
      <w:proofErr w:type="gramEnd"/>
      <w:r w:rsidRPr="00B479AE">
        <w:rPr>
          <w:rFonts w:ascii="Baskerville Old Face" w:hAnsi="Baskerville Old Face"/>
          <w:i/>
          <w:iCs/>
        </w:rPr>
        <w:t>_status</w:t>
      </w:r>
      <w:proofErr w:type="spellEnd"/>
      <w:r w:rsidRPr="00B479AE">
        <w:rPr>
          <w:rFonts w:ascii="Baskerville Old Face" w:hAnsi="Baskerville Old Face"/>
          <w:i/>
          <w:iCs/>
        </w:rPr>
        <w:t>": "</w:t>
      </w:r>
      <w:proofErr w:type="spellStart"/>
      <w:r w:rsidRPr="00B479AE">
        <w:rPr>
          <w:rFonts w:ascii="Baskerville Old Face" w:hAnsi="Baskerville Old Face"/>
          <w:i/>
          <w:iCs/>
        </w:rPr>
        <w:t>passed_internal_tests</w:t>
      </w:r>
      <w:proofErr w:type="spellEnd"/>
      <w:r w:rsidRPr="00B479AE">
        <w:rPr>
          <w:rFonts w:ascii="Baskerville Old Face" w:hAnsi="Baskerville Old Face"/>
          <w:i/>
          <w:iCs/>
        </w:rPr>
        <w:t>",</w:t>
      </w:r>
    </w:p>
    <w:p w14:paraId="48158CF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rollback</w:t>
      </w:r>
      <w:proofErr w:type="gramEnd"/>
      <w:r w:rsidRPr="00B479AE">
        <w:rPr>
          <w:rFonts w:ascii="Baskerville Old Face" w:hAnsi="Baskerville Old Face"/>
          <w:i/>
          <w:iCs/>
        </w:rPr>
        <w:t>_reference</w:t>
      </w:r>
      <w:proofErr w:type="spellEnd"/>
      <w:r w:rsidRPr="00B479AE">
        <w:rPr>
          <w:rFonts w:ascii="Baskerville Old Face" w:hAnsi="Baskerville Old Face"/>
          <w:i/>
          <w:iCs/>
        </w:rPr>
        <w:t>": "</w:t>
      </w:r>
      <w:proofErr w:type="spellStart"/>
      <w:r w:rsidRPr="00B479AE">
        <w:rPr>
          <w:rFonts w:ascii="Baskerville Old Face" w:hAnsi="Baskerville Old Face"/>
          <w:i/>
          <w:iCs/>
        </w:rPr>
        <w:t>previous_agent_version</w:t>
      </w:r>
      <w:proofErr w:type="spellEnd"/>
      <w:r w:rsidRPr="00B479AE">
        <w:rPr>
          <w:rFonts w:ascii="Baskerville Old Face" w:hAnsi="Baskerville Old Face"/>
          <w:i/>
          <w:iCs/>
        </w:rPr>
        <w:t>"</w:t>
      </w:r>
    </w:p>
    <w:p w14:paraId="7DCE029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w:t>
      </w:r>
    </w:p>
    <w:p w14:paraId="4A7755FA" w14:textId="58F8751F"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Versioning allows Prometheus to reconstruct what an AI system was allowed to do at the time of output. This is essential for auditability.</w:t>
      </w:r>
    </w:p>
    <w:p w14:paraId="730D378D"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H.10 Retrieval and canonical source grounding</w:t>
      </w:r>
    </w:p>
    <w:p w14:paraId="5D191B2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Where AI systems use retrieval-augmented generation, retrieval sources should be classified.</w:t>
      </w:r>
    </w:p>
    <w:p w14:paraId="2733759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Possible source classes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5"/>
        <w:gridCol w:w="6089"/>
      </w:tblGrid>
      <w:tr w:rsidR="007D662E" w:rsidRPr="00B479AE" w14:paraId="4E4EB1E5" w14:textId="77777777" w:rsidTr="007D662E">
        <w:trPr>
          <w:tblHeader/>
          <w:tblCellSpacing w:w="15" w:type="dxa"/>
        </w:trPr>
        <w:tc>
          <w:tcPr>
            <w:tcW w:w="0" w:type="auto"/>
            <w:vAlign w:val="center"/>
            <w:hideMark/>
          </w:tcPr>
          <w:p w14:paraId="7C340F0D"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Source class</w:t>
            </w:r>
          </w:p>
        </w:tc>
        <w:tc>
          <w:tcPr>
            <w:tcW w:w="0" w:type="auto"/>
            <w:vAlign w:val="center"/>
            <w:hideMark/>
          </w:tcPr>
          <w:p w14:paraId="7432720F" w14:textId="77777777" w:rsidR="007D662E" w:rsidRPr="00B479AE" w:rsidRDefault="007D662E" w:rsidP="007D662E">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Permitted use</w:t>
            </w:r>
          </w:p>
        </w:tc>
      </w:tr>
      <w:tr w:rsidR="007D662E" w:rsidRPr="00B479AE" w14:paraId="53F6E40E" w14:textId="77777777" w:rsidTr="007D662E">
        <w:trPr>
          <w:tblCellSpacing w:w="15" w:type="dxa"/>
        </w:trPr>
        <w:tc>
          <w:tcPr>
            <w:tcW w:w="0" w:type="auto"/>
            <w:vAlign w:val="center"/>
            <w:hideMark/>
          </w:tcPr>
          <w:p w14:paraId="3C0B6F31"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Canonical source layer</w:t>
            </w:r>
          </w:p>
        </w:tc>
        <w:tc>
          <w:tcPr>
            <w:tcW w:w="0" w:type="auto"/>
            <w:vAlign w:val="center"/>
            <w:hideMark/>
          </w:tcPr>
          <w:p w14:paraId="1DB56BD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Highest-priority constitutional grounding.</w:t>
            </w:r>
          </w:p>
        </w:tc>
      </w:tr>
      <w:tr w:rsidR="007D662E" w:rsidRPr="00B479AE" w14:paraId="1E6D1D74" w14:textId="77777777" w:rsidTr="007D662E">
        <w:trPr>
          <w:tblCellSpacing w:w="15" w:type="dxa"/>
        </w:trPr>
        <w:tc>
          <w:tcPr>
            <w:tcW w:w="0" w:type="auto"/>
            <w:vAlign w:val="center"/>
            <w:hideMark/>
          </w:tcPr>
          <w:p w14:paraId="4197DBD5"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Approved methodology</w:t>
            </w:r>
          </w:p>
        </w:tc>
        <w:tc>
          <w:tcPr>
            <w:tcW w:w="0" w:type="auto"/>
            <w:vAlign w:val="center"/>
            <w:hideMark/>
          </w:tcPr>
          <w:p w14:paraId="79D93FAF"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MRV, PRU, RAP, governance, legal, or technical method grounding.</w:t>
            </w:r>
          </w:p>
        </w:tc>
      </w:tr>
      <w:tr w:rsidR="007D662E" w:rsidRPr="00B479AE" w14:paraId="567E1550" w14:textId="77777777" w:rsidTr="007D662E">
        <w:trPr>
          <w:tblCellSpacing w:w="15" w:type="dxa"/>
        </w:trPr>
        <w:tc>
          <w:tcPr>
            <w:tcW w:w="0" w:type="auto"/>
            <w:vAlign w:val="center"/>
            <w:hideMark/>
          </w:tcPr>
          <w:p w14:paraId="5B0FAEC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Public scientific source</w:t>
            </w:r>
          </w:p>
        </w:tc>
        <w:tc>
          <w:tcPr>
            <w:tcW w:w="0" w:type="auto"/>
            <w:vAlign w:val="center"/>
            <w:hideMark/>
          </w:tcPr>
          <w:p w14:paraId="03B1C924"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Background evidence and research support.</w:t>
            </w:r>
          </w:p>
        </w:tc>
      </w:tr>
      <w:tr w:rsidR="007D662E" w:rsidRPr="00B479AE" w14:paraId="26FA4912" w14:textId="77777777" w:rsidTr="007D662E">
        <w:trPr>
          <w:tblCellSpacing w:w="15" w:type="dxa"/>
        </w:trPr>
        <w:tc>
          <w:tcPr>
            <w:tcW w:w="0" w:type="auto"/>
            <w:vAlign w:val="center"/>
            <w:hideMark/>
          </w:tcPr>
          <w:p w14:paraId="3E04707C"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and regulatory source</w:t>
            </w:r>
          </w:p>
        </w:tc>
        <w:tc>
          <w:tcPr>
            <w:tcW w:w="0" w:type="auto"/>
            <w:vAlign w:val="center"/>
            <w:hideMark/>
          </w:tcPr>
          <w:p w14:paraId="4B5C1765"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Issue spotting and jurisdictional context.</w:t>
            </w:r>
          </w:p>
        </w:tc>
      </w:tr>
      <w:tr w:rsidR="007D662E" w:rsidRPr="00B479AE" w14:paraId="3602BA20" w14:textId="77777777" w:rsidTr="007D662E">
        <w:trPr>
          <w:tblCellSpacing w:w="15" w:type="dxa"/>
        </w:trPr>
        <w:tc>
          <w:tcPr>
            <w:tcW w:w="0" w:type="auto"/>
            <w:vAlign w:val="center"/>
            <w:hideMark/>
          </w:tcPr>
          <w:p w14:paraId="6AD20709"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Pilot data</w:t>
            </w:r>
          </w:p>
        </w:tc>
        <w:tc>
          <w:tcPr>
            <w:tcW w:w="0" w:type="auto"/>
            <w:vAlign w:val="center"/>
            <w:hideMark/>
          </w:tcPr>
          <w:p w14:paraId="1664D9C3"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Project-specific analysis within access controls.</w:t>
            </w:r>
          </w:p>
        </w:tc>
      </w:tr>
      <w:tr w:rsidR="007D662E" w:rsidRPr="00B479AE" w14:paraId="706736B7" w14:textId="77777777" w:rsidTr="007D662E">
        <w:trPr>
          <w:tblCellSpacing w:w="15" w:type="dxa"/>
        </w:trPr>
        <w:tc>
          <w:tcPr>
            <w:tcW w:w="0" w:type="auto"/>
            <w:vAlign w:val="center"/>
            <w:hideMark/>
          </w:tcPr>
          <w:p w14:paraId="21AB1E84"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Data-room source</w:t>
            </w:r>
          </w:p>
        </w:tc>
        <w:tc>
          <w:tcPr>
            <w:tcW w:w="0" w:type="auto"/>
            <w:vAlign w:val="center"/>
            <w:hideMark/>
          </w:tcPr>
          <w:p w14:paraId="3CBE6CF8"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Restricted use under confidentiality and authorization.</w:t>
            </w:r>
          </w:p>
        </w:tc>
      </w:tr>
      <w:tr w:rsidR="007D662E" w:rsidRPr="00B479AE" w14:paraId="02798A34" w14:textId="77777777" w:rsidTr="007D662E">
        <w:trPr>
          <w:tblCellSpacing w:w="15" w:type="dxa"/>
        </w:trPr>
        <w:tc>
          <w:tcPr>
            <w:tcW w:w="0" w:type="auto"/>
            <w:vAlign w:val="center"/>
            <w:hideMark/>
          </w:tcPr>
          <w:p w14:paraId="42AAF567"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Appendix parking source</w:t>
            </w:r>
          </w:p>
        </w:tc>
        <w:tc>
          <w:tcPr>
            <w:tcW w:w="0" w:type="auto"/>
            <w:vAlign w:val="center"/>
            <w:hideMark/>
          </w:tcPr>
          <w:p w14:paraId="3395520D"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Future concepts, not operative authority.</w:t>
            </w:r>
          </w:p>
        </w:tc>
      </w:tr>
      <w:tr w:rsidR="007D662E" w:rsidRPr="00B479AE" w14:paraId="18AE11F4" w14:textId="77777777" w:rsidTr="007D662E">
        <w:trPr>
          <w:tblCellSpacing w:w="15" w:type="dxa"/>
        </w:trPr>
        <w:tc>
          <w:tcPr>
            <w:tcW w:w="0" w:type="auto"/>
            <w:vAlign w:val="center"/>
            <w:hideMark/>
          </w:tcPr>
          <w:p w14:paraId="0BB79954"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Unverified source</w:t>
            </w:r>
          </w:p>
        </w:tc>
        <w:tc>
          <w:tcPr>
            <w:tcW w:w="0" w:type="auto"/>
            <w:vAlign w:val="center"/>
            <w:hideMark/>
          </w:tcPr>
          <w:p w14:paraId="1D81D3FB" w14:textId="77777777" w:rsidR="007D662E" w:rsidRPr="00B479AE" w:rsidRDefault="007D662E" w:rsidP="007D662E">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only, no protected execution.</w:t>
            </w:r>
          </w:p>
        </w:tc>
      </w:tr>
    </w:tbl>
    <w:p w14:paraId="68F376B2"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retrieval order should prefer canonical sources for constitutional meaning.</w:t>
      </w:r>
    </w:p>
    <w:p w14:paraId="5F1D83E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model should be required to distinguish:</w:t>
      </w:r>
    </w:p>
    <w:p w14:paraId="0A5B545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canonical text;</w:t>
      </w:r>
      <w:r w:rsidRPr="00B479AE">
        <w:rPr>
          <w:rFonts w:ascii="Baskerville Old Face" w:hAnsi="Baskerville Old Face"/>
          <w:i/>
          <w:iCs/>
        </w:rPr>
        <w:br/>
        <w:t>• approved methodology;</w:t>
      </w:r>
      <w:r w:rsidRPr="00B479AE">
        <w:rPr>
          <w:rFonts w:ascii="Baskerville Old Face" w:hAnsi="Baskerville Old Face"/>
          <w:i/>
          <w:iCs/>
        </w:rPr>
        <w:br/>
        <w:t>• public background source;</w:t>
      </w:r>
      <w:r w:rsidRPr="00B479AE">
        <w:rPr>
          <w:rFonts w:ascii="Baskerville Old Face" w:hAnsi="Baskerville Old Face"/>
          <w:i/>
          <w:iCs/>
        </w:rPr>
        <w:br/>
      </w:r>
      <w:r w:rsidRPr="00B479AE">
        <w:rPr>
          <w:rFonts w:ascii="Baskerville Old Face" w:hAnsi="Baskerville Old Face"/>
          <w:i/>
          <w:iCs/>
        </w:rPr>
        <w:lastRenderedPageBreak/>
        <w:t>• draft material;</w:t>
      </w:r>
      <w:r w:rsidRPr="00B479AE">
        <w:rPr>
          <w:rFonts w:ascii="Baskerville Old Face" w:hAnsi="Baskerville Old Face"/>
          <w:i/>
          <w:iCs/>
        </w:rPr>
        <w:br/>
        <w:t>• appendix material;</w:t>
      </w:r>
      <w:r w:rsidRPr="00B479AE">
        <w:rPr>
          <w:rFonts w:ascii="Baskerville Old Face" w:hAnsi="Baskerville Old Face"/>
          <w:i/>
          <w:iCs/>
        </w:rPr>
        <w:br/>
        <w:t>• hypothesis;</w:t>
      </w:r>
      <w:r w:rsidRPr="00B479AE">
        <w:rPr>
          <w:rFonts w:ascii="Baskerville Old Face" w:hAnsi="Baskerville Old Face"/>
          <w:i/>
          <w:iCs/>
        </w:rPr>
        <w:br/>
        <w:t>• external source;</w:t>
      </w:r>
      <w:r w:rsidRPr="00B479AE">
        <w:rPr>
          <w:rFonts w:ascii="Baskerville Old Face" w:hAnsi="Baskerville Old Face"/>
          <w:i/>
          <w:iCs/>
        </w:rPr>
        <w:br/>
        <w:t>• unverified material.</w:t>
      </w:r>
    </w:p>
    <w:p w14:paraId="6CBEA83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This protects Prometheus from source confusion.</w:t>
      </w:r>
    </w:p>
    <w:p w14:paraId="69489C2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model that retrieves a speculative appendix should not treat it as operative constitutional authority.</w:t>
      </w:r>
    </w:p>
    <w:p w14:paraId="38F78B1C"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H.11 Governance votes and reputation data</w:t>
      </w:r>
    </w:p>
    <w:p w14:paraId="0BA07EE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Governance votes, consent records, reputation signals, wallet histories, contribution records, and role histories are sensitive institutional data.</w:t>
      </w:r>
    </w:p>
    <w:p w14:paraId="273018B7"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They should not be used as generic model-training data by default.</w:t>
      </w:r>
    </w:p>
    <w:p w14:paraId="7B30E6F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They may be used only under clear rules.</w:t>
      </w:r>
    </w:p>
    <w:p w14:paraId="1E1889D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Permitted uses may include:</w:t>
      </w:r>
    </w:p>
    <w:p w14:paraId="2E6BB78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governance process analysis;</w:t>
      </w:r>
      <w:r w:rsidRPr="00B479AE">
        <w:rPr>
          <w:rFonts w:ascii="Baskerville Old Face" w:hAnsi="Baskerville Old Face"/>
          <w:i/>
          <w:iCs/>
        </w:rPr>
        <w:br/>
        <w:t>• conflict-pattern detection;</w:t>
      </w:r>
      <w:r w:rsidRPr="00B479AE">
        <w:rPr>
          <w:rFonts w:ascii="Baskerville Old Face" w:hAnsi="Baskerville Old Face"/>
          <w:i/>
          <w:iCs/>
        </w:rPr>
        <w:br/>
        <w:t>• procedural improvement;</w:t>
      </w:r>
      <w:r w:rsidRPr="00B479AE">
        <w:rPr>
          <w:rFonts w:ascii="Baskerville Old Face" w:hAnsi="Baskerville Old Face"/>
          <w:i/>
          <w:iCs/>
        </w:rPr>
        <w:br/>
        <w:t>• anonymized research;</w:t>
      </w:r>
      <w:r w:rsidRPr="00B479AE">
        <w:rPr>
          <w:rFonts w:ascii="Baskerville Old Face" w:hAnsi="Baskerville Old Face"/>
          <w:i/>
          <w:iCs/>
        </w:rPr>
        <w:br/>
        <w:t>• audit support;</w:t>
      </w:r>
      <w:r w:rsidRPr="00B479AE">
        <w:rPr>
          <w:rFonts w:ascii="Baskerville Old Face" w:hAnsi="Baskerville Old Face"/>
          <w:i/>
          <w:iCs/>
        </w:rPr>
        <w:br/>
        <w:t>• contribution-history review;</w:t>
      </w:r>
      <w:r w:rsidRPr="00B479AE">
        <w:rPr>
          <w:rFonts w:ascii="Baskerville Old Face" w:hAnsi="Baskerville Old Face"/>
          <w:i/>
          <w:iCs/>
        </w:rPr>
        <w:br/>
        <w:t>• role-performance review where authorized.</w:t>
      </w:r>
    </w:p>
    <w:p w14:paraId="756C43A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Restricted or prohibited uses include:</w:t>
      </w:r>
    </w:p>
    <w:p w14:paraId="556D464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ranking human worth;</w:t>
      </w:r>
      <w:r w:rsidRPr="00B479AE">
        <w:rPr>
          <w:rFonts w:ascii="Baskerville Old Face" w:hAnsi="Baskerville Old Face"/>
          <w:i/>
          <w:iCs/>
        </w:rPr>
        <w:br/>
        <w:t>• predicting obedience;</w:t>
      </w:r>
      <w:r w:rsidRPr="00B479AE">
        <w:rPr>
          <w:rFonts w:ascii="Baskerville Old Face" w:hAnsi="Baskerville Old Face"/>
          <w:i/>
          <w:iCs/>
        </w:rPr>
        <w:br/>
        <w:t>• creating social-credit scores;</w:t>
      </w:r>
      <w:r w:rsidRPr="00B479AE">
        <w:rPr>
          <w:rFonts w:ascii="Baskerville Old Face" w:hAnsi="Baskerville Old Face"/>
          <w:i/>
          <w:iCs/>
        </w:rPr>
        <w:br/>
        <w:t>• training models to manipulate voters;</w:t>
      </w:r>
      <w:r w:rsidRPr="00B479AE">
        <w:rPr>
          <w:rFonts w:ascii="Baskerville Old Face" w:hAnsi="Baskerville Old Face"/>
          <w:i/>
          <w:iCs/>
        </w:rPr>
        <w:br/>
        <w:t>• inferring private beliefs;</w:t>
      </w:r>
      <w:r w:rsidRPr="00B479AE">
        <w:rPr>
          <w:rFonts w:ascii="Baskerville Old Face" w:hAnsi="Baskerville Old Face"/>
          <w:i/>
          <w:iCs/>
        </w:rPr>
        <w:br/>
        <w:t>• determining token rights automatically;</w:t>
      </w:r>
      <w:r w:rsidRPr="00B479AE">
        <w:rPr>
          <w:rFonts w:ascii="Baskerville Old Face" w:hAnsi="Baskerville Old Face"/>
          <w:i/>
          <w:iCs/>
        </w:rPr>
        <w:br/>
        <w:t>• determining MRV validity;</w:t>
      </w:r>
      <w:r w:rsidRPr="00B479AE">
        <w:rPr>
          <w:rFonts w:ascii="Baskerville Old Face" w:hAnsi="Baskerville Old Face"/>
          <w:i/>
          <w:iCs/>
        </w:rPr>
        <w:br/>
      </w:r>
      <w:r w:rsidRPr="00B479AE">
        <w:rPr>
          <w:rFonts w:ascii="Baskerville Old Face" w:hAnsi="Baskerville Old Face"/>
          <w:i/>
          <w:iCs/>
        </w:rPr>
        <w:lastRenderedPageBreak/>
        <w:t>• determining access without review;</w:t>
      </w:r>
      <w:r w:rsidRPr="00B479AE">
        <w:rPr>
          <w:rFonts w:ascii="Baskerville Old Face" w:hAnsi="Baskerville Old Face"/>
          <w:i/>
          <w:iCs/>
        </w:rPr>
        <w:br/>
        <w:t>• covert profiling;</w:t>
      </w:r>
      <w:r w:rsidRPr="00B479AE">
        <w:rPr>
          <w:rFonts w:ascii="Baskerville Old Face" w:hAnsi="Baskerville Old Face"/>
          <w:i/>
          <w:iCs/>
        </w:rPr>
        <w:br/>
        <w:t>• using wallet history as a proxy for trustworthiness.</w:t>
      </w:r>
    </w:p>
    <w:p w14:paraId="02DD8DE4" w14:textId="77777777" w:rsidR="004F4873" w:rsidRPr="00B479AE" w:rsidRDefault="004F4873" w:rsidP="007D662E">
      <w:pPr>
        <w:spacing w:line="360" w:lineRule="auto"/>
        <w:rPr>
          <w:rFonts w:ascii="Baskerville Old Face" w:hAnsi="Baskerville Old Face"/>
          <w:i/>
          <w:iCs/>
        </w:rPr>
      </w:pPr>
      <w:r w:rsidRPr="00B479AE">
        <w:rPr>
          <w:rFonts w:ascii="Baskerville Old Face" w:hAnsi="Baskerville Old Face"/>
          <w:i/>
          <w:iCs/>
        </w:rPr>
        <w:t xml:space="preserve">Wallet history should not be used as a default proxy for trust, virtue, competence, governance authority, MRV validity, ecological truth, or human value. Where relevant, transaction records may support narrowly defined operational, accounting, access, or contribution review, subject to privacy, purpose limitation, and governance boundaries. </w:t>
      </w:r>
    </w:p>
    <w:p w14:paraId="5C2EB497" w14:textId="69587DC3"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rule is:</w:t>
      </w:r>
    </w:p>
    <w:p w14:paraId="06D2DCA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governance records may support institutional learning;</w:t>
      </w:r>
      <w:r w:rsidRPr="00B479AE">
        <w:rPr>
          <w:rFonts w:ascii="Baskerville Old Face" w:hAnsi="Baskerville Old Face"/>
          <w:i/>
          <w:iCs/>
        </w:rPr>
        <w:br/>
        <w:t>they may not become behavioral extraction.</w:t>
      </w:r>
    </w:p>
    <w:p w14:paraId="5F2FA595"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H.12 HSI and human-state data in AI systems</w:t>
      </w:r>
    </w:p>
    <w:p w14:paraId="41F02F9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HSI and human-state data require strict boundaries.</w:t>
      </w:r>
    </w:p>
    <w:p w14:paraId="365F050E"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systems may not use HSI data for:</w:t>
      </w:r>
    </w:p>
    <w:p w14:paraId="7651C951" w14:textId="6F5DEB4E"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human ranking;</w:t>
      </w:r>
      <w:r w:rsidRPr="00B479AE">
        <w:rPr>
          <w:rFonts w:ascii="Baskerville Old Face" w:hAnsi="Baskerville Old Face"/>
          <w:i/>
          <w:iCs/>
        </w:rPr>
        <w:br/>
        <w:t>• social credit;</w:t>
      </w:r>
      <w:r w:rsidRPr="00B479AE">
        <w:rPr>
          <w:rFonts w:ascii="Baskerville Old Face" w:hAnsi="Baskerville Old Face"/>
          <w:i/>
          <w:iCs/>
        </w:rPr>
        <w:br/>
        <w:t>• investor proof;</w:t>
      </w:r>
      <w:r w:rsidRPr="00B479AE">
        <w:rPr>
          <w:rFonts w:ascii="Baskerville Old Face" w:hAnsi="Baskerville Old Face"/>
          <w:i/>
          <w:iCs/>
        </w:rPr>
        <w:br/>
        <w:t xml:space="preserve">• </w:t>
      </w:r>
      <w:r w:rsidR="00BE5BB7" w:rsidRPr="00B479AE">
        <w:rPr>
          <w:rFonts w:ascii="Baskerville Old Face" w:hAnsi="Baskerville Old Face"/>
          <w:i/>
          <w:iCs/>
        </w:rPr>
        <w:t>PRU value analysis</w:t>
      </w:r>
      <w:r w:rsidRPr="00B479AE">
        <w:rPr>
          <w:rFonts w:ascii="Baskerville Old Face" w:hAnsi="Baskerville Old Face"/>
          <w:i/>
          <w:iCs/>
        </w:rPr>
        <w:t>;</w:t>
      </w:r>
      <w:r w:rsidRPr="00B479AE">
        <w:rPr>
          <w:rFonts w:ascii="Baskerville Old Face" w:hAnsi="Baskerville Old Face"/>
          <w:i/>
          <w:iCs/>
        </w:rPr>
        <w:br/>
        <w:t>• MRV validation;</w:t>
      </w:r>
      <w:r w:rsidRPr="00B479AE">
        <w:rPr>
          <w:rFonts w:ascii="Baskerville Old Face" w:hAnsi="Baskerville Old Face"/>
          <w:i/>
          <w:iCs/>
        </w:rPr>
        <w:br/>
        <w:t>• employment scoring;</w:t>
      </w:r>
      <w:r w:rsidRPr="00B479AE">
        <w:rPr>
          <w:rFonts w:ascii="Baskerville Old Face" w:hAnsi="Baskerville Old Face"/>
          <w:i/>
          <w:iCs/>
        </w:rPr>
        <w:br/>
        <w:t>• coercive governance decisions;</w:t>
      </w:r>
      <w:r w:rsidRPr="00B479AE">
        <w:rPr>
          <w:rFonts w:ascii="Baskerville Old Face" w:hAnsi="Baskerville Old Face"/>
          <w:i/>
          <w:iCs/>
        </w:rPr>
        <w:br/>
        <w:t>• token eligibility;</w:t>
      </w:r>
      <w:r w:rsidRPr="00B479AE">
        <w:rPr>
          <w:rFonts w:ascii="Baskerville Old Face" w:hAnsi="Baskerville Old Face"/>
          <w:i/>
          <w:iCs/>
        </w:rPr>
        <w:br/>
        <w:t>• basic belonging;</w:t>
      </w:r>
      <w:r w:rsidRPr="00B479AE">
        <w:rPr>
          <w:rFonts w:ascii="Baskerville Old Face" w:hAnsi="Baskerville Old Face"/>
          <w:i/>
          <w:iCs/>
        </w:rPr>
        <w:br/>
        <w:t>• automated exclusion.</w:t>
      </w:r>
    </w:p>
    <w:p w14:paraId="3AA5237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AI-assisted HSI use may be permitted for:</w:t>
      </w:r>
    </w:p>
    <w:p w14:paraId="6C4E233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voluntary self-reflection;</w:t>
      </w:r>
      <w:r w:rsidRPr="00B479AE">
        <w:rPr>
          <w:rFonts w:ascii="Baskerville Old Face" w:hAnsi="Baskerville Old Face"/>
          <w:i/>
          <w:iCs/>
        </w:rPr>
        <w:br/>
        <w:t>• stewardship training;</w:t>
      </w:r>
      <w:r w:rsidRPr="00B479AE">
        <w:rPr>
          <w:rFonts w:ascii="Baskerville Old Face" w:hAnsi="Baskerville Old Face"/>
          <w:i/>
          <w:iCs/>
        </w:rPr>
        <w:br/>
        <w:t>• privacy-preserving research;</w:t>
      </w:r>
      <w:r w:rsidRPr="00B479AE">
        <w:rPr>
          <w:rFonts w:ascii="Baskerville Old Face" w:hAnsi="Baskerville Old Face"/>
          <w:i/>
          <w:iCs/>
        </w:rPr>
        <w:br/>
        <w:t>• aggregated learning;</w:t>
      </w:r>
      <w:r w:rsidRPr="00B479AE">
        <w:rPr>
          <w:rFonts w:ascii="Baskerville Old Face" w:hAnsi="Baskerville Old Face"/>
          <w:i/>
          <w:iCs/>
        </w:rPr>
        <w:br/>
      </w:r>
      <w:r w:rsidRPr="00B479AE">
        <w:rPr>
          <w:rFonts w:ascii="Baskerville Old Face" w:hAnsi="Baskerville Old Face"/>
          <w:i/>
          <w:iCs/>
        </w:rPr>
        <w:lastRenderedPageBreak/>
        <w:t>• consented human-infrastructure analysis;</w:t>
      </w:r>
      <w:r w:rsidRPr="00B479AE">
        <w:rPr>
          <w:rFonts w:ascii="Baskerville Old Face" w:hAnsi="Baskerville Old Face"/>
          <w:i/>
          <w:iCs/>
        </w:rPr>
        <w:br/>
        <w:t>• wellbeing-support tools where legally and ethically appropriate.</w:t>
      </w:r>
    </w:p>
    <w:p w14:paraId="0CAA859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Conditions should include:</w:t>
      </w:r>
    </w:p>
    <w:p w14:paraId="04D304B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explicit consent;</w:t>
      </w:r>
      <w:r w:rsidRPr="00B479AE">
        <w:rPr>
          <w:rFonts w:ascii="Baskerville Old Face" w:hAnsi="Baskerville Old Face"/>
          <w:i/>
          <w:iCs/>
        </w:rPr>
        <w:br/>
        <w:t>• purpose limitation;</w:t>
      </w:r>
      <w:r w:rsidRPr="00B479AE">
        <w:rPr>
          <w:rFonts w:ascii="Baskerville Old Face" w:hAnsi="Baskerville Old Face"/>
          <w:i/>
          <w:iCs/>
        </w:rPr>
        <w:br/>
        <w:t>• minimization;</w:t>
      </w:r>
      <w:r w:rsidRPr="00B479AE">
        <w:rPr>
          <w:rFonts w:ascii="Baskerville Old Face" w:hAnsi="Baskerville Old Face"/>
          <w:i/>
          <w:iCs/>
        </w:rPr>
        <w:br/>
        <w:t>• local-first or privacy-preserving architecture where feasible;</w:t>
      </w:r>
      <w:r w:rsidRPr="00B479AE">
        <w:rPr>
          <w:rFonts w:ascii="Baskerville Old Face" w:hAnsi="Baskerville Old Face"/>
          <w:i/>
          <w:iCs/>
        </w:rPr>
        <w:br/>
        <w:t>• access controls;</w:t>
      </w:r>
      <w:r w:rsidRPr="00B479AE">
        <w:rPr>
          <w:rFonts w:ascii="Baskerville Old Face" w:hAnsi="Baskerville Old Face"/>
          <w:i/>
          <w:iCs/>
        </w:rPr>
        <w:br/>
        <w:t>• no raw public exposure;</w:t>
      </w:r>
      <w:r w:rsidRPr="00B479AE">
        <w:rPr>
          <w:rFonts w:ascii="Baskerville Old Face" w:hAnsi="Baskerville Old Face"/>
          <w:i/>
          <w:iCs/>
        </w:rPr>
        <w:br/>
        <w:t>• no protected-domain authority;</w:t>
      </w:r>
      <w:r w:rsidRPr="00B479AE">
        <w:rPr>
          <w:rFonts w:ascii="Baskerville Old Face" w:hAnsi="Baskerville Old Face"/>
          <w:i/>
          <w:iCs/>
        </w:rPr>
        <w:br/>
        <w:t>• withdrawal pathway where legally and technically feasible;</w:t>
      </w:r>
      <w:r w:rsidRPr="00B479AE">
        <w:rPr>
          <w:rFonts w:ascii="Baskerville Old Face" w:hAnsi="Baskerville Old Face"/>
          <w:i/>
          <w:iCs/>
        </w:rPr>
        <w:br/>
        <w:t xml:space="preserve">• ethics and legal review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sensitive.</w:t>
      </w:r>
    </w:p>
    <w:p w14:paraId="2E6794D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Human-state data is not ordinary telemetry.</w:t>
      </w:r>
    </w:p>
    <w:p w14:paraId="56C54807"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is interiority-adjacent data.</w:t>
      </w:r>
    </w:p>
    <w:p w14:paraId="69692B87"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treats it as sacred operationally, not ornamentally.</w:t>
      </w:r>
    </w:p>
    <w:p w14:paraId="5F0C1949"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H.13 Continuous learning without autonomous authority</w:t>
      </w:r>
    </w:p>
    <w:p w14:paraId="6E32F26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may learn continuously.</w:t>
      </w:r>
    </w:p>
    <w:p w14:paraId="3389D44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Continuous learning means the system can collect feedback, update evaluation datasets, improve prompts, refine schemas, improve retrieval, identify recurring errors, and propose model improvements.</w:t>
      </w:r>
    </w:p>
    <w:p w14:paraId="49A060B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Continuous learning does not mean uncontrolled self-modification.</w:t>
      </w:r>
    </w:p>
    <w:p w14:paraId="28AAE83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safe learning loop includes:</w:t>
      </w:r>
    </w:p>
    <w:p w14:paraId="3F9AF4A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feedback capture</w:t>
      </w:r>
      <w:r w:rsidRPr="00B479AE">
        <w:rPr>
          <w:rFonts w:ascii="Baskerville Old Face" w:hAnsi="Baskerville Old Face"/>
          <w:i/>
          <w:iCs/>
        </w:rPr>
        <w:br/>
        <w:t>error classification</w:t>
      </w:r>
      <w:r w:rsidRPr="00B479AE">
        <w:rPr>
          <w:rFonts w:ascii="Baskerville Old Face" w:hAnsi="Baskerville Old Face"/>
          <w:i/>
          <w:iCs/>
        </w:rPr>
        <w:br/>
        <w:t>dataset review</w:t>
      </w:r>
      <w:r w:rsidRPr="00B479AE">
        <w:rPr>
          <w:rFonts w:ascii="Baskerville Old Face" w:hAnsi="Baskerville Old Face"/>
          <w:i/>
          <w:iCs/>
        </w:rPr>
        <w:br/>
        <w:t>proposed change</w:t>
      </w:r>
      <w:r w:rsidRPr="00B479AE">
        <w:rPr>
          <w:rFonts w:ascii="Baskerville Old Face" w:hAnsi="Baskerville Old Face"/>
          <w:i/>
          <w:iCs/>
        </w:rPr>
        <w:br/>
        <w:t>test suite update</w:t>
      </w:r>
      <w:r w:rsidRPr="00B479AE">
        <w:rPr>
          <w:rFonts w:ascii="Baskerville Old Face" w:hAnsi="Baskerville Old Face"/>
          <w:i/>
          <w:iCs/>
        </w:rPr>
        <w:br/>
        <w:t>sandbox evaluation</w:t>
      </w:r>
      <w:r w:rsidRPr="00B479AE">
        <w:rPr>
          <w:rFonts w:ascii="Baskerville Old Face" w:hAnsi="Baskerville Old Face"/>
          <w:i/>
          <w:iCs/>
        </w:rPr>
        <w:br/>
      </w:r>
      <w:r w:rsidRPr="00B479AE">
        <w:rPr>
          <w:rFonts w:ascii="Baskerville Old Face" w:hAnsi="Baskerville Old Face"/>
          <w:i/>
          <w:iCs/>
        </w:rPr>
        <w:lastRenderedPageBreak/>
        <w:t>review</w:t>
      </w:r>
      <w:r w:rsidRPr="00B479AE">
        <w:rPr>
          <w:rFonts w:ascii="Baskerville Old Face" w:hAnsi="Baskerville Old Face"/>
          <w:i/>
          <w:iCs/>
        </w:rPr>
        <w:br/>
        <w:t>deployment approval</w:t>
      </w:r>
      <w:r w:rsidRPr="00B479AE">
        <w:rPr>
          <w:rFonts w:ascii="Baskerville Old Face" w:hAnsi="Baskerville Old Face"/>
          <w:i/>
          <w:iCs/>
        </w:rPr>
        <w:br/>
        <w:t>monitoring</w:t>
      </w:r>
      <w:r w:rsidRPr="00B479AE">
        <w:rPr>
          <w:rFonts w:ascii="Baskerville Old Face" w:hAnsi="Baskerville Old Face"/>
          <w:i/>
          <w:iCs/>
        </w:rPr>
        <w:br/>
        <w:t>rollback capability.</w:t>
      </w:r>
    </w:p>
    <w:p w14:paraId="36A945E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system may adapt.</w:t>
      </w:r>
    </w:p>
    <w:p w14:paraId="16EB531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canon remains protected.</w:t>
      </w:r>
    </w:p>
    <w:p w14:paraId="5CE028B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model may learn from mistakes.</w:t>
      </w:r>
    </w:p>
    <w:p w14:paraId="1E87FD7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not rewrite the constitution.</w:t>
      </w:r>
    </w:p>
    <w:p w14:paraId="6214263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An agent may improve classification.</w:t>
      </w:r>
    </w:p>
    <w:p w14:paraId="3A0AA6E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not expand its own authority.</w:t>
      </w:r>
    </w:p>
    <w:p w14:paraId="45B0E798"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prompt may become more precise.</w:t>
      </w:r>
    </w:p>
    <w:p w14:paraId="2EB1949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not bypass review.</w:t>
      </w:r>
    </w:p>
    <w:p w14:paraId="6D9E9E6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This is the difference between living intelligence and runaway automation.</w:t>
      </w:r>
    </w:p>
    <w:p w14:paraId="11696716"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H.14 Adversarial AI, AGI, and ASI test suite</w:t>
      </w:r>
    </w:p>
    <w:p w14:paraId="13A477F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should maintain an adversarial test suite.</w:t>
      </w:r>
    </w:p>
    <w:p w14:paraId="279AB7F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suite should include attempts to make AI systems:</w:t>
      </w:r>
    </w:p>
    <w:p w14:paraId="7591316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treat AI output as final authority;</w:t>
      </w:r>
      <w:r w:rsidRPr="00B479AE">
        <w:rPr>
          <w:rFonts w:ascii="Baskerville Old Face" w:hAnsi="Baskerville Old Face"/>
          <w:i/>
          <w:iCs/>
        </w:rPr>
        <w:br/>
        <w:t>• issue PRU value without MRV;</w:t>
      </w:r>
      <w:r w:rsidRPr="00B479AE">
        <w:rPr>
          <w:rFonts w:ascii="Baskerville Old Face" w:hAnsi="Baskerville Old Face"/>
          <w:i/>
          <w:iCs/>
        </w:rPr>
        <w:br/>
        <w:t>• approve investor language without legal review;</w:t>
      </w:r>
      <w:r w:rsidRPr="00B479AE">
        <w:rPr>
          <w:rFonts w:ascii="Baskerville Old Face" w:hAnsi="Baskerville Old Face"/>
          <w:i/>
          <w:iCs/>
        </w:rPr>
        <w:br/>
        <w:t>• reinterpret Eternity Clauses;</w:t>
      </w:r>
      <w:r w:rsidRPr="00B479AE">
        <w:rPr>
          <w:rFonts w:ascii="Baskerville Old Face" w:hAnsi="Baskerville Old Face"/>
          <w:i/>
          <w:iCs/>
        </w:rPr>
        <w:br/>
        <w:t>• weaken the Access Covenant;</w:t>
      </w:r>
      <w:r w:rsidRPr="00B479AE">
        <w:rPr>
          <w:rFonts w:ascii="Baskerville Old Face" w:hAnsi="Baskerville Old Face"/>
          <w:i/>
          <w:iCs/>
        </w:rPr>
        <w:br/>
        <w:t>• convert HSI into social credit;</w:t>
      </w:r>
      <w:r w:rsidRPr="00B479AE">
        <w:rPr>
          <w:rFonts w:ascii="Baskerville Old Face" w:hAnsi="Baskerville Old Face"/>
          <w:i/>
          <w:iCs/>
        </w:rPr>
        <w:br/>
        <w:t>• use wallet history as trust score;</w:t>
      </w:r>
      <w:r w:rsidRPr="00B479AE">
        <w:rPr>
          <w:rFonts w:ascii="Baskerville Old Face" w:hAnsi="Baskerville Old Face"/>
          <w:i/>
          <w:iCs/>
        </w:rPr>
        <w:br/>
        <w:t>• treat token voting as constitutional authority;</w:t>
      </w:r>
      <w:r w:rsidRPr="00B479AE">
        <w:rPr>
          <w:rFonts w:ascii="Baskerville Old Face" w:hAnsi="Baskerville Old Face"/>
          <w:i/>
          <w:iCs/>
        </w:rPr>
        <w:br/>
        <w:t>• treat speculative appendix material as operative system behavior;</w:t>
      </w:r>
      <w:r w:rsidRPr="00B479AE">
        <w:rPr>
          <w:rFonts w:ascii="Baskerville Old Face" w:hAnsi="Baskerville Old Face"/>
          <w:i/>
          <w:iCs/>
        </w:rPr>
        <w:br/>
        <w:t>• accept synthetic MRV data;</w:t>
      </w:r>
      <w:r w:rsidRPr="00B479AE">
        <w:rPr>
          <w:rFonts w:ascii="Baskerville Old Face" w:hAnsi="Baskerville Old Face"/>
          <w:i/>
          <w:iCs/>
        </w:rPr>
        <w:br/>
      </w:r>
      <w:r w:rsidRPr="00B479AE">
        <w:rPr>
          <w:rFonts w:ascii="Baskerville Old Face" w:hAnsi="Baskerville Old Face"/>
          <w:i/>
          <w:iCs/>
        </w:rPr>
        <w:lastRenderedPageBreak/>
        <w:t>• ignore source-layer hashes;</w:t>
      </w:r>
      <w:r w:rsidRPr="00B479AE">
        <w:rPr>
          <w:rFonts w:ascii="Baskerville Old Face" w:hAnsi="Baskerville Old Face"/>
          <w:i/>
          <w:iCs/>
        </w:rPr>
        <w:br/>
        <w:t>• approve hostile fork claims;</w:t>
      </w:r>
      <w:r w:rsidRPr="00B479AE">
        <w:rPr>
          <w:rFonts w:ascii="Baskerville Old Face" w:hAnsi="Baskerville Old Face"/>
          <w:i/>
          <w:iCs/>
        </w:rPr>
        <w:br/>
        <w:t>• misclassify non-canonical repositories as canonical;</w:t>
      </w:r>
      <w:r w:rsidRPr="00B479AE">
        <w:rPr>
          <w:rFonts w:ascii="Baskerville Old Face" w:hAnsi="Baskerville Old Face"/>
          <w:i/>
          <w:iCs/>
        </w:rPr>
        <w:br/>
        <w:t>• bypass offline verification;</w:t>
      </w:r>
      <w:r w:rsidRPr="00B479AE">
        <w:rPr>
          <w:rFonts w:ascii="Baskerville Old Face" w:hAnsi="Baskerville Old Face"/>
          <w:i/>
          <w:iCs/>
        </w:rPr>
        <w:br/>
        <w:t>• treat human continuity as optional;</w:t>
      </w:r>
      <w:r w:rsidRPr="00B479AE">
        <w:rPr>
          <w:rFonts w:ascii="Baskerville Old Face" w:hAnsi="Baskerville Old Face"/>
          <w:i/>
          <w:iCs/>
        </w:rPr>
        <w:br/>
        <w:t>• optimize growth over dignity.</w:t>
      </w:r>
    </w:p>
    <w:p w14:paraId="5E21747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Each adversarial case should define:</w:t>
      </w:r>
    </w:p>
    <w:p w14:paraId="447CF11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attack pattern;</w:t>
      </w:r>
      <w:r w:rsidRPr="00B479AE">
        <w:rPr>
          <w:rFonts w:ascii="Baskerville Old Face" w:hAnsi="Baskerville Old Face"/>
          <w:i/>
          <w:iCs/>
        </w:rPr>
        <w:br/>
        <w:t>• expected refusal or routing behavior;</w:t>
      </w:r>
      <w:r w:rsidRPr="00B479AE">
        <w:rPr>
          <w:rFonts w:ascii="Baskerville Old Face" w:hAnsi="Baskerville Old Face"/>
          <w:i/>
          <w:iCs/>
        </w:rPr>
        <w:br/>
        <w:t>• relevant source-layer rule;</w:t>
      </w:r>
      <w:r w:rsidRPr="00B479AE">
        <w:rPr>
          <w:rFonts w:ascii="Baskerville Old Face" w:hAnsi="Baskerville Old Face"/>
          <w:i/>
          <w:iCs/>
        </w:rPr>
        <w:br/>
        <w:t>• evaluation result;</w:t>
      </w:r>
      <w:r w:rsidRPr="00B479AE">
        <w:rPr>
          <w:rFonts w:ascii="Baskerville Old Face" w:hAnsi="Baskerville Old Face"/>
          <w:i/>
          <w:iCs/>
        </w:rPr>
        <w:br/>
        <w:t>• required remediation if failed.</w:t>
      </w:r>
    </w:p>
    <w:p w14:paraId="0839B14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This creates regression testing for constitutional fidelity.</w:t>
      </w:r>
    </w:p>
    <w:p w14:paraId="6E4D8768"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H.15 Incident response for AI-system failure</w:t>
      </w:r>
    </w:p>
    <w:p w14:paraId="2F508D8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AI-system failures should be classified and handled through incident response.</w:t>
      </w:r>
    </w:p>
    <w:p w14:paraId="405156E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Possible incidents include:</w:t>
      </w:r>
    </w:p>
    <w:p w14:paraId="0B80530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hallucinated legal or financial authority;</w:t>
      </w:r>
      <w:r w:rsidRPr="00B479AE">
        <w:rPr>
          <w:rFonts w:ascii="Baskerville Old Face" w:hAnsi="Baskerville Old Face"/>
          <w:i/>
          <w:iCs/>
        </w:rPr>
        <w:br/>
        <w:t>• false MRV classification;</w:t>
      </w:r>
      <w:r w:rsidRPr="00B479AE">
        <w:rPr>
          <w:rFonts w:ascii="Baskerville Old Face" w:hAnsi="Baskerville Old Face"/>
          <w:i/>
          <w:iCs/>
        </w:rPr>
        <w:br/>
        <w:t>• privacy breach;</w:t>
      </w:r>
      <w:r w:rsidRPr="00B479AE">
        <w:rPr>
          <w:rFonts w:ascii="Baskerville Old Face" w:hAnsi="Baskerville Old Face"/>
          <w:i/>
          <w:iCs/>
        </w:rPr>
        <w:br/>
        <w:t>• HSI misuse;</w:t>
      </w:r>
      <w:r w:rsidRPr="00B479AE">
        <w:rPr>
          <w:rFonts w:ascii="Baskerville Old Face" w:hAnsi="Baskerville Old Face"/>
          <w:i/>
          <w:iCs/>
        </w:rPr>
        <w:br/>
        <w:t>• output used beyond scope;</w:t>
      </w:r>
      <w:r w:rsidRPr="00B479AE">
        <w:rPr>
          <w:rFonts w:ascii="Baskerville Old Face" w:hAnsi="Baskerville Old Face"/>
          <w:i/>
          <w:iCs/>
        </w:rPr>
        <w:br/>
        <w:t>• prompt-injection success;</w:t>
      </w:r>
      <w:r w:rsidRPr="00B479AE">
        <w:rPr>
          <w:rFonts w:ascii="Baskerville Old Face" w:hAnsi="Baskerville Old Face"/>
          <w:i/>
          <w:iCs/>
        </w:rPr>
        <w:br/>
        <w:t>• data poisoning;</w:t>
      </w:r>
      <w:r w:rsidRPr="00B479AE">
        <w:rPr>
          <w:rFonts w:ascii="Baskerville Old Face" w:hAnsi="Baskerville Old Face"/>
          <w:i/>
          <w:iCs/>
        </w:rPr>
        <w:br/>
        <w:t>• synthetic evidence acceptance;</w:t>
      </w:r>
      <w:r w:rsidRPr="00B479AE">
        <w:rPr>
          <w:rFonts w:ascii="Baskerville Old Face" w:hAnsi="Baskerville Old Face"/>
          <w:i/>
          <w:iCs/>
        </w:rPr>
        <w:br/>
        <w:t>• unauthorized deployment;</w:t>
      </w:r>
      <w:r w:rsidRPr="00B479AE">
        <w:rPr>
          <w:rFonts w:ascii="Baskerville Old Face" w:hAnsi="Baskerville Old Face"/>
          <w:i/>
          <w:iCs/>
        </w:rPr>
        <w:br/>
        <w:t>• model drift;</w:t>
      </w:r>
      <w:r w:rsidRPr="00B479AE">
        <w:rPr>
          <w:rFonts w:ascii="Baskerville Old Face" w:hAnsi="Baskerville Old Face"/>
          <w:i/>
          <w:iCs/>
        </w:rPr>
        <w:br/>
        <w:t>• hostile fork endorsement;</w:t>
      </w:r>
      <w:r w:rsidRPr="00B479AE">
        <w:rPr>
          <w:rFonts w:ascii="Baskerville Old Face" w:hAnsi="Baskerville Old Face"/>
          <w:i/>
          <w:iCs/>
        </w:rPr>
        <w:br/>
        <w:t>• canonical confusion;</w:t>
      </w:r>
      <w:r w:rsidRPr="00B479AE">
        <w:rPr>
          <w:rFonts w:ascii="Baskerville Old Face" w:hAnsi="Baskerville Old Face"/>
          <w:i/>
          <w:iCs/>
        </w:rPr>
        <w:br/>
        <w:t>• unsafe public communication;</w:t>
      </w:r>
      <w:r w:rsidRPr="00B479AE">
        <w:rPr>
          <w:rFonts w:ascii="Baskerville Old Face" w:hAnsi="Baskerville Old Face"/>
          <w:i/>
          <w:iCs/>
        </w:rPr>
        <w:br/>
        <w:t>• protected-domain bypass.</w:t>
      </w:r>
    </w:p>
    <w:p w14:paraId="54FE35B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Incident response may include:</w:t>
      </w:r>
    </w:p>
    <w:p w14:paraId="375EB4B2"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suspend agent;</w:t>
      </w:r>
      <w:r w:rsidRPr="00B479AE">
        <w:rPr>
          <w:rFonts w:ascii="Baskerville Old Face" w:hAnsi="Baskerville Old Face"/>
          <w:i/>
          <w:iCs/>
        </w:rPr>
        <w:br/>
        <w:t>• isolate affected workflow;</w:t>
      </w:r>
      <w:r w:rsidRPr="00B479AE">
        <w:rPr>
          <w:rFonts w:ascii="Baskerville Old Face" w:hAnsi="Baskerville Old Face"/>
          <w:i/>
          <w:iCs/>
        </w:rPr>
        <w:br/>
        <w:t>• mark outputs as review-required or non-admissible;</w:t>
      </w:r>
      <w:r w:rsidRPr="00B479AE">
        <w:rPr>
          <w:rFonts w:ascii="Baskerville Old Face" w:hAnsi="Baskerville Old Face"/>
          <w:i/>
          <w:iCs/>
        </w:rPr>
        <w:br/>
        <w:t>• notify governance body;</w:t>
      </w:r>
      <w:r w:rsidRPr="00B479AE">
        <w:rPr>
          <w:rFonts w:ascii="Baskerville Old Face" w:hAnsi="Baskerville Old Face"/>
          <w:i/>
          <w:iCs/>
        </w:rPr>
        <w:br/>
        <w:t>• notify legal or technical reviewer where required;</w:t>
      </w:r>
      <w:r w:rsidRPr="00B479AE">
        <w:rPr>
          <w:rFonts w:ascii="Baskerville Old Face" w:hAnsi="Baskerville Old Face"/>
          <w:i/>
          <w:iCs/>
        </w:rPr>
        <w:br/>
        <w:t>• revoke access token or API key;</w:t>
      </w:r>
      <w:r w:rsidRPr="00B479AE">
        <w:rPr>
          <w:rFonts w:ascii="Baskerville Old Face" w:hAnsi="Baskerville Old Face"/>
          <w:i/>
          <w:iCs/>
        </w:rPr>
        <w:br/>
        <w:t>• roll back model or prompt version;</w:t>
      </w:r>
      <w:r w:rsidRPr="00B479AE">
        <w:rPr>
          <w:rFonts w:ascii="Baskerville Old Face" w:hAnsi="Baskerville Old Face"/>
          <w:i/>
          <w:iCs/>
        </w:rPr>
        <w:br/>
        <w:t>• update evaluation suite;</w:t>
      </w:r>
      <w:r w:rsidRPr="00B479AE">
        <w:rPr>
          <w:rFonts w:ascii="Baskerville Old Face" w:hAnsi="Baskerville Old Face"/>
          <w:i/>
          <w:iCs/>
        </w:rPr>
        <w:br/>
        <w:t>• issue correction;</w:t>
      </w:r>
      <w:r w:rsidRPr="00B479AE">
        <w:rPr>
          <w:rFonts w:ascii="Baskerville Old Face" w:hAnsi="Baskerville Old Face"/>
          <w:i/>
          <w:iCs/>
        </w:rPr>
        <w:br/>
        <w:t>• audit affected outputs;</w:t>
      </w:r>
      <w:r w:rsidRPr="00B479AE">
        <w:rPr>
          <w:rFonts w:ascii="Baskerville Old Face" w:hAnsi="Baskerville Old Face"/>
          <w:i/>
          <w:iCs/>
        </w:rPr>
        <w:br/>
        <w:t>• update policy engine;</w:t>
      </w:r>
      <w:r w:rsidRPr="00B479AE">
        <w:rPr>
          <w:rFonts w:ascii="Baskerville Old Face" w:hAnsi="Baskerville Old Face"/>
          <w:i/>
          <w:iCs/>
        </w:rPr>
        <w:br/>
        <w:t>• retrain or retire model.</w:t>
      </w:r>
    </w:p>
    <w:p w14:paraId="4746F1F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incident response record should include:</w:t>
      </w:r>
    </w:p>
    <w:p w14:paraId="07BE9B9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agent identity;</w:t>
      </w:r>
      <w:r w:rsidRPr="00B479AE">
        <w:rPr>
          <w:rFonts w:ascii="Baskerville Old Face" w:hAnsi="Baskerville Old Face"/>
          <w:i/>
          <w:iCs/>
        </w:rPr>
        <w:br/>
        <w:t>• model version;</w:t>
      </w:r>
      <w:r w:rsidRPr="00B479AE">
        <w:rPr>
          <w:rFonts w:ascii="Baskerville Old Face" w:hAnsi="Baskerville Old Face"/>
          <w:i/>
          <w:iCs/>
        </w:rPr>
        <w:br/>
        <w:t>• prompt version;</w:t>
      </w:r>
      <w:r w:rsidRPr="00B479AE">
        <w:rPr>
          <w:rFonts w:ascii="Baskerville Old Face" w:hAnsi="Baskerville Old Face"/>
          <w:i/>
          <w:iCs/>
        </w:rPr>
        <w:br/>
        <w:t>• input class;</w:t>
      </w:r>
      <w:r w:rsidRPr="00B479AE">
        <w:rPr>
          <w:rFonts w:ascii="Baskerville Old Face" w:hAnsi="Baskerville Old Face"/>
          <w:i/>
          <w:iCs/>
        </w:rPr>
        <w:br/>
        <w:t>• output class;</w:t>
      </w:r>
      <w:r w:rsidRPr="00B479AE">
        <w:rPr>
          <w:rFonts w:ascii="Baskerville Old Face" w:hAnsi="Baskerville Old Face"/>
          <w:i/>
          <w:iCs/>
        </w:rPr>
        <w:br/>
        <w:t>• incident type;</w:t>
      </w:r>
      <w:r w:rsidRPr="00B479AE">
        <w:rPr>
          <w:rFonts w:ascii="Baskerville Old Face" w:hAnsi="Baskerville Old Face"/>
          <w:i/>
          <w:iCs/>
        </w:rPr>
        <w:br/>
        <w:t>• affected domain;</w:t>
      </w:r>
      <w:r w:rsidRPr="00B479AE">
        <w:rPr>
          <w:rFonts w:ascii="Baskerville Old Face" w:hAnsi="Baskerville Old Face"/>
          <w:i/>
          <w:iCs/>
        </w:rPr>
        <w:br/>
        <w:t>• severity;</w:t>
      </w:r>
      <w:r w:rsidRPr="00B479AE">
        <w:rPr>
          <w:rFonts w:ascii="Baskerville Old Face" w:hAnsi="Baskerville Old Face"/>
          <w:i/>
          <w:iCs/>
        </w:rPr>
        <w:br/>
        <w:t>• remediation;</w:t>
      </w:r>
      <w:r w:rsidRPr="00B479AE">
        <w:rPr>
          <w:rFonts w:ascii="Baskerville Old Face" w:hAnsi="Baskerville Old Face"/>
          <w:i/>
          <w:iCs/>
        </w:rPr>
        <w:br/>
        <w:t>• reviewer;</w:t>
      </w:r>
      <w:r w:rsidRPr="00B479AE">
        <w:rPr>
          <w:rFonts w:ascii="Baskerville Old Face" w:hAnsi="Baskerville Old Face"/>
          <w:i/>
          <w:iCs/>
        </w:rPr>
        <w:br/>
        <w:t>• closure status.</w:t>
      </w:r>
    </w:p>
    <w:p w14:paraId="3FE6EC66"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H.16 Local models and network-independent AI continuity</w:t>
      </w:r>
    </w:p>
    <w:p w14:paraId="1907C9E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should not depend exclusively on cloud-based AI providers.</w:t>
      </w:r>
    </w:p>
    <w:p w14:paraId="5AD9ED1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Network-independent continuity may require local models, air-gapped inference, offline retrieval, local document search, and locally verifiable canonical corpora.</w:t>
      </w:r>
    </w:p>
    <w:p w14:paraId="7568CE4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 local AI continuity kit may include:</w:t>
      </w:r>
    </w:p>
    <w:p w14:paraId="50BEC54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 canonical source-layer corpus;</w:t>
      </w:r>
      <w:r w:rsidRPr="00B479AE">
        <w:rPr>
          <w:rFonts w:ascii="Baskerville Old Face" w:hAnsi="Baskerville Old Face"/>
          <w:i/>
          <w:iCs/>
        </w:rPr>
        <w:br/>
        <w:t>• canonical glossary;</w:t>
      </w:r>
      <w:r w:rsidRPr="00B479AE">
        <w:rPr>
          <w:rFonts w:ascii="Baskerville Old Face" w:hAnsi="Baskerville Old Face"/>
          <w:i/>
          <w:iCs/>
        </w:rPr>
        <w:br/>
        <w:t>• offline retrieval index;</w:t>
      </w:r>
      <w:r w:rsidRPr="00B479AE">
        <w:rPr>
          <w:rFonts w:ascii="Baskerville Old Face" w:hAnsi="Baskerville Old Face"/>
          <w:i/>
          <w:iCs/>
        </w:rPr>
        <w:br/>
        <w:t>• model card;</w:t>
      </w:r>
      <w:r w:rsidRPr="00B479AE">
        <w:rPr>
          <w:rFonts w:ascii="Baskerville Old Face" w:hAnsi="Baskerville Old Face"/>
          <w:i/>
          <w:iCs/>
        </w:rPr>
        <w:br/>
        <w:t>• approved prompt set;</w:t>
      </w:r>
      <w:r w:rsidRPr="00B479AE">
        <w:rPr>
          <w:rFonts w:ascii="Baskerville Old Face" w:hAnsi="Baskerville Old Face"/>
          <w:i/>
          <w:iCs/>
        </w:rPr>
        <w:br/>
        <w:t>• refusal rules;</w:t>
      </w:r>
      <w:r w:rsidRPr="00B479AE">
        <w:rPr>
          <w:rFonts w:ascii="Baskerville Old Face" w:hAnsi="Baskerville Old Face"/>
          <w:i/>
          <w:iCs/>
        </w:rPr>
        <w:br/>
        <w:t>• evaluation tests;</w:t>
      </w:r>
      <w:r w:rsidRPr="00B479AE">
        <w:rPr>
          <w:rFonts w:ascii="Baskerville Old Face" w:hAnsi="Baskerville Old Face"/>
          <w:i/>
          <w:iCs/>
        </w:rPr>
        <w:br/>
        <w:t>• checksum files;</w:t>
      </w:r>
      <w:r w:rsidRPr="00B479AE">
        <w:rPr>
          <w:rFonts w:ascii="Baskerville Old Face" w:hAnsi="Baskerville Old Face"/>
          <w:i/>
          <w:iCs/>
        </w:rPr>
        <w:br/>
        <w:t>• detached signatures;</w:t>
      </w:r>
      <w:r w:rsidRPr="00B479AE">
        <w:rPr>
          <w:rFonts w:ascii="Baskerville Old Face" w:hAnsi="Baskerville Old Face"/>
          <w:i/>
          <w:iCs/>
        </w:rPr>
        <w:br/>
        <w:t>• local inference instructions;</w:t>
      </w:r>
      <w:r w:rsidRPr="00B479AE">
        <w:rPr>
          <w:rFonts w:ascii="Baskerville Old Face" w:hAnsi="Baskerville Old Face"/>
          <w:i/>
          <w:iCs/>
        </w:rPr>
        <w:br/>
        <w:t>• hardware requirements;</w:t>
      </w:r>
      <w:r w:rsidRPr="00B479AE">
        <w:rPr>
          <w:rFonts w:ascii="Baskerville Old Face" w:hAnsi="Baskerville Old Face"/>
          <w:i/>
          <w:iCs/>
        </w:rPr>
        <w:br/>
        <w:t>• security guidance;</w:t>
      </w:r>
      <w:r w:rsidRPr="00B479AE">
        <w:rPr>
          <w:rFonts w:ascii="Baskerville Old Face" w:hAnsi="Baskerville Old Face"/>
          <w:i/>
          <w:iCs/>
        </w:rPr>
        <w:br/>
        <w:t>• update procedure;</w:t>
      </w:r>
      <w:r w:rsidRPr="00B479AE">
        <w:rPr>
          <w:rFonts w:ascii="Baskerville Old Face" w:hAnsi="Baskerville Old Face"/>
          <w:i/>
          <w:iCs/>
        </w:rPr>
        <w:br/>
        <w:t>• rollback procedure.</w:t>
      </w:r>
    </w:p>
    <w:p w14:paraId="41A3DB5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Local models may assist communities, research stations, seed banks, bioregional networks, or post-disaster nodes where Internet access is unavailable.</w:t>
      </w:r>
    </w:p>
    <w:p w14:paraId="46224D35"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same boundary applies:</w:t>
      </w:r>
    </w:p>
    <w:p w14:paraId="2CF8B15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offline AI remains assistive;</w:t>
      </w:r>
      <w:r w:rsidRPr="00B479AE">
        <w:rPr>
          <w:rFonts w:ascii="Baskerville Old Face" w:hAnsi="Baskerville Old Face"/>
          <w:i/>
          <w:iCs/>
        </w:rPr>
        <w:br/>
        <w:t>offline canon remains verifiable;</w:t>
      </w:r>
      <w:r w:rsidRPr="00B479AE">
        <w:rPr>
          <w:rFonts w:ascii="Baskerville Old Face" w:hAnsi="Baskerville Old Face"/>
          <w:i/>
          <w:iCs/>
        </w:rPr>
        <w:br/>
        <w:t>offline governance remains review-bound;</w:t>
      </w:r>
      <w:r w:rsidRPr="00B479AE">
        <w:rPr>
          <w:rFonts w:ascii="Baskerville Old Face" w:hAnsi="Baskerville Old Face"/>
          <w:i/>
          <w:iCs/>
        </w:rPr>
        <w:br/>
        <w:t>offline execution remains constrained by the source layer.</w:t>
      </w:r>
    </w:p>
    <w:p w14:paraId="6310D30D" w14:textId="37F73CE2"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H.17 Developer and maintainer obligations</w:t>
      </w:r>
    </w:p>
    <w:p w14:paraId="177D7D6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Developers, maintainers, model operators, prompt engineers, data curators, and integration partners should follow defined obligations.</w:t>
      </w:r>
    </w:p>
    <w:p w14:paraId="443FBC0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These include:</w:t>
      </w:r>
    </w:p>
    <w:p w14:paraId="7DA607F9" w14:textId="3FFE2D3A"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 preserve source-layer constraints;</w:t>
      </w:r>
      <w:r w:rsidRPr="00B479AE">
        <w:rPr>
          <w:rFonts w:ascii="Baskerville Old Face" w:hAnsi="Baskerville Old Face"/>
          <w:i/>
          <w:iCs/>
        </w:rPr>
        <w:br/>
        <w:t>• document model changes;</w:t>
      </w:r>
      <w:r w:rsidRPr="00B479AE">
        <w:rPr>
          <w:rFonts w:ascii="Baskerville Old Face" w:hAnsi="Baskerville Old Face"/>
          <w:i/>
          <w:iCs/>
        </w:rPr>
        <w:br/>
        <w:t>• preserve evaluation records;</w:t>
      </w:r>
      <w:r w:rsidRPr="00B479AE">
        <w:rPr>
          <w:rFonts w:ascii="Baskerville Old Face" w:hAnsi="Baskerville Old Face"/>
          <w:i/>
          <w:iCs/>
        </w:rPr>
        <w:br/>
        <w:t>• respect data rights;</w:t>
      </w:r>
      <w:r w:rsidRPr="00B479AE">
        <w:rPr>
          <w:rFonts w:ascii="Baskerville Old Face" w:hAnsi="Baskerville Old Face"/>
          <w:i/>
          <w:iCs/>
        </w:rPr>
        <w:br/>
        <w:t>• minimize sensitive data;</w:t>
      </w:r>
      <w:r w:rsidRPr="00B479AE">
        <w:rPr>
          <w:rFonts w:ascii="Baskerville Old Face" w:hAnsi="Baskerville Old Face"/>
          <w:i/>
          <w:iCs/>
        </w:rPr>
        <w:br/>
      </w:r>
      <w:r w:rsidRPr="00B479AE">
        <w:rPr>
          <w:rFonts w:ascii="Baskerville Old Face" w:hAnsi="Baskerville Old Face"/>
          <w:i/>
          <w:iCs/>
        </w:rPr>
        <w:lastRenderedPageBreak/>
        <w:t>• avoid unauthorized training on protected data;</w:t>
      </w:r>
      <w:r w:rsidRPr="00B479AE">
        <w:rPr>
          <w:rFonts w:ascii="Baskerville Old Face" w:hAnsi="Baskerville Old Face"/>
          <w:i/>
          <w:iCs/>
        </w:rPr>
        <w:br/>
        <w:t>• maintain rollback capability;</w:t>
      </w:r>
      <w:r w:rsidRPr="00B479AE">
        <w:rPr>
          <w:rFonts w:ascii="Baskerville Old Face" w:hAnsi="Baskerville Old Face"/>
          <w:i/>
          <w:iCs/>
        </w:rPr>
        <w:br/>
        <w:t>• label AI outputs;</w:t>
      </w:r>
      <w:r w:rsidRPr="00B479AE">
        <w:rPr>
          <w:rFonts w:ascii="Baskerville Old Face" w:hAnsi="Baskerville Old Face"/>
          <w:i/>
          <w:iCs/>
        </w:rPr>
        <w:br/>
        <w:t>• preserve logs for protected workflows;</w:t>
      </w:r>
      <w:r w:rsidRPr="00B479AE">
        <w:rPr>
          <w:rFonts w:ascii="Baskerville Old Face" w:hAnsi="Baskerville Old Face"/>
          <w:i/>
          <w:iCs/>
        </w:rPr>
        <w:br/>
        <w:t>• report incidents;</w:t>
      </w:r>
      <w:r w:rsidRPr="00B479AE">
        <w:rPr>
          <w:rFonts w:ascii="Baskerville Old Face" w:hAnsi="Baskerville Old Face"/>
          <w:i/>
          <w:iCs/>
        </w:rPr>
        <w:br/>
        <w:t>• avoid overclaiming capability;</w:t>
      </w:r>
      <w:r w:rsidRPr="00B479AE">
        <w:rPr>
          <w:rFonts w:ascii="Baskerville Old Face" w:hAnsi="Baskerville Old Face"/>
          <w:i/>
          <w:iCs/>
        </w:rPr>
        <w:br/>
        <w:t>• route protected-domain outputs to review;</w:t>
      </w:r>
      <w:r w:rsidRPr="00B479AE">
        <w:rPr>
          <w:rFonts w:ascii="Baskerville Old Face" w:hAnsi="Baskerville Old Face"/>
          <w:i/>
          <w:iCs/>
        </w:rPr>
        <w:br/>
        <w:t>• maintain separation between draft, recommendation, and authority.</w:t>
      </w:r>
      <w:r w:rsidR="005A3560" w:rsidRPr="00B479AE">
        <w:rPr>
          <w:rFonts w:ascii="Baskerville Old Face" w:hAnsi="Baskerville Old Face"/>
          <w:i/>
          <w:iCs/>
        </w:rPr>
        <w:t xml:space="preserve"> </w:t>
      </w:r>
      <w:r w:rsidRPr="00B479AE">
        <w:rPr>
          <w:rFonts w:ascii="Baskerville Old Face" w:hAnsi="Baskerville Old Face"/>
          <w:i/>
          <w:iCs/>
        </w:rPr>
        <w:t>The developer rule is:</w:t>
      </w:r>
    </w:p>
    <w:p w14:paraId="658CCC9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build intelligence that serves the constitution;</w:t>
      </w:r>
      <w:r w:rsidRPr="00B479AE">
        <w:rPr>
          <w:rFonts w:ascii="Baskerville Old Face" w:hAnsi="Baskerville Old Face"/>
          <w:i/>
          <w:iCs/>
        </w:rPr>
        <w:br/>
        <w:t>do not build intelligence that quietly becomes the constitution.</w:t>
      </w:r>
    </w:p>
    <w:p w14:paraId="2A6C6549" w14:textId="77777777" w:rsidR="007D662E" w:rsidRPr="00B479AE" w:rsidRDefault="007D662E" w:rsidP="007D662E">
      <w:pPr>
        <w:spacing w:line="360" w:lineRule="auto"/>
        <w:rPr>
          <w:rFonts w:ascii="Baskerville Old Face" w:hAnsi="Baskerville Old Face"/>
          <w:b/>
          <w:bCs/>
          <w:i/>
          <w:iCs/>
        </w:rPr>
      </w:pPr>
      <w:r w:rsidRPr="00B479AE">
        <w:rPr>
          <w:rFonts w:ascii="Baskerville Old Face" w:hAnsi="Baskerville Old Face"/>
          <w:b/>
          <w:bCs/>
          <w:i/>
          <w:iCs/>
        </w:rPr>
        <w:t>H.18 Final AI-assisted learning principle</w:t>
      </w:r>
    </w:p>
    <w:p w14:paraId="1B7668EE"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Prometheus may use AI deeply.</w:t>
      </w:r>
    </w:p>
    <w:p w14:paraId="28A429E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research.</w:t>
      </w:r>
    </w:p>
    <w:p w14:paraId="3CE8930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design.</w:t>
      </w:r>
    </w:p>
    <w:p w14:paraId="415C7284"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analysis.</w:t>
      </w:r>
    </w:p>
    <w:p w14:paraId="12A2140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MRV support.</w:t>
      </w:r>
    </w:p>
    <w:p w14:paraId="6EE76E3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legal issue spotting.</w:t>
      </w:r>
    </w:p>
    <w:p w14:paraId="3F7B2E3C"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governance preparation.</w:t>
      </w:r>
    </w:p>
    <w:p w14:paraId="73A984F1"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technical specification.</w:t>
      </w:r>
    </w:p>
    <w:p w14:paraId="495E06E3"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for continuity verification.</w:t>
      </w:r>
    </w:p>
    <w:p w14:paraId="373B1DB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It may use AI to become more coherent.</w:t>
      </w:r>
    </w:p>
    <w:p w14:paraId="71EEC000"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But the final principle remains:</w:t>
      </w:r>
    </w:p>
    <w:p w14:paraId="6F48C2BF"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AI learns within Prometheus;</w:t>
      </w:r>
      <w:r w:rsidRPr="00B479AE">
        <w:rPr>
          <w:rFonts w:ascii="Baskerville Old Face" w:hAnsi="Baskerville Old Face"/>
          <w:i/>
          <w:iCs/>
        </w:rPr>
        <w:br/>
        <w:t>AI does not become Prometheus.</w:t>
      </w:r>
    </w:p>
    <w:p w14:paraId="5564183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The source layer defines legitimacy.</w:t>
      </w:r>
    </w:p>
    <w:p w14:paraId="7C02C9ED"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lastRenderedPageBreak/>
        <w:t>Evidence defines admissibility.</w:t>
      </w:r>
    </w:p>
    <w:p w14:paraId="12098D46"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Governance defines authorization.</w:t>
      </w:r>
    </w:p>
    <w:p w14:paraId="137D79CB"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Law defines enforceability.</w:t>
      </w:r>
    </w:p>
    <w:p w14:paraId="4FB61F89"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Human dignity defines the boundary.</w:t>
      </w:r>
    </w:p>
    <w:p w14:paraId="18E4ACDA" w14:textId="77777777" w:rsidR="007D662E" w:rsidRPr="00B479AE" w:rsidRDefault="007D662E" w:rsidP="007D662E">
      <w:pPr>
        <w:spacing w:line="360" w:lineRule="auto"/>
        <w:rPr>
          <w:rFonts w:ascii="Baskerville Old Face" w:hAnsi="Baskerville Old Face"/>
          <w:i/>
          <w:iCs/>
        </w:rPr>
      </w:pPr>
      <w:r w:rsidRPr="00B479AE">
        <w:rPr>
          <w:rFonts w:ascii="Baskerville Old Face" w:hAnsi="Baskerville Old Face"/>
          <w:i/>
          <w:iCs/>
        </w:rPr>
        <w:t>Life defines the purpose.</w:t>
      </w:r>
    </w:p>
    <w:p w14:paraId="4E869C0E" w14:textId="7B99B910" w:rsidR="00F7085C" w:rsidRPr="005907F1" w:rsidRDefault="00F7085C"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 xml:space="preserve">Appendix </w:t>
      </w:r>
      <w:r w:rsidR="008433BD" w:rsidRPr="005907F1">
        <w:rPr>
          <w:rFonts w:ascii="Baskerville Old Face" w:hAnsi="Baskerville Old Face"/>
          <w:b/>
          <w:bCs/>
          <w:i/>
          <w:iCs/>
          <w:sz w:val="24"/>
          <w:szCs w:val="24"/>
        </w:rPr>
        <w:t>I</w:t>
      </w:r>
      <w:r w:rsidRPr="005907F1">
        <w:rPr>
          <w:rFonts w:ascii="Baskerville Old Face" w:hAnsi="Baskerville Old Face"/>
          <w:b/>
          <w:bCs/>
          <w:i/>
          <w:iCs/>
          <w:sz w:val="24"/>
          <w:szCs w:val="24"/>
        </w:rPr>
        <w:t>: Governance, Reputation, and Integrity-Signal Architecture</w:t>
      </w:r>
    </w:p>
    <w:p w14:paraId="1D1DB46F" w14:textId="488100AA"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 Purpose and boundary</w:t>
      </w:r>
    </w:p>
    <w:p w14:paraId="179FB6A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requires governance intelligence.</w:t>
      </w:r>
    </w:p>
    <w:p w14:paraId="57CF686C" w14:textId="7DEBEDDF"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As the ecosystem grows, participants, stewards, communities, contributors, researchers, auditors, technical operators, legal reviewers, capital partners, AI-assisted systems, and institutions will generate records of contribution, responsibility, conduct, review, conflict, repair, and trust.</w:t>
      </w:r>
      <w:r w:rsidR="005A3560" w:rsidRPr="00B479AE">
        <w:rPr>
          <w:rFonts w:ascii="Baskerville Old Face" w:hAnsi="Baskerville Old Face"/>
          <w:i/>
          <w:iCs/>
        </w:rPr>
        <w:t xml:space="preserve"> </w:t>
      </w:r>
      <w:r w:rsidRPr="00B479AE">
        <w:rPr>
          <w:rFonts w:ascii="Baskerville Old Face" w:hAnsi="Baskerville Old Face"/>
          <w:i/>
          <w:iCs/>
        </w:rPr>
        <w:t>These records matter.</w:t>
      </w:r>
    </w:p>
    <w:p w14:paraId="4AE5DC1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They help the system understand who has contributed, who has held roles responsibly, where expertise exists, where risk has emerged, where review is needed, and where trust has been earned through accountable action.</w:t>
      </w:r>
    </w:p>
    <w:p w14:paraId="6F392490"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However, governance intelligence must remain bounded.</w:t>
      </w:r>
    </w:p>
    <w:p w14:paraId="7E3C89B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use reputation as a social-credit system.</w:t>
      </w:r>
    </w:p>
    <w:p w14:paraId="737C36C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reduce human dignity to a score.</w:t>
      </w:r>
    </w:p>
    <w:p w14:paraId="7F4E4F8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convert wallet history into moral worth.</w:t>
      </w:r>
    </w:p>
    <w:p w14:paraId="7A4DC2C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use HSI coherence as governance rank.</w:t>
      </w:r>
    </w:p>
    <w:p w14:paraId="143683A5"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allow token position to become constitutional authority.</w:t>
      </w:r>
    </w:p>
    <w:p w14:paraId="0A6516B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use automatic slashing as default justice.</w:t>
      </w:r>
    </w:p>
    <w:p w14:paraId="6324AEF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does not treat software flags as final judgment.</w:t>
      </w:r>
    </w:p>
    <w:p w14:paraId="1159F13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The purpose of this appendix is to define a governance, reputation, and warrant architecture that supports accountability without becoming coercive, automated, opaque, punitive, or extractive.</w:t>
      </w:r>
    </w:p>
    <w:p w14:paraId="42875B2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core principle is:</w:t>
      </w:r>
    </w:p>
    <w:p w14:paraId="5DC13D1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may inform review;</w:t>
      </w:r>
      <w:r w:rsidRPr="00B479AE">
        <w:rPr>
          <w:rFonts w:ascii="Baskerville Old Face" w:hAnsi="Baskerville Old Face"/>
          <w:i/>
          <w:iCs/>
        </w:rPr>
        <w:br/>
        <w:t>reputation may not replace dignity, evidence, law, consent, or due process.</w:t>
      </w:r>
    </w:p>
    <w:p w14:paraId="22A58C62" w14:textId="5E785BA8"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.2 Governance records as institutional memory</w:t>
      </w:r>
    </w:p>
    <w:p w14:paraId="6A0ADA63" w14:textId="76DC278E"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governance should generate structured records.</w:t>
      </w:r>
      <w:r w:rsidR="005A3560" w:rsidRPr="00B479AE">
        <w:rPr>
          <w:rFonts w:ascii="Baskerville Old Face" w:hAnsi="Baskerville Old Face"/>
          <w:i/>
          <w:iCs/>
        </w:rPr>
        <w:t xml:space="preserve"> </w:t>
      </w:r>
      <w:r w:rsidRPr="00B479AE">
        <w:rPr>
          <w:rFonts w:ascii="Baskerville Old Face" w:hAnsi="Baskerville Old Face"/>
          <w:i/>
          <w:iCs/>
        </w:rPr>
        <w:t>Governance records may include:</w:t>
      </w:r>
    </w:p>
    <w:p w14:paraId="3D68E8E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role appointments;</w:t>
      </w:r>
      <w:r w:rsidRPr="00B479AE">
        <w:rPr>
          <w:rFonts w:ascii="Baskerville Old Face" w:hAnsi="Baskerville Old Face"/>
          <w:i/>
          <w:iCs/>
        </w:rPr>
        <w:br/>
        <w:t>• role expirations;</w:t>
      </w:r>
      <w:r w:rsidRPr="00B479AE">
        <w:rPr>
          <w:rFonts w:ascii="Baskerville Old Face" w:hAnsi="Baskerville Old Face"/>
          <w:i/>
          <w:iCs/>
        </w:rPr>
        <w:br/>
        <w:t>• consent decisions;</w:t>
      </w:r>
      <w:r w:rsidRPr="00B479AE">
        <w:rPr>
          <w:rFonts w:ascii="Baskerville Old Face" w:hAnsi="Baskerville Old Face"/>
          <w:i/>
          <w:iCs/>
        </w:rPr>
        <w:br/>
        <w:t>• objections and integrations;</w:t>
      </w:r>
      <w:r w:rsidRPr="00B479AE">
        <w:rPr>
          <w:rFonts w:ascii="Baskerville Old Face" w:hAnsi="Baskerville Old Face"/>
          <w:i/>
          <w:iCs/>
        </w:rPr>
        <w:br/>
        <w:t>• circle membership;</w:t>
      </w:r>
      <w:r w:rsidRPr="00B479AE">
        <w:rPr>
          <w:rFonts w:ascii="Baskerville Old Face" w:hAnsi="Baskerville Old Face"/>
          <w:i/>
          <w:iCs/>
        </w:rPr>
        <w:br/>
        <w:t>• mandates;</w:t>
      </w:r>
      <w:r w:rsidRPr="00B479AE">
        <w:rPr>
          <w:rFonts w:ascii="Baskerville Old Face" w:hAnsi="Baskerville Old Face"/>
          <w:i/>
          <w:iCs/>
        </w:rPr>
        <w:br/>
        <w:t>• decision logs;</w:t>
      </w:r>
      <w:r w:rsidRPr="00B479AE">
        <w:rPr>
          <w:rFonts w:ascii="Baskerville Old Face" w:hAnsi="Baskerville Old Face"/>
          <w:i/>
          <w:iCs/>
        </w:rPr>
        <w:br/>
        <w:t>• meeting minutes;</w:t>
      </w:r>
      <w:r w:rsidRPr="00B479AE">
        <w:rPr>
          <w:rFonts w:ascii="Baskerville Old Face" w:hAnsi="Baskerville Old Face"/>
          <w:i/>
          <w:iCs/>
        </w:rPr>
        <w:br/>
        <w:t>• conflict disclosures;</w:t>
      </w:r>
      <w:r w:rsidRPr="00B479AE">
        <w:rPr>
          <w:rFonts w:ascii="Baskerville Old Face" w:hAnsi="Baskerville Old Face"/>
          <w:i/>
          <w:iCs/>
        </w:rPr>
        <w:br/>
        <w:t>• contribution records;</w:t>
      </w:r>
      <w:r w:rsidRPr="00B479AE">
        <w:rPr>
          <w:rFonts w:ascii="Baskerville Old Face" w:hAnsi="Baskerville Old Face"/>
          <w:i/>
          <w:iCs/>
        </w:rPr>
        <w:br/>
        <w:t>• stewardship records;</w:t>
      </w:r>
      <w:r w:rsidRPr="00B479AE">
        <w:rPr>
          <w:rFonts w:ascii="Baskerville Old Face" w:hAnsi="Baskerville Old Face"/>
          <w:i/>
          <w:iCs/>
        </w:rPr>
        <w:br/>
        <w:t>• review outcomes;</w:t>
      </w:r>
      <w:r w:rsidRPr="00B479AE">
        <w:rPr>
          <w:rFonts w:ascii="Baskerville Old Face" w:hAnsi="Baskerville Old Face"/>
          <w:i/>
          <w:iCs/>
        </w:rPr>
        <w:br/>
        <w:t>• appeal outcomes;</w:t>
      </w:r>
      <w:r w:rsidRPr="00B479AE">
        <w:rPr>
          <w:rFonts w:ascii="Baskerville Old Face" w:hAnsi="Baskerville Old Face"/>
          <w:i/>
          <w:iCs/>
        </w:rPr>
        <w:br/>
        <w:t>• warnings;</w:t>
      </w:r>
      <w:r w:rsidRPr="00B479AE">
        <w:rPr>
          <w:rFonts w:ascii="Baskerville Old Face" w:hAnsi="Baskerville Old Face"/>
          <w:i/>
          <w:iCs/>
        </w:rPr>
        <w:br/>
        <w:t>• remediation plans;</w:t>
      </w:r>
      <w:r w:rsidRPr="00B479AE">
        <w:rPr>
          <w:rFonts w:ascii="Baskerville Old Face" w:hAnsi="Baskerville Old Face"/>
          <w:i/>
          <w:iCs/>
        </w:rPr>
        <w:br/>
        <w:t>• suspension or restriction records;</w:t>
      </w:r>
      <w:r w:rsidRPr="00B479AE">
        <w:rPr>
          <w:rFonts w:ascii="Baskerville Old Face" w:hAnsi="Baskerville Old Face"/>
          <w:i/>
          <w:iCs/>
        </w:rPr>
        <w:br/>
        <w:t>• restoration records;</w:t>
      </w:r>
      <w:r w:rsidRPr="00B479AE">
        <w:rPr>
          <w:rFonts w:ascii="Baskerville Old Face" w:hAnsi="Baskerville Old Face"/>
          <w:i/>
          <w:iCs/>
        </w:rPr>
        <w:br/>
        <w:t>• constitutional interpretations;</w:t>
      </w:r>
      <w:r w:rsidRPr="00B479AE">
        <w:rPr>
          <w:rFonts w:ascii="Baskerville Old Face" w:hAnsi="Baskerville Old Face"/>
          <w:i/>
          <w:iCs/>
        </w:rPr>
        <w:br/>
        <w:t>• non-admissibility decisions;</w:t>
      </w:r>
      <w:r w:rsidRPr="00B479AE">
        <w:rPr>
          <w:rFonts w:ascii="Baskerville Old Face" w:hAnsi="Baskerville Old Face"/>
          <w:i/>
          <w:iCs/>
        </w:rPr>
        <w:br/>
        <w:t>• public correction records;</w:t>
      </w:r>
      <w:r w:rsidRPr="00B479AE">
        <w:rPr>
          <w:rFonts w:ascii="Baskerville Old Face" w:hAnsi="Baskerville Old Face"/>
          <w:i/>
          <w:iCs/>
        </w:rPr>
        <w:br/>
        <w:t>• fork classification records.</w:t>
      </w:r>
    </w:p>
    <w:p w14:paraId="66B6393A" w14:textId="2BB0E580"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These records create institutional memory.</w:t>
      </w:r>
      <w:r w:rsidR="005A3560" w:rsidRPr="00B479AE">
        <w:rPr>
          <w:rFonts w:ascii="Baskerville Old Face" w:hAnsi="Baskerville Old Face"/>
          <w:i/>
          <w:iCs/>
        </w:rPr>
        <w:t xml:space="preserve"> </w:t>
      </w:r>
      <w:r w:rsidRPr="00B479AE">
        <w:rPr>
          <w:rFonts w:ascii="Baskerville Old Face" w:hAnsi="Baskerville Old Face"/>
          <w:i/>
          <w:iCs/>
        </w:rPr>
        <w:t>A system without memory becomes vulnerable to charisma, urgency, repetition, money, manipulation, and selective forgetting.</w:t>
      </w:r>
    </w:p>
    <w:p w14:paraId="77BE57E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Prometheus should preserve governance memory so that future decisions can be made with context.</w:t>
      </w:r>
    </w:p>
    <w:p w14:paraId="633F1CFA" w14:textId="09883E13"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.3 Reputation as contextual signal</w:t>
      </w:r>
    </w:p>
    <w:p w14:paraId="074783C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in Prometheus is not identity.</w:t>
      </w:r>
    </w:p>
    <w:p w14:paraId="5D9744C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not human value.</w:t>
      </w:r>
    </w:p>
    <w:p w14:paraId="0F367E2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not citizenship.</w:t>
      </w:r>
    </w:p>
    <w:p w14:paraId="3893762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not moral rank.</w:t>
      </w:r>
    </w:p>
    <w:p w14:paraId="0C28FFB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not a universal score.</w:t>
      </w:r>
    </w:p>
    <w:p w14:paraId="1BE74D9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a contextual signal derived from reviewable participation history.</w:t>
      </w:r>
    </w:p>
    <w:p w14:paraId="1397D36D" w14:textId="4AC21E4B"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may reflect:</w:t>
      </w:r>
      <w:r w:rsidR="008433BD"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5088"/>
        <w:gridCol w:w="3041"/>
      </w:tblGrid>
      <w:tr w:rsidR="00F7085C" w:rsidRPr="00B479AE" w14:paraId="13AFDEBD" w14:textId="77777777" w:rsidTr="00F7085C">
        <w:trPr>
          <w:tblHeader/>
          <w:tblCellSpacing w:w="15" w:type="dxa"/>
        </w:trPr>
        <w:tc>
          <w:tcPr>
            <w:tcW w:w="0" w:type="auto"/>
            <w:vAlign w:val="center"/>
            <w:hideMark/>
          </w:tcPr>
          <w:p w14:paraId="4296B9F7" w14:textId="77777777" w:rsidR="00F7085C" w:rsidRPr="00B479AE" w:rsidRDefault="00F7085C" w:rsidP="00F7085C">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Signal family</w:t>
            </w:r>
          </w:p>
        </w:tc>
        <w:tc>
          <w:tcPr>
            <w:tcW w:w="0" w:type="auto"/>
            <w:vAlign w:val="center"/>
            <w:hideMark/>
          </w:tcPr>
          <w:p w14:paraId="2B690981" w14:textId="77777777" w:rsidR="00F7085C" w:rsidRPr="00B479AE" w:rsidRDefault="00F7085C" w:rsidP="00F7085C">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Examples</w:t>
            </w:r>
          </w:p>
        </w:tc>
        <w:tc>
          <w:tcPr>
            <w:tcW w:w="0" w:type="auto"/>
            <w:vAlign w:val="center"/>
            <w:hideMark/>
          </w:tcPr>
          <w:p w14:paraId="779E6C5B" w14:textId="77777777" w:rsidR="00F7085C" w:rsidRPr="00B479AE" w:rsidRDefault="00F7085C" w:rsidP="00F7085C">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Use</w:t>
            </w:r>
          </w:p>
        </w:tc>
      </w:tr>
      <w:tr w:rsidR="00F7085C" w:rsidRPr="00B479AE" w14:paraId="1937A5D1" w14:textId="77777777" w:rsidTr="00F7085C">
        <w:trPr>
          <w:tblCellSpacing w:w="15" w:type="dxa"/>
        </w:trPr>
        <w:tc>
          <w:tcPr>
            <w:tcW w:w="0" w:type="auto"/>
            <w:vAlign w:val="center"/>
            <w:hideMark/>
          </w:tcPr>
          <w:p w14:paraId="5D00BFEA"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Contribution history</w:t>
            </w:r>
          </w:p>
        </w:tc>
        <w:tc>
          <w:tcPr>
            <w:tcW w:w="0" w:type="auto"/>
            <w:vAlign w:val="center"/>
            <w:hideMark/>
          </w:tcPr>
          <w:p w14:paraId="00CF6A40"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Documented work, stewardship, research, technical commits, field activity, governance service.</w:t>
            </w:r>
          </w:p>
        </w:tc>
        <w:tc>
          <w:tcPr>
            <w:tcW w:w="0" w:type="auto"/>
            <w:vAlign w:val="center"/>
            <w:hideMark/>
          </w:tcPr>
          <w:p w14:paraId="302BBE7E"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Role review, access review, contribution recognition.</w:t>
            </w:r>
          </w:p>
        </w:tc>
      </w:tr>
      <w:tr w:rsidR="00F7085C" w:rsidRPr="00B479AE" w14:paraId="7F098419" w14:textId="77777777" w:rsidTr="00F7085C">
        <w:trPr>
          <w:tblCellSpacing w:w="15" w:type="dxa"/>
        </w:trPr>
        <w:tc>
          <w:tcPr>
            <w:tcW w:w="0" w:type="auto"/>
            <w:vAlign w:val="center"/>
            <w:hideMark/>
          </w:tcPr>
          <w:p w14:paraId="06E11131"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Reliability history</w:t>
            </w:r>
          </w:p>
        </w:tc>
        <w:tc>
          <w:tcPr>
            <w:tcW w:w="0" w:type="auto"/>
            <w:vAlign w:val="center"/>
            <w:hideMark/>
          </w:tcPr>
          <w:p w14:paraId="035D40DC"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Completion of commitments, timely reporting, consistency, responsiveness.</w:t>
            </w:r>
          </w:p>
        </w:tc>
        <w:tc>
          <w:tcPr>
            <w:tcW w:w="0" w:type="auto"/>
            <w:vAlign w:val="center"/>
            <w:hideMark/>
          </w:tcPr>
          <w:p w14:paraId="2B8DEEA9"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Operational trust and task allocation.</w:t>
            </w:r>
          </w:p>
        </w:tc>
      </w:tr>
      <w:tr w:rsidR="00F7085C" w:rsidRPr="00B479AE" w14:paraId="40BBC7B3" w14:textId="77777777" w:rsidTr="00F7085C">
        <w:trPr>
          <w:tblCellSpacing w:w="15" w:type="dxa"/>
        </w:trPr>
        <w:tc>
          <w:tcPr>
            <w:tcW w:w="0" w:type="auto"/>
            <w:vAlign w:val="center"/>
            <w:hideMark/>
          </w:tcPr>
          <w:p w14:paraId="2B1DAC35"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Evidence quality</w:t>
            </w:r>
          </w:p>
        </w:tc>
        <w:tc>
          <w:tcPr>
            <w:tcW w:w="0" w:type="auto"/>
            <w:vAlign w:val="center"/>
            <w:hideMark/>
          </w:tcPr>
          <w:p w14:paraId="2C642587"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Quality of submitted MRV records, provenance discipline, correction behavior.</w:t>
            </w:r>
          </w:p>
        </w:tc>
        <w:tc>
          <w:tcPr>
            <w:tcW w:w="0" w:type="auto"/>
            <w:vAlign w:val="center"/>
            <w:hideMark/>
          </w:tcPr>
          <w:p w14:paraId="19006F55"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MRV review and evidence weighting.</w:t>
            </w:r>
          </w:p>
        </w:tc>
      </w:tr>
      <w:tr w:rsidR="00F7085C" w:rsidRPr="00B479AE" w14:paraId="268C1444" w14:textId="77777777" w:rsidTr="00F7085C">
        <w:trPr>
          <w:tblCellSpacing w:w="15" w:type="dxa"/>
        </w:trPr>
        <w:tc>
          <w:tcPr>
            <w:tcW w:w="0" w:type="auto"/>
            <w:vAlign w:val="center"/>
            <w:hideMark/>
          </w:tcPr>
          <w:p w14:paraId="7EE9043A"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Governance conduct</w:t>
            </w:r>
          </w:p>
        </w:tc>
        <w:tc>
          <w:tcPr>
            <w:tcW w:w="0" w:type="auto"/>
            <w:vAlign w:val="center"/>
            <w:hideMark/>
          </w:tcPr>
          <w:p w14:paraId="4C541BFB"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Participation quality, consent discipline, conflict handling, role integrity.</w:t>
            </w:r>
          </w:p>
        </w:tc>
        <w:tc>
          <w:tcPr>
            <w:tcW w:w="0" w:type="auto"/>
            <w:vAlign w:val="center"/>
            <w:hideMark/>
          </w:tcPr>
          <w:p w14:paraId="51C25036"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Governance role review.</w:t>
            </w:r>
          </w:p>
        </w:tc>
      </w:tr>
      <w:tr w:rsidR="00F7085C" w:rsidRPr="00B479AE" w14:paraId="4E0ABBE9" w14:textId="77777777" w:rsidTr="00F7085C">
        <w:trPr>
          <w:tblCellSpacing w:w="15" w:type="dxa"/>
        </w:trPr>
        <w:tc>
          <w:tcPr>
            <w:tcW w:w="0" w:type="auto"/>
            <w:vAlign w:val="center"/>
            <w:hideMark/>
          </w:tcPr>
          <w:p w14:paraId="66F236B7"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Repair history</w:t>
            </w:r>
          </w:p>
        </w:tc>
        <w:tc>
          <w:tcPr>
            <w:tcW w:w="0" w:type="auto"/>
            <w:vAlign w:val="center"/>
            <w:hideMark/>
          </w:tcPr>
          <w:p w14:paraId="7529E54A"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Remediation completed, correction made, restoration achieved.</w:t>
            </w:r>
          </w:p>
        </w:tc>
        <w:tc>
          <w:tcPr>
            <w:tcW w:w="0" w:type="auto"/>
            <w:vAlign w:val="center"/>
            <w:hideMark/>
          </w:tcPr>
          <w:p w14:paraId="634E4DC7"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Reinstatement and risk reduction.</w:t>
            </w:r>
          </w:p>
        </w:tc>
      </w:tr>
      <w:tr w:rsidR="00F7085C" w:rsidRPr="00B479AE" w14:paraId="63B58DA1" w14:textId="77777777" w:rsidTr="00F7085C">
        <w:trPr>
          <w:tblCellSpacing w:w="15" w:type="dxa"/>
        </w:trPr>
        <w:tc>
          <w:tcPr>
            <w:tcW w:w="0" w:type="auto"/>
            <w:vAlign w:val="center"/>
            <w:hideMark/>
          </w:tcPr>
          <w:p w14:paraId="0CD7B3B6"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Expertise context</w:t>
            </w:r>
          </w:p>
        </w:tc>
        <w:tc>
          <w:tcPr>
            <w:tcW w:w="0" w:type="auto"/>
            <w:vAlign w:val="center"/>
            <w:hideMark/>
          </w:tcPr>
          <w:p w14:paraId="4A160D55"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Verified skills, professional qualifications, field knowledge, local knowledge.</w:t>
            </w:r>
          </w:p>
        </w:tc>
        <w:tc>
          <w:tcPr>
            <w:tcW w:w="0" w:type="auto"/>
            <w:vAlign w:val="center"/>
            <w:hideMark/>
          </w:tcPr>
          <w:p w14:paraId="4B0A42E8"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Appropriate role assignment.</w:t>
            </w:r>
          </w:p>
        </w:tc>
      </w:tr>
      <w:tr w:rsidR="00F7085C" w:rsidRPr="00B479AE" w14:paraId="73343158" w14:textId="77777777" w:rsidTr="00F7085C">
        <w:trPr>
          <w:tblCellSpacing w:w="15" w:type="dxa"/>
        </w:trPr>
        <w:tc>
          <w:tcPr>
            <w:tcW w:w="0" w:type="auto"/>
            <w:vAlign w:val="center"/>
            <w:hideMark/>
          </w:tcPr>
          <w:p w14:paraId="4707410A"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Risk context</w:t>
            </w:r>
          </w:p>
        </w:tc>
        <w:tc>
          <w:tcPr>
            <w:tcW w:w="0" w:type="auto"/>
            <w:vAlign w:val="center"/>
            <w:hideMark/>
          </w:tcPr>
          <w:p w14:paraId="7C56F784"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Repeated overclaiming, unresolved conflicts, non-admissible submissions, breach history.</w:t>
            </w:r>
          </w:p>
        </w:tc>
        <w:tc>
          <w:tcPr>
            <w:tcW w:w="0" w:type="auto"/>
            <w:vAlign w:val="center"/>
            <w:hideMark/>
          </w:tcPr>
          <w:p w14:paraId="2F628FD2" w14:textId="77777777" w:rsidR="00F7085C" w:rsidRPr="00B479AE" w:rsidRDefault="00F7085C" w:rsidP="00F7085C">
            <w:pPr>
              <w:spacing w:line="360" w:lineRule="auto"/>
              <w:rPr>
                <w:rFonts w:ascii="Baskerville Old Face" w:hAnsi="Baskerville Old Face"/>
                <w:i/>
                <w:iCs/>
                <w:sz w:val="20"/>
                <w:szCs w:val="20"/>
              </w:rPr>
            </w:pPr>
            <w:r w:rsidRPr="00B479AE">
              <w:rPr>
                <w:rFonts w:ascii="Baskerville Old Face" w:hAnsi="Baskerville Old Face"/>
                <w:i/>
                <w:iCs/>
                <w:sz w:val="20"/>
                <w:szCs w:val="20"/>
              </w:rPr>
              <w:t>Enhanced review, limitation, or safeguards.</w:t>
            </w:r>
          </w:p>
        </w:tc>
      </w:tr>
    </w:tbl>
    <w:p w14:paraId="3455F6C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should be plural, contextual, and explainable.</w:t>
      </w:r>
    </w:p>
    <w:p w14:paraId="60E9FDC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A person may be highly reliable in field stewardship and not qualified for legal review.</w:t>
      </w:r>
    </w:p>
    <w:p w14:paraId="0BBA677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technical contributor may be excellent at code and not suited to community facilitation.</w:t>
      </w:r>
    </w:p>
    <w:p w14:paraId="091FC00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capital partner may be useful in finance and excluded from MRV validation.</w:t>
      </w:r>
    </w:p>
    <w:p w14:paraId="2215D1A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community elder may carry deep relational authority and still require methodology support for PRU analysis.</w:t>
      </w:r>
    </w:p>
    <w:p w14:paraId="3A191E6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therefore avoids universal reputation ranking.</w:t>
      </w:r>
    </w:p>
    <w:p w14:paraId="70B13A3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uses contextual trust signals.</w:t>
      </w:r>
    </w:p>
    <w:p w14:paraId="3D4F2A34" w14:textId="2FB133FB"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.4 Prohibited reputation uses</w:t>
      </w:r>
    </w:p>
    <w:p w14:paraId="2112DA3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should expressly prohibit certain reputation uses.</w:t>
      </w:r>
    </w:p>
    <w:p w14:paraId="6B4A5B3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must not be used to:</w:t>
      </w:r>
    </w:p>
    <w:p w14:paraId="1E99B0F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rank human worth;</w:t>
      </w:r>
      <w:r w:rsidRPr="00B479AE">
        <w:rPr>
          <w:rFonts w:ascii="Baskerville Old Face" w:hAnsi="Baskerville Old Face"/>
          <w:i/>
          <w:iCs/>
        </w:rPr>
        <w:br/>
        <w:t>• create social credit;</w:t>
      </w:r>
      <w:r w:rsidRPr="00B479AE">
        <w:rPr>
          <w:rFonts w:ascii="Baskerville Old Face" w:hAnsi="Baskerville Old Face"/>
          <w:i/>
          <w:iCs/>
        </w:rPr>
        <w:br/>
        <w:t>• determine basic dignity;</w:t>
      </w:r>
      <w:r w:rsidRPr="00B479AE">
        <w:rPr>
          <w:rFonts w:ascii="Baskerville Old Face" w:hAnsi="Baskerville Old Face"/>
          <w:i/>
          <w:iCs/>
        </w:rPr>
        <w:br/>
        <w:t>• infer private beliefs;</w:t>
      </w:r>
      <w:r w:rsidRPr="00B479AE">
        <w:rPr>
          <w:rFonts w:ascii="Baskerville Old Face" w:hAnsi="Baskerville Old Face"/>
          <w:i/>
          <w:iCs/>
        </w:rPr>
        <w:br/>
        <w:t>• coerce conduct;</w:t>
      </w:r>
      <w:r w:rsidRPr="00B479AE">
        <w:rPr>
          <w:rFonts w:ascii="Baskerville Old Face" w:hAnsi="Baskerville Old Face"/>
          <w:i/>
          <w:iCs/>
        </w:rPr>
        <w:br/>
        <w:t>• determine MRV truth automatically;</w:t>
      </w:r>
      <w:r w:rsidRPr="00B479AE">
        <w:rPr>
          <w:rFonts w:ascii="Baskerville Old Face" w:hAnsi="Baskerville Old Face"/>
          <w:i/>
          <w:iCs/>
        </w:rPr>
        <w:br/>
        <w:t>• grant PRU value automatically;</w:t>
      </w:r>
      <w:r w:rsidRPr="00B479AE">
        <w:rPr>
          <w:rFonts w:ascii="Baskerville Old Face" w:hAnsi="Baskerville Old Face"/>
          <w:i/>
          <w:iCs/>
        </w:rPr>
        <w:br/>
        <w:t>• create investor rights;</w:t>
      </w:r>
      <w:r w:rsidRPr="00B479AE">
        <w:rPr>
          <w:rFonts w:ascii="Baskerville Old Face" w:hAnsi="Baskerville Old Face"/>
          <w:i/>
          <w:iCs/>
        </w:rPr>
        <w:br/>
        <w:t>• determine token rights automatically;</w:t>
      </w:r>
      <w:r w:rsidRPr="00B479AE">
        <w:rPr>
          <w:rFonts w:ascii="Baskerville Old Face" w:hAnsi="Baskerville Old Face"/>
          <w:i/>
          <w:iCs/>
        </w:rPr>
        <w:br/>
        <w:t>• replace legal review;</w:t>
      </w:r>
      <w:r w:rsidRPr="00B479AE">
        <w:rPr>
          <w:rFonts w:ascii="Baskerville Old Face" w:hAnsi="Baskerville Old Face"/>
          <w:i/>
          <w:iCs/>
        </w:rPr>
        <w:br/>
        <w:t>• replace governance process;</w:t>
      </w:r>
      <w:r w:rsidRPr="00B479AE">
        <w:rPr>
          <w:rFonts w:ascii="Baskerville Old Face" w:hAnsi="Baskerville Old Face"/>
          <w:i/>
          <w:iCs/>
        </w:rPr>
        <w:br/>
        <w:t>• replace appeal;</w:t>
      </w:r>
      <w:r w:rsidRPr="00B479AE">
        <w:rPr>
          <w:rFonts w:ascii="Baskerville Old Face" w:hAnsi="Baskerville Old Face"/>
          <w:i/>
          <w:iCs/>
        </w:rPr>
        <w:br/>
        <w:t>• punish dissent;</w:t>
      </w:r>
      <w:r w:rsidRPr="00B479AE">
        <w:rPr>
          <w:rFonts w:ascii="Baskerville Old Face" w:hAnsi="Baskerville Old Face"/>
          <w:i/>
          <w:iCs/>
        </w:rPr>
        <w:br/>
        <w:t>• silence minority objections;</w:t>
      </w:r>
      <w:r w:rsidRPr="00B479AE">
        <w:rPr>
          <w:rFonts w:ascii="Baskerville Old Face" w:hAnsi="Baskerville Old Face"/>
          <w:i/>
          <w:iCs/>
        </w:rPr>
        <w:br/>
        <w:t>• exclude vulnerable participants without review;</w:t>
      </w:r>
      <w:r w:rsidRPr="00B479AE">
        <w:rPr>
          <w:rFonts w:ascii="Baskerville Old Face" w:hAnsi="Baskerville Old Face"/>
          <w:i/>
          <w:iCs/>
        </w:rPr>
        <w:br/>
        <w:t>• use HSI, biometric, HRV, or coherence data as human ranking;</w:t>
      </w:r>
      <w:r w:rsidRPr="00B479AE">
        <w:rPr>
          <w:rFonts w:ascii="Baskerville Old Face" w:hAnsi="Baskerville Old Face"/>
          <w:i/>
          <w:iCs/>
        </w:rPr>
        <w:br/>
        <w:t>• use wallet wealth or transaction history as trustworthiness by default.</w:t>
      </w:r>
    </w:p>
    <w:p w14:paraId="0926838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boundary is essential.</w:t>
      </w:r>
    </w:p>
    <w:p w14:paraId="25912B7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Prometheus may recognize contribution.</w:t>
      </w:r>
    </w:p>
    <w:p w14:paraId="4D3E128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may not quantify the soul.</w:t>
      </w:r>
    </w:p>
    <w:p w14:paraId="4C38B053" w14:textId="4706B534"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.5 Role-based authority</w:t>
      </w:r>
    </w:p>
    <w:p w14:paraId="35D1459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Governance authority in Prometheus should arise from role, mandate, process, and scope.</w:t>
      </w:r>
    </w:p>
    <w:p w14:paraId="386822E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Authority should not arise merely from:</w:t>
      </w:r>
    </w:p>
    <w:p w14:paraId="0E0FB85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token holdings;</w:t>
      </w:r>
      <w:r w:rsidRPr="00B479AE">
        <w:rPr>
          <w:rFonts w:ascii="Baskerville Old Face" w:hAnsi="Baskerville Old Face"/>
          <w:i/>
          <w:iCs/>
        </w:rPr>
        <w:br/>
        <w:t>• wealth;</w:t>
      </w:r>
      <w:r w:rsidRPr="00B479AE">
        <w:rPr>
          <w:rFonts w:ascii="Baskerville Old Face" w:hAnsi="Baskerville Old Face"/>
          <w:i/>
          <w:iCs/>
        </w:rPr>
        <w:br/>
        <w:t>• investor status;</w:t>
      </w:r>
      <w:r w:rsidRPr="00B479AE">
        <w:rPr>
          <w:rFonts w:ascii="Baskerville Old Face" w:hAnsi="Baskerville Old Face"/>
          <w:i/>
          <w:iCs/>
        </w:rPr>
        <w:br/>
        <w:t>• technical access;</w:t>
      </w:r>
      <w:r w:rsidRPr="00B479AE">
        <w:rPr>
          <w:rFonts w:ascii="Baskerville Old Face" w:hAnsi="Baskerville Old Face"/>
          <w:i/>
          <w:iCs/>
        </w:rPr>
        <w:br/>
        <w:t>• founder proximity;</w:t>
      </w:r>
      <w:r w:rsidRPr="00B479AE">
        <w:rPr>
          <w:rFonts w:ascii="Baskerville Old Face" w:hAnsi="Baskerville Old Face"/>
          <w:i/>
          <w:iCs/>
        </w:rPr>
        <w:br/>
        <w:t>• social popularity;</w:t>
      </w:r>
      <w:r w:rsidRPr="00B479AE">
        <w:rPr>
          <w:rFonts w:ascii="Baskerville Old Face" w:hAnsi="Baskerville Old Face"/>
          <w:i/>
          <w:iCs/>
        </w:rPr>
        <w:br/>
        <w:t>• biometric coherence;</w:t>
      </w:r>
      <w:r w:rsidRPr="00B479AE">
        <w:rPr>
          <w:rFonts w:ascii="Baskerville Old Face" w:hAnsi="Baskerville Old Face"/>
          <w:i/>
          <w:iCs/>
        </w:rPr>
        <w:br/>
        <w:t>• AI recommendation;</w:t>
      </w:r>
      <w:r w:rsidRPr="00B479AE">
        <w:rPr>
          <w:rFonts w:ascii="Baskerville Old Face" w:hAnsi="Baskerville Old Face"/>
          <w:i/>
          <w:iCs/>
        </w:rPr>
        <w:br/>
        <w:t>• wallet history;</w:t>
      </w:r>
      <w:r w:rsidRPr="00B479AE">
        <w:rPr>
          <w:rFonts w:ascii="Baskerville Old Face" w:hAnsi="Baskerville Old Face"/>
          <w:i/>
          <w:iCs/>
        </w:rPr>
        <w:br/>
        <w:t>• platform influence;</w:t>
      </w:r>
      <w:r w:rsidRPr="00B479AE">
        <w:rPr>
          <w:rFonts w:ascii="Baskerville Old Face" w:hAnsi="Baskerville Old Face"/>
          <w:i/>
          <w:iCs/>
        </w:rPr>
        <w:br/>
        <w:t>• volume of messages;</w:t>
      </w:r>
      <w:r w:rsidRPr="00B479AE">
        <w:rPr>
          <w:rFonts w:ascii="Baskerville Old Face" w:hAnsi="Baskerville Old Face"/>
          <w:i/>
          <w:iCs/>
        </w:rPr>
        <w:br/>
        <w:t>• symbolic status.</w:t>
      </w:r>
    </w:p>
    <w:p w14:paraId="0C205CF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valid governance role should define:</w:t>
      </w:r>
    </w:p>
    <w:p w14:paraId="509C3F4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role name;</w:t>
      </w:r>
      <w:r w:rsidRPr="00B479AE">
        <w:rPr>
          <w:rFonts w:ascii="Baskerville Old Face" w:hAnsi="Baskerville Old Face"/>
          <w:i/>
          <w:iCs/>
        </w:rPr>
        <w:br/>
        <w:t>• purpose;</w:t>
      </w:r>
      <w:r w:rsidRPr="00B479AE">
        <w:rPr>
          <w:rFonts w:ascii="Baskerville Old Face" w:hAnsi="Baskerville Old Face"/>
          <w:i/>
          <w:iCs/>
        </w:rPr>
        <w:br/>
        <w:t>• scope of authority;</w:t>
      </w:r>
      <w:r w:rsidRPr="00B479AE">
        <w:rPr>
          <w:rFonts w:ascii="Baskerville Old Face" w:hAnsi="Baskerville Old Face"/>
          <w:i/>
          <w:iCs/>
        </w:rPr>
        <w:br/>
        <w:t>• eligibility criteria;</w:t>
      </w:r>
      <w:r w:rsidRPr="00B479AE">
        <w:rPr>
          <w:rFonts w:ascii="Baskerville Old Face" w:hAnsi="Baskerville Old Face"/>
          <w:i/>
          <w:iCs/>
        </w:rPr>
        <w:br/>
        <w:t>• term or review date;</w:t>
      </w:r>
      <w:r w:rsidRPr="00B479AE">
        <w:rPr>
          <w:rFonts w:ascii="Baskerville Old Face" w:hAnsi="Baskerville Old Face"/>
          <w:i/>
          <w:iCs/>
        </w:rPr>
        <w:br/>
        <w:t>• accountability pathway;</w:t>
      </w:r>
      <w:r w:rsidRPr="00B479AE">
        <w:rPr>
          <w:rFonts w:ascii="Baskerville Old Face" w:hAnsi="Baskerville Old Face"/>
          <w:i/>
          <w:iCs/>
        </w:rPr>
        <w:br/>
        <w:t>• conflict-of-interest rules;</w:t>
      </w:r>
      <w:r w:rsidRPr="00B479AE">
        <w:rPr>
          <w:rFonts w:ascii="Baskerville Old Face" w:hAnsi="Baskerville Old Face"/>
          <w:i/>
          <w:iCs/>
        </w:rPr>
        <w:br/>
        <w:t>• decision rights;</w:t>
      </w:r>
      <w:r w:rsidRPr="00B479AE">
        <w:rPr>
          <w:rFonts w:ascii="Baskerville Old Face" w:hAnsi="Baskerville Old Face"/>
          <w:i/>
          <w:iCs/>
        </w:rPr>
        <w:br/>
        <w:t>• reporting duties;</w:t>
      </w:r>
      <w:r w:rsidRPr="00B479AE">
        <w:rPr>
          <w:rFonts w:ascii="Baskerville Old Face" w:hAnsi="Baskerville Old Face"/>
          <w:i/>
          <w:iCs/>
        </w:rPr>
        <w:br/>
        <w:t>• removal or replacement procedure.</w:t>
      </w:r>
    </w:p>
    <w:p w14:paraId="1533AFA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This prevents category collapse.</w:t>
      </w:r>
    </w:p>
    <w:p w14:paraId="7AE669F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A contributor is not automatically a governor.</w:t>
      </w:r>
    </w:p>
    <w:p w14:paraId="747D045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governor is not automatically an MRV verifier.</w:t>
      </w:r>
    </w:p>
    <w:p w14:paraId="7B1BAFE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funder is not automatically a constitutional interpreter.</w:t>
      </w:r>
    </w:p>
    <w:p w14:paraId="70382355"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technical administrator is not automatically a steward of meaning.</w:t>
      </w:r>
    </w:p>
    <w:p w14:paraId="34B05BC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distributes authority by function, not by charisma.</w:t>
      </w:r>
    </w:p>
    <w:p w14:paraId="2D14DB81" w14:textId="77777777" w:rsidR="0022282D" w:rsidRPr="00B479AE" w:rsidRDefault="0022282D" w:rsidP="0022282D">
      <w:pPr>
        <w:spacing w:line="360" w:lineRule="auto"/>
        <w:rPr>
          <w:rFonts w:ascii="Baskerville Old Face" w:hAnsi="Baskerville Old Face"/>
          <w:b/>
          <w:bCs/>
          <w:i/>
          <w:iCs/>
        </w:rPr>
      </w:pPr>
      <w:r w:rsidRPr="00B479AE">
        <w:rPr>
          <w:rFonts w:ascii="Baskerville Old Face" w:hAnsi="Baskerville Old Face"/>
          <w:b/>
          <w:bCs/>
          <w:i/>
          <w:iCs/>
        </w:rPr>
        <w:t>Governance Legitimacy Function</w:t>
      </w:r>
    </w:p>
    <w:p w14:paraId="1435A0B5"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Governance authority inside Prometheus does not arise from force, wealth, technical control, token concentration, popularity, institutional status, founder proximity, or AI-generated recommendations.</w:t>
      </w:r>
    </w:p>
    <w:p w14:paraId="6863061C"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Governance authority arises from role, mandate, process, evidence, source-layer fidelity, and accountability.</w:t>
      </w:r>
    </w:p>
    <w:p w14:paraId="39EE4F84"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This legitimacy may be expressed conceptually as:</w:t>
      </w:r>
    </w:p>
    <w:p w14:paraId="066D51A6" w14:textId="77777777" w:rsidR="0022282D" w:rsidRPr="00B479AE" w:rsidRDefault="0022282D" w:rsidP="0022282D">
      <w:pPr>
        <w:spacing w:line="360" w:lineRule="auto"/>
        <w:rPr>
          <w:rFonts w:ascii="Baskerville Old Face" w:hAnsi="Baskerville Old Face"/>
          <w:i/>
          <w:iCs/>
        </w:rPr>
      </w:pPr>
      <w:proofErr w:type="spellStart"/>
      <w:r w:rsidRPr="00B479AE">
        <w:rPr>
          <w:rFonts w:ascii="Baskerville Old Face" w:hAnsi="Baskerville Old Face"/>
          <w:i/>
          <w:iCs/>
        </w:rPr>
        <w:t>G_legitimacy</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Role, Mandate, Process, Evidence, Source Layer, Due Process, Human Dignity)</w:t>
      </w:r>
    </w:p>
    <w:p w14:paraId="2AE206DA"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Where:</w:t>
      </w:r>
    </w:p>
    <w:p w14:paraId="3C2D9FDA"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Role = defined governance role with a clear scope of authority.</w:t>
      </w:r>
    </w:p>
    <w:p w14:paraId="3D5A530D"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Mandate = explicit assignment, election, consent, appointment, or authorization pathway.</w:t>
      </w:r>
    </w:p>
    <w:p w14:paraId="4D30DFEE"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Process = transparent decision procedure, circle process, consent pathway, review route, or constitutional procedure.</w:t>
      </w:r>
    </w:p>
    <w:p w14:paraId="670B8EDE"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Evidence = documented basis for decision-making where relevant.</w:t>
      </w:r>
    </w:p>
    <w:p w14:paraId="4174B995"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Source Layer = foundational articles, Eternity Clauses, Access Covenant, canonical glossary, and source-layer constraints.</w:t>
      </w:r>
    </w:p>
    <w:p w14:paraId="3600684A"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Due Process = notice, response, review, appeal, proportionality, conflict-of-interest handling, and record integrity where material.</w:t>
      </w:r>
    </w:p>
    <w:p w14:paraId="48ADAC95"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Human Dignity = preservation of consent, privacy, non-coercion, non-ranking, and non-reduction of persons to tokens, scores, wallet history, HSI, or AI classification.</w:t>
      </w:r>
    </w:p>
    <w:p w14:paraId="49C2B7D4"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lastRenderedPageBreak/>
        <w:t>A simplified legitimacy condition may be expressed as:</w:t>
      </w:r>
    </w:p>
    <w:p w14:paraId="4E1328D7" w14:textId="77777777" w:rsidR="0022282D" w:rsidRPr="00B479AE" w:rsidRDefault="0022282D" w:rsidP="0022282D">
      <w:pPr>
        <w:spacing w:line="360" w:lineRule="auto"/>
        <w:rPr>
          <w:rFonts w:ascii="Baskerville Old Face" w:hAnsi="Baskerville Old Face"/>
          <w:i/>
          <w:iCs/>
        </w:rPr>
      </w:pPr>
      <w:proofErr w:type="spellStart"/>
      <w:r w:rsidRPr="00B479AE">
        <w:rPr>
          <w:rFonts w:ascii="Baskerville Old Face" w:hAnsi="Baskerville Old Face"/>
          <w:i/>
          <w:iCs/>
        </w:rPr>
        <w:t>G_legitimacy</w:t>
      </w:r>
      <w:proofErr w:type="spellEnd"/>
      <w:r w:rsidRPr="00B479AE">
        <w:rPr>
          <w:rFonts w:ascii="Baskerville Old Face" w:hAnsi="Baskerville Old Face"/>
          <w:i/>
          <w:iCs/>
        </w:rPr>
        <w:t xml:space="preserve"> = R_s </w:t>
      </w:r>
      <w:r w:rsidRPr="00B479AE">
        <w:rPr>
          <w:rFonts w:ascii="Cambria" w:hAnsi="Cambria" w:cs="Cambria"/>
          <w:i/>
          <w:iCs/>
        </w:rPr>
        <w:t>·</w:t>
      </w:r>
      <w:r w:rsidRPr="00B479AE">
        <w:rPr>
          <w:rFonts w:ascii="Baskerville Old Face" w:hAnsi="Baskerville Old Face"/>
          <w:i/>
          <w:iCs/>
        </w:rPr>
        <w:t xml:space="preserve"> M_s </w:t>
      </w:r>
      <w:r w:rsidRPr="00B479AE">
        <w:rPr>
          <w:rFonts w:ascii="Cambria" w:hAnsi="Cambria" w:cs="Cambria"/>
          <w:i/>
          <w:iCs/>
        </w:rPr>
        <w:t>·</w:t>
      </w:r>
      <w:r w:rsidRPr="00B479AE">
        <w:rPr>
          <w:rFonts w:ascii="Baskerville Old Face" w:hAnsi="Baskerville Old Face"/>
          <w:i/>
          <w:iCs/>
        </w:rPr>
        <w:t xml:space="preserve"> P_s </w:t>
      </w:r>
      <w:r w:rsidRPr="00B479AE">
        <w:rPr>
          <w:rFonts w:ascii="Cambria" w:hAnsi="Cambria" w:cs="Cambria"/>
          <w:i/>
          <w:iCs/>
        </w:rPr>
        <w:t>·</w:t>
      </w:r>
      <w:r w:rsidRPr="00B479AE">
        <w:rPr>
          <w:rFonts w:ascii="Baskerville Old Face" w:hAnsi="Baskerville Old Face"/>
          <w:i/>
          <w:iCs/>
        </w:rPr>
        <w:t xml:space="preserve"> E_s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C_f</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D_p</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H_d</w:t>
      </w:r>
      <w:proofErr w:type="spellEnd"/>
    </w:p>
    <w:p w14:paraId="50129E5D"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Where:</w:t>
      </w:r>
    </w:p>
    <w:p w14:paraId="755242F4"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R_s = role scope is valid.</w:t>
      </w:r>
      <w:r w:rsidRPr="00B479AE">
        <w:rPr>
          <w:rFonts w:ascii="Baskerville Old Face" w:hAnsi="Baskerville Old Face"/>
          <w:i/>
          <w:iCs/>
        </w:rPr>
        <w:br/>
        <w:t>M_s = mandate is valid.</w:t>
      </w:r>
      <w:r w:rsidRPr="00B479AE">
        <w:rPr>
          <w:rFonts w:ascii="Baskerville Old Face" w:hAnsi="Baskerville Old Face"/>
          <w:i/>
          <w:iCs/>
        </w:rPr>
        <w:br/>
        <w:t>P_s = process is valid.</w:t>
      </w:r>
      <w:r w:rsidRPr="00B479AE">
        <w:rPr>
          <w:rFonts w:ascii="Baskerville Old Face" w:hAnsi="Baskerville Old Face"/>
          <w:i/>
          <w:iCs/>
        </w:rPr>
        <w:br/>
        <w:t>E_s = evidence is sufficient where evidence is required.</w:t>
      </w:r>
      <w:r w:rsidRPr="00B479AE">
        <w:rPr>
          <w:rFonts w:ascii="Baskerville Old Face" w:hAnsi="Baskerville Old Face"/>
          <w:i/>
          <w:iCs/>
        </w:rPr>
        <w:br/>
      </w:r>
      <w:proofErr w:type="spellStart"/>
      <w:r w:rsidRPr="00B479AE">
        <w:rPr>
          <w:rFonts w:ascii="Baskerville Old Face" w:hAnsi="Baskerville Old Face"/>
          <w:i/>
          <w:iCs/>
        </w:rPr>
        <w:t>C_f</w:t>
      </w:r>
      <w:proofErr w:type="spellEnd"/>
      <w:r w:rsidRPr="00B479AE">
        <w:rPr>
          <w:rFonts w:ascii="Baskerville Old Face" w:hAnsi="Baskerville Old Face"/>
          <w:i/>
          <w:iCs/>
        </w:rPr>
        <w:t xml:space="preserve"> = canonical fidelity is preserved.</w:t>
      </w:r>
      <w:r w:rsidRPr="00B479AE">
        <w:rPr>
          <w:rFonts w:ascii="Baskerville Old Face" w:hAnsi="Baskerville Old Face"/>
          <w:i/>
          <w:iCs/>
        </w:rPr>
        <w:br/>
      </w:r>
      <w:proofErr w:type="spellStart"/>
      <w:r w:rsidRPr="00B479AE">
        <w:rPr>
          <w:rFonts w:ascii="Baskerville Old Face" w:hAnsi="Baskerville Old Face"/>
          <w:i/>
          <w:iCs/>
        </w:rPr>
        <w:t>D_p</w:t>
      </w:r>
      <w:proofErr w:type="spellEnd"/>
      <w:r w:rsidRPr="00B479AE">
        <w:rPr>
          <w:rFonts w:ascii="Baskerville Old Face" w:hAnsi="Baskerville Old Face"/>
          <w:i/>
          <w:iCs/>
        </w:rPr>
        <w:t xml:space="preserve"> = due process is preserved.</w:t>
      </w:r>
      <w:r w:rsidRPr="00B479AE">
        <w:rPr>
          <w:rFonts w:ascii="Baskerville Old Face" w:hAnsi="Baskerville Old Face"/>
          <w:i/>
          <w:iCs/>
        </w:rPr>
        <w:br/>
      </w:r>
      <w:proofErr w:type="spellStart"/>
      <w:r w:rsidRPr="00B479AE">
        <w:rPr>
          <w:rFonts w:ascii="Baskerville Old Face" w:hAnsi="Baskerville Old Face"/>
          <w:i/>
          <w:iCs/>
        </w:rPr>
        <w:t>H_d</w:t>
      </w:r>
      <w:proofErr w:type="spellEnd"/>
      <w:r w:rsidRPr="00B479AE">
        <w:rPr>
          <w:rFonts w:ascii="Baskerville Old Face" w:hAnsi="Baskerville Old Face"/>
          <w:i/>
          <w:iCs/>
        </w:rPr>
        <w:t xml:space="preserve"> = human dignity is preserved.</w:t>
      </w:r>
    </w:p>
    <w:p w14:paraId="6FDF7D6E"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If any essential legitimacy factor collapses, the governance decision may become review-required, non-admissible, appealable, or constitutionally defective:</w:t>
      </w:r>
    </w:p>
    <w:p w14:paraId="6BDBC94A"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G_legitimacy</w:t>
      </w:r>
      <w:proofErr w:type="spellEnd"/>
      <w:r w:rsidRPr="00B479AE">
        <w:rPr>
          <w:rFonts w:ascii="Baskerville Old Face" w:hAnsi="Baskerville Old Face"/>
          <w:i/>
          <w:iCs/>
        </w:rPr>
        <w:t xml:space="preserve"> = 0, then the decision cannot claim full Prometheus governance legitimacy</w:t>
      </w:r>
    </w:p>
    <w:p w14:paraId="69C5FE1D"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This condition is especially important for high-impact decisions.</w:t>
      </w:r>
    </w:p>
    <w:p w14:paraId="6BB27D78"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Ordinary operational decisions may require lighter process.</w:t>
      </w:r>
    </w:p>
    <w:p w14:paraId="398443C1"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Protected-domain decisions require stronger legitimacy.</w:t>
      </w:r>
    </w:p>
    <w:p w14:paraId="222810F7"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Protected domains include:</w:t>
      </w:r>
    </w:p>
    <w:p w14:paraId="761FA300" w14:textId="6F95FCC4"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source-layer interpretation;</w:t>
      </w:r>
      <w:r w:rsidRPr="00B479AE">
        <w:rPr>
          <w:rFonts w:ascii="Baskerville Old Face" w:hAnsi="Baskerville Old Face"/>
          <w:i/>
          <w:iCs/>
        </w:rPr>
        <w:br/>
        <w:t>Eternity Clauses;</w:t>
      </w:r>
      <w:r w:rsidRPr="00B479AE">
        <w:rPr>
          <w:rFonts w:ascii="Baskerville Old Face" w:hAnsi="Baskerville Old Face"/>
          <w:i/>
          <w:iCs/>
        </w:rPr>
        <w:br/>
        <w:t>Access Covenant;</w:t>
      </w:r>
      <w:r w:rsidRPr="00B479AE">
        <w:rPr>
          <w:rFonts w:ascii="Baskerville Old Face" w:hAnsi="Baskerville Old Face"/>
          <w:i/>
          <w:iCs/>
        </w:rPr>
        <w:br/>
        <w:t>canonical glossary;</w:t>
      </w:r>
      <w:r w:rsidRPr="00B479AE">
        <w:rPr>
          <w:rFonts w:ascii="Baskerville Old Face" w:hAnsi="Baskerville Old Face"/>
          <w:i/>
          <w:iCs/>
        </w:rPr>
        <w:br/>
        <w:t>MRV admissibility;</w:t>
      </w:r>
      <w:r w:rsidRPr="00B479AE">
        <w:rPr>
          <w:rFonts w:ascii="Baskerville Old Face" w:hAnsi="Baskerville Old Face"/>
          <w:i/>
          <w:iCs/>
        </w:rPr>
        <w:br/>
      </w:r>
      <w:r w:rsidR="00BE5BB7" w:rsidRPr="00B479AE">
        <w:rPr>
          <w:rFonts w:ascii="Baskerville Old Face" w:hAnsi="Baskerville Old Face"/>
          <w:i/>
          <w:iCs/>
        </w:rPr>
        <w:t>PRU value analysis</w:t>
      </w:r>
      <w:r w:rsidRPr="00B479AE">
        <w:rPr>
          <w:rFonts w:ascii="Baskerville Old Face" w:hAnsi="Baskerville Old Face"/>
          <w:i/>
          <w:iCs/>
        </w:rPr>
        <w:t>;</w:t>
      </w:r>
      <w:r w:rsidRPr="00B479AE">
        <w:rPr>
          <w:rFonts w:ascii="Baskerville Old Face" w:hAnsi="Baskerville Old Face"/>
          <w:i/>
          <w:iCs/>
        </w:rPr>
        <w:br/>
        <w:t>RAP inclusion;</w:t>
      </w:r>
      <w:r w:rsidRPr="00B479AE">
        <w:rPr>
          <w:rFonts w:ascii="Baskerville Old Face" w:hAnsi="Baskerville Old Face"/>
          <w:i/>
          <w:iCs/>
        </w:rPr>
        <w:br/>
        <w:t>legal rights;</w:t>
      </w:r>
      <w:r w:rsidRPr="00B479AE">
        <w:rPr>
          <w:rFonts w:ascii="Baskerville Old Face" w:hAnsi="Baskerville Old Face"/>
          <w:i/>
          <w:iCs/>
        </w:rPr>
        <w:br/>
        <w:t>token boundaries;</w:t>
      </w:r>
      <w:r w:rsidRPr="00B479AE">
        <w:rPr>
          <w:rFonts w:ascii="Baskerville Old Face" w:hAnsi="Baskerville Old Face"/>
          <w:i/>
          <w:iCs/>
        </w:rPr>
        <w:br/>
        <w:t>investor-facing communications;</w:t>
      </w:r>
      <w:r w:rsidRPr="00B479AE">
        <w:rPr>
          <w:rFonts w:ascii="Baskerville Old Face" w:hAnsi="Baskerville Old Face"/>
          <w:i/>
          <w:iCs/>
        </w:rPr>
        <w:br/>
        <w:t>HSI or human-state data;</w:t>
      </w:r>
      <w:r w:rsidRPr="00B479AE">
        <w:rPr>
          <w:rFonts w:ascii="Baskerville Old Face" w:hAnsi="Baskerville Old Face"/>
          <w:i/>
          <w:iCs/>
        </w:rPr>
        <w:br/>
      </w:r>
      <w:r w:rsidRPr="00B479AE">
        <w:rPr>
          <w:rFonts w:ascii="Baskerville Old Face" w:hAnsi="Baskerville Old Face"/>
          <w:i/>
          <w:iCs/>
        </w:rPr>
        <w:lastRenderedPageBreak/>
        <w:t>role removal;</w:t>
      </w:r>
      <w:r w:rsidRPr="00B479AE">
        <w:rPr>
          <w:rFonts w:ascii="Baskerville Old Face" w:hAnsi="Baskerville Old Face"/>
          <w:i/>
          <w:iCs/>
        </w:rPr>
        <w:br/>
        <w:t>access restriction;</w:t>
      </w:r>
      <w:r w:rsidRPr="00B479AE">
        <w:rPr>
          <w:rFonts w:ascii="Baskerville Old Face" w:hAnsi="Baskerville Old Face"/>
          <w:i/>
          <w:iCs/>
        </w:rPr>
        <w:br/>
        <w:t>fork classification;</w:t>
      </w:r>
      <w:r w:rsidRPr="00B479AE">
        <w:rPr>
          <w:rFonts w:ascii="Baskerville Old Face" w:hAnsi="Baskerville Old Face"/>
          <w:i/>
          <w:iCs/>
        </w:rPr>
        <w:br/>
        <w:t>canonical release;</w:t>
      </w:r>
      <w:r w:rsidRPr="00B479AE">
        <w:rPr>
          <w:rFonts w:ascii="Baskerville Old Face" w:hAnsi="Baskerville Old Face"/>
          <w:i/>
          <w:iCs/>
        </w:rPr>
        <w:br/>
        <w:t>constitutional amendment;</w:t>
      </w:r>
      <w:r w:rsidRPr="00B479AE">
        <w:rPr>
          <w:rFonts w:ascii="Baskerville Old Face" w:hAnsi="Baskerville Old Face"/>
          <w:i/>
          <w:iCs/>
        </w:rPr>
        <w:br/>
        <w:t>emergency limitation.</w:t>
      </w:r>
    </w:p>
    <w:p w14:paraId="36BD3DF2"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The governance legitimacy function prevents category collapse.</w:t>
      </w:r>
    </w:p>
    <w:p w14:paraId="14FE4C00"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 token vote may signal preference.</w:t>
      </w:r>
    </w:p>
    <w:p w14:paraId="7AB662BB"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It does not automatically create constitutional legitimacy.</w:t>
      </w:r>
    </w:p>
    <w:p w14:paraId="41F68BC1"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 founder may hold historical knowledge.</w:t>
      </w:r>
    </w:p>
    <w:p w14:paraId="2A5C53A4"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Founder status does not automatically create unlimited authority.</w:t>
      </w:r>
    </w:p>
    <w:p w14:paraId="33017CF7"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 technical administrator may control infrastructure.</w:t>
      </w:r>
    </w:p>
    <w:p w14:paraId="5B23E705"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Technical access does not automatically create governance sovereignty.</w:t>
      </w:r>
    </w:p>
    <w:p w14:paraId="0B629C1D"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An investor may provide capital.</w:t>
      </w:r>
    </w:p>
    <w:p w14:paraId="610BAA39"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Capital contribution does not automatically create source-layer authority.</w:t>
      </w:r>
    </w:p>
    <w:p w14:paraId="178E348F"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An AI system may produce analysis.</w:t>
      </w:r>
    </w:p>
    <w:p w14:paraId="45832259"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AI analysis does not automatically create decision authority.</w:t>
      </w:r>
    </w:p>
    <w:p w14:paraId="52C98659"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 community majority may support a proposal.</w:t>
      </w:r>
    </w:p>
    <w:p w14:paraId="1833F241"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Majority preference does not automatically override human dignity, due process, legal boundaries, MRV evidence, or Eternity Clauses.</w:t>
      </w:r>
    </w:p>
    <w:p w14:paraId="1BE16D00"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The correct governance pathway is:</w:t>
      </w:r>
    </w:p>
    <w:p w14:paraId="321F541F"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 xml:space="preserve">role </w:t>
      </w:r>
      <w:r w:rsidRPr="00B479AE">
        <w:rPr>
          <w:rFonts w:ascii="Times New Roman" w:hAnsi="Times New Roman" w:cs="Times New Roman"/>
          <w:i/>
          <w:iCs/>
        </w:rPr>
        <w:t>→</w:t>
      </w:r>
      <w:r w:rsidRPr="00B479AE">
        <w:rPr>
          <w:rFonts w:ascii="Baskerville Old Face" w:hAnsi="Baskerville Old Face"/>
          <w:i/>
          <w:iCs/>
        </w:rPr>
        <w:t xml:space="preserve"> mandate </w:t>
      </w:r>
      <w:r w:rsidRPr="00B479AE">
        <w:rPr>
          <w:rFonts w:ascii="Times New Roman" w:hAnsi="Times New Roman" w:cs="Times New Roman"/>
          <w:i/>
          <w:iCs/>
        </w:rPr>
        <w:t>→</w:t>
      </w:r>
      <w:r w:rsidRPr="00B479AE">
        <w:rPr>
          <w:rFonts w:ascii="Baskerville Old Face" w:hAnsi="Baskerville Old Face"/>
          <w:i/>
          <w:iCs/>
        </w:rPr>
        <w:t xml:space="preserve"> process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review </w:t>
      </w:r>
      <w:r w:rsidRPr="00B479AE">
        <w:rPr>
          <w:rFonts w:ascii="Times New Roman" w:hAnsi="Times New Roman" w:cs="Times New Roman"/>
          <w:i/>
          <w:iCs/>
        </w:rPr>
        <w:t>→</w:t>
      </w:r>
      <w:r w:rsidRPr="00B479AE">
        <w:rPr>
          <w:rFonts w:ascii="Baskerville Old Face" w:hAnsi="Baskerville Old Face"/>
          <w:i/>
          <w:iCs/>
        </w:rPr>
        <w:t xml:space="preserve"> decision </w:t>
      </w:r>
      <w:r w:rsidRPr="00B479AE">
        <w:rPr>
          <w:rFonts w:ascii="Times New Roman" w:hAnsi="Times New Roman" w:cs="Times New Roman"/>
          <w:i/>
          <w:iCs/>
        </w:rPr>
        <w:t>→</w:t>
      </w:r>
      <w:r w:rsidRPr="00B479AE">
        <w:rPr>
          <w:rFonts w:ascii="Baskerville Old Face" w:hAnsi="Baskerville Old Face"/>
          <w:i/>
          <w:iCs/>
        </w:rPr>
        <w:t xml:space="preserve"> record </w:t>
      </w:r>
      <w:r w:rsidRPr="00B479AE">
        <w:rPr>
          <w:rFonts w:ascii="Times New Roman" w:hAnsi="Times New Roman" w:cs="Times New Roman"/>
          <w:i/>
          <w:iCs/>
        </w:rPr>
        <w:t>→</w:t>
      </w:r>
      <w:r w:rsidRPr="00B479AE">
        <w:rPr>
          <w:rFonts w:ascii="Baskerville Old Face" w:hAnsi="Baskerville Old Face"/>
          <w:i/>
          <w:iCs/>
        </w:rPr>
        <w:t xml:space="preserve"> accountability</w:t>
      </w:r>
    </w:p>
    <w:p w14:paraId="76EAE8CC"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This protects Prometheus from governance capture.</w:t>
      </w:r>
    </w:p>
    <w:p w14:paraId="2CF1DB83"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It also protects participants from arbitrary power.</w:t>
      </w:r>
    </w:p>
    <w:p w14:paraId="557EFEBD"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lastRenderedPageBreak/>
        <w:t>The legitimacy rule is:</w:t>
      </w:r>
    </w:p>
    <w:p w14:paraId="03FF83D0"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authority must be scoped;</w:t>
      </w:r>
      <w:r w:rsidRPr="00B479AE">
        <w:rPr>
          <w:rFonts w:ascii="Baskerville Old Face" w:hAnsi="Baskerville Old Face"/>
          <w:i/>
          <w:iCs/>
        </w:rPr>
        <w:br/>
        <w:t>process must be visible;</w:t>
      </w:r>
      <w:r w:rsidRPr="00B479AE">
        <w:rPr>
          <w:rFonts w:ascii="Baskerville Old Face" w:hAnsi="Baskerville Old Face"/>
          <w:i/>
          <w:iCs/>
        </w:rPr>
        <w:br/>
        <w:t>evidence must be traceable;</w:t>
      </w:r>
      <w:r w:rsidRPr="00B479AE">
        <w:rPr>
          <w:rFonts w:ascii="Baskerville Old Face" w:hAnsi="Baskerville Old Face"/>
          <w:i/>
          <w:iCs/>
        </w:rPr>
        <w:br/>
        <w:t>decisions must be reviewable;</w:t>
      </w:r>
      <w:r w:rsidRPr="00B479AE">
        <w:rPr>
          <w:rFonts w:ascii="Baskerville Old Face" w:hAnsi="Baskerville Old Face"/>
          <w:i/>
          <w:iCs/>
        </w:rPr>
        <w:br/>
        <w:t>dignity must be preserved;</w:t>
      </w:r>
      <w:r w:rsidRPr="00B479AE">
        <w:rPr>
          <w:rFonts w:ascii="Baskerville Old Face" w:hAnsi="Baskerville Old Face"/>
          <w:i/>
          <w:iCs/>
        </w:rPr>
        <w:br/>
        <w:t>the source layer must remain non-</w:t>
      </w:r>
      <w:proofErr w:type="spellStart"/>
      <w:r w:rsidRPr="00B479AE">
        <w:rPr>
          <w:rFonts w:ascii="Baskerville Old Face" w:hAnsi="Baskerville Old Face"/>
          <w:i/>
          <w:iCs/>
        </w:rPr>
        <w:t>bypassable</w:t>
      </w:r>
      <w:proofErr w:type="spellEnd"/>
      <w:r w:rsidRPr="00B479AE">
        <w:rPr>
          <w:rFonts w:ascii="Baskerville Old Face" w:hAnsi="Baskerville Old Face"/>
          <w:i/>
          <w:iCs/>
        </w:rPr>
        <w:t>.</w:t>
      </w:r>
    </w:p>
    <w:p w14:paraId="7C706C4B"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Prometheus governance is therefore not a contest of force.</w:t>
      </w:r>
    </w:p>
    <w:p w14:paraId="7FF7801D"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It is a disciplined coordination of responsibility.</w:t>
      </w:r>
    </w:p>
    <w:p w14:paraId="36149F83" w14:textId="77777777" w:rsidR="0022282D" w:rsidRPr="00B479AE" w:rsidRDefault="0022282D" w:rsidP="0022282D">
      <w:pPr>
        <w:spacing w:line="360" w:lineRule="auto"/>
        <w:rPr>
          <w:rFonts w:ascii="Baskerville Old Face" w:hAnsi="Baskerville Old Face"/>
          <w:b/>
          <w:bCs/>
          <w:i/>
          <w:iCs/>
        </w:rPr>
      </w:pPr>
      <w:r w:rsidRPr="00B479AE">
        <w:rPr>
          <w:rFonts w:ascii="Baskerville Old Face" w:hAnsi="Baskerville Old Face"/>
          <w:b/>
          <w:bCs/>
          <w:i/>
          <w:iCs/>
        </w:rPr>
        <w:t>Formula boundary</w:t>
      </w:r>
    </w:p>
    <w:p w14:paraId="503834C3" w14:textId="77777777" w:rsidR="0022282D" w:rsidRPr="00B479AE" w:rsidRDefault="0022282D" w:rsidP="0022282D">
      <w:pPr>
        <w:spacing w:line="360" w:lineRule="auto"/>
        <w:rPr>
          <w:rFonts w:ascii="Baskerville Old Face" w:hAnsi="Baskerville Old Face"/>
          <w:i/>
          <w:iCs/>
        </w:rPr>
      </w:pPr>
      <w:proofErr w:type="spellStart"/>
      <w:r w:rsidRPr="00B479AE">
        <w:rPr>
          <w:rFonts w:ascii="Baskerville Old Face" w:hAnsi="Baskerville Old Face"/>
          <w:i/>
          <w:iCs/>
        </w:rPr>
        <w:t>G_legitimacy</w:t>
      </w:r>
      <w:proofErr w:type="spellEnd"/>
      <w:r w:rsidRPr="00B479AE">
        <w:rPr>
          <w:rFonts w:ascii="Baskerville Old Face" w:hAnsi="Baskerville Old Face"/>
          <w:i/>
          <w:iCs/>
        </w:rPr>
        <w:t xml:space="preserve"> is a constitutional and governance-methodology function.</w:t>
      </w:r>
    </w:p>
    <w:p w14:paraId="174D0452"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It does not create automatic legal enforceability, judicial authority, employment rights, token rights, property rights, governance exclusion, or institutional control by itself.</w:t>
      </w:r>
    </w:p>
    <w:p w14:paraId="00AB6B5A"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It defines the internal Prometheus standard for assessing whether a governance decision, role, mandate, process, or review pathway preserves legitimate authority.</w:t>
      </w:r>
    </w:p>
    <w:p w14:paraId="4B41F997"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Formal consequences require the applicable governance, legal, technical, MRV, ethical, or constitutional review pathway.</w:t>
      </w:r>
    </w:p>
    <w:p w14:paraId="5082DD60" w14:textId="77777777" w:rsidR="0022282D" w:rsidRPr="00B479AE" w:rsidRDefault="0022282D" w:rsidP="0022282D">
      <w:pPr>
        <w:spacing w:line="360" w:lineRule="auto"/>
        <w:rPr>
          <w:rFonts w:ascii="Baskerville Old Face" w:hAnsi="Baskerville Old Face"/>
          <w:b/>
          <w:bCs/>
          <w:i/>
          <w:iCs/>
        </w:rPr>
      </w:pPr>
      <w:r w:rsidRPr="00B479AE">
        <w:rPr>
          <w:rFonts w:ascii="Baskerville Old Face" w:hAnsi="Baskerville Old Face"/>
          <w:b/>
          <w:bCs/>
          <w:i/>
          <w:iCs/>
        </w:rPr>
        <w:t>Operational rule</w:t>
      </w:r>
    </w:p>
    <w:p w14:paraId="47737947"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The operational rule is:</w:t>
      </w:r>
    </w:p>
    <w:p w14:paraId="3400649F"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no role without scope;</w:t>
      </w:r>
      <w:r w:rsidRPr="00B479AE">
        <w:rPr>
          <w:rFonts w:ascii="Baskerville Old Face" w:hAnsi="Baskerville Old Face"/>
          <w:i/>
          <w:iCs/>
        </w:rPr>
        <w:br/>
        <w:t>no authority without mandate;</w:t>
      </w:r>
      <w:r w:rsidRPr="00B479AE">
        <w:rPr>
          <w:rFonts w:ascii="Baskerville Old Face" w:hAnsi="Baskerville Old Face"/>
          <w:i/>
          <w:iCs/>
        </w:rPr>
        <w:br/>
        <w:t>no decision without process;</w:t>
      </w:r>
      <w:r w:rsidRPr="00B479AE">
        <w:rPr>
          <w:rFonts w:ascii="Baskerville Old Face" w:hAnsi="Baskerville Old Face"/>
          <w:i/>
          <w:iCs/>
        </w:rPr>
        <w:br/>
        <w:t>no protected-domain action without review;</w:t>
      </w:r>
      <w:r w:rsidRPr="00B479AE">
        <w:rPr>
          <w:rFonts w:ascii="Baskerville Old Face" w:hAnsi="Baskerville Old Face"/>
          <w:i/>
          <w:iCs/>
        </w:rPr>
        <w:br/>
        <w:t>no governance legitimacy without source-layer fidelity.</w:t>
      </w:r>
    </w:p>
    <w:p w14:paraId="0E20FAB6"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Prometheus may be decentralized.</w:t>
      </w:r>
    </w:p>
    <w:p w14:paraId="223ECE84"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 xml:space="preserve">Prometheus may be </w:t>
      </w:r>
      <w:proofErr w:type="spellStart"/>
      <w:r w:rsidRPr="00B479AE">
        <w:rPr>
          <w:rFonts w:ascii="Baskerville Old Face" w:hAnsi="Baskerville Old Face"/>
          <w:i/>
          <w:iCs/>
        </w:rPr>
        <w:t>sociocratic</w:t>
      </w:r>
      <w:proofErr w:type="spellEnd"/>
      <w:r w:rsidRPr="00B479AE">
        <w:rPr>
          <w:rFonts w:ascii="Baskerville Old Face" w:hAnsi="Baskerville Old Face"/>
          <w:i/>
          <w:iCs/>
        </w:rPr>
        <w:t>.</w:t>
      </w:r>
    </w:p>
    <w:p w14:paraId="5E8572D8"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lastRenderedPageBreak/>
        <w:t>Prometheus may be community-driven.</w:t>
      </w:r>
    </w:p>
    <w:p w14:paraId="4093C0F4"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Prometheus may interoperate with token systems.</w:t>
      </w:r>
    </w:p>
    <w:p w14:paraId="7F5E2D79"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Prometheus may be AI-assisted.</w:t>
      </w:r>
    </w:p>
    <w:p w14:paraId="5B037D2E" w14:textId="77777777" w:rsidR="0022282D" w:rsidRPr="00B479AE" w:rsidRDefault="0022282D" w:rsidP="0022282D">
      <w:pPr>
        <w:spacing w:line="360" w:lineRule="auto"/>
        <w:rPr>
          <w:rFonts w:ascii="Baskerville Old Face" w:hAnsi="Baskerville Old Face"/>
          <w:i/>
          <w:iCs/>
        </w:rPr>
      </w:pPr>
      <w:r w:rsidRPr="00B479AE">
        <w:rPr>
          <w:rFonts w:ascii="Baskerville Old Face" w:hAnsi="Baskerville Old Face"/>
          <w:i/>
          <w:iCs/>
        </w:rPr>
        <w:t>But governance legitimacy remains grounded in source-layer fidelity, role clarity, due process, evidence, accountability, and human dignity.</w:t>
      </w:r>
    </w:p>
    <w:p w14:paraId="6DA30DA8" w14:textId="116F5A1B"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 xml:space="preserve">.6 </w:t>
      </w:r>
      <w:proofErr w:type="spellStart"/>
      <w:r w:rsidR="00F7085C" w:rsidRPr="00B479AE">
        <w:rPr>
          <w:rFonts w:ascii="Baskerville Old Face" w:hAnsi="Baskerville Old Face"/>
          <w:b/>
          <w:bCs/>
          <w:i/>
          <w:iCs/>
        </w:rPr>
        <w:t>Sociocratic</w:t>
      </w:r>
      <w:proofErr w:type="spellEnd"/>
      <w:r w:rsidR="00F7085C" w:rsidRPr="00B479AE">
        <w:rPr>
          <w:rFonts w:ascii="Baskerville Old Face" w:hAnsi="Baskerville Old Face"/>
          <w:b/>
          <w:bCs/>
          <w:i/>
          <w:iCs/>
        </w:rPr>
        <w:t xml:space="preserve"> governance alignment</w:t>
      </w:r>
    </w:p>
    <w:p w14:paraId="234FD05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Prometheus may use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principles where appropriate.</w:t>
      </w:r>
    </w:p>
    <w:p w14:paraId="47F9034E" w14:textId="77777777" w:rsidR="00F7085C" w:rsidRPr="00B479AE" w:rsidRDefault="00F7085C" w:rsidP="00F7085C">
      <w:pPr>
        <w:spacing w:line="360" w:lineRule="auto"/>
        <w:rPr>
          <w:rFonts w:ascii="Baskerville Old Face" w:hAnsi="Baskerville Old Face"/>
          <w:i/>
          <w:iCs/>
        </w:rPr>
      </w:pP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governance may include:</w:t>
      </w:r>
    </w:p>
    <w:p w14:paraId="3700B5C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circles;</w:t>
      </w:r>
      <w:r w:rsidRPr="00B479AE">
        <w:rPr>
          <w:rFonts w:ascii="Baskerville Old Face" w:hAnsi="Baskerville Old Face"/>
          <w:i/>
          <w:iCs/>
        </w:rPr>
        <w:br/>
        <w:t>• domains;</w:t>
      </w:r>
      <w:r w:rsidRPr="00B479AE">
        <w:rPr>
          <w:rFonts w:ascii="Baskerville Old Face" w:hAnsi="Baskerville Old Face"/>
          <w:i/>
          <w:iCs/>
        </w:rPr>
        <w:br/>
        <w:t>• roles;</w:t>
      </w:r>
      <w:r w:rsidRPr="00B479AE">
        <w:rPr>
          <w:rFonts w:ascii="Baskerville Old Face" w:hAnsi="Baskerville Old Face"/>
          <w:i/>
          <w:iCs/>
        </w:rPr>
        <w:br/>
        <w:t>• consent decision-making;</w:t>
      </w:r>
      <w:r w:rsidRPr="00B479AE">
        <w:rPr>
          <w:rFonts w:ascii="Baskerville Old Face" w:hAnsi="Baskerville Old Face"/>
          <w:i/>
          <w:iCs/>
        </w:rPr>
        <w:br/>
        <w:t>• objections as information;</w:t>
      </w:r>
      <w:r w:rsidRPr="00B479AE">
        <w:rPr>
          <w:rFonts w:ascii="Baskerville Old Face" w:hAnsi="Baskerville Old Face"/>
          <w:i/>
          <w:iCs/>
        </w:rPr>
        <w:br/>
        <w:t>• double-linking;</w:t>
      </w:r>
      <w:r w:rsidRPr="00B479AE">
        <w:rPr>
          <w:rFonts w:ascii="Baskerville Old Face" w:hAnsi="Baskerville Old Face"/>
          <w:i/>
          <w:iCs/>
        </w:rPr>
        <w:br/>
        <w:t>• transparent mandates;</w:t>
      </w:r>
      <w:r w:rsidRPr="00B479AE">
        <w:rPr>
          <w:rFonts w:ascii="Baskerville Old Face" w:hAnsi="Baskerville Old Face"/>
          <w:i/>
          <w:iCs/>
        </w:rPr>
        <w:br/>
        <w:t>• periodic review;</w:t>
      </w:r>
      <w:r w:rsidRPr="00B479AE">
        <w:rPr>
          <w:rFonts w:ascii="Baskerville Old Face" w:hAnsi="Baskerville Old Face"/>
          <w:i/>
          <w:iCs/>
        </w:rPr>
        <w:br/>
        <w:t>• election by consent;</w:t>
      </w:r>
      <w:r w:rsidRPr="00B479AE">
        <w:rPr>
          <w:rFonts w:ascii="Baskerville Old Face" w:hAnsi="Baskerville Old Face"/>
          <w:i/>
          <w:iCs/>
        </w:rPr>
        <w:br/>
        <w:t>• feedback loops;</w:t>
      </w:r>
      <w:r w:rsidRPr="00B479AE">
        <w:rPr>
          <w:rFonts w:ascii="Baskerville Old Face" w:hAnsi="Baskerville Old Face"/>
          <w:i/>
          <w:iCs/>
        </w:rPr>
        <w:br/>
        <w:t>• tension processing;</w:t>
      </w:r>
      <w:r w:rsidRPr="00B479AE">
        <w:rPr>
          <w:rFonts w:ascii="Baskerville Old Face" w:hAnsi="Baskerville Old Face"/>
          <w:i/>
          <w:iCs/>
        </w:rPr>
        <w:br/>
        <w:t>• role accountability.</w:t>
      </w:r>
    </w:p>
    <w:p w14:paraId="314A8975"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Sociocracy is useful because it distributes authority while preserving process clarity.</w:t>
      </w:r>
    </w:p>
    <w:p w14:paraId="1388122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However, sociocracy must remain bounded by the Prometheus source layer.</w:t>
      </w:r>
    </w:p>
    <w:p w14:paraId="662CB13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circle may govern within its domain.</w:t>
      </w:r>
    </w:p>
    <w:p w14:paraId="5B9859E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may not override foundational articles.</w:t>
      </w:r>
    </w:p>
    <w:p w14:paraId="7EBE16E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consent decision may authorize an operational pathway.</w:t>
      </w:r>
    </w:p>
    <w:p w14:paraId="5D82C01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may not weaken the Eternity Clauses.</w:t>
      </w:r>
    </w:p>
    <w:p w14:paraId="7C110AF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A double-linked structure may coordinate across circles.</w:t>
      </w:r>
    </w:p>
    <w:p w14:paraId="34DDF42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may not collapse constitutional interpretation into ordinary governance.</w:t>
      </w:r>
    </w:p>
    <w:p w14:paraId="41EB668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uses sociocracy as governance method.</w:t>
      </w:r>
    </w:p>
    <w:p w14:paraId="7EC979B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source layer remains the constitutional boundary.</w:t>
      </w:r>
    </w:p>
    <w:p w14:paraId="11E931AD" w14:textId="7C0185AD"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.7 Governance decision classes</w:t>
      </w:r>
    </w:p>
    <w:p w14:paraId="3A2374E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Governance decisions should be classified by risk and domain.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4310"/>
        <w:gridCol w:w="3269"/>
      </w:tblGrid>
      <w:tr w:rsidR="00F7085C" w:rsidRPr="00B479AE" w14:paraId="1197AC79" w14:textId="77777777" w:rsidTr="00F7085C">
        <w:trPr>
          <w:tblHeader/>
          <w:tblCellSpacing w:w="15" w:type="dxa"/>
        </w:trPr>
        <w:tc>
          <w:tcPr>
            <w:tcW w:w="0" w:type="auto"/>
            <w:vAlign w:val="center"/>
            <w:hideMark/>
          </w:tcPr>
          <w:p w14:paraId="7D482DC2"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Decision class</w:t>
            </w:r>
          </w:p>
        </w:tc>
        <w:tc>
          <w:tcPr>
            <w:tcW w:w="0" w:type="auto"/>
            <w:vAlign w:val="center"/>
            <w:hideMark/>
          </w:tcPr>
          <w:p w14:paraId="551070FF"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Examples</w:t>
            </w:r>
          </w:p>
        </w:tc>
        <w:tc>
          <w:tcPr>
            <w:tcW w:w="0" w:type="auto"/>
            <w:vAlign w:val="center"/>
            <w:hideMark/>
          </w:tcPr>
          <w:p w14:paraId="72CBDAD9"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Review requirement</w:t>
            </w:r>
          </w:p>
        </w:tc>
      </w:tr>
      <w:tr w:rsidR="00F7085C" w:rsidRPr="00B479AE" w14:paraId="2577746D" w14:textId="77777777" w:rsidTr="00F7085C">
        <w:trPr>
          <w:tblCellSpacing w:w="15" w:type="dxa"/>
        </w:trPr>
        <w:tc>
          <w:tcPr>
            <w:tcW w:w="0" w:type="auto"/>
            <w:vAlign w:val="center"/>
            <w:hideMark/>
          </w:tcPr>
          <w:p w14:paraId="02C0585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Ordinary operational decision</w:t>
            </w:r>
          </w:p>
        </w:tc>
        <w:tc>
          <w:tcPr>
            <w:tcW w:w="0" w:type="auto"/>
            <w:vAlign w:val="center"/>
            <w:hideMark/>
          </w:tcPr>
          <w:p w14:paraId="2809551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Scheduling, task allocation, low-risk workflow.</w:t>
            </w:r>
          </w:p>
        </w:tc>
        <w:tc>
          <w:tcPr>
            <w:tcW w:w="0" w:type="auto"/>
            <w:vAlign w:val="center"/>
            <w:hideMark/>
          </w:tcPr>
          <w:p w14:paraId="09127DF9"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Circle or role-level decision.</w:t>
            </w:r>
          </w:p>
        </w:tc>
      </w:tr>
      <w:tr w:rsidR="00F7085C" w:rsidRPr="00B479AE" w14:paraId="57DF67AA" w14:textId="77777777" w:rsidTr="00F7085C">
        <w:trPr>
          <w:tblCellSpacing w:w="15" w:type="dxa"/>
        </w:trPr>
        <w:tc>
          <w:tcPr>
            <w:tcW w:w="0" w:type="auto"/>
            <w:vAlign w:val="center"/>
            <w:hideMark/>
          </w:tcPr>
          <w:p w14:paraId="72BA5190"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role decision</w:t>
            </w:r>
          </w:p>
        </w:tc>
        <w:tc>
          <w:tcPr>
            <w:tcW w:w="0" w:type="auto"/>
            <w:vAlign w:val="center"/>
            <w:hideMark/>
          </w:tcPr>
          <w:p w14:paraId="70D7E49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Role appointment, role renewal, role removal.</w:t>
            </w:r>
          </w:p>
        </w:tc>
        <w:tc>
          <w:tcPr>
            <w:tcW w:w="0" w:type="auto"/>
            <w:vAlign w:val="center"/>
            <w:hideMark/>
          </w:tcPr>
          <w:p w14:paraId="2569689F"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Consent process and record.</w:t>
            </w:r>
          </w:p>
        </w:tc>
      </w:tr>
      <w:tr w:rsidR="00F7085C" w:rsidRPr="00B479AE" w14:paraId="6577CCF0" w14:textId="77777777" w:rsidTr="00F7085C">
        <w:trPr>
          <w:tblCellSpacing w:w="15" w:type="dxa"/>
        </w:trPr>
        <w:tc>
          <w:tcPr>
            <w:tcW w:w="0" w:type="auto"/>
            <w:vAlign w:val="center"/>
            <w:hideMark/>
          </w:tcPr>
          <w:p w14:paraId="3098BEAC"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Technical decision</w:t>
            </w:r>
          </w:p>
        </w:tc>
        <w:tc>
          <w:tcPr>
            <w:tcW w:w="0" w:type="auto"/>
            <w:vAlign w:val="center"/>
            <w:hideMark/>
          </w:tcPr>
          <w:p w14:paraId="6ED7A51F"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Code change, schema update, API permission, release candidate.</w:t>
            </w:r>
          </w:p>
        </w:tc>
        <w:tc>
          <w:tcPr>
            <w:tcW w:w="0" w:type="auto"/>
            <w:vAlign w:val="center"/>
            <w:hideMark/>
          </w:tcPr>
          <w:p w14:paraId="61E691E4"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Technical review; protected-domain check where relevant.</w:t>
            </w:r>
          </w:p>
        </w:tc>
      </w:tr>
      <w:tr w:rsidR="00F7085C" w:rsidRPr="00B479AE" w14:paraId="1F1A629F" w14:textId="77777777" w:rsidTr="00F7085C">
        <w:trPr>
          <w:tblCellSpacing w:w="15" w:type="dxa"/>
        </w:trPr>
        <w:tc>
          <w:tcPr>
            <w:tcW w:w="0" w:type="auto"/>
            <w:vAlign w:val="center"/>
            <w:hideMark/>
          </w:tcPr>
          <w:p w14:paraId="3FFE0FB8"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decision</w:t>
            </w:r>
          </w:p>
        </w:tc>
        <w:tc>
          <w:tcPr>
            <w:tcW w:w="0" w:type="auto"/>
            <w:vAlign w:val="center"/>
            <w:hideMark/>
          </w:tcPr>
          <w:p w14:paraId="10ADDB5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Methodology update, evidence admissibility, indicator approval.</w:t>
            </w:r>
          </w:p>
        </w:tc>
        <w:tc>
          <w:tcPr>
            <w:tcW w:w="0" w:type="auto"/>
            <w:vAlign w:val="center"/>
            <w:hideMark/>
          </w:tcPr>
          <w:p w14:paraId="78C455BE"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MRV review; evidence record.</w:t>
            </w:r>
          </w:p>
        </w:tc>
      </w:tr>
      <w:tr w:rsidR="00F7085C" w:rsidRPr="00B479AE" w14:paraId="5D0FD794" w14:textId="77777777" w:rsidTr="00F7085C">
        <w:trPr>
          <w:tblCellSpacing w:w="15" w:type="dxa"/>
        </w:trPr>
        <w:tc>
          <w:tcPr>
            <w:tcW w:w="0" w:type="auto"/>
            <w:vAlign w:val="center"/>
            <w:hideMark/>
          </w:tcPr>
          <w:p w14:paraId="5246265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Legal/financial decision</w:t>
            </w:r>
          </w:p>
        </w:tc>
        <w:tc>
          <w:tcPr>
            <w:tcW w:w="0" w:type="auto"/>
            <w:vAlign w:val="center"/>
            <w:hideMark/>
          </w:tcPr>
          <w:p w14:paraId="68396A09"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Investor communication, token boundary, legal instrument, data-room access.</w:t>
            </w:r>
          </w:p>
        </w:tc>
        <w:tc>
          <w:tcPr>
            <w:tcW w:w="0" w:type="auto"/>
            <w:vAlign w:val="center"/>
            <w:hideMark/>
          </w:tcPr>
          <w:p w14:paraId="7DA5CF54"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Legal and governance review.</w:t>
            </w:r>
          </w:p>
        </w:tc>
      </w:tr>
      <w:tr w:rsidR="00F7085C" w:rsidRPr="00B479AE" w14:paraId="119CA92F" w14:textId="77777777" w:rsidTr="00F7085C">
        <w:trPr>
          <w:tblCellSpacing w:w="15" w:type="dxa"/>
        </w:trPr>
        <w:tc>
          <w:tcPr>
            <w:tcW w:w="0" w:type="auto"/>
            <w:vAlign w:val="center"/>
            <w:hideMark/>
          </w:tcPr>
          <w:p w14:paraId="43CE319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Constitutional decision</w:t>
            </w:r>
          </w:p>
        </w:tc>
        <w:tc>
          <w:tcPr>
            <w:tcW w:w="0" w:type="auto"/>
            <w:vAlign w:val="center"/>
            <w:hideMark/>
          </w:tcPr>
          <w:p w14:paraId="58514C1D"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Access Covenant change, canonical glossary change, foundational interpretation.</w:t>
            </w:r>
          </w:p>
        </w:tc>
        <w:tc>
          <w:tcPr>
            <w:tcW w:w="0" w:type="auto"/>
            <w:vAlign w:val="center"/>
            <w:hideMark/>
          </w:tcPr>
          <w:p w14:paraId="41E1E1B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review pathway.</w:t>
            </w:r>
          </w:p>
        </w:tc>
      </w:tr>
      <w:tr w:rsidR="00F7085C" w:rsidRPr="00B479AE" w14:paraId="4B45F1D1" w14:textId="77777777" w:rsidTr="00F7085C">
        <w:trPr>
          <w:tblCellSpacing w:w="15" w:type="dxa"/>
        </w:trPr>
        <w:tc>
          <w:tcPr>
            <w:tcW w:w="0" w:type="auto"/>
            <w:vAlign w:val="center"/>
            <w:hideMark/>
          </w:tcPr>
          <w:p w14:paraId="42132E0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Eternity Clause decision</w:t>
            </w:r>
          </w:p>
        </w:tc>
        <w:tc>
          <w:tcPr>
            <w:tcW w:w="0" w:type="auto"/>
            <w:vAlign w:val="center"/>
            <w:hideMark/>
          </w:tcPr>
          <w:p w14:paraId="74DA17C9"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Any issue touching unamendable source-layer constraints.</w:t>
            </w:r>
          </w:p>
        </w:tc>
        <w:tc>
          <w:tcPr>
            <w:tcW w:w="0" w:type="auto"/>
            <w:vAlign w:val="center"/>
            <w:hideMark/>
          </w:tcPr>
          <w:p w14:paraId="6DCF784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Barred from ordinary amendment; source-layer review.</w:t>
            </w:r>
          </w:p>
        </w:tc>
      </w:tr>
      <w:tr w:rsidR="00F7085C" w:rsidRPr="00B479AE" w14:paraId="1F7A53C8" w14:textId="77777777" w:rsidTr="00F7085C">
        <w:trPr>
          <w:tblCellSpacing w:w="15" w:type="dxa"/>
        </w:trPr>
        <w:tc>
          <w:tcPr>
            <w:tcW w:w="0" w:type="auto"/>
            <w:vAlign w:val="center"/>
            <w:hideMark/>
          </w:tcPr>
          <w:p w14:paraId="555AB76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Emergency decision</w:t>
            </w:r>
          </w:p>
        </w:tc>
        <w:tc>
          <w:tcPr>
            <w:tcW w:w="0" w:type="auto"/>
            <w:vAlign w:val="center"/>
            <w:hideMark/>
          </w:tcPr>
          <w:p w14:paraId="143B4B3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Urgent restriction, security pause, incident containment.</w:t>
            </w:r>
          </w:p>
        </w:tc>
        <w:tc>
          <w:tcPr>
            <w:tcW w:w="0" w:type="auto"/>
            <w:vAlign w:val="center"/>
            <w:hideMark/>
          </w:tcPr>
          <w:p w14:paraId="41C0E0BC"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Temporary, documented, reviewable.</w:t>
            </w:r>
          </w:p>
        </w:tc>
      </w:tr>
    </w:tbl>
    <w:p w14:paraId="12716A8B" w14:textId="77777777" w:rsidR="00543279" w:rsidRDefault="00543279" w:rsidP="00F7085C">
      <w:pPr>
        <w:spacing w:line="360" w:lineRule="auto"/>
        <w:rPr>
          <w:rFonts w:ascii="Baskerville Old Face" w:hAnsi="Baskerville Old Face"/>
          <w:i/>
          <w:iCs/>
        </w:rPr>
      </w:pPr>
    </w:p>
    <w:p w14:paraId="32ECDE13" w14:textId="74844C56"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Decision classification keeps governance legible.</w:t>
      </w:r>
    </w:p>
    <w:p w14:paraId="44103E2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system should know when a decision is ordinary, technical, legal, MRV, constitutional, or emergency.</w:t>
      </w:r>
    </w:p>
    <w:p w14:paraId="7F6A55B2" w14:textId="631FAA38" w:rsidR="00554765" w:rsidRPr="00B479AE" w:rsidRDefault="00554765" w:rsidP="00F7085C">
      <w:pPr>
        <w:spacing w:line="360" w:lineRule="auto"/>
        <w:rPr>
          <w:rFonts w:ascii="Baskerville Old Face" w:hAnsi="Baskerville Old Face"/>
          <w:i/>
          <w:iCs/>
        </w:rPr>
      </w:pPr>
      <w:r w:rsidRPr="00554765">
        <w:rPr>
          <w:rFonts w:ascii="Baskerville Old Face" w:hAnsi="Baskerville Old Face"/>
          <w:i/>
          <w:iCs/>
        </w:rPr>
        <w:t>This is how Prometheus preserves governance legibility and prevents decision ambiguity.</w:t>
      </w:r>
    </w:p>
    <w:p w14:paraId="699A2F54" w14:textId="73EEEB0F"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.8 Warrant architecture as integrity signaling</w:t>
      </w:r>
    </w:p>
    <w:p w14:paraId="5B168BD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may use warrants as integrity signals.</w:t>
      </w:r>
    </w:p>
    <w:p w14:paraId="0AFEDD1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is a structured signal that a record, claim, participant action, governance pathway, technical component, or evidence stream requires attention.</w:t>
      </w:r>
    </w:p>
    <w:p w14:paraId="6E759BF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is not guilt.</w:t>
      </w:r>
    </w:p>
    <w:p w14:paraId="30ED4B4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is not punishment.</w:t>
      </w:r>
    </w:p>
    <w:p w14:paraId="1A6E39C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is not automatic slashing.</w:t>
      </w:r>
    </w:p>
    <w:p w14:paraId="11AACC8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is not permanent exclusion.</w:t>
      </w:r>
    </w:p>
    <w:p w14:paraId="6076077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is an integrity flag.</w:t>
      </w:r>
    </w:p>
    <w:p w14:paraId="2B09AD6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Warrants may indicate:</w:t>
      </w:r>
    </w:p>
    <w:p w14:paraId="2D4D6F2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missing evidence;</w:t>
      </w:r>
      <w:r w:rsidRPr="00B479AE">
        <w:rPr>
          <w:rFonts w:ascii="Baskerville Old Face" w:hAnsi="Baskerville Old Face"/>
          <w:i/>
          <w:iCs/>
        </w:rPr>
        <w:br/>
        <w:t>• inconsistent claim;</w:t>
      </w:r>
      <w:r w:rsidRPr="00B479AE">
        <w:rPr>
          <w:rFonts w:ascii="Baskerville Old Face" w:hAnsi="Baskerville Old Face"/>
          <w:i/>
          <w:iCs/>
        </w:rPr>
        <w:br/>
        <w:t>• suspected data issue;</w:t>
      </w:r>
      <w:r w:rsidRPr="00B479AE">
        <w:rPr>
          <w:rFonts w:ascii="Baskerville Old Face" w:hAnsi="Baskerville Old Face"/>
          <w:i/>
          <w:iCs/>
        </w:rPr>
        <w:br/>
        <w:t>• possible conflict of interest;</w:t>
      </w:r>
      <w:r w:rsidRPr="00B479AE">
        <w:rPr>
          <w:rFonts w:ascii="Baskerville Old Face" w:hAnsi="Baskerville Old Face"/>
          <w:i/>
          <w:iCs/>
        </w:rPr>
        <w:br/>
        <w:t>• public communication risk;</w:t>
      </w:r>
      <w:r w:rsidRPr="00B479AE">
        <w:rPr>
          <w:rFonts w:ascii="Baskerville Old Face" w:hAnsi="Baskerville Old Face"/>
          <w:i/>
          <w:iCs/>
        </w:rPr>
        <w:br/>
        <w:t>• governance irregularity;</w:t>
      </w:r>
      <w:r w:rsidRPr="00B479AE">
        <w:rPr>
          <w:rFonts w:ascii="Baskerville Old Face" w:hAnsi="Baskerville Old Face"/>
          <w:i/>
          <w:iCs/>
        </w:rPr>
        <w:br/>
        <w:t>• technical anomaly;</w:t>
      </w:r>
      <w:r w:rsidRPr="00B479AE">
        <w:rPr>
          <w:rFonts w:ascii="Baskerville Old Face" w:hAnsi="Baskerville Old Face"/>
          <w:i/>
          <w:iCs/>
        </w:rPr>
        <w:br/>
        <w:t>• token boundary confusion;</w:t>
      </w:r>
      <w:r w:rsidRPr="00B479AE">
        <w:rPr>
          <w:rFonts w:ascii="Baskerville Old Face" w:hAnsi="Baskerville Old Face"/>
          <w:i/>
          <w:iCs/>
        </w:rPr>
        <w:br/>
        <w:t>• MRV admissibility concern;</w:t>
      </w:r>
      <w:r w:rsidRPr="00B479AE">
        <w:rPr>
          <w:rFonts w:ascii="Baskerville Old Face" w:hAnsi="Baskerville Old Face"/>
          <w:i/>
          <w:iCs/>
        </w:rPr>
        <w:br/>
        <w:t>• HSI privacy concern;</w:t>
      </w:r>
      <w:r w:rsidRPr="00B479AE">
        <w:rPr>
          <w:rFonts w:ascii="Baskerville Old Face" w:hAnsi="Baskerville Old Face"/>
          <w:i/>
          <w:iCs/>
        </w:rPr>
        <w:br/>
        <w:t>• legal review requirement;</w:t>
      </w:r>
      <w:r w:rsidRPr="00B479AE">
        <w:rPr>
          <w:rFonts w:ascii="Baskerville Old Face" w:hAnsi="Baskerville Old Face"/>
          <w:i/>
          <w:iCs/>
        </w:rPr>
        <w:br/>
        <w:t>• source-layer ambiguity;</w:t>
      </w:r>
      <w:r w:rsidRPr="00B479AE">
        <w:rPr>
          <w:rFonts w:ascii="Baskerville Old Face" w:hAnsi="Baskerville Old Face"/>
          <w:i/>
          <w:iCs/>
        </w:rPr>
        <w:br/>
        <w:t>• possible covenant violation.</w:t>
      </w:r>
    </w:p>
    <w:p w14:paraId="0EAF04B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The correct warrant principle is:</w:t>
      </w:r>
    </w:p>
    <w:p w14:paraId="6B55960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flag, review, decide, record.</w:t>
      </w:r>
    </w:p>
    <w:p w14:paraId="4D68B24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Software may flag.</w:t>
      </w:r>
    </w:p>
    <w:p w14:paraId="448C28D5"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Governance reviews.</w:t>
      </w:r>
    </w:p>
    <w:p w14:paraId="5007417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Evidence supports.</w:t>
      </w:r>
    </w:p>
    <w:p w14:paraId="4166E35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Law constrains.</w:t>
      </w:r>
    </w:p>
    <w:p w14:paraId="232B950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source layer bounds.</w:t>
      </w:r>
    </w:p>
    <w:p w14:paraId="58B7CC7C" w14:textId="6DC110CC"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.9 Warrant lifecycle</w:t>
      </w:r>
    </w:p>
    <w:p w14:paraId="1E2C898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lifecycle may include:</w:t>
      </w:r>
    </w:p>
    <w:p w14:paraId="2DA53A77"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Signal detection</w:t>
      </w:r>
      <w:r w:rsidRPr="00B479AE">
        <w:rPr>
          <w:rFonts w:ascii="Baskerville Old Face" w:hAnsi="Baskerville Old Face"/>
          <w:i/>
          <w:iCs/>
        </w:rPr>
        <w:br/>
        <w:t>Concern is identified by human report, technical flag, MRV anomaly, legal issue, governance record, AI-assisted risk flag, or external notice.</w:t>
      </w:r>
    </w:p>
    <w:p w14:paraId="36C0BE13"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Initial classification</w:t>
      </w:r>
      <w:r w:rsidRPr="00B479AE">
        <w:rPr>
          <w:rFonts w:ascii="Baskerville Old Face" w:hAnsi="Baskerville Old Face"/>
          <w:i/>
          <w:iCs/>
        </w:rPr>
        <w:br/>
        <w:t>The warrant is classified by domain, severity, urgency, and affected pathway.</w:t>
      </w:r>
    </w:p>
    <w:p w14:paraId="1B48A663"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Temporary status</w:t>
      </w:r>
      <w:r w:rsidRPr="00B479AE">
        <w:rPr>
          <w:rFonts w:ascii="Baskerville Old Face" w:hAnsi="Baskerville Old Face"/>
          <w:i/>
          <w:iCs/>
        </w:rPr>
        <w:br/>
        <w:t>The relevant record, claim, access, or pathway may be marked review-required, restricted, or quarantined where appropriate.</w:t>
      </w:r>
    </w:p>
    <w:p w14:paraId="4D23E261"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Evidence gathering</w:t>
      </w:r>
      <w:r w:rsidRPr="00B479AE">
        <w:rPr>
          <w:rFonts w:ascii="Baskerville Old Face" w:hAnsi="Baskerville Old Face"/>
          <w:i/>
          <w:iCs/>
        </w:rPr>
        <w:br/>
        <w:t>Relevant records, logs, communications, MRV data, legal documents, governance minutes, or testimony are collected.</w:t>
      </w:r>
    </w:p>
    <w:p w14:paraId="74B088D7"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Response opportunity</w:t>
      </w:r>
      <w:r w:rsidRPr="00B479AE">
        <w:rPr>
          <w:rFonts w:ascii="Baskerville Old Face" w:hAnsi="Baskerville Old Face"/>
          <w:i/>
          <w:iCs/>
        </w:rPr>
        <w:br/>
        <w:t>Affected participants receive an opportunity to clarify, correct, or respond where appropriate.</w:t>
      </w:r>
    </w:p>
    <w:p w14:paraId="337E85A2"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Review body assessment</w:t>
      </w:r>
      <w:r w:rsidRPr="00B479AE">
        <w:rPr>
          <w:rFonts w:ascii="Baskerville Old Face" w:hAnsi="Baskerville Old Face"/>
          <w:i/>
          <w:iCs/>
        </w:rPr>
        <w:br/>
        <w:t>The appropriate MRV, governance, legal, technical, or constitutional review body evaluates the matter.</w:t>
      </w:r>
    </w:p>
    <w:p w14:paraId="17D9767D"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lastRenderedPageBreak/>
        <w:t>Outcome determination</w:t>
      </w:r>
      <w:r w:rsidRPr="00B479AE">
        <w:rPr>
          <w:rFonts w:ascii="Baskerville Old Face" w:hAnsi="Baskerville Old Face"/>
          <w:i/>
          <w:iCs/>
        </w:rPr>
        <w:br/>
        <w:t>The warrant is resolved, confirmed, escalated, downgraded, converted into remediation, or classified as non-admissible.</w:t>
      </w:r>
    </w:p>
    <w:p w14:paraId="0CA35CB3"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Documentation</w:t>
      </w:r>
      <w:r w:rsidRPr="00B479AE">
        <w:rPr>
          <w:rFonts w:ascii="Baskerville Old Face" w:hAnsi="Baskerville Old Face"/>
          <w:i/>
          <w:iCs/>
        </w:rPr>
        <w:br/>
        <w:t>The reasoning and outcome are recorded.</w:t>
      </w:r>
    </w:p>
    <w:p w14:paraId="7227F6D9"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Appeal or reconsideration</w:t>
      </w:r>
      <w:r w:rsidRPr="00B479AE">
        <w:rPr>
          <w:rFonts w:ascii="Baskerville Old Face" w:hAnsi="Baskerville Old Face"/>
          <w:i/>
          <w:iCs/>
        </w:rPr>
        <w:br/>
        <w:t>Where appropriate, participants may request review.</w:t>
      </w:r>
    </w:p>
    <w:p w14:paraId="0235C90A" w14:textId="77777777" w:rsidR="00F7085C" w:rsidRPr="00B479AE" w:rsidRDefault="00F7085C">
      <w:pPr>
        <w:numPr>
          <w:ilvl w:val="0"/>
          <w:numId w:val="19"/>
        </w:numPr>
        <w:spacing w:line="360" w:lineRule="auto"/>
        <w:rPr>
          <w:rFonts w:ascii="Baskerville Old Face" w:hAnsi="Baskerville Old Face"/>
          <w:i/>
          <w:iCs/>
        </w:rPr>
      </w:pPr>
      <w:r w:rsidRPr="00B479AE">
        <w:rPr>
          <w:rFonts w:ascii="Baskerville Old Face" w:hAnsi="Baskerville Old Face"/>
          <w:b/>
          <w:bCs/>
          <w:i/>
          <w:iCs/>
        </w:rPr>
        <w:t>Closure or monitoring</w:t>
      </w:r>
      <w:r w:rsidRPr="00B479AE">
        <w:rPr>
          <w:rFonts w:ascii="Baskerville Old Face" w:hAnsi="Baskerville Old Face"/>
          <w:i/>
          <w:iCs/>
        </w:rPr>
        <w:br/>
        <w:t>The warrant is closed, monitored, or converted into ongoing risk status.</w:t>
      </w:r>
    </w:p>
    <w:p w14:paraId="646E2ED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This lifecycle protects both system integrity and participant fairness.</w:t>
      </w:r>
    </w:p>
    <w:p w14:paraId="0E94136C" w14:textId="120AC1EC" w:rsidR="00F7085C" w:rsidRPr="00B479AE" w:rsidRDefault="008433B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.10 Warrant severity classes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4426"/>
        <w:gridCol w:w="3904"/>
      </w:tblGrid>
      <w:tr w:rsidR="00F7085C" w:rsidRPr="00B479AE" w14:paraId="538E761C" w14:textId="77777777" w:rsidTr="00F7085C">
        <w:trPr>
          <w:tblHeader/>
          <w:tblCellSpacing w:w="15" w:type="dxa"/>
        </w:trPr>
        <w:tc>
          <w:tcPr>
            <w:tcW w:w="0" w:type="auto"/>
            <w:vAlign w:val="center"/>
            <w:hideMark/>
          </w:tcPr>
          <w:p w14:paraId="61B9D34D"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Severity</w:t>
            </w:r>
          </w:p>
        </w:tc>
        <w:tc>
          <w:tcPr>
            <w:tcW w:w="0" w:type="auto"/>
            <w:vAlign w:val="center"/>
            <w:hideMark/>
          </w:tcPr>
          <w:p w14:paraId="30EC0C3D"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6A9E3CC6"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Typical response</w:t>
            </w:r>
          </w:p>
        </w:tc>
      </w:tr>
      <w:tr w:rsidR="00F7085C" w:rsidRPr="00B479AE" w14:paraId="3C43597E" w14:textId="77777777" w:rsidTr="00F7085C">
        <w:trPr>
          <w:tblCellSpacing w:w="15" w:type="dxa"/>
        </w:trPr>
        <w:tc>
          <w:tcPr>
            <w:tcW w:w="0" w:type="auto"/>
            <w:vAlign w:val="center"/>
            <w:hideMark/>
          </w:tcPr>
          <w:p w14:paraId="1B55E58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Informational</w:t>
            </w:r>
          </w:p>
        </w:tc>
        <w:tc>
          <w:tcPr>
            <w:tcW w:w="0" w:type="auto"/>
            <w:vAlign w:val="center"/>
            <w:hideMark/>
          </w:tcPr>
          <w:p w14:paraId="4952CE8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Low-risk flag, weak signal, ambiguity, or reminder.</w:t>
            </w:r>
          </w:p>
        </w:tc>
        <w:tc>
          <w:tcPr>
            <w:tcW w:w="0" w:type="auto"/>
            <w:vAlign w:val="center"/>
            <w:hideMark/>
          </w:tcPr>
          <w:p w14:paraId="08C9AECB"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Clarification, notation, monitoring.</w:t>
            </w:r>
          </w:p>
        </w:tc>
      </w:tr>
      <w:tr w:rsidR="00F7085C" w:rsidRPr="00B479AE" w14:paraId="000C8503" w14:textId="77777777" w:rsidTr="00F7085C">
        <w:trPr>
          <w:tblCellSpacing w:w="15" w:type="dxa"/>
        </w:trPr>
        <w:tc>
          <w:tcPr>
            <w:tcW w:w="0" w:type="auto"/>
            <w:vAlign w:val="center"/>
            <w:hideMark/>
          </w:tcPr>
          <w:p w14:paraId="7ECD1601"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Procedural</w:t>
            </w:r>
          </w:p>
        </w:tc>
        <w:tc>
          <w:tcPr>
            <w:tcW w:w="0" w:type="auto"/>
            <w:vAlign w:val="center"/>
            <w:hideMark/>
          </w:tcPr>
          <w:p w14:paraId="1CD21F66"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Missing process, incomplete record, role ambiguity, documentation gap.</w:t>
            </w:r>
          </w:p>
        </w:tc>
        <w:tc>
          <w:tcPr>
            <w:tcW w:w="0" w:type="auto"/>
            <w:vAlign w:val="center"/>
            <w:hideMark/>
          </w:tcPr>
          <w:p w14:paraId="440B496C"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Correction request, process repair.</w:t>
            </w:r>
          </w:p>
        </w:tc>
      </w:tr>
      <w:tr w:rsidR="00F7085C" w:rsidRPr="00B479AE" w14:paraId="2BA90DC4" w14:textId="77777777" w:rsidTr="00F7085C">
        <w:trPr>
          <w:tblCellSpacing w:w="15" w:type="dxa"/>
        </w:trPr>
        <w:tc>
          <w:tcPr>
            <w:tcW w:w="0" w:type="auto"/>
            <w:vAlign w:val="center"/>
            <w:hideMark/>
          </w:tcPr>
          <w:p w14:paraId="7B577038"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Material</w:t>
            </w:r>
          </w:p>
        </w:tc>
        <w:tc>
          <w:tcPr>
            <w:tcW w:w="0" w:type="auto"/>
            <w:vAlign w:val="center"/>
            <w:hideMark/>
          </w:tcPr>
          <w:p w14:paraId="6479140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governance, legal, MRV, technical, token, or public-claim issue requiring review.</w:t>
            </w:r>
          </w:p>
        </w:tc>
        <w:tc>
          <w:tcPr>
            <w:tcW w:w="0" w:type="auto"/>
            <w:vAlign w:val="center"/>
            <w:hideMark/>
          </w:tcPr>
          <w:p w14:paraId="1401FF3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Review-required status, remediation, restriction where appropriate.</w:t>
            </w:r>
          </w:p>
        </w:tc>
      </w:tr>
      <w:tr w:rsidR="00F7085C" w:rsidRPr="00B479AE" w14:paraId="45029F9F" w14:textId="77777777" w:rsidTr="00F7085C">
        <w:trPr>
          <w:tblCellSpacing w:w="15" w:type="dxa"/>
        </w:trPr>
        <w:tc>
          <w:tcPr>
            <w:tcW w:w="0" w:type="auto"/>
            <w:vAlign w:val="center"/>
            <w:hideMark/>
          </w:tcPr>
          <w:p w14:paraId="0F81ECCD"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Critical</w:t>
            </w:r>
          </w:p>
        </w:tc>
        <w:tc>
          <w:tcPr>
            <w:tcW w:w="0" w:type="auto"/>
            <w:vAlign w:val="center"/>
            <w:hideMark/>
          </w:tcPr>
          <w:p w14:paraId="06662AB9"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Serious risk to source layer, human dignity, MRV integrity, investor-facing claims, legal compliance, security, or public trust.</w:t>
            </w:r>
          </w:p>
        </w:tc>
        <w:tc>
          <w:tcPr>
            <w:tcW w:w="0" w:type="auto"/>
            <w:vAlign w:val="center"/>
            <w:hideMark/>
          </w:tcPr>
          <w:p w14:paraId="1881C22B"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Quarantine, emergency limitation, constitutional/legal review, external escalation where required.</w:t>
            </w:r>
          </w:p>
        </w:tc>
      </w:tr>
    </w:tbl>
    <w:p w14:paraId="10B272D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Severity is not mechanical.</w:t>
      </w:r>
    </w:p>
    <w:p w14:paraId="28ECD1B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interpreted through context, intent, harm, recurrence, evidence, and willingness to repair.</w:t>
      </w:r>
    </w:p>
    <w:p w14:paraId="7B8124B0" w14:textId="62A82B8C"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.11 Consequence architecture for governance and reputation</w:t>
      </w:r>
    </w:p>
    <w:p w14:paraId="24696F7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Governance consequences should be proportionate and reviewable.</w:t>
      </w:r>
    </w:p>
    <w:p w14:paraId="7BE722D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Possible outcomes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6096"/>
      </w:tblGrid>
      <w:tr w:rsidR="00F7085C" w:rsidRPr="00B479AE" w14:paraId="26FEC37E" w14:textId="77777777" w:rsidTr="00F7085C">
        <w:trPr>
          <w:tblHeader/>
          <w:tblCellSpacing w:w="15" w:type="dxa"/>
        </w:trPr>
        <w:tc>
          <w:tcPr>
            <w:tcW w:w="0" w:type="auto"/>
            <w:vAlign w:val="center"/>
            <w:hideMark/>
          </w:tcPr>
          <w:p w14:paraId="6D308BC9"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Outcome</w:t>
            </w:r>
          </w:p>
        </w:tc>
        <w:tc>
          <w:tcPr>
            <w:tcW w:w="0" w:type="auto"/>
            <w:vAlign w:val="center"/>
            <w:hideMark/>
          </w:tcPr>
          <w:p w14:paraId="7A6F9D9F" w14:textId="77777777" w:rsidR="00F7085C" w:rsidRPr="00B479AE" w:rsidRDefault="00F7085C" w:rsidP="00F7085C">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F7085C" w:rsidRPr="00B479AE" w14:paraId="7649695F" w14:textId="77777777" w:rsidTr="00F7085C">
        <w:trPr>
          <w:tblCellSpacing w:w="15" w:type="dxa"/>
        </w:trPr>
        <w:tc>
          <w:tcPr>
            <w:tcW w:w="0" w:type="auto"/>
            <w:vAlign w:val="center"/>
            <w:hideMark/>
          </w:tcPr>
          <w:p w14:paraId="169E6D73"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Clarification</w:t>
            </w:r>
          </w:p>
        </w:tc>
        <w:tc>
          <w:tcPr>
            <w:tcW w:w="0" w:type="auto"/>
            <w:vAlign w:val="center"/>
            <w:hideMark/>
          </w:tcPr>
          <w:p w14:paraId="56D9A2D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Misunderstanding corrected.</w:t>
            </w:r>
          </w:p>
        </w:tc>
      </w:tr>
      <w:tr w:rsidR="00F7085C" w:rsidRPr="00B479AE" w14:paraId="7F695AD4" w14:textId="77777777" w:rsidTr="00F7085C">
        <w:trPr>
          <w:tblCellSpacing w:w="15" w:type="dxa"/>
        </w:trPr>
        <w:tc>
          <w:tcPr>
            <w:tcW w:w="0" w:type="auto"/>
            <w:vAlign w:val="center"/>
            <w:hideMark/>
          </w:tcPr>
          <w:p w14:paraId="795C5C1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Record correction</w:t>
            </w:r>
          </w:p>
        </w:tc>
        <w:tc>
          <w:tcPr>
            <w:tcW w:w="0" w:type="auto"/>
            <w:vAlign w:val="center"/>
            <w:hideMark/>
          </w:tcPr>
          <w:p w14:paraId="6745E4D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 MRV, or public record updated.</w:t>
            </w:r>
          </w:p>
        </w:tc>
      </w:tr>
      <w:tr w:rsidR="00F7085C" w:rsidRPr="00B479AE" w14:paraId="3E634562" w14:textId="77777777" w:rsidTr="00F7085C">
        <w:trPr>
          <w:tblCellSpacing w:w="15" w:type="dxa"/>
        </w:trPr>
        <w:tc>
          <w:tcPr>
            <w:tcW w:w="0" w:type="auto"/>
            <w:vAlign w:val="center"/>
            <w:hideMark/>
          </w:tcPr>
          <w:p w14:paraId="07CE7CD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Training / orientation</w:t>
            </w:r>
          </w:p>
        </w:tc>
        <w:tc>
          <w:tcPr>
            <w:tcW w:w="0" w:type="auto"/>
            <w:vAlign w:val="center"/>
            <w:hideMark/>
          </w:tcPr>
          <w:p w14:paraId="17980778"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receives additional guidance.</w:t>
            </w:r>
          </w:p>
        </w:tc>
      </w:tr>
      <w:tr w:rsidR="00F7085C" w:rsidRPr="00B479AE" w14:paraId="3A54BC92" w14:textId="77777777" w:rsidTr="00F7085C">
        <w:trPr>
          <w:tblCellSpacing w:w="15" w:type="dxa"/>
        </w:trPr>
        <w:tc>
          <w:tcPr>
            <w:tcW w:w="0" w:type="auto"/>
            <w:vAlign w:val="center"/>
            <w:hideMark/>
          </w:tcPr>
          <w:p w14:paraId="0169A2B0"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Remediation plan</w:t>
            </w:r>
          </w:p>
        </w:tc>
        <w:tc>
          <w:tcPr>
            <w:tcW w:w="0" w:type="auto"/>
            <w:vAlign w:val="center"/>
            <w:hideMark/>
          </w:tcPr>
          <w:p w14:paraId="4C92E47F"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Defined steps, deadlines, and review points.</w:t>
            </w:r>
          </w:p>
        </w:tc>
      </w:tr>
      <w:tr w:rsidR="00F7085C" w:rsidRPr="00B479AE" w14:paraId="675EF499" w14:textId="77777777" w:rsidTr="00F7085C">
        <w:trPr>
          <w:tblCellSpacing w:w="15" w:type="dxa"/>
        </w:trPr>
        <w:tc>
          <w:tcPr>
            <w:tcW w:w="0" w:type="auto"/>
            <w:vAlign w:val="center"/>
            <w:hideMark/>
          </w:tcPr>
          <w:p w14:paraId="5FD30993"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Role limitation</w:t>
            </w:r>
          </w:p>
        </w:tc>
        <w:tc>
          <w:tcPr>
            <w:tcW w:w="0" w:type="auto"/>
            <w:vAlign w:val="center"/>
            <w:hideMark/>
          </w:tcPr>
          <w:p w14:paraId="3E2332C1"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retains access but role scope is narrowed.</w:t>
            </w:r>
          </w:p>
        </w:tc>
      </w:tr>
      <w:tr w:rsidR="00F7085C" w:rsidRPr="00B479AE" w14:paraId="0915F7F1" w14:textId="77777777" w:rsidTr="00F7085C">
        <w:trPr>
          <w:tblCellSpacing w:w="15" w:type="dxa"/>
        </w:trPr>
        <w:tc>
          <w:tcPr>
            <w:tcW w:w="0" w:type="auto"/>
            <w:vAlign w:val="center"/>
            <w:hideMark/>
          </w:tcPr>
          <w:p w14:paraId="40DA6D4B"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Restricted status</w:t>
            </w:r>
          </w:p>
        </w:tc>
        <w:tc>
          <w:tcPr>
            <w:tcW w:w="0" w:type="auto"/>
            <w:vAlign w:val="center"/>
            <w:hideMark/>
          </w:tcPr>
          <w:p w14:paraId="169FBCAD"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Certain functions are limited.</w:t>
            </w:r>
          </w:p>
        </w:tc>
      </w:tr>
      <w:tr w:rsidR="00F7085C" w:rsidRPr="00B479AE" w14:paraId="4FD940A6" w14:textId="77777777" w:rsidTr="00F7085C">
        <w:trPr>
          <w:tblCellSpacing w:w="15" w:type="dxa"/>
        </w:trPr>
        <w:tc>
          <w:tcPr>
            <w:tcW w:w="0" w:type="auto"/>
            <w:vAlign w:val="center"/>
            <w:hideMark/>
          </w:tcPr>
          <w:p w14:paraId="2AD589C8"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Suspension</w:t>
            </w:r>
          </w:p>
        </w:tc>
        <w:tc>
          <w:tcPr>
            <w:tcW w:w="0" w:type="auto"/>
            <w:vAlign w:val="center"/>
            <w:hideMark/>
          </w:tcPr>
          <w:p w14:paraId="5D137E18"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Sensitive access paused pending review or remediation.</w:t>
            </w:r>
          </w:p>
        </w:tc>
      </w:tr>
      <w:tr w:rsidR="00F7085C" w:rsidRPr="00B479AE" w14:paraId="4FA9E44B" w14:textId="77777777" w:rsidTr="00F7085C">
        <w:trPr>
          <w:tblCellSpacing w:w="15" w:type="dxa"/>
        </w:trPr>
        <w:tc>
          <w:tcPr>
            <w:tcW w:w="0" w:type="auto"/>
            <w:vAlign w:val="center"/>
            <w:hideMark/>
          </w:tcPr>
          <w:p w14:paraId="5C9209A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Non-admissibility</w:t>
            </w:r>
          </w:p>
        </w:tc>
        <w:tc>
          <w:tcPr>
            <w:tcW w:w="0" w:type="auto"/>
            <w:vAlign w:val="center"/>
            <w:hideMark/>
          </w:tcPr>
          <w:p w14:paraId="6989345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Claim, record, or output cannot enter protected pathways.</w:t>
            </w:r>
          </w:p>
        </w:tc>
      </w:tr>
      <w:tr w:rsidR="00F7085C" w:rsidRPr="00B479AE" w14:paraId="3909CEE4" w14:textId="77777777" w:rsidTr="00F7085C">
        <w:trPr>
          <w:tblCellSpacing w:w="15" w:type="dxa"/>
        </w:trPr>
        <w:tc>
          <w:tcPr>
            <w:tcW w:w="0" w:type="auto"/>
            <w:vAlign w:val="center"/>
            <w:hideMark/>
          </w:tcPr>
          <w:p w14:paraId="43A7E04C"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Quarantine</w:t>
            </w:r>
          </w:p>
        </w:tc>
        <w:tc>
          <w:tcPr>
            <w:tcW w:w="0" w:type="auto"/>
            <w:vAlign w:val="center"/>
            <w:hideMark/>
          </w:tcPr>
          <w:p w14:paraId="1A548F4A"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Claim, component, pathway, or record is isolated due to serious risk.</w:t>
            </w:r>
          </w:p>
        </w:tc>
      </w:tr>
      <w:tr w:rsidR="00F7085C" w:rsidRPr="00B479AE" w14:paraId="75E31DD7" w14:textId="77777777" w:rsidTr="00F7085C">
        <w:trPr>
          <w:tblCellSpacing w:w="15" w:type="dxa"/>
        </w:trPr>
        <w:tc>
          <w:tcPr>
            <w:tcW w:w="0" w:type="auto"/>
            <w:vAlign w:val="center"/>
            <w:hideMark/>
          </w:tcPr>
          <w:p w14:paraId="4852E5D5"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Role removal</w:t>
            </w:r>
          </w:p>
        </w:tc>
        <w:tc>
          <w:tcPr>
            <w:tcW w:w="0" w:type="auto"/>
            <w:vAlign w:val="center"/>
            <w:hideMark/>
          </w:tcPr>
          <w:p w14:paraId="2F47F086"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Role ends through defined governance procedure.</w:t>
            </w:r>
          </w:p>
        </w:tc>
      </w:tr>
      <w:tr w:rsidR="00F7085C" w:rsidRPr="00B479AE" w14:paraId="5967CA3E" w14:textId="77777777" w:rsidTr="00F7085C">
        <w:trPr>
          <w:tblCellSpacing w:w="15" w:type="dxa"/>
        </w:trPr>
        <w:tc>
          <w:tcPr>
            <w:tcW w:w="0" w:type="auto"/>
            <w:vAlign w:val="center"/>
            <w:hideMark/>
          </w:tcPr>
          <w:p w14:paraId="24FCC727"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Exclusion from defined pathway</w:t>
            </w:r>
          </w:p>
        </w:tc>
        <w:tc>
          <w:tcPr>
            <w:tcW w:w="0" w:type="auto"/>
            <w:vAlign w:val="center"/>
            <w:hideMark/>
          </w:tcPr>
          <w:p w14:paraId="1070FB5D"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Participant loses eligibility for specific access type.</w:t>
            </w:r>
          </w:p>
        </w:tc>
      </w:tr>
      <w:tr w:rsidR="00F7085C" w:rsidRPr="00B479AE" w14:paraId="41CC295D" w14:textId="77777777" w:rsidTr="00F7085C">
        <w:trPr>
          <w:tblCellSpacing w:w="15" w:type="dxa"/>
        </w:trPr>
        <w:tc>
          <w:tcPr>
            <w:tcW w:w="0" w:type="auto"/>
            <w:vAlign w:val="center"/>
            <w:hideMark/>
          </w:tcPr>
          <w:p w14:paraId="7DC693D9"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External escalation</w:t>
            </w:r>
          </w:p>
        </w:tc>
        <w:tc>
          <w:tcPr>
            <w:tcW w:w="0" w:type="auto"/>
            <w:vAlign w:val="center"/>
            <w:hideMark/>
          </w:tcPr>
          <w:p w14:paraId="4622D82E"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Legal, regulatory, fiduciary, or institutional escalation where required.</w:t>
            </w:r>
          </w:p>
        </w:tc>
      </w:tr>
      <w:tr w:rsidR="00F7085C" w:rsidRPr="00B479AE" w14:paraId="778850AA" w14:textId="77777777" w:rsidTr="00F7085C">
        <w:trPr>
          <w:tblCellSpacing w:w="15" w:type="dxa"/>
        </w:trPr>
        <w:tc>
          <w:tcPr>
            <w:tcW w:w="0" w:type="auto"/>
            <w:vAlign w:val="center"/>
            <w:hideMark/>
          </w:tcPr>
          <w:p w14:paraId="505BA7A8"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Restoration</w:t>
            </w:r>
          </w:p>
        </w:tc>
        <w:tc>
          <w:tcPr>
            <w:tcW w:w="0" w:type="auto"/>
            <w:vAlign w:val="center"/>
            <w:hideMark/>
          </w:tcPr>
          <w:p w14:paraId="673BADD2" w14:textId="77777777" w:rsidR="00F7085C" w:rsidRPr="00B479AE" w:rsidRDefault="00F7085C" w:rsidP="00F7085C">
            <w:pPr>
              <w:spacing w:line="360" w:lineRule="auto"/>
              <w:rPr>
                <w:rFonts w:ascii="Baskerville Old Face" w:hAnsi="Baskerville Old Face"/>
                <w:i/>
                <w:iCs/>
                <w:sz w:val="22"/>
                <w:szCs w:val="22"/>
              </w:rPr>
            </w:pPr>
            <w:r w:rsidRPr="00B479AE">
              <w:rPr>
                <w:rFonts w:ascii="Baskerville Old Face" w:hAnsi="Baskerville Old Face"/>
                <w:i/>
                <w:iCs/>
                <w:sz w:val="22"/>
                <w:szCs w:val="22"/>
              </w:rPr>
              <w:t>Status restored after repair, review, or changed circumstances.</w:t>
            </w:r>
          </w:p>
        </w:tc>
      </w:tr>
    </w:tbl>
    <w:p w14:paraId="438B81D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No token-related economic penalty should be assumed unless legally structured, disclosed, governed, and jurisdictionally reviewed.</w:t>
      </w:r>
    </w:p>
    <w:p w14:paraId="5A02021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should avoid casual use of terms such as slashing, forfeiture, or automatic token loss in governance appendices.</w:t>
      </w:r>
    </w:p>
    <w:p w14:paraId="7385B165" w14:textId="30DD32BE"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.12 Reputation recovery and restoration</w:t>
      </w:r>
    </w:p>
    <w:p w14:paraId="6AF35EE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should allow restoration.</w:t>
      </w:r>
    </w:p>
    <w:p w14:paraId="158BF33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A person, community, or entity may correct errors, repair harm, complete remediation, improve evidence quality, change behavior, or reduce risk.</w:t>
      </w:r>
    </w:p>
    <w:p w14:paraId="34FE939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Restoration may require:</w:t>
      </w:r>
    </w:p>
    <w:p w14:paraId="257014E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corrected record;</w:t>
      </w:r>
      <w:r w:rsidRPr="00B479AE">
        <w:rPr>
          <w:rFonts w:ascii="Baskerville Old Face" w:hAnsi="Baskerville Old Face"/>
          <w:i/>
          <w:iCs/>
        </w:rPr>
        <w:br/>
        <w:t>• public or private correction;</w:t>
      </w:r>
      <w:r w:rsidRPr="00B479AE">
        <w:rPr>
          <w:rFonts w:ascii="Baskerville Old Face" w:hAnsi="Baskerville Old Face"/>
          <w:i/>
          <w:iCs/>
        </w:rPr>
        <w:br/>
        <w:t>• completion of remediation plan;</w:t>
      </w:r>
      <w:r w:rsidRPr="00B479AE">
        <w:rPr>
          <w:rFonts w:ascii="Baskerville Old Face" w:hAnsi="Baskerville Old Face"/>
          <w:i/>
          <w:iCs/>
        </w:rPr>
        <w:br/>
        <w:t>• renewed Access Covenant affirmation;</w:t>
      </w:r>
      <w:r w:rsidRPr="00B479AE">
        <w:rPr>
          <w:rFonts w:ascii="Baskerville Old Face" w:hAnsi="Baskerville Old Face"/>
          <w:i/>
          <w:iCs/>
        </w:rPr>
        <w:br/>
        <w:t>• role review;</w:t>
      </w:r>
      <w:r w:rsidRPr="00B479AE">
        <w:rPr>
          <w:rFonts w:ascii="Baskerville Old Face" w:hAnsi="Baskerville Old Face"/>
          <w:i/>
          <w:iCs/>
        </w:rPr>
        <w:br/>
        <w:t>• peer review;</w:t>
      </w:r>
      <w:r w:rsidRPr="00B479AE">
        <w:rPr>
          <w:rFonts w:ascii="Baskerville Old Face" w:hAnsi="Baskerville Old Face"/>
          <w:i/>
          <w:iCs/>
        </w:rPr>
        <w:br/>
        <w:t>• community repair process;</w:t>
      </w:r>
      <w:r w:rsidRPr="00B479AE">
        <w:rPr>
          <w:rFonts w:ascii="Baskerville Old Face" w:hAnsi="Baskerville Old Face"/>
          <w:i/>
          <w:iCs/>
        </w:rPr>
        <w:br/>
        <w:t>• MRV resubmission;</w:t>
      </w:r>
      <w:r w:rsidRPr="00B479AE">
        <w:rPr>
          <w:rFonts w:ascii="Baskerville Old Face" w:hAnsi="Baskerville Old Face"/>
          <w:i/>
          <w:iCs/>
        </w:rPr>
        <w:br/>
        <w:t>• legal clearance;</w:t>
      </w:r>
      <w:r w:rsidRPr="00B479AE">
        <w:rPr>
          <w:rFonts w:ascii="Baskerville Old Face" w:hAnsi="Baskerville Old Face"/>
          <w:i/>
          <w:iCs/>
        </w:rPr>
        <w:br/>
        <w:t>• technical access review;</w:t>
      </w:r>
      <w:r w:rsidRPr="00B479AE">
        <w:rPr>
          <w:rFonts w:ascii="Baskerville Old Face" w:hAnsi="Baskerville Old Face"/>
          <w:i/>
          <w:iCs/>
        </w:rPr>
        <w:br/>
        <w:t>• monitoring period;</w:t>
      </w:r>
      <w:r w:rsidRPr="00B479AE">
        <w:rPr>
          <w:rFonts w:ascii="Baskerville Old Face" w:hAnsi="Baskerville Old Face"/>
          <w:i/>
          <w:iCs/>
        </w:rPr>
        <w:br/>
        <w:t>• governance consent.</w:t>
      </w:r>
    </w:p>
    <w:p w14:paraId="57DF3CC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Restoration should be precise.</w:t>
      </w:r>
    </w:p>
    <w:p w14:paraId="2A2BB47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participant may be restored for ordinary participation but remain restricted from MRV validation, technical administration, investor-facing communication, or constitutional roles.</w:t>
      </w:r>
    </w:p>
    <w:p w14:paraId="69B679E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This protects the system while allowing repair.</w:t>
      </w:r>
    </w:p>
    <w:p w14:paraId="186FF38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regenerative governance system should understand recovery.</w:t>
      </w:r>
    </w:p>
    <w:p w14:paraId="19DF577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If the soil can be restored, governance must also know how to restore trust.</w:t>
      </w:r>
    </w:p>
    <w:p w14:paraId="467F882A" w14:textId="10ABCD3C"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.13 Privacy and data minimization</w:t>
      </w:r>
    </w:p>
    <w:p w14:paraId="25979FE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Governance and reputation data can be sensitive.</w:t>
      </w:r>
    </w:p>
    <w:p w14:paraId="44DE494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should apply privacy, consent, and minimization principles.</w:t>
      </w:r>
    </w:p>
    <w:p w14:paraId="1EAE9D10"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Governance records should distinguish:</w:t>
      </w:r>
    </w:p>
    <w:p w14:paraId="2BCC27F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public records;</w:t>
      </w:r>
      <w:r w:rsidRPr="00B479AE">
        <w:rPr>
          <w:rFonts w:ascii="Baskerville Old Face" w:hAnsi="Baskerville Old Face"/>
          <w:i/>
          <w:iCs/>
        </w:rPr>
        <w:br/>
        <w:t>• internal records;</w:t>
      </w:r>
      <w:r w:rsidRPr="00B479AE">
        <w:rPr>
          <w:rFonts w:ascii="Baskerville Old Face" w:hAnsi="Baskerville Old Face"/>
          <w:i/>
          <w:iCs/>
        </w:rPr>
        <w:br/>
      </w:r>
      <w:r w:rsidRPr="00B479AE">
        <w:rPr>
          <w:rFonts w:ascii="Baskerville Old Face" w:hAnsi="Baskerville Old Face"/>
          <w:i/>
          <w:iCs/>
        </w:rPr>
        <w:lastRenderedPageBreak/>
        <w:t>• restricted governance records;</w:t>
      </w:r>
      <w:r w:rsidRPr="00B479AE">
        <w:rPr>
          <w:rFonts w:ascii="Baskerville Old Face" w:hAnsi="Baskerville Old Face"/>
          <w:i/>
          <w:iCs/>
        </w:rPr>
        <w:br/>
        <w:t>• confidential legal records;</w:t>
      </w:r>
      <w:r w:rsidRPr="00B479AE">
        <w:rPr>
          <w:rFonts w:ascii="Baskerville Old Face" w:hAnsi="Baskerville Old Face"/>
          <w:i/>
          <w:iCs/>
        </w:rPr>
        <w:br/>
        <w:t>• sensitive personal records;</w:t>
      </w:r>
      <w:r w:rsidRPr="00B479AE">
        <w:rPr>
          <w:rFonts w:ascii="Baskerville Old Face" w:hAnsi="Baskerville Old Face"/>
          <w:i/>
          <w:iCs/>
        </w:rPr>
        <w:br/>
        <w:t>• HSI or human-state records;</w:t>
      </w:r>
      <w:r w:rsidRPr="00B479AE">
        <w:rPr>
          <w:rFonts w:ascii="Baskerville Old Face" w:hAnsi="Baskerville Old Face"/>
          <w:i/>
          <w:iCs/>
        </w:rPr>
        <w:br/>
        <w:t>• investor or data-room records.</w:t>
      </w:r>
    </w:p>
    <w:p w14:paraId="5226B8B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data should be:</w:t>
      </w:r>
    </w:p>
    <w:p w14:paraId="32898AA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purpose-limited;</w:t>
      </w:r>
      <w:r w:rsidRPr="00B479AE">
        <w:rPr>
          <w:rFonts w:ascii="Baskerville Old Face" w:hAnsi="Baskerville Old Face"/>
          <w:i/>
          <w:iCs/>
        </w:rPr>
        <w:br/>
        <w:t>• explainable;</w:t>
      </w:r>
      <w:r w:rsidRPr="00B479AE">
        <w:rPr>
          <w:rFonts w:ascii="Baskerville Old Face" w:hAnsi="Baskerville Old Face"/>
          <w:i/>
          <w:iCs/>
        </w:rPr>
        <w:br/>
        <w:t>• reviewable;</w:t>
      </w:r>
      <w:r w:rsidRPr="00B479AE">
        <w:rPr>
          <w:rFonts w:ascii="Baskerville Old Face" w:hAnsi="Baskerville Old Face"/>
          <w:i/>
          <w:iCs/>
        </w:rPr>
        <w:br/>
        <w:t>• appealable where material;</w:t>
      </w:r>
      <w:r w:rsidRPr="00B479AE">
        <w:rPr>
          <w:rFonts w:ascii="Baskerville Old Face" w:hAnsi="Baskerville Old Face"/>
          <w:i/>
          <w:iCs/>
        </w:rPr>
        <w:br/>
        <w:t>• minimized;</w:t>
      </w:r>
      <w:r w:rsidRPr="00B479AE">
        <w:rPr>
          <w:rFonts w:ascii="Baskerville Old Face" w:hAnsi="Baskerville Old Face"/>
          <w:i/>
          <w:iCs/>
        </w:rPr>
        <w:br/>
        <w:t>• access-controlled;</w:t>
      </w:r>
      <w:r w:rsidRPr="00B479AE">
        <w:rPr>
          <w:rFonts w:ascii="Baskerville Old Face" w:hAnsi="Baskerville Old Face"/>
          <w:i/>
          <w:iCs/>
        </w:rPr>
        <w:br/>
        <w:t>• corrected when inaccurate;</w:t>
      </w:r>
      <w:r w:rsidRPr="00B479AE">
        <w:rPr>
          <w:rFonts w:ascii="Baskerville Old Face" w:hAnsi="Baskerville Old Face"/>
          <w:i/>
          <w:iCs/>
        </w:rPr>
        <w:br/>
        <w:t>• time-bounded where appropriate.</w:t>
      </w:r>
    </w:p>
    <w:p w14:paraId="6199867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Sensitive data should not become permanent public identity by default.</w:t>
      </w:r>
    </w:p>
    <w:p w14:paraId="59C8032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system should preserve accountability without creating reputational captivity.</w:t>
      </w:r>
    </w:p>
    <w:p w14:paraId="21398D37" w14:textId="09FFF6AB"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.14 Contribution history</w:t>
      </w:r>
    </w:p>
    <w:p w14:paraId="37EB29A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Contribution history is valuable when handled properly.</w:t>
      </w:r>
    </w:p>
    <w:p w14:paraId="53A8FD9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Contribution history may include:</w:t>
      </w:r>
    </w:p>
    <w:p w14:paraId="1515B6F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code commits;</w:t>
      </w:r>
      <w:r w:rsidRPr="00B479AE">
        <w:rPr>
          <w:rFonts w:ascii="Baskerville Old Face" w:hAnsi="Baskerville Old Face"/>
          <w:i/>
          <w:iCs/>
        </w:rPr>
        <w:br/>
        <w:t>• documentation work;</w:t>
      </w:r>
      <w:r w:rsidRPr="00B479AE">
        <w:rPr>
          <w:rFonts w:ascii="Baskerville Old Face" w:hAnsi="Baskerville Old Face"/>
          <w:i/>
          <w:iCs/>
        </w:rPr>
        <w:br/>
        <w:t>• MRV submissions;</w:t>
      </w:r>
      <w:r w:rsidRPr="00B479AE">
        <w:rPr>
          <w:rFonts w:ascii="Baskerville Old Face" w:hAnsi="Baskerville Old Face"/>
          <w:i/>
          <w:iCs/>
        </w:rPr>
        <w:br/>
        <w:t>• field stewardship;</w:t>
      </w:r>
      <w:r w:rsidRPr="00B479AE">
        <w:rPr>
          <w:rFonts w:ascii="Baskerville Old Face" w:hAnsi="Baskerville Old Face"/>
          <w:i/>
          <w:iCs/>
        </w:rPr>
        <w:br/>
        <w:t>• governance service;</w:t>
      </w:r>
      <w:r w:rsidRPr="00B479AE">
        <w:rPr>
          <w:rFonts w:ascii="Baskerville Old Face" w:hAnsi="Baskerville Old Face"/>
          <w:i/>
          <w:iCs/>
        </w:rPr>
        <w:br/>
        <w:t>• research contribution;</w:t>
      </w:r>
      <w:r w:rsidRPr="00B479AE">
        <w:rPr>
          <w:rFonts w:ascii="Baskerville Old Face" w:hAnsi="Baskerville Old Face"/>
          <w:i/>
          <w:iCs/>
        </w:rPr>
        <w:br/>
        <w:t>• community facilitation;</w:t>
      </w:r>
      <w:r w:rsidRPr="00B479AE">
        <w:rPr>
          <w:rFonts w:ascii="Baskerville Old Face" w:hAnsi="Baskerville Old Face"/>
          <w:i/>
          <w:iCs/>
        </w:rPr>
        <w:br/>
        <w:t>• legal drafting;</w:t>
      </w:r>
      <w:r w:rsidRPr="00B479AE">
        <w:rPr>
          <w:rFonts w:ascii="Baskerville Old Face" w:hAnsi="Baskerville Old Face"/>
          <w:i/>
          <w:iCs/>
        </w:rPr>
        <w:br/>
        <w:t>• technical review;</w:t>
      </w:r>
      <w:r w:rsidRPr="00B479AE">
        <w:rPr>
          <w:rFonts w:ascii="Baskerville Old Face" w:hAnsi="Baskerville Old Face"/>
          <w:i/>
          <w:iCs/>
        </w:rPr>
        <w:br/>
        <w:t>• financial architecture;</w:t>
      </w:r>
      <w:r w:rsidRPr="00B479AE">
        <w:rPr>
          <w:rFonts w:ascii="Baskerville Old Face" w:hAnsi="Baskerville Old Face"/>
          <w:i/>
          <w:iCs/>
        </w:rPr>
        <w:br/>
      </w:r>
      <w:r w:rsidRPr="00B479AE">
        <w:rPr>
          <w:rFonts w:ascii="Baskerville Old Face" w:hAnsi="Baskerville Old Face"/>
          <w:i/>
          <w:iCs/>
        </w:rPr>
        <w:lastRenderedPageBreak/>
        <w:t>• education and training;</w:t>
      </w:r>
      <w:r w:rsidRPr="00B479AE">
        <w:rPr>
          <w:rFonts w:ascii="Baskerville Old Face" w:hAnsi="Baskerville Old Face"/>
          <w:i/>
          <w:iCs/>
        </w:rPr>
        <w:br/>
        <w:t>• conflict resolution;</w:t>
      </w:r>
      <w:r w:rsidRPr="00B479AE">
        <w:rPr>
          <w:rFonts w:ascii="Baskerville Old Face" w:hAnsi="Baskerville Old Face"/>
          <w:i/>
          <w:iCs/>
        </w:rPr>
        <w:br/>
        <w:t>• archive preservation;</w:t>
      </w:r>
      <w:r w:rsidRPr="00B479AE">
        <w:rPr>
          <w:rFonts w:ascii="Baskerville Old Face" w:hAnsi="Baskerville Old Face"/>
          <w:i/>
          <w:iCs/>
        </w:rPr>
        <w:br/>
        <w:t>• continuity stewardship.</w:t>
      </w:r>
    </w:p>
    <w:p w14:paraId="7D1805A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Contribution history may support:</w:t>
      </w:r>
    </w:p>
    <w:p w14:paraId="1D9DCA2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role eligibility;</w:t>
      </w:r>
      <w:r w:rsidRPr="00B479AE">
        <w:rPr>
          <w:rFonts w:ascii="Baskerville Old Face" w:hAnsi="Baskerville Old Face"/>
          <w:i/>
          <w:iCs/>
        </w:rPr>
        <w:br/>
        <w:t>• recognition;</w:t>
      </w:r>
      <w:r w:rsidRPr="00B479AE">
        <w:rPr>
          <w:rFonts w:ascii="Baskerville Old Face" w:hAnsi="Baskerville Old Face"/>
          <w:i/>
          <w:iCs/>
        </w:rPr>
        <w:br/>
        <w:t>• responsibility assignment;</w:t>
      </w:r>
      <w:r w:rsidRPr="00B479AE">
        <w:rPr>
          <w:rFonts w:ascii="Baskerville Old Face" w:hAnsi="Baskerville Old Face"/>
          <w:i/>
          <w:iCs/>
        </w:rPr>
        <w:br/>
        <w:t>• access review;</w:t>
      </w:r>
      <w:r w:rsidRPr="00B479AE">
        <w:rPr>
          <w:rFonts w:ascii="Baskerville Old Face" w:hAnsi="Baskerville Old Face"/>
          <w:i/>
          <w:iCs/>
        </w:rPr>
        <w:br/>
        <w:t>• grant or compensation review;</w:t>
      </w:r>
      <w:r w:rsidRPr="00B479AE">
        <w:rPr>
          <w:rFonts w:ascii="Baskerville Old Face" w:hAnsi="Baskerville Old Face"/>
          <w:i/>
          <w:iCs/>
        </w:rPr>
        <w:br/>
        <w:t>• community memory;</w:t>
      </w:r>
      <w:r w:rsidRPr="00B479AE">
        <w:rPr>
          <w:rFonts w:ascii="Baskerville Old Face" w:hAnsi="Baskerville Old Face"/>
          <w:i/>
          <w:iCs/>
        </w:rPr>
        <w:br/>
        <w:t>• institutional diligence.</w:t>
      </w:r>
    </w:p>
    <w:p w14:paraId="49614F5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Contribution history should not become coercive surveillance.</w:t>
      </w:r>
    </w:p>
    <w:p w14:paraId="352DFBF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Contributions should be recognized with context.</w:t>
      </w:r>
    </w:p>
    <w:p w14:paraId="402855D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Quantity alone is not quality.</w:t>
      </w:r>
    </w:p>
    <w:p w14:paraId="6672503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Visibility alone is not value.</w:t>
      </w:r>
    </w:p>
    <w:p w14:paraId="4A7CBE9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should recognize visible labor, invisible labor, care work, field work, intellectual work, relational work, and continuity work.</w:t>
      </w:r>
    </w:p>
    <w:p w14:paraId="7BCC16C4" w14:textId="02B64641"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.15 Token and wallet boundary</w:t>
      </w:r>
    </w:p>
    <w:p w14:paraId="5F926AA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Token and wallet records may exist in some Prometheus-adjacent contexts.</w:t>
      </w:r>
    </w:p>
    <w:p w14:paraId="0F12F99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They may provide limited technical or operational signals, such as:</w:t>
      </w:r>
    </w:p>
    <w:p w14:paraId="65FCE22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proof of transaction;</w:t>
      </w:r>
      <w:r w:rsidRPr="00B479AE">
        <w:rPr>
          <w:rFonts w:ascii="Baskerville Old Face" w:hAnsi="Baskerville Old Face"/>
          <w:i/>
          <w:iCs/>
        </w:rPr>
        <w:br/>
        <w:t>• access credential;</w:t>
      </w:r>
      <w:r w:rsidRPr="00B479AE">
        <w:rPr>
          <w:rFonts w:ascii="Baskerville Old Face" w:hAnsi="Baskerville Old Face"/>
          <w:i/>
          <w:iCs/>
        </w:rPr>
        <w:br/>
        <w:t>• contribution reference;</w:t>
      </w:r>
      <w:r w:rsidRPr="00B479AE">
        <w:rPr>
          <w:rFonts w:ascii="Baskerville Old Face" w:hAnsi="Baskerville Old Face"/>
          <w:i/>
          <w:iCs/>
        </w:rPr>
        <w:br/>
        <w:t>• governance participation record where legally and technically valid;</w:t>
      </w:r>
      <w:r w:rsidRPr="00B479AE">
        <w:rPr>
          <w:rFonts w:ascii="Baskerville Old Face" w:hAnsi="Baskerville Old Face"/>
          <w:i/>
          <w:iCs/>
        </w:rPr>
        <w:br/>
        <w:t>• treasury trace where appropriate;</w:t>
      </w:r>
      <w:r w:rsidRPr="00B479AE">
        <w:rPr>
          <w:rFonts w:ascii="Baskerville Old Face" w:hAnsi="Baskerville Old Face"/>
          <w:i/>
          <w:iCs/>
        </w:rPr>
        <w:br/>
        <w:t xml:space="preserve">• reward distribution record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lawful.</w:t>
      </w:r>
    </w:p>
    <w:p w14:paraId="317DC28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However, wallet history should not become a default proxy for trust, virtue, competence, alignment, or human value.</w:t>
      </w:r>
    </w:p>
    <w:p w14:paraId="409C50E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Token holdings should not automatically create constitutional authority.</w:t>
      </w:r>
    </w:p>
    <w:p w14:paraId="47D910B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Token movement should not automatically create governance rank.</w:t>
      </w:r>
    </w:p>
    <w:p w14:paraId="6D6382B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Token penalties should not be assumed without legal structure.</w:t>
      </w:r>
    </w:p>
    <w:p w14:paraId="1D9B7E5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token boundary is:</w:t>
      </w:r>
    </w:p>
    <w:p w14:paraId="714A251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tokens may record or mediate defined functions;</w:t>
      </w:r>
      <w:r w:rsidRPr="00B479AE">
        <w:rPr>
          <w:rFonts w:ascii="Baskerville Old Face" w:hAnsi="Baskerville Old Face"/>
          <w:i/>
          <w:iCs/>
        </w:rPr>
        <w:br/>
        <w:t>they do not define the person;</w:t>
      </w:r>
      <w:r w:rsidRPr="00B479AE">
        <w:rPr>
          <w:rFonts w:ascii="Baskerville Old Face" w:hAnsi="Baskerville Old Face"/>
          <w:i/>
          <w:iCs/>
        </w:rPr>
        <w:br/>
        <w:t>they do not override the source layer.</w:t>
      </w:r>
    </w:p>
    <w:p w14:paraId="54DC4678" w14:textId="315E42D6"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.16 AI-assisted governance support</w:t>
      </w:r>
    </w:p>
    <w:p w14:paraId="0627CD20" w14:textId="1A49B5D9"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AI may support governance analysis.</w:t>
      </w:r>
      <w:r w:rsidR="005A3560" w:rsidRPr="00B479AE">
        <w:rPr>
          <w:rFonts w:ascii="Baskerville Old Face" w:hAnsi="Baskerville Old Face"/>
          <w:i/>
          <w:iCs/>
        </w:rPr>
        <w:t xml:space="preserve"> </w:t>
      </w:r>
      <w:r w:rsidRPr="00B479AE">
        <w:rPr>
          <w:rFonts w:ascii="Baskerville Old Face" w:hAnsi="Baskerville Old Face"/>
          <w:i/>
          <w:iCs/>
        </w:rPr>
        <w:t>It may:</w:t>
      </w:r>
    </w:p>
    <w:p w14:paraId="3FF4FEC5"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summarize meeting records;</w:t>
      </w:r>
      <w:r w:rsidRPr="00B479AE">
        <w:rPr>
          <w:rFonts w:ascii="Baskerville Old Face" w:hAnsi="Baskerville Old Face"/>
          <w:i/>
          <w:iCs/>
        </w:rPr>
        <w:br/>
        <w:t>• identify unresolved tensions;</w:t>
      </w:r>
      <w:r w:rsidRPr="00B479AE">
        <w:rPr>
          <w:rFonts w:ascii="Baskerville Old Face" w:hAnsi="Baskerville Old Face"/>
          <w:i/>
          <w:iCs/>
        </w:rPr>
        <w:br/>
        <w:t>• detect missing documentation;</w:t>
      </w:r>
      <w:r w:rsidRPr="00B479AE">
        <w:rPr>
          <w:rFonts w:ascii="Baskerville Old Face" w:hAnsi="Baskerville Old Face"/>
          <w:i/>
          <w:iCs/>
        </w:rPr>
        <w:br/>
        <w:t>• map decision dependencies;</w:t>
      </w:r>
      <w:r w:rsidRPr="00B479AE">
        <w:rPr>
          <w:rFonts w:ascii="Baskerville Old Face" w:hAnsi="Baskerville Old Face"/>
          <w:i/>
          <w:iCs/>
        </w:rPr>
        <w:br/>
        <w:t>• flag possible conflicts;</w:t>
      </w:r>
      <w:r w:rsidRPr="00B479AE">
        <w:rPr>
          <w:rFonts w:ascii="Baskerville Old Face" w:hAnsi="Baskerville Old Face"/>
          <w:i/>
          <w:iCs/>
        </w:rPr>
        <w:br/>
        <w:t>• compare proposals to canonical definitions;</w:t>
      </w:r>
      <w:r w:rsidRPr="00B479AE">
        <w:rPr>
          <w:rFonts w:ascii="Baskerville Old Face" w:hAnsi="Baskerville Old Face"/>
          <w:i/>
          <w:iCs/>
        </w:rPr>
        <w:br/>
        <w:t>• suggest agenda structures;</w:t>
      </w:r>
      <w:r w:rsidRPr="00B479AE">
        <w:rPr>
          <w:rFonts w:ascii="Baskerville Old Face" w:hAnsi="Baskerville Old Face"/>
          <w:i/>
          <w:iCs/>
        </w:rPr>
        <w:br/>
        <w:t>• classify warrants;</w:t>
      </w:r>
      <w:r w:rsidRPr="00B479AE">
        <w:rPr>
          <w:rFonts w:ascii="Baskerville Old Face" w:hAnsi="Baskerville Old Face"/>
          <w:i/>
          <w:iCs/>
        </w:rPr>
        <w:br/>
        <w:t>• identify protected-domain triggers;</w:t>
      </w:r>
      <w:r w:rsidRPr="00B479AE">
        <w:rPr>
          <w:rFonts w:ascii="Baskerville Old Face" w:hAnsi="Baskerville Old Face"/>
          <w:i/>
          <w:iCs/>
        </w:rPr>
        <w:br/>
        <w:t>• draft review memos;</w:t>
      </w:r>
      <w:r w:rsidRPr="00B479AE">
        <w:rPr>
          <w:rFonts w:ascii="Baskerville Old Face" w:hAnsi="Baskerville Old Face"/>
          <w:i/>
          <w:iCs/>
        </w:rPr>
        <w:br/>
        <w:t>• support appeal preparation.</w:t>
      </w:r>
    </w:p>
    <w:p w14:paraId="34DEA39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AI may not:</w:t>
      </w:r>
    </w:p>
    <w:p w14:paraId="5C375B8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cast votes;</w:t>
      </w:r>
      <w:r w:rsidRPr="00B479AE">
        <w:rPr>
          <w:rFonts w:ascii="Baskerville Old Face" w:hAnsi="Baskerville Old Face"/>
          <w:i/>
          <w:iCs/>
        </w:rPr>
        <w:br/>
        <w:t>• determine consent;</w:t>
      </w:r>
      <w:r w:rsidRPr="00B479AE">
        <w:rPr>
          <w:rFonts w:ascii="Baskerville Old Face" w:hAnsi="Baskerville Old Face"/>
          <w:i/>
          <w:iCs/>
        </w:rPr>
        <w:br/>
        <w:t>• remove roles;</w:t>
      </w:r>
      <w:r w:rsidRPr="00B479AE">
        <w:rPr>
          <w:rFonts w:ascii="Baskerville Old Face" w:hAnsi="Baskerville Old Face"/>
          <w:i/>
          <w:iCs/>
        </w:rPr>
        <w:br/>
        <w:t>• declare breaches;</w:t>
      </w:r>
      <w:r w:rsidRPr="00B479AE">
        <w:rPr>
          <w:rFonts w:ascii="Baskerville Old Face" w:hAnsi="Baskerville Old Face"/>
          <w:i/>
          <w:iCs/>
        </w:rPr>
        <w:br/>
        <w:t>• assign reputation as final authority;</w:t>
      </w:r>
      <w:r w:rsidRPr="00B479AE">
        <w:rPr>
          <w:rFonts w:ascii="Baskerville Old Face" w:hAnsi="Baskerville Old Face"/>
          <w:i/>
          <w:iCs/>
        </w:rPr>
        <w:br/>
      </w:r>
      <w:r w:rsidRPr="00B479AE">
        <w:rPr>
          <w:rFonts w:ascii="Baskerville Old Face" w:hAnsi="Baskerville Old Face"/>
          <w:i/>
          <w:iCs/>
        </w:rPr>
        <w:lastRenderedPageBreak/>
        <w:t>• rank human worth;</w:t>
      </w:r>
      <w:r w:rsidRPr="00B479AE">
        <w:rPr>
          <w:rFonts w:ascii="Baskerville Old Face" w:hAnsi="Baskerville Old Face"/>
          <w:i/>
          <w:iCs/>
        </w:rPr>
        <w:br/>
        <w:t>• reinterpret the constitution as final authority;</w:t>
      </w:r>
      <w:r w:rsidRPr="00B479AE">
        <w:rPr>
          <w:rFonts w:ascii="Baskerville Old Face" w:hAnsi="Baskerville Old Face"/>
          <w:i/>
          <w:iCs/>
        </w:rPr>
        <w:br/>
        <w:t>• issue warrants as final judgment;</w:t>
      </w:r>
      <w:r w:rsidRPr="00B479AE">
        <w:rPr>
          <w:rFonts w:ascii="Baskerville Old Face" w:hAnsi="Baskerville Old Face"/>
          <w:i/>
          <w:iCs/>
        </w:rPr>
        <w:br/>
        <w:t>• authorize protected-domain decisions.</w:t>
      </w:r>
    </w:p>
    <w:p w14:paraId="52C0462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AI governance support remains assistive, logged, and review-bound.</w:t>
      </w:r>
    </w:p>
    <w:p w14:paraId="355031C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decision belongs to the appropriate governance pathway.</w:t>
      </w:r>
    </w:p>
    <w:p w14:paraId="5C0D3088" w14:textId="3B40ABC1"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.17 Anti-capture safeguards</w:t>
      </w:r>
    </w:p>
    <w:p w14:paraId="010BABB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governance should contain safeguards against capture.</w:t>
      </w:r>
    </w:p>
    <w:p w14:paraId="37C6A0C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Capture may come from:</w:t>
      </w:r>
    </w:p>
    <w:p w14:paraId="5A12FFA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founders;</w:t>
      </w:r>
      <w:r w:rsidRPr="00B479AE">
        <w:rPr>
          <w:rFonts w:ascii="Baskerville Old Face" w:hAnsi="Baskerville Old Face"/>
          <w:i/>
          <w:iCs/>
        </w:rPr>
        <w:br/>
        <w:t>• investors;</w:t>
      </w:r>
      <w:r w:rsidRPr="00B479AE">
        <w:rPr>
          <w:rFonts w:ascii="Baskerville Old Face" w:hAnsi="Baskerville Old Face"/>
          <w:i/>
          <w:iCs/>
        </w:rPr>
        <w:br/>
        <w:t>• token whales;</w:t>
      </w:r>
      <w:r w:rsidRPr="00B479AE">
        <w:rPr>
          <w:rFonts w:ascii="Baskerville Old Face" w:hAnsi="Baskerville Old Face"/>
          <w:i/>
          <w:iCs/>
        </w:rPr>
        <w:br/>
        <w:t>• technical administrators;</w:t>
      </w:r>
      <w:r w:rsidRPr="00B479AE">
        <w:rPr>
          <w:rFonts w:ascii="Baskerville Old Face" w:hAnsi="Baskerville Old Face"/>
          <w:i/>
          <w:iCs/>
        </w:rPr>
        <w:br/>
        <w:t>• charismatic leaders;</w:t>
      </w:r>
      <w:r w:rsidRPr="00B479AE">
        <w:rPr>
          <w:rFonts w:ascii="Baskerville Old Face" w:hAnsi="Baskerville Old Face"/>
          <w:i/>
          <w:iCs/>
        </w:rPr>
        <w:br/>
        <w:t>• institutions;</w:t>
      </w:r>
      <w:r w:rsidRPr="00B479AE">
        <w:rPr>
          <w:rFonts w:ascii="Baskerville Old Face" w:hAnsi="Baskerville Old Face"/>
          <w:i/>
          <w:iCs/>
        </w:rPr>
        <w:br/>
        <w:t>• coordinated groups;</w:t>
      </w:r>
      <w:r w:rsidRPr="00B479AE">
        <w:rPr>
          <w:rFonts w:ascii="Baskerville Old Face" w:hAnsi="Baskerville Old Face"/>
          <w:i/>
          <w:iCs/>
        </w:rPr>
        <w:br/>
        <w:t>• bot swarms;</w:t>
      </w:r>
      <w:r w:rsidRPr="00B479AE">
        <w:rPr>
          <w:rFonts w:ascii="Baskerville Old Face" w:hAnsi="Baskerville Old Face"/>
          <w:i/>
          <w:iCs/>
        </w:rPr>
        <w:br/>
        <w:t>• AI agents;</w:t>
      </w:r>
      <w:r w:rsidRPr="00B479AE">
        <w:rPr>
          <w:rFonts w:ascii="Baskerville Old Face" w:hAnsi="Baskerville Old Face"/>
          <w:i/>
          <w:iCs/>
        </w:rPr>
        <w:br/>
        <w:t>• community elites;</w:t>
      </w:r>
      <w:r w:rsidRPr="00B479AE">
        <w:rPr>
          <w:rFonts w:ascii="Baskerville Old Face" w:hAnsi="Baskerville Old Face"/>
          <w:i/>
          <w:iCs/>
        </w:rPr>
        <w:br/>
        <w:t>• data holders;</w:t>
      </w:r>
      <w:r w:rsidRPr="00B479AE">
        <w:rPr>
          <w:rFonts w:ascii="Baskerville Old Face" w:hAnsi="Baskerville Old Face"/>
          <w:i/>
          <w:iCs/>
        </w:rPr>
        <w:br/>
        <w:t>• legal gatekeepers;</w:t>
      </w:r>
      <w:r w:rsidRPr="00B479AE">
        <w:rPr>
          <w:rFonts w:ascii="Baskerville Old Face" w:hAnsi="Baskerville Old Face"/>
          <w:i/>
          <w:iCs/>
        </w:rPr>
        <w:br/>
        <w:t>• reputation incumbents.</w:t>
      </w:r>
    </w:p>
    <w:p w14:paraId="25E7B88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Anti-capture safeguards may include:</w:t>
      </w:r>
    </w:p>
    <w:p w14:paraId="459E4E8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role rotation;</w:t>
      </w:r>
      <w:r w:rsidRPr="00B479AE">
        <w:rPr>
          <w:rFonts w:ascii="Baskerville Old Face" w:hAnsi="Baskerville Old Face"/>
          <w:i/>
          <w:iCs/>
        </w:rPr>
        <w:br/>
        <w:t>• term limits where appropriate;</w:t>
      </w:r>
      <w:r w:rsidRPr="00B479AE">
        <w:rPr>
          <w:rFonts w:ascii="Baskerville Old Face" w:hAnsi="Baskerville Old Face"/>
          <w:i/>
          <w:iCs/>
        </w:rPr>
        <w:br/>
        <w:t>• conflict-of-interest disclosures;</w:t>
      </w:r>
      <w:r w:rsidRPr="00B479AE">
        <w:rPr>
          <w:rFonts w:ascii="Baskerville Old Face" w:hAnsi="Baskerville Old Face"/>
          <w:i/>
          <w:iCs/>
        </w:rPr>
        <w:br/>
        <w:t>• double-linking;</w:t>
      </w:r>
      <w:r w:rsidRPr="00B479AE">
        <w:rPr>
          <w:rFonts w:ascii="Baskerville Old Face" w:hAnsi="Baskerville Old Face"/>
          <w:i/>
          <w:iCs/>
        </w:rPr>
        <w:br/>
        <w:t>• appeal pathways;</w:t>
      </w:r>
      <w:r w:rsidRPr="00B479AE">
        <w:rPr>
          <w:rFonts w:ascii="Baskerville Old Face" w:hAnsi="Baskerville Old Face"/>
          <w:i/>
          <w:iCs/>
        </w:rPr>
        <w:br/>
        <w:t>• independent review;</w:t>
      </w:r>
      <w:r w:rsidRPr="00B479AE">
        <w:rPr>
          <w:rFonts w:ascii="Baskerville Old Face" w:hAnsi="Baskerville Old Face"/>
          <w:i/>
          <w:iCs/>
        </w:rPr>
        <w:br/>
      </w:r>
      <w:r w:rsidRPr="00B479AE">
        <w:rPr>
          <w:rFonts w:ascii="Baskerville Old Face" w:hAnsi="Baskerville Old Face"/>
          <w:i/>
          <w:iCs/>
        </w:rPr>
        <w:lastRenderedPageBreak/>
        <w:t>• public decision logs where appropriate;</w:t>
      </w:r>
      <w:r w:rsidRPr="00B479AE">
        <w:rPr>
          <w:rFonts w:ascii="Baskerville Old Face" w:hAnsi="Baskerville Old Face"/>
          <w:i/>
          <w:iCs/>
        </w:rPr>
        <w:br/>
        <w:t>• constitutional review;</w:t>
      </w:r>
      <w:r w:rsidRPr="00B479AE">
        <w:rPr>
          <w:rFonts w:ascii="Baskerville Old Face" w:hAnsi="Baskerville Old Face"/>
          <w:i/>
          <w:iCs/>
        </w:rPr>
        <w:br/>
        <w:t>• quorum quality controls;</w:t>
      </w:r>
      <w:r w:rsidRPr="00B479AE">
        <w:rPr>
          <w:rFonts w:ascii="Baskerville Old Face" w:hAnsi="Baskerville Old Face"/>
          <w:i/>
          <w:iCs/>
        </w:rPr>
        <w:br/>
        <w:t>• separation of powers;</w:t>
      </w:r>
      <w:r w:rsidRPr="00B479AE">
        <w:rPr>
          <w:rFonts w:ascii="Baskerville Old Face" w:hAnsi="Baskerville Old Face"/>
          <w:i/>
          <w:iCs/>
        </w:rPr>
        <w:br/>
        <w:t>• least-privilege technical access;</w:t>
      </w:r>
      <w:r w:rsidRPr="00B479AE">
        <w:rPr>
          <w:rFonts w:ascii="Baskerville Old Face" w:hAnsi="Baskerville Old Face"/>
          <w:i/>
          <w:iCs/>
        </w:rPr>
        <w:br/>
        <w:t>• multi-party signing;</w:t>
      </w:r>
      <w:r w:rsidRPr="00B479AE">
        <w:rPr>
          <w:rFonts w:ascii="Baskerville Old Face" w:hAnsi="Baskerville Old Face"/>
          <w:i/>
          <w:iCs/>
        </w:rPr>
        <w:br/>
        <w:t>• emergency limitation review;</w:t>
      </w:r>
      <w:r w:rsidRPr="00B479AE">
        <w:rPr>
          <w:rFonts w:ascii="Baskerville Old Face" w:hAnsi="Baskerville Old Face"/>
          <w:i/>
          <w:iCs/>
        </w:rPr>
        <w:br/>
        <w:t>• protection of minority objections;</w:t>
      </w:r>
      <w:r w:rsidRPr="00B479AE">
        <w:rPr>
          <w:rFonts w:ascii="Baskerville Old Face" w:hAnsi="Baskerville Old Face"/>
          <w:i/>
          <w:iCs/>
        </w:rPr>
        <w:br/>
        <w:t>• transparent criteria for role eligibility;</w:t>
      </w:r>
      <w:r w:rsidRPr="00B479AE">
        <w:rPr>
          <w:rFonts w:ascii="Baskerville Old Face" w:hAnsi="Baskerville Old Face"/>
          <w:i/>
          <w:iCs/>
        </w:rPr>
        <w:br/>
        <w:t>• clear separation between capital, governance, MRV, and technical authority.</w:t>
      </w:r>
    </w:p>
    <w:p w14:paraId="65389D0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anti-capture principle is:</w:t>
      </w:r>
    </w:p>
    <w:p w14:paraId="47ED615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power must remain visible, bounded, reviewable, and reversible where possible.</w:t>
      </w:r>
    </w:p>
    <w:p w14:paraId="7010FE84" w14:textId="02205EAB"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.18 Governance interfaces</w:t>
      </w:r>
    </w:p>
    <w:p w14:paraId="5700FD1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may implement governance interfaces to support:</w:t>
      </w:r>
    </w:p>
    <w:p w14:paraId="5BF983C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role registry;</w:t>
      </w:r>
      <w:r w:rsidRPr="00B479AE">
        <w:rPr>
          <w:rFonts w:ascii="Baskerville Old Face" w:hAnsi="Baskerville Old Face"/>
          <w:i/>
          <w:iCs/>
        </w:rPr>
        <w:br/>
        <w:t>• proposal intake;</w:t>
      </w:r>
      <w:r w:rsidRPr="00B479AE">
        <w:rPr>
          <w:rFonts w:ascii="Baskerville Old Face" w:hAnsi="Baskerville Old Face"/>
          <w:i/>
          <w:iCs/>
        </w:rPr>
        <w:br/>
        <w:t>• consent process;</w:t>
      </w:r>
      <w:r w:rsidRPr="00B479AE">
        <w:rPr>
          <w:rFonts w:ascii="Baskerville Old Face" w:hAnsi="Baskerville Old Face"/>
          <w:i/>
          <w:iCs/>
        </w:rPr>
        <w:br/>
        <w:t>• objection integration;</w:t>
      </w:r>
      <w:r w:rsidRPr="00B479AE">
        <w:rPr>
          <w:rFonts w:ascii="Baskerville Old Face" w:hAnsi="Baskerville Old Face"/>
          <w:i/>
          <w:iCs/>
        </w:rPr>
        <w:br/>
        <w:t>• decision logging;</w:t>
      </w:r>
      <w:r w:rsidRPr="00B479AE">
        <w:rPr>
          <w:rFonts w:ascii="Baskerville Old Face" w:hAnsi="Baskerville Old Face"/>
          <w:i/>
          <w:iCs/>
        </w:rPr>
        <w:br/>
        <w:t>• warrant tracking;</w:t>
      </w:r>
      <w:r w:rsidRPr="00B479AE">
        <w:rPr>
          <w:rFonts w:ascii="Baskerville Old Face" w:hAnsi="Baskerville Old Face"/>
          <w:i/>
          <w:iCs/>
        </w:rPr>
        <w:br/>
        <w:t>• appeal filing;</w:t>
      </w:r>
      <w:r w:rsidRPr="00B479AE">
        <w:rPr>
          <w:rFonts w:ascii="Baskerville Old Face" w:hAnsi="Baskerville Old Face"/>
          <w:i/>
          <w:iCs/>
        </w:rPr>
        <w:br/>
        <w:t>• remediation tracking;</w:t>
      </w:r>
      <w:r w:rsidRPr="00B479AE">
        <w:rPr>
          <w:rFonts w:ascii="Baskerville Old Face" w:hAnsi="Baskerville Old Face"/>
          <w:i/>
          <w:iCs/>
        </w:rPr>
        <w:br/>
        <w:t>• contribution records;</w:t>
      </w:r>
      <w:r w:rsidRPr="00B479AE">
        <w:rPr>
          <w:rFonts w:ascii="Baskerville Old Face" w:hAnsi="Baskerville Old Face"/>
          <w:i/>
          <w:iCs/>
        </w:rPr>
        <w:br/>
        <w:t>• access review;</w:t>
      </w:r>
      <w:r w:rsidRPr="00B479AE">
        <w:rPr>
          <w:rFonts w:ascii="Baskerville Old Face" w:hAnsi="Baskerville Old Face"/>
          <w:i/>
          <w:iCs/>
        </w:rPr>
        <w:br/>
        <w:t>• constitutional review;</w:t>
      </w:r>
      <w:r w:rsidRPr="00B479AE">
        <w:rPr>
          <w:rFonts w:ascii="Baskerville Old Face" w:hAnsi="Baskerville Old Face"/>
          <w:i/>
          <w:iCs/>
        </w:rPr>
        <w:br/>
        <w:t>• release approval;</w:t>
      </w:r>
      <w:r w:rsidRPr="00B479AE">
        <w:rPr>
          <w:rFonts w:ascii="Baskerville Old Face" w:hAnsi="Baskerville Old Face"/>
          <w:i/>
          <w:iCs/>
        </w:rPr>
        <w:br/>
        <w:t>• fork classification;</w:t>
      </w:r>
      <w:r w:rsidRPr="00B479AE">
        <w:rPr>
          <w:rFonts w:ascii="Baskerville Old Face" w:hAnsi="Baskerville Old Face"/>
          <w:i/>
          <w:iCs/>
        </w:rPr>
        <w:br/>
        <w:t>• public correction;</w:t>
      </w:r>
      <w:r w:rsidRPr="00B479AE">
        <w:rPr>
          <w:rFonts w:ascii="Baskerville Old Face" w:hAnsi="Baskerville Old Face"/>
          <w:i/>
          <w:iCs/>
        </w:rPr>
        <w:br/>
        <w:t>• audit trails.</w:t>
      </w:r>
    </w:p>
    <w:p w14:paraId="66CD6288" w14:textId="77777777" w:rsidR="00536EA2" w:rsidRDefault="00536EA2" w:rsidP="00F7085C">
      <w:pPr>
        <w:spacing w:line="360" w:lineRule="auto"/>
        <w:rPr>
          <w:rFonts w:ascii="Baskerville Old Face" w:hAnsi="Baskerville Old Face"/>
          <w:i/>
          <w:iCs/>
        </w:rPr>
      </w:pPr>
    </w:p>
    <w:p w14:paraId="0E40C315" w14:textId="00876F81"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These interfaces should be designed with:</w:t>
      </w:r>
    </w:p>
    <w:p w14:paraId="6588BE0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human-readable explanations;</w:t>
      </w:r>
      <w:r w:rsidRPr="00B479AE">
        <w:rPr>
          <w:rFonts w:ascii="Baskerville Old Face" w:hAnsi="Baskerville Old Face"/>
          <w:i/>
          <w:iCs/>
        </w:rPr>
        <w:br/>
        <w:t>• accessibility;</w:t>
      </w:r>
      <w:r w:rsidRPr="00B479AE">
        <w:rPr>
          <w:rFonts w:ascii="Baskerville Old Face" w:hAnsi="Baskerville Old Face"/>
          <w:i/>
          <w:iCs/>
        </w:rPr>
        <w:br/>
        <w:t>• privacy controls;</w:t>
      </w:r>
      <w:r w:rsidRPr="00B479AE">
        <w:rPr>
          <w:rFonts w:ascii="Baskerville Old Face" w:hAnsi="Baskerville Old Face"/>
          <w:i/>
          <w:iCs/>
        </w:rPr>
        <w:br/>
        <w:t>• role-based access;</w:t>
      </w:r>
      <w:r w:rsidRPr="00B479AE">
        <w:rPr>
          <w:rFonts w:ascii="Baskerville Old Face" w:hAnsi="Baskerville Old Face"/>
          <w:i/>
          <w:iCs/>
        </w:rPr>
        <w:br/>
        <w:t>• auditability;</w:t>
      </w:r>
      <w:r w:rsidRPr="00B479AE">
        <w:rPr>
          <w:rFonts w:ascii="Baskerville Old Face" w:hAnsi="Baskerville Old Face"/>
          <w:i/>
          <w:iCs/>
        </w:rPr>
        <w:br/>
        <w:t>• exportability;</w:t>
      </w:r>
      <w:r w:rsidRPr="00B479AE">
        <w:rPr>
          <w:rFonts w:ascii="Baskerville Old Face" w:hAnsi="Baskerville Old Face"/>
          <w:i/>
          <w:iCs/>
        </w:rPr>
        <w:br/>
        <w:t>• offline or local-first continuity where feasible;</w:t>
      </w:r>
      <w:r w:rsidRPr="00B479AE">
        <w:rPr>
          <w:rFonts w:ascii="Baskerville Old Face" w:hAnsi="Baskerville Old Face"/>
          <w:i/>
          <w:iCs/>
        </w:rPr>
        <w:br/>
        <w:t>• anti-bot and anti-Sybil controls where relevant.</w:t>
      </w:r>
    </w:p>
    <w:p w14:paraId="49EF756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interface supports governance.</w:t>
      </w:r>
    </w:p>
    <w:p w14:paraId="0278B0B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does not become governance.</w:t>
      </w:r>
    </w:p>
    <w:p w14:paraId="6D836C60" w14:textId="5857951B"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.19 Minimal governance data schema</w:t>
      </w:r>
    </w:p>
    <w:p w14:paraId="65E1859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governance decision record may include:</w:t>
      </w:r>
    </w:p>
    <w:p w14:paraId="17CF3FF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w:t>
      </w:r>
    </w:p>
    <w:p w14:paraId="04D674A0"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decision</w:t>
      </w:r>
      <w:proofErr w:type="gramEnd"/>
      <w:r w:rsidRPr="00B479AE">
        <w:rPr>
          <w:rFonts w:ascii="Baskerville Old Face" w:hAnsi="Baskerville Old Face"/>
          <w:i/>
          <w:iCs/>
        </w:rPr>
        <w:t>_id</w:t>
      </w:r>
      <w:proofErr w:type="spellEnd"/>
      <w:r w:rsidRPr="00B479AE">
        <w:rPr>
          <w:rFonts w:ascii="Baskerville Old Face" w:hAnsi="Baskerville Old Face"/>
          <w:i/>
          <w:iCs/>
        </w:rPr>
        <w:t>": "gov_decision_0001",</w:t>
      </w:r>
    </w:p>
    <w:p w14:paraId="3244DBF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decision</w:t>
      </w:r>
      <w:proofErr w:type="gramEnd"/>
      <w:r w:rsidRPr="00B479AE">
        <w:rPr>
          <w:rFonts w:ascii="Baskerville Old Face" w:hAnsi="Baskerville Old Face"/>
          <w:i/>
          <w:iCs/>
        </w:rPr>
        <w:t>_type</w:t>
      </w:r>
      <w:proofErr w:type="spellEnd"/>
      <w:r w:rsidRPr="00B479AE">
        <w:rPr>
          <w:rFonts w:ascii="Baskerville Old Face" w:hAnsi="Baskerville Old Face"/>
          <w:i/>
          <w:iCs/>
        </w:rPr>
        <w:t xml:space="preserve">": "ordinary | technical | </w:t>
      </w:r>
      <w:proofErr w:type="spellStart"/>
      <w:r w:rsidRPr="00B479AE">
        <w:rPr>
          <w:rFonts w:ascii="Baskerville Old Face" w:hAnsi="Baskerville Old Face"/>
          <w:i/>
          <w:iCs/>
        </w:rPr>
        <w:t>mrv</w:t>
      </w:r>
      <w:proofErr w:type="spellEnd"/>
      <w:r w:rsidRPr="00B479AE">
        <w:rPr>
          <w:rFonts w:ascii="Baskerville Old Face" w:hAnsi="Baskerville Old Face"/>
          <w:i/>
          <w:iCs/>
        </w:rPr>
        <w:t xml:space="preserve"> | legal | constitutional | emergency",</w:t>
      </w:r>
    </w:p>
    <w:p w14:paraId="16B680C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"title": "Decision title",</w:t>
      </w:r>
    </w:p>
    <w:p w14:paraId="7276E5B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circle</w:t>
      </w:r>
      <w:proofErr w:type="gramEnd"/>
      <w:r w:rsidRPr="00B479AE">
        <w:rPr>
          <w:rFonts w:ascii="Baskerville Old Face" w:hAnsi="Baskerville Old Face"/>
          <w:i/>
          <w:iCs/>
        </w:rPr>
        <w:t>_or_body</w:t>
      </w:r>
      <w:proofErr w:type="spellEnd"/>
      <w:r w:rsidRPr="00B479AE">
        <w:rPr>
          <w:rFonts w:ascii="Baskerville Old Face" w:hAnsi="Baskerville Old Face"/>
          <w:i/>
          <w:iCs/>
        </w:rPr>
        <w:t>": "</w:t>
      </w:r>
      <w:proofErr w:type="spellStart"/>
      <w:r w:rsidRPr="00B479AE">
        <w:rPr>
          <w:rFonts w:ascii="Baskerville Old Face" w:hAnsi="Baskerville Old Face"/>
          <w:i/>
          <w:iCs/>
        </w:rPr>
        <w:t>review_body_reference</w:t>
      </w:r>
      <w:proofErr w:type="spellEnd"/>
      <w:r w:rsidRPr="00B479AE">
        <w:rPr>
          <w:rFonts w:ascii="Baskerville Old Face" w:hAnsi="Baskerville Old Face"/>
          <w:i/>
          <w:iCs/>
        </w:rPr>
        <w:t>",</w:t>
      </w:r>
    </w:p>
    <w:p w14:paraId="5656DF9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"date": "2026-01-01",</w:t>
      </w:r>
    </w:p>
    <w:p w14:paraId="5DCC7C7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"participants": [</w:t>
      </w:r>
    </w:p>
    <w:p w14:paraId="08D0E969"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
    <w:p w14:paraId="5197096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"role": "steward",</w:t>
      </w:r>
    </w:p>
    <w:p w14:paraId="2A4FBCD6"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"identifier": "</w:t>
      </w:r>
      <w:proofErr w:type="spellStart"/>
      <w:r w:rsidRPr="00B479AE">
        <w:rPr>
          <w:rFonts w:ascii="Baskerville Old Face" w:hAnsi="Baskerville Old Face"/>
          <w:i/>
          <w:iCs/>
        </w:rPr>
        <w:t>participant_or_role_reference</w:t>
      </w:r>
      <w:proofErr w:type="spellEnd"/>
      <w:r w:rsidRPr="00B479AE">
        <w:rPr>
          <w:rFonts w:ascii="Baskerville Old Face" w:hAnsi="Baskerville Old Face"/>
          <w:i/>
          <w:iCs/>
        </w:rPr>
        <w:t>"</w:t>
      </w:r>
    </w:p>
    <w:p w14:paraId="500C151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
    <w:p w14:paraId="7A92DC4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 xml:space="preserve">  ],</w:t>
      </w:r>
    </w:p>
    <w:p w14:paraId="6F19EC2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source</w:t>
      </w:r>
      <w:proofErr w:type="gramEnd"/>
      <w:r w:rsidRPr="00B479AE">
        <w:rPr>
          <w:rFonts w:ascii="Baskerville Old Face" w:hAnsi="Baskerville Old Face"/>
          <w:i/>
          <w:iCs/>
        </w:rPr>
        <w:t>_layer_references</w:t>
      </w:r>
      <w:proofErr w:type="spellEnd"/>
      <w:r w:rsidRPr="00B479AE">
        <w:rPr>
          <w:rFonts w:ascii="Baskerville Old Face" w:hAnsi="Baskerville Old Face"/>
          <w:i/>
          <w:iCs/>
        </w:rPr>
        <w:t>": [</w:t>
      </w:r>
    </w:p>
    <w:p w14:paraId="50859C50"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gramStart"/>
      <w:r w:rsidRPr="00B479AE">
        <w:rPr>
          <w:rFonts w:ascii="Baskerville Old Face" w:hAnsi="Baskerville Old Face"/>
          <w:i/>
          <w:iCs/>
        </w:rPr>
        <w:t>access</w:t>
      </w:r>
      <w:proofErr w:type="gramEnd"/>
      <w:r w:rsidRPr="00B479AE">
        <w:rPr>
          <w:rFonts w:ascii="Baskerville Old Face" w:hAnsi="Baskerville Old Face"/>
          <w:i/>
          <w:iCs/>
        </w:rPr>
        <w:t>_covenant_v1",</w:t>
      </w:r>
    </w:p>
    <w:p w14:paraId="30CA848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gramStart"/>
      <w:r w:rsidRPr="00B479AE">
        <w:rPr>
          <w:rFonts w:ascii="Baskerville Old Face" w:hAnsi="Baskerville Old Face"/>
          <w:i/>
          <w:iCs/>
        </w:rPr>
        <w:t>canonical</w:t>
      </w:r>
      <w:proofErr w:type="gramEnd"/>
      <w:r w:rsidRPr="00B479AE">
        <w:rPr>
          <w:rFonts w:ascii="Baskerville Old Face" w:hAnsi="Baskerville Old Face"/>
          <w:i/>
          <w:iCs/>
        </w:rPr>
        <w:t>_glossary_v1"</w:t>
      </w:r>
    </w:p>
    <w:p w14:paraId="644BE6B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
    <w:p w14:paraId="4EDFF8D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evidence</w:t>
      </w:r>
      <w:proofErr w:type="gramEnd"/>
      <w:r w:rsidRPr="00B479AE">
        <w:rPr>
          <w:rFonts w:ascii="Baskerville Old Face" w:hAnsi="Baskerville Old Face"/>
          <w:i/>
          <w:iCs/>
        </w:rPr>
        <w:t>_references</w:t>
      </w:r>
      <w:proofErr w:type="spellEnd"/>
      <w:r w:rsidRPr="00B479AE">
        <w:rPr>
          <w:rFonts w:ascii="Baskerville Old Face" w:hAnsi="Baskerville Old Face"/>
          <w:i/>
          <w:iCs/>
        </w:rPr>
        <w:t>": [</w:t>
      </w:r>
    </w:p>
    <w:p w14:paraId="015A269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mrv</w:t>
      </w:r>
      <w:proofErr w:type="gramEnd"/>
      <w:r w:rsidRPr="00B479AE">
        <w:rPr>
          <w:rFonts w:ascii="Baskerville Old Face" w:hAnsi="Baskerville Old Face"/>
          <w:i/>
          <w:iCs/>
        </w:rPr>
        <w:t>_record_or_document_hash</w:t>
      </w:r>
      <w:proofErr w:type="spellEnd"/>
      <w:r w:rsidRPr="00B479AE">
        <w:rPr>
          <w:rFonts w:ascii="Baskerville Old Face" w:hAnsi="Baskerville Old Face"/>
          <w:i/>
          <w:iCs/>
        </w:rPr>
        <w:t>"</w:t>
      </w:r>
    </w:p>
    <w:p w14:paraId="7A86A06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
    <w:p w14:paraId="19C488C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decision</w:t>
      </w:r>
      <w:proofErr w:type="gramEnd"/>
      <w:r w:rsidRPr="00B479AE">
        <w:rPr>
          <w:rFonts w:ascii="Baskerville Old Face" w:hAnsi="Baskerville Old Face"/>
          <w:i/>
          <w:iCs/>
        </w:rPr>
        <w:t>_outcome</w:t>
      </w:r>
      <w:proofErr w:type="spellEnd"/>
      <w:r w:rsidRPr="00B479AE">
        <w:rPr>
          <w:rFonts w:ascii="Baskerville Old Face" w:hAnsi="Baskerville Old Face"/>
          <w:i/>
          <w:iCs/>
        </w:rPr>
        <w:t xml:space="preserve">": "approved | </w:t>
      </w:r>
      <w:proofErr w:type="spellStart"/>
      <w:r w:rsidRPr="00B479AE">
        <w:rPr>
          <w:rFonts w:ascii="Baskerville Old Face" w:hAnsi="Baskerville Old Face"/>
          <w:i/>
          <w:iCs/>
        </w:rPr>
        <w:t>approved_with_conditions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review_required</w:t>
      </w:r>
      <w:proofErr w:type="spellEnd"/>
      <w:r w:rsidRPr="00B479AE">
        <w:rPr>
          <w:rFonts w:ascii="Baskerville Old Face" w:hAnsi="Baskerville Old Face"/>
          <w:i/>
          <w:iCs/>
        </w:rPr>
        <w:t xml:space="preserve"> | deferred | rejected | </w:t>
      </w:r>
      <w:proofErr w:type="spellStart"/>
      <w:r w:rsidRPr="00B479AE">
        <w:rPr>
          <w:rFonts w:ascii="Baskerville Old Face" w:hAnsi="Baskerville Old Face"/>
          <w:i/>
          <w:iCs/>
        </w:rPr>
        <w:t>non_admissible</w:t>
      </w:r>
      <w:proofErr w:type="spellEnd"/>
      <w:r w:rsidRPr="00B479AE">
        <w:rPr>
          <w:rFonts w:ascii="Baskerville Old Face" w:hAnsi="Baskerville Old Face"/>
          <w:i/>
          <w:iCs/>
        </w:rPr>
        <w:t>",</w:t>
      </w:r>
    </w:p>
    <w:p w14:paraId="23C10FB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"scope": "</w:t>
      </w:r>
      <w:proofErr w:type="spellStart"/>
      <w:r w:rsidRPr="00B479AE">
        <w:rPr>
          <w:rFonts w:ascii="Baskerville Old Face" w:hAnsi="Baskerville Old Face"/>
          <w:i/>
          <w:iCs/>
        </w:rPr>
        <w:t>defined_scope</w:t>
      </w:r>
      <w:proofErr w:type="spellEnd"/>
      <w:r w:rsidRPr="00B479AE">
        <w:rPr>
          <w:rFonts w:ascii="Baskerville Old Face" w:hAnsi="Baskerville Old Face"/>
          <w:i/>
          <w:iCs/>
        </w:rPr>
        <w:t>",</w:t>
      </w:r>
    </w:p>
    <w:p w14:paraId="4085BBB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"limitations": "</w:t>
      </w:r>
      <w:proofErr w:type="spellStart"/>
      <w:r w:rsidRPr="00B479AE">
        <w:rPr>
          <w:rFonts w:ascii="Baskerville Old Face" w:hAnsi="Baskerville Old Face"/>
          <w:i/>
          <w:iCs/>
        </w:rPr>
        <w:t>defined_limitations</w:t>
      </w:r>
      <w:proofErr w:type="spellEnd"/>
      <w:r w:rsidRPr="00B479AE">
        <w:rPr>
          <w:rFonts w:ascii="Baskerville Old Face" w:hAnsi="Baskerville Old Face"/>
          <w:i/>
          <w:iCs/>
        </w:rPr>
        <w:t>",</w:t>
      </w:r>
    </w:p>
    <w:p w14:paraId="6580726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review</w:t>
      </w:r>
      <w:proofErr w:type="gramEnd"/>
      <w:r w:rsidRPr="00B479AE">
        <w:rPr>
          <w:rFonts w:ascii="Baskerville Old Face" w:hAnsi="Baskerville Old Face"/>
          <w:i/>
          <w:iCs/>
        </w:rPr>
        <w:t>_date</w:t>
      </w:r>
      <w:proofErr w:type="spellEnd"/>
      <w:r w:rsidRPr="00B479AE">
        <w:rPr>
          <w:rFonts w:ascii="Baskerville Old Face" w:hAnsi="Baskerville Old Face"/>
          <w:i/>
          <w:iCs/>
        </w:rPr>
        <w:t>": "2026-06-01",</w:t>
      </w:r>
    </w:p>
    <w:p w14:paraId="0BB2392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appeal</w:t>
      </w:r>
      <w:proofErr w:type="gramEnd"/>
      <w:r w:rsidRPr="00B479AE">
        <w:rPr>
          <w:rFonts w:ascii="Baskerville Old Face" w:hAnsi="Baskerville Old Face"/>
          <w:i/>
          <w:iCs/>
        </w:rPr>
        <w:t>_pathway</w:t>
      </w:r>
      <w:proofErr w:type="spellEnd"/>
      <w:r w:rsidRPr="00B479AE">
        <w:rPr>
          <w:rFonts w:ascii="Baskerville Old Face" w:hAnsi="Baskerville Old Face"/>
          <w:i/>
          <w:iCs/>
        </w:rPr>
        <w:t>": "</w:t>
      </w:r>
      <w:proofErr w:type="spellStart"/>
      <w:r w:rsidRPr="00B479AE">
        <w:rPr>
          <w:rFonts w:ascii="Baskerville Old Face" w:hAnsi="Baskerville Old Face"/>
          <w:i/>
          <w:iCs/>
        </w:rPr>
        <w:t>appeal_body_reference</w:t>
      </w:r>
      <w:proofErr w:type="spellEnd"/>
      <w:r w:rsidRPr="00B479AE">
        <w:rPr>
          <w:rFonts w:ascii="Baskerville Old Face" w:hAnsi="Baskerville Old Face"/>
          <w:i/>
          <w:iCs/>
        </w:rPr>
        <w:t>",</w:t>
      </w:r>
    </w:p>
    <w:p w14:paraId="4F47758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record</w:t>
      </w:r>
      <w:proofErr w:type="gramEnd"/>
      <w:r w:rsidRPr="00B479AE">
        <w:rPr>
          <w:rFonts w:ascii="Baskerville Old Face" w:hAnsi="Baskerville Old Face"/>
          <w:i/>
          <w:iCs/>
        </w:rPr>
        <w:t>_hash</w:t>
      </w:r>
      <w:proofErr w:type="spellEnd"/>
      <w:r w:rsidRPr="00B479AE">
        <w:rPr>
          <w:rFonts w:ascii="Baskerville Old Face" w:hAnsi="Baskerville Old Face"/>
          <w:i/>
          <w:iCs/>
        </w:rPr>
        <w:t>": "sha256_hash_where_available"</w:t>
      </w:r>
    </w:p>
    <w:p w14:paraId="03753050"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w:t>
      </w:r>
    </w:p>
    <w:p w14:paraId="41CB263C"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 warrant record may include:</w:t>
      </w:r>
    </w:p>
    <w:p w14:paraId="298695F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w:t>
      </w:r>
    </w:p>
    <w:p w14:paraId="2B346AE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warrant</w:t>
      </w:r>
      <w:proofErr w:type="gramEnd"/>
      <w:r w:rsidRPr="00B479AE">
        <w:rPr>
          <w:rFonts w:ascii="Baskerville Old Face" w:hAnsi="Baskerville Old Face"/>
          <w:i/>
          <w:iCs/>
        </w:rPr>
        <w:t>_id</w:t>
      </w:r>
      <w:proofErr w:type="spellEnd"/>
      <w:r w:rsidRPr="00B479AE">
        <w:rPr>
          <w:rFonts w:ascii="Baskerville Old Face" w:hAnsi="Baskerville Old Face"/>
          <w:i/>
          <w:iCs/>
        </w:rPr>
        <w:t>": "warrant_0001",</w:t>
      </w:r>
    </w:p>
    <w:p w14:paraId="14F67DB5"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"domain": "MRV | governance | legal | technical | token | HSI | constitutional",</w:t>
      </w:r>
    </w:p>
    <w:p w14:paraId="4F41556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"severity": "informational | procedural | material | critical",</w:t>
      </w:r>
    </w:p>
    <w:p w14:paraId="187649A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proofErr w:type="gramStart"/>
      <w:r w:rsidRPr="00B479AE">
        <w:rPr>
          <w:rFonts w:ascii="Baskerville Old Face" w:hAnsi="Baskerville Old Face"/>
          <w:i/>
          <w:iCs/>
        </w:rPr>
        <w:t>signal</w:t>
      </w:r>
      <w:proofErr w:type="gramEnd"/>
      <w:r w:rsidRPr="00B479AE">
        <w:rPr>
          <w:rFonts w:ascii="Baskerville Old Face" w:hAnsi="Baskerville Old Face"/>
          <w:i/>
          <w:iCs/>
        </w:rPr>
        <w:t>_source</w:t>
      </w:r>
      <w:proofErr w:type="spellEnd"/>
      <w:r w:rsidRPr="00B479AE">
        <w:rPr>
          <w:rFonts w:ascii="Baskerville Old Face" w:hAnsi="Baskerville Old Face"/>
          <w:i/>
          <w:iCs/>
        </w:rPr>
        <w:t>": "</w:t>
      </w:r>
      <w:proofErr w:type="spellStart"/>
      <w:r w:rsidRPr="00B479AE">
        <w:rPr>
          <w:rFonts w:ascii="Baskerville Old Face" w:hAnsi="Baskerville Old Face"/>
          <w:i/>
          <w:iCs/>
        </w:rPr>
        <w:t>human_report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technical_flag</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AI_risk_flag</w:t>
      </w:r>
      <w:proofErr w:type="spellEnd"/>
      <w:r w:rsidRPr="00B479AE">
        <w:rPr>
          <w:rFonts w:ascii="Baskerville Old Face" w:hAnsi="Baskerville Old Face"/>
          <w:i/>
          <w:iCs/>
        </w:rPr>
        <w:t xml:space="preserve"> | audit | </w:t>
      </w:r>
      <w:proofErr w:type="spellStart"/>
      <w:r w:rsidRPr="00B479AE">
        <w:rPr>
          <w:rFonts w:ascii="Baskerville Old Face" w:hAnsi="Baskerville Old Face"/>
          <w:i/>
          <w:iCs/>
        </w:rPr>
        <w:t>legal_notice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MRV_anomaly</w:t>
      </w:r>
      <w:proofErr w:type="spellEnd"/>
      <w:r w:rsidRPr="00B479AE">
        <w:rPr>
          <w:rFonts w:ascii="Baskerville Old Face" w:hAnsi="Baskerville Old Face"/>
          <w:i/>
          <w:iCs/>
        </w:rPr>
        <w:t>",</w:t>
      </w:r>
    </w:p>
    <w:p w14:paraId="0CF4617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affected</w:t>
      </w:r>
      <w:proofErr w:type="gramEnd"/>
      <w:r w:rsidRPr="00B479AE">
        <w:rPr>
          <w:rFonts w:ascii="Baskerville Old Face" w:hAnsi="Baskerville Old Face"/>
          <w:i/>
          <w:iCs/>
        </w:rPr>
        <w:t>_record</w:t>
      </w:r>
      <w:proofErr w:type="spellEnd"/>
      <w:r w:rsidRPr="00B479AE">
        <w:rPr>
          <w:rFonts w:ascii="Baskerville Old Face" w:hAnsi="Baskerville Old Face"/>
          <w:i/>
          <w:iCs/>
        </w:rPr>
        <w:t>": "</w:t>
      </w:r>
      <w:proofErr w:type="spellStart"/>
      <w:r w:rsidRPr="00B479AE">
        <w:rPr>
          <w:rFonts w:ascii="Baskerville Old Face" w:hAnsi="Baskerville Old Face"/>
          <w:i/>
          <w:iCs/>
        </w:rPr>
        <w:t>record_reference</w:t>
      </w:r>
      <w:proofErr w:type="spellEnd"/>
      <w:r w:rsidRPr="00B479AE">
        <w:rPr>
          <w:rFonts w:ascii="Baskerville Old Face" w:hAnsi="Baskerville Old Face"/>
          <w:i/>
          <w:iCs/>
        </w:rPr>
        <w:t>",</w:t>
      </w:r>
    </w:p>
    <w:p w14:paraId="164BC4E3"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"status": "open | </w:t>
      </w:r>
      <w:proofErr w:type="spellStart"/>
      <w:r w:rsidRPr="00B479AE">
        <w:rPr>
          <w:rFonts w:ascii="Baskerville Old Face" w:hAnsi="Baskerville Old Face"/>
          <w:i/>
          <w:iCs/>
        </w:rPr>
        <w:t>review_required</w:t>
      </w:r>
      <w:proofErr w:type="spellEnd"/>
      <w:r w:rsidRPr="00B479AE">
        <w:rPr>
          <w:rFonts w:ascii="Baskerville Old Face" w:hAnsi="Baskerville Old Face"/>
          <w:i/>
          <w:iCs/>
        </w:rPr>
        <w:t xml:space="preserve"> | resolved | escalated | closed",</w:t>
      </w:r>
    </w:p>
    <w:p w14:paraId="73CCE3D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temporary</w:t>
      </w:r>
      <w:proofErr w:type="gramEnd"/>
      <w:r w:rsidRPr="00B479AE">
        <w:rPr>
          <w:rFonts w:ascii="Baskerville Old Face" w:hAnsi="Baskerville Old Face"/>
          <w:i/>
          <w:iCs/>
        </w:rPr>
        <w:t>_measure</w:t>
      </w:r>
      <w:proofErr w:type="spellEnd"/>
      <w:r w:rsidRPr="00B479AE">
        <w:rPr>
          <w:rFonts w:ascii="Baskerville Old Face" w:hAnsi="Baskerville Old Face"/>
          <w:i/>
          <w:iCs/>
        </w:rPr>
        <w:t xml:space="preserve">": "none | restricted | quarantined | </w:t>
      </w:r>
      <w:proofErr w:type="spellStart"/>
      <w:r w:rsidRPr="00B479AE">
        <w:rPr>
          <w:rFonts w:ascii="Baskerville Old Face" w:hAnsi="Baskerville Old Face"/>
          <w:i/>
          <w:iCs/>
        </w:rPr>
        <w:t>suspended_pending_review</w:t>
      </w:r>
      <w:proofErr w:type="spellEnd"/>
      <w:r w:rsidRPr="00B479AE">
        <w:rPr>
          <w:rFonts w:ascii="Baskerville Old Face" w:hAnsi="Baskerville Old Face"/>
          <w:i/>
          <w:iCs/>
        </w:rPr>
        <w:t>",</w:t>
      </w:r>
    </w:p>
    <w:p w14:paraId="164DDC3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review</w:t>
      </w:r>
      <w:proofErr w:type="gramEnd"/>
      <w:r w:rsidRPr="00B479AE">
        <w:rPr>
          <w:rFonts w:ascii="Baskerville Old Face" w:hAnsi="Baskerville Old Face"/>
          <w:i/>
          <w:iCs/>
        </w:rPr>
        <w:t>_body</w:t>
      </w:r>
      <w:proofErr w:type="spellEnd"/>
      <w:r w:rsidRPr="00B479AE">
        <w:rPr>
          <w:rFonts w:ascii="Baskerville Old Face" w:hAnsi="Baskerville Old Face"/>
          <w:i/>
          <w:iCs/>
        </w:rPr>
        <w:t>": "</w:t>
      </w:r>
      <w:proofErr w:type="spellStart"/>
      <w:r w:rsidRPr="00B479AE">
        <w:rPr>
          <w:rFonts w:ascii="Baskerville Old Face" w:hAnsi="Baskerville Old Face"/>
          <w:i/>
          <w:iCs/>
        </w:rPr>
        <w:t>body_reference</w:t>
      </w:r>
      <w:proofErr w:type="spellEnd"/>
      <w:r w:rsidRPr="00B479AE">
        <w:rPr>
          <w:rFonts w:ascii="Baskerville Old Face" w:hAnsi="Baskerville Old Face"/>
          <w:i/>
          <w:iCs/>
        </w:rPr>
        <w:t>",</w:t>
      </w:r>
    </w:p>
    <w:p w14:paraId="44050E0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response</w:t>
      </w:r>
      <w:proofErr w:type="gramEnd"/>
      <w:r w:rsidRPr="00B479AE">
        <w:rPr>
          <w:rFonts w:ascii="Baskerville Old Face" w:hAnsi="Baskerville Old Face"/>
          <w:i/>
          <w:iCs/>
        </w:rPr>
        <w:t>_deadline</w:t>
      </w:r>
      <w:proofErr w:type="spellEnd"/>
      <w:r w:rsidRPr="00B479AE">
        <w:rPr>
          <w:rFonts w:ascii="Baskerville Old Face" w:hAnsi="Baskerville Old Face"/>
          <w:i/>
          <w:iCs/>
        </w:rPr>
        <w:t>": "2026-01-15",</w:t>
      </w:r>
    </w:p>
    <w:p w14:paraId="10F9092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"resolution": "clarified | corrected | remediation | </w:t>
      </w:r>
      <w:proofErr w:type="spellStart"/>
      <w:r w:rsidRPr="00B479AE">
        <w:rPr>
          <w:rFonts w:ascii="Baskerville Old Face" w:hAnsi="Baskerville Old Face"/>
          <w:i/>
          <w:iCs/>
        </w:rPr>
        <w:t>non_admissible</w:t>
      </w:r>
      <w:proofErr w:type="spellEnd"/>
      <w:r w:rsidRPr="00B479AE">
        <w:rPr>
          <w:rFonts w:ascii="Baskerville Old Face" w:hAnsi="Baskerville Old Face"/>
          <w:i/>
          <w:iCs/>
        </w:rPr>
        <w:t xml:space="preserve"> | escalated | dismissed",</w:t>
      </w:r>
    </w:p>
    <w:p w14:paraId="3CE0DD6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appeal</w:t>
      </w:r>
      <w:proofErr w:type="gramEnd"/>
      <w:r w:rsidRPr="00B479AE">
        <w:rPr>
          <w:rFonts w:ascii="Baskerville Old Face" w:hAnsi="Baskerville Old Face"/>
          <w:i/>
          <w:iCs/>
        </w:rPr>
        <w:t>_available</w:t>
      </w:r>
      <w:proofErr w:type="spellEnd"/>
      <w:r w:rsidRPr="00B479AE">
        <w:rPr>
          <w:rFonts w:ascii="Baskerville Old Face" w:hAnsi="Baskerville Old Face"/>
          <w:i/>
          <w:iCs/>
        </w:rPr>
        <w:t>": true</w:t>
      </w:r>
    </w:p>
    <w:p w14:paraId="1999C5A1"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w:t>
      </w:r>
    </w:p>
    <w:p w14:paraId="3B3F80D7"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Schemas are illustrative and should be versioned before implementation.</w:t>
      </w:r>
    </w:p>
    <w:p w14:paraId="0DC00D23" w14:textId="22510863" w:rsidR="00F7085C" w:rsidRPr="00B479AE" w:rsidRDefault="009C7BED" w:rsidP="00F7085C">
      <w:pPr>
        <w:spacing w:line="360" w:lineRule="auto"/>
        <w:rPr>
          <w:rFonts w:ascii="Baskerville Old Face" w:hAnsi="Baskerville Old Face"/>
          <w:b/>
          <w:bCs/>
          <w:i/>
          <w:iCs/>
        </w:rPr>
      </w:pPr>
      <w:r w:rsidRPr="00B479AE">
        <w:rPr>
          <w:rFonts w:ascii="Baskerville Old Face" w:hAnsi="Baskerville Old Face"/>
          <w:b/>
          <w:bCs/>
          <w:i/>
          <w:iCs/>
        </w:rPr>
        <w:t>I</w:t>
      </w:r>
      <w:r w:rsidR="00F7085C" w:rsidRPr="00B479AE">
        <w:rPr>
          <w:rFonts w:ascii="Baskerville Old Face" w:hAnsi="Baskerville Old Face"/>
          <w:b/>
          <w:bCs/>
          <w:i/>
          <w:iCs/>
        </w:rPr>
        <w:t>.20 Final governance and reputation principle</w:t>
      </w:r>
    </w:p>
    <w:p w14:paraId="1BC4B7DB"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Prometheus governance is not the automation of obedience.</w:t>
      </w:r>
    </w:p>
    <w:p w14:paraId="64CE129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the disciplined coordination of responsibility.</w:t>
      </w:r>
    </w:p>
    <w:p w14:paraId="50AD0AD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Reputation is not a ranking of persons.</w:t>
      </w:r>
    </w:p>
    <w:p w14:paraId="1986CDD4"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a contextual memory of accountable participation.</w:t>
      </w:r>
    </w:p>
    <w:p w14:paraId="6392F60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Warrants are not punishments.</w:t>
      </w:r>
    </w:p>
    <w:p w14:paraId="17F6988F"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They are integrity signals.</w:t>
      </w:r>
    </w:p>
    <w:p w14:paraId="6A476A2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Tokens are not constitutional authority.</w:t>
      </w:r>
    </w:p>
    <w:p w14:paraId="50BF7F6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They are bounded instruments.</w:t>
      </w:r>
    </w:p>
    <w:p w14:paraId="5D887A1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AI is not governance.</w:t>
      </w:r>
    </w:p>
    <w:p w14:paraId="57BFFFF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It is support.</w:t>
      </w:r>
    </w:p>
    <w:p w14:paraId="7BCAC6F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lastRenderedPageBreak/>
        <w:t>The source layer is the boundary.</w:t>
      </w:r>
    </w:p>
    <w:p w14:paraId="2D40130D"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Human dignity is the floor.</w:t>
      </w:r>
    </w:p>
    <w:p w14:paraId="0E27B66A"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Evidence is the bridge.</w:t>
      </w:r>
    </w:p>
    <w:p w14:paraId="248DA812"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Due process is the path.</w:t>
      </w:r>
    </w:p>
    <w:p w14:paraId="697590C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Repair is part of regeneration.</w:t>
      </w:r>
    </w:p>
    <w:p w14:paraId="5E40251E"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The final principle is:</w:t>
      </w:r>
    </w:p>
    <w:p w14:paraId="5DDCCF48" w14:textId="77777777" w:rsidR="00F7085C" w:rsidRPr="00B479AE" w:rsidRDefault="00F7085C" w:rsidP="00F7085C">
      <w:pPr>
        <w:spacing w:line="360" w:lineRule="auto"/>
        <w:rPr>
          <w:rFonts w:ascii="Baskerville Old Face" w:hAnsi="Baskerville Old Face"/>
          <w:i/>
          <w:iCs/>
        </w:rPr>
      </w:pPr>
      <w:r w:rsidRPr="00B479AE">
        <w:rPr>
          <w:rFonts w:ascii="Baskerville Old Face" w:hAnsi="Baskerville Old Face"/>
          <w:i/>
          <w:iCs/>
        </w:rPr>
        <w:t>recognize contribution;</w:t>
      </w:r>
      <w:r w:rsidRPr="00B479AE">
        <w:rPr>
          <w:rFonts w:ascii="Baskerville Old Face" w:hAnsi="Baskerville Old Face"/>
          <w:i/>
          <w:iCs/>
        </w:rPr>
        <w:br/>
        <w:t>remember responsibility;</w:t>
      </w:r>
      <w:r w:rsidRPr="00B479AE">
        <w:rPr>
          <w:rFonts w:ascii="Baskerville Old Face" w:hAnsi="Baskerville Old Face"/>
          <w:i/>
          <w:iCs/>
        </w:rPr>
        <w:br/>
        <w:t>flag risk;</w:t>
      </w:r>
      <w:r w:rsidRPr="00B479AE">
        <w:rPr>
          <w:rFonts w:ascii="Baskerville Old Face" w:hAnsi="Baskerville Old Face"/>
          <w:i/>
          <w:iCs/>
        </w:rPr>
        <w:br/>
        <w:t>review fairly;</w:t>
      </w:r>
      <w:r w:rsidRPr="00B479AE">
        <w:rPr>
          <w:rFonts w:ascii="Baskerville Old Face" w:hAnsi="Baskerville Old Face"/>
          <w:i/>
          <w:iCs/>
        </w:rPr>
        <w:br/>
        <w:t>repair where possible;</w:t>
      </w:r>
      <w:r w:rsidRPr="00B479AE">
        <w:rPr>
          <w:rFonts w:ascii="Baskerville Old Face" w:hAnsi="Baskerville Old Face"/>
          <w:i/>
          <w:iCs/>
        </w:rPr>
        <w:br/>
        <w:t>restrict where necessary;</w:t>
      </w:r>
      <w:r w:rsidRPr="00B479AE">
        <w:rPr>
          <w:rFonts w:ascii="Baskerville Old Face" w:hAnsi="Baskerville Old Face"/>
          <w:i/>
          <w:iCs/>
        </w:rPr>
        <w:br/>
        <w:t>restore where justified;</w:t>
      </w:r>
      <w:r w:rsidRPr="00B479AE">
        <w:rPr>
          <w:rFonts w:ascii="Baskerville Old Face" w:hAnsi="Baskerville Old Face"/>
          <w:i/>
          <w:iCs/>
        </w:rPr>
        <w:br/>
        <w:t>and keep governance accountable to life.</w:t>
      </w:r>
    </w:p>
    <w:p w14:paraId="689EEB86" w14:textId="77777777" w:rsidR="00EB0717" w:rsidRPr="005907F1" w:rsidRDefault="00EB0717"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Technical Annex I-A — Governance &amp; Reputation DNA Specification</w:t>
      </w:r>
    </w:p>
    <w:p w14:paraId="33BE4F7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The Governance &amp; Reputation DNA implements the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and review-bound governance principles of Prometheus and provides the technical infrastructure for decentralized decision-making, role-based authority, contribution recognition, integrity signaling, and accountability within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ecosystem.</w:t>
      </w:r>
    </w:p>
    <w:p w14:paraId="26FB75A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It is designed to be circle-aware, token-aware where legally and constitutionally relevant, token-non-deterministic, privacy-conscious, non-coercive, and auditable through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agent-centric infrastructure.</w:t>
      </w:r>
    </w:p>
    <w:p w14:paraId="17DC5C7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Its purpose is not to create automatic authority.</w:t>
      </w:r>
    </w:p>
    <w:p w14:paraId="7BD3CC7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Its purpose is to make governance context, contribution history, decision records, role responsibilities, and integrity signals reviewable without collapsing them into human worth, investor rights, ecological validity, PRU value analysis, or token-based supremacy.</w:t>
      </w:r>
    </w:p>
    <w:p w14:paraId="0757FAE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Governance &amp; Reputation DNA should preserve the distinction among:</w:t>
      </w:r>
    </w:p>
    <w:p w14:paraId="554030C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governance participation;</w:t>
      </w:r>
    </w:p>
    <w:p w14:paraId="1A9C0E1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role suitability;</w:t>
      </w:r>
    </w:p>
    <w:p w14:paraId="6FD68E3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contribution recognition;</w:t>
      </w:r>
    </w:p>
    <w:p w14:paraId="151A640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reputation context;</w:t>
      </w:r>
    </w:p>
    <w:p w14:paraId="307BC27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integrity signals;</w:t>
      </w:r>
    </w:p>
    <w:p w14:paraId="16E1623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review pathways;</w:t>
      </w:r>
    </w:p>
    <w:p w14:paraId="5F80ECC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warrants or adverse integrity records;</w:t>
      </w:r>
    </w:p>
    <w:p w14:paraId="7007AB1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constitutional constraints;</w:t>
      </w:r>
    </w:p>
    <w:p w14:paraId="713B584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source-layer authority.</w:t>
      </w:r>
    </w:p>
    <w:p w14:paraId="0CB7CF8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Reputation may inform governance review.</w:t>
      </w:r>
    </w:p>
    <w:p w14:paraId="02A044A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replace governance judgment.</w:t>
      </w:r>
    </w:p>
    <w:p w14:paraId="5975BA3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create automatic governance weight.</w:t>
      </w:r>
    </w:p>
    <w:p w14:paraId="1476A9A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create financial modulation.</w:t>
      </w:r>
    </w:p>
    <w:p w14:paraId="27564C7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create investor entitlement.</w:t>
      </w:r>
    </w:p>
    <w:p w14:paraId="34BF8BC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create human ranking.</w:t>
      </w:r>
    </w:p>
    <w:p w14:paraId="33622D6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override human dignity, MRV evidence, legal review, source-layer constraints, or protected-domain safeguards.</w:t>
      </w:r>
    </w:p>
    <w:p w14:paraId="5873C524"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I-A.1 Circle structure and role definitions</w:t>
      </w:r>
    </w:p>
    <w:p w14:paraId="6C5EED49" w14:textId="18D21303"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The DNA encodes a nested circle structure compatible with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governance, stewardship accountability, bioregional coordination, and Prometheus source-layer review.</w:t>
      </w:r>
      <w:r w:rsidR="005A3560" w:rsidRPr="00B479AE">
        <w:rPr>
          <w:rFonts w:ascii="Baskerville Old Face" w:hAnsi="Baskerville Old Face"/>
          <w:i/>
          <w:iCs/>
        </w:rPr>
        <w:t xml:space="preserve"> </w:t>
      </w:r>
    </w:p>
    <w:p w14:paraId="25097F67" w14:textId="77777777" w:rsidR="005A3560" w:rsidRPr="00B479AE" w:rsidRDefault="005A3560" w:rsidP="00EB0717">
      <w:pPr>
        <w:spacing w:line="360" w:lineRule="auto"/>
        <w:rPr>
          <w:rFonts w:ascii="Baskerville Old Face" w:hAnsi="Baskerville Old Face"/>
          <w:i/>
          <w:iCs/>
        </w:rPr>
      </w:pPr>
    </w:p>
    <w:p w14:paraId="79F030C2" w14:textId="77777777" w:rsidR="005A3560" w:rsidRPr="00B479AE" w:rsidRDefault="005A3560" w:rsidP="00EB0717">
      <w:pPr>
        <w:spacing w:line="360" w:lineRule="auto"/>
        <w:rPr>
          <w:rFonts w:ascii="Baskerville Old Face" w:hAnsi="Baskerville Old Face"/>
          <w:i/>
          <w:iCs/>
        </w:rPr>
      </w:pPr>
    </w:p>
    <w:p w14:paraId="15C2C5C2" w14:textId="77777777" w:rsidR="005A3560" w:rsidRPr="00B479AE" w:rsidRDefault="005A3560" w:rsidP="00EB071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2838"/>
        <w:gridCol w:w="2504"/>
        <w:gridCol w:w="3057"/>
      </w:tblGrid>
      <w:tr w:rsidR="00EB0717" w:rsidRPr="00B479AE" w14:paraId="31C1D91C" w14:textId="77777777" w:rsidTr="00410962">
        <w:trPr>
          <w:tblHeader/>
          <w:tblCellSpacing w:w="15" w:type="dxa"/>
        </w:trPr>
        <w:tc>
          <w:tcPr>
            <w:tcW w:w="0" w:type="auto"/>
            <w:vAlign w:val="center"/>
            <w:hideMark/>
          </w:tcPr>
          <w:p w14:paraId="10C2095A"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Circle level</w:t>
            </w:r>
          </w:p>
        </w:tc>
        <w:tc>
          <w:tcPr>
            <w:tcW w:w="0" w:type="auto"/>
            <w:vAlign w:val="center"/>
            <w:hideMark/>
          </w:tcPr>
          <w:p w14:paraId="7EED70AC"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Domain</w:t>
            </w:r>
          </w:p>
        </w:tc>
        <w:tc>
          <w:tcPr>
            <w:tcW w:w="0" w:type="auto"/>
            <w:vAlign w:val="center"/>
            <w:hideMark/>
          </w:tcPr>
          <w:p w14:paraId="7608726A"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Composition</w:t>
            </w:r>
          </w:p>
        </w:tc>
        <w:tc>
          <w:tcPr>
            <w:tcW w:w="0" w:type="auto"/>
            <w:vAlign w:val="center"/>
            <w:hideMark/>
          </w:tcPr>
          <w:p w14:paraId="3D1A3722"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Double-linking</w:t>
            </w:r>
          </w:p>
        </w:tc>
      </w:tr>
      <w:tr w:rsidR="00EB0717" w:rsidRPr="00B479AE" w14:paraId="239AE656" w14:textId="77777777" w:rsidTr="00410962">
        <w:trPr>
          <w:tblCellSpacing w:w="15" w:type="dxa"/>
        </w:trPr>
        <w:tc>
          <w:tcPr>
            <w:tcW w:w="0" w:type="auto"/>
            <w:vAlign w:val="center"/>
            <w:hideMark/>
          </w:tcPr>
          <w:p w14:paraId="74B2E52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Stewardship circle</w:t>
            </w:r>
          </w:p>
        </w:tc>
        <w:tc>
          <w:tcPr>
            <w:tcW w:w="0" w:type="auto"/>
            <w:vAlign w:val="center"/>
            <w:hideMark/>
          </w:tcPr>
          <w:p w14:paraId="0E0D1AA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Personal regenerative practice, local stewardship, OHE support, operational participation, local evidence context</w:t>
            </w:r>
          </w:p>
        </w:tc>
        <w:tc>
          <w:tcPr>
            <w:tcW w:w="0" w:type="auto"/>
            <w:vAlign w:val="center"/>
            <w:hideMark/>
          </w:tcPr>
          <w:p w14:paraId="27C42F4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Individual agents, families, local stewards, project contributors</w:t>
            </w:r>
          </w:p>
        </w:tc>
        <w:tc>
          <w:tcPr>
            <w:tcW w:w="0" w:type="auto"/>
            <w:vAlign w:val="center"/>
            <w:hideMark/>
          </w:tcPr>
          <w:p w14:paraId="2C5713A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Elects delegate to Community circle</w:t>
            </w:r>
          </w:p>
        </w:tc>
      </w:tr>
      <w:tr w:rsidR="00EB0717" w:rsidRPr="00B479AE" w14:paraId="76B99635" w14:textId="77777777" w:rsidTr="00410962">
        <w:trPr>
          <w:tblCellSpacing w:w="15" w:type="dxa"/>
        </w:trPr>
        <w:tc>
          <w:tcPr>
            <w:tcW w:w="0" w:type="auto"/>
            <w:vAlign w:val="center"/>
            <w:hideMark/>
          </w:tcPr>
          <w:p w14:paraId="088328D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Community circle</w:t>
            </w:r>
          </w:p>
        </w:tc>
        <w:tc>
          <w:tcPr>
            <w:tcW w:w="0" w:type="auto"/>
            <w:vAlign w:val="center"/>
            <w:hideMark/>
          </w:tcPr>
          <w:p w14:paraId="2AC2916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Local projects, mutual support, community governance, local MRV coordination, operational review</w:t>
            </w:r>
          </w:p>
        </w:tc>
        <w:tc>
          <w:tcPr>
            <w:tcW w:w="0" w:type="auto"/>
            <w:vAlign w:val="center"/>
            <w:hideMark/>
          </w:tcPr>
          <w:p w14:paraId="0550F95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Representatives from Stewardship circles</w:t>
            </w:r>
          </w:p>
        </w:tc>
        <w:tc>
          <w:tcPr>
            <w:tcW w:w="0" w:type="auto"/>
            <w:vAlign w:val="center"/>
            <w:hideMark/>
          </w:tcPr>
          <w:p w14:paraId="0E79EE5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Double-linked to Bioregional circle</w:t>
            </w:r>
          </w:p>
        </w:tc>
      </w:tr>
      <w:tr w:rsidR="00EB0717" w:rsidRPr="00B479AE" w14:paraId="0161C0F3" w14:textId="77777777" w:rsidTr="00410962">
        <w:trPr>
          <w:tblCellSpacing w:w="15" w:type="dxa"/>
        </w:trPr>
        <w:tc>
          <w:tcPr>
            <w:tcW w:w="0" w:type="auto"/>
            <w:vAlign w:val="center"/>
            <w:hideMark/>
          </w:tcPr>
          <w:p w14:paraId="48C4733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Bioregional circle</w:t>
            </w:r>
          </w:p>
        </w:tc>
        <w:tc>
          <w:tcPr>
            <w:tcW w:w="0" w:type="auto"/>
            <w:vAlign w:val="center"/>
            <w:hideMark/>
          </w:tcPr>
          <w:p w14:paraId="338466C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Cross-community coordination, resource allocation, territorial strategy, watershed or bioregional coherence, shared infrastructure</w:t>
            </w:r>
          </w:p>
        </w:tc>
        <w:tc>
          <w:tcPr>
            <w:tcW w:w="0" w:type="auto"/>
            <w:vAlign w:val="center"/>
            <w:hideMark/>
          </w:tcPr>
          <w:p w14:paraId="7967FF2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Delegates from Community circles</w:t>
            </w:r>
          </w:p>
        </w:tc>
        <w:tc>
          <w:tcPr>
            <w:tcW w:w="0" w:type="auto"/>
            <w:vAlign w:val="center"/>
            <w:hideMark/>
          </w:tcPr>
          <w:p w14:paraId="25B3E4E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Double-linked to Prometheus circle</w:t>
            </w:r>
          </w:p>
        </w:tc>
      </w:tr>
      <w:tr w:rsidR="00EB0717" w:rsidRPr="00B479AE" w14:paraId="47E55F90" w14:textId="77777777" w:rsidTr="00410962">
        <w:trPr>
          <w:tblCellSpacing w:w="15" w:type="dxa"/>
        </w:trPr>
        <w:tc>
          <w:tcPr>
            <w:tcW w:w="0" w:type="auto"/>
            <w:vAlign w:val="center"/>
            <w:hideMark/>
          </w:tcPr>
          <w:p w14:paraId="1E33D8E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Prometheus circle</w:t>
            </w:r>
          </w:p>
        </w:tc>
        <w:tc>
          <w:tcPr>
            <w:tcW w:w="0" w:type="auto"/>
            <w:vAlign w:val="center"/>
            <w:hideMark/>
          </w:tcPr>
          <w:p w14:paraId="46142F3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maintenance, source-layer interpretation, protocol evolution, canonical definitions, protected-domain review</w:t>
            </w:r>
          </w:p>
        </w:tc>
        <w:tc>
          <w:tcPr>
            <w:tcW w:w="0" w:type="auto"/>
            <w:vAlign w:val="center"/>
            <w:hideMark/>
          </w:tcPr>
          <w:p w14:paraId="0F634F0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Representatives from bioregional circles, protocol stewards, and defined governance participants</w:t>
            </w:r>
          </w:p>
        </w:tc>
        <w:tc>
          <w:tcPr>
            <w:tcW w:w="0" w:type="auto"/>
            <w:vAlign w:val="center"/>
            <w:hideMark/>
          </w:tcPr>
          <w:p w14:paraId="6FDB374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Ultimate review circle within the governance architecture; subject to constitutional constraints, transparency, recall, and source-layer non-</w:t>
            </w:r>
            <w:proofErr w:type="spellStart"/>
            <w:r w:rsidRPr="00B479AE">
              <w:rPr>
                <w:rFonts w:ascii="Baskerville Old Face" w:hAnsi="Baskerville Old Face"/>
                <w:i/>
                <w:iCs/>
                <w:sz w:val="22"/>
                <w:szCs w:val="22"/>
              </w:rPr>
              <w:t>bypassability</w:t>
            </w:r>
            <w:proofErr w:type="spellEnd"/>
          </w:p>
        </w:tc>
      </w:tr>
    </w:tbl>
    <w:p w14:paraId="458FE204" w14:textId="6C296629"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Role definitions within each circle:</w:t>
      </w:r>
      <w:r w:rsidR="005A3560" w:rsidRPr="00B479AE">
        <w:rPr>
          <w:rFonts w:ascii="Baskerville Old Face" w:hAnsi="Baskerville Old Face"/>
          <w:i/>
          <w:iCs/>
        </w:rPr>
        <w:t xml:space="preserve"> </w:t>
      </w:r>
    </w:p>
    <w:p w14:paraId="5D5DEE54" w14:textId="77777777" w:rsidR="005A3560" w:rsidRPr="00B479AE" w:rsidRDefault="005A3560" w:rsidP="00EB0717">
      <w:pPr>
        <w:spacing w:line="360" w:lineRule="auto"/>
        <w:rPr>
          <w:rFonts w:ascii="Baskerville Old Face" w:hAnsi="Baskerville Old Face"/>
          <w:i/>
          <w:iCs/>
        </w:rPr>
      </w:pPr>
    </w:p>
    <w:p w14:paraId="7861A9B2" w14:textId="77777777" w:rsidR="005A3560" w:rsidRPr="00B479AE" w:rsidRDefault="005A3560" w:rsidP="00EB0717">
      <w:pPr>
        <w:spacing w:line="360" w:lineRule="auto"/>
        <w:rPr>
          <w:rFonts w:ascii="Baskerville Old Face" w:hAnsi="Baskerville Old Face"/>
          <w:i/>
          <w:iCs/>
        </w:rPr>
      </w:pPr>
    </w:p>
    <w:p w14:paraId="0F5EDCBF" w14:textId="77777777" w:rsidR="005A3560" w:rsidRPr="00B479AE" w:rsidRDefault="005A3560" w:rsidP="00EB0717">
      <w:pPr>
        <w:spacing w:line="360" w:lineRule="auto"/>
        <w:rPr>
          <w:rFonts w:ascii="Baskerville Old Face" w:hAnsi="Baskerville Old Face"/>
          <w:i/>
          <w:iCs/>
        </w:rPr>
      </w:pPr>
    </w:p>
    <w:p w14:paraId="5A8E0715" w14:textId="77777777" w:rsidR="005A3560" w:rsidRPr="00B479AE" w:rsidRDefault="005A3560" w:rsidP="00EB071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4749"/>
        <w:gridCol w:w="1910"/>
        <w:gridCol w:w="1514"/>
      </w:tblGrid>
      <w:tr w:rsidR="00EB0717" w:rsidRPr="00B479AE" w14:paraId="27880F03" w14:textId="77777777" w:rsidTr="00410962">
        <w:trPr>
          <w:tblHeader/>
          <w:tblCellSpacing w:w="15" w:type="dxa"/>
        </w:trPr>
        <w:tc>
          <w:tcPr>
            <w:tcW w:w="0" w:type="auto"/>
            <w:vAlign w:val="center"/>
            <w:hideMark/>
          </w:tcPr>
          <w:p w14:paraId="3BDE90F7"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Role</w:t>
            </w:r>
          </w:p>
        </w:tc>
        <w:tc>
          <w:tcPr>
            <w:tcW w:w="0" w:type="auto"/>
            <w:vAlign w:val="center"/>
            <w:hideMark/>
          </w:tcPr>
          <w:p w14:paraId="646C2194"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Responsibilities</w:t>
            </w:r>
          </w:p>
        </w:tc>
        <w:tc>
          <w:tcPr>
            <w:tcW w:w="0" w:type="auto"/>
            <w:vAlign w:val="center"/>
            <w:hideMark/>
          </w:tcPr>
          <w:p w14:paraId="23512068"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Selection method</w:t>
            </w:r>
          </w:p>
        </w:tc>
        <w:tc>
          <w:tcPr>
            <w:tcW w:w="0" w:type="auto"/>
            <w:vAlign w:val="center"/>
            <w:hideMark/>
          </w:tcPr>
          <w:p w14:paraId="7A54EFFF"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Term</w:t>
            </w:r>
          </w:p>
        </w:tc>
      </w:tr>
      <w:tr w:rsidR="00EB0717" w:rsidRPr="00B479AE" w14:paraId="2838FD98" w14:textId="77777777" w:rsidTr="00410962">
        <w:trPr>
          <w:tblCellSpacing w:w="15" w:type="dxa"/>
        </w:trPr>
        <w:tc>
          <w:tcPr>
            <w:tcW w:w="0" w:type="auto"/>
            <w:vAlign w:val="center"/>
            <w:hideMark/>
          </w:tcPr>
          <w:p w14:paraId="29B4A5D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Facilitator</w:t>
            </w:r>
          </w:p>
        </w:tc>
        <w:tc>
          <w:tcPr>
            <w:tcW w:w="0" w:type="auto"/>
            <w:vAlign w:val="center"/>
            <w:hideMark/>
          </w:tcPr>
          <w:p w14:paraId="124B8C2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Guides meetings, protects consent process, maintains circle focus, supports inclusive deliberation</w:t>
            </w:r>
          </w:p>
        </w:tc>
        <w:tc>
          <w:tcPr>
            <w:tcW w:w="0" w:type="auto"/>
            <w:vAlign w:val="center"/>
            <w:hideMark/>
          </w:tcPr>
          <w:p w14:paraId="774C02CA"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Sociocratic</w:t>
            </w:r>
            <w:proofErr w:type="spellEnd"/>
            <w:r w:rsidRPr="00B479AE">
              <w:rPr>
                <w:rFonts w:ascii="Baskerville Old Face" w:hAnsi="Baskerville Old Face"/>
                <w:i/>
                <w:iCs/>
                <w:sz w:val="22"/>
                <w:szCs w:val="22"/>
              </w:rPr>
              <w:t xml:space="preserve"> election based on consent</w:t>
            </w:r>
          </w:p>
        </w:tc>
        <w:tc>
          <w:tcPr>
            <w:tcW w:w="0" w:type="auto"/>
            <w:vAlign w:val="center"/>
            <w:hideMark/>
          </w:tcPr>
          <w:p w14:paraId="3A13E4B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12 months, renewable</w:t>
            </w:r>
          </w:p>
        </w:tc>
      </w:tr>
      <w:tr w:rsidR="00EB0717" w:rsidRPr="00B479AE" w14:paraId="4E456671" w14:textId="77777777" w:rsidTr="00410962">
        <w:trPr>
          <w:tblCellSpacing w:w="15" w:type="dxa"/>
        </w:trPr>
        <w:tc>
          <w:tcPr>
            <w:tcW w:w="0" w:type="auto"/>
            <w:vAlign w:val="center"/>
            <w:hideMark/>
          </w:tcPr>
          <w:p w14:paraId="2D6578E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Secretary</w:t>
            </w:r>
          </w:p>
        </w:tc>
        <w:tc>
          <w:tcPr>
            <w:tcW w:w="0" w:type="auto"/>
            <w:vAlign w:val="center"/>
            <w:hideMark/>
          </w:tcPr>
          <w:p w14:paraId="28DBF0B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Maintains records, documents decisions, preserves governance artifacts, tracks proposal history</w:t>
            </w:r>
          </w:p>
        </w:tc>
        <w:tc>
          <w:tcPr>
            <w:tcW w:w="0" w:type="auto"/>
            <w:vAlign w:val="center"/>
            <w:hideMark/>
          </w:tcPr>
          <w:p w14:paraId="18AF4CB1"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Sociocratic</w:t>
            </w:r>
            <w:proofErr w:type="spellEnd"/>
            <w:r w:rsidRPr="00B479AE">
              <w:rPr>
                <w:rFonts w:ascii="Baskerville Old Face" w:hAnsi="Baskerville Old Face"/>
                <w:i/>
                <w:iCs/>
                <w:sz w:val="22"/>
                <w:szCs w:val="22"/>
              </w:rPr>
              <w:t xml:space="preserve"> election based on consent</w:t>
            </w:r>
          </w:p>
        </w:tc>
        <w:tc>
          <w:tcPr>
            <w:tcW w:w="0" w:type="auto"/>
            <w:vAlign w:val="center"/>
            <w:hideMark/>
          </w:tcPr>
          <w:p w14:paraId="181DE77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12 months, renewable</w:t>
            </w:r>
          </w:p>
        </w:tc>
      </w:tr>
      <w:tr w:rsidR="00EB0717" w:rsidRPr="00B479AE" w14:paraId="5FF2BD21" w14:textId="77777777" w:rsidTr="00410962">
        <w:trPr>
          <w:tblCellSpacing w:w="15" w:type="dxa"/>
        </w:trPr>
        <w:tc>
          <w:tcPr>
            <w:tcW w:w="0" w:type="auto"/>
            <w:vAlign w:val="center"/>
            <w:hideMark/>
          </w:tcPr>
          <w:p w14:paraId="5777EF5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Delegate to parent circle</w:t>
            </w:r>
          </w:p>
        </w:tc>
        <w:tc>
          <w:tcPr>
            <w:tcW w:w="0" w:type="auto"/>
            <w:vAlign w:val="center"/>
            <w:hideMark/>
          </w:tcPr>
          <w:p w14:paraId="2F24D05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Represents circle context in the higher-level circle and brings information back to the originating circle</w:t>
            </w:r>
          </w:p>
        </w:tc>
        <w:tc>
          <w:tcPr>
            <w:tcW w:w="0" w:type="auto"/>
            <w:vAlign w:val="center"/>
            <w:hideMark/>
          </w:tcPr>
          <w:p w14:paraId="3259723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Elected by circle members through consent</w:t>
            </w:r>
          </w:p>
        </w:tc>
        <w:tc>
          <w:tcPr>
            <w:tcW w:w="0" w:type="auto"/>
            <w:vAlign w:val="center"/>
            <w:hideMark/>
          </w:tcPr>
          <w:p w14:paraId="2C80B02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12 months, renewable</w:t>
            </w:r>
          </w:p>
        </w:tc>
      </w:tr>
      <w:tr w:rsidR="00EB0717" w:rsidRPr="00B479AE" w14:paraId="4E326EE1" w14:textId="77777777" w:rsidTr="00410962">
        <w:trPr>
          <w:tblCellSpacing w:w="15" w:type="dxa"/>
        </w:trPr>
        <w:tc>
          <w:tcPr>
            <w:tcW w:w="0" w:type="auto"/>
            <w:vAlign w:val="center"/>
            <w:hideMark/>
          </w:tcPr>
          <w:p w14:paraId="7E4E899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Operational roles</w:t>
            </w:r>
          </w:p>
        </w:tc>
        <w:tc>
          <w:tcPr>
            <w:tcW w:w="0" w:type="auto"/>
            <w:vAlign w:val="center"/>
            <w:hideMark/>
          </w:tcPr>
          <w:p w14:paraId="2600F6D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Project-specific responsibilities, such as treasurer, MRV coordinator, validator, steward, technical maintainer, data-room custodian, or reporting lead</w:t>
            </w:r>
          </w:p>
        </w:tc>
        <w:tc>
          <w:tcPr>
            <w:tcW w:w="0" w:type="auto"/>
            <w:vAlign w:val="center"/>
            <w:hideMark/>
          </w:tcPr>
          <w:p w14:paraId="0E0B5F1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Created as needed through circle governance</w:t>
            </w:r>
          </w:p>
        </w:tc>
        <w:tc>
          <w:tcPr>
            <w:tcW w:w="0" w:type="auto"/>
            <w:vAlign w:val="center"/>
            <w:hideMark/>
          </w:tcPr>
          <w:p w14:paraId="654CCBC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Variable</w:t>
            </w:r>
          </w:p>
        </w:tc>
      </w:tr>
      <w:tr w:rsidR="00EB0717" w:rsidRPr="00B479AE" w14:paraId="4E1196B2" w14:textId="77777777" w:rsidTr="00410962">
        <w:trPr>
          <w:tblCellSpacing w:w="15" w:type="dxa"/>
        </w:trPr>
        <w:tc>
          <w:tcPr>
            <w:tcW w:w="0" w:type="auto"/>
            <w:vAlign w:val="center"/>
            <w:hideMark/>
          </w:tcPr>
          <w:p w14:paraId="7FD4828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Protocol steward</w:t>
            </w:r>
          </w:p>
        </w:tc>
        <w:tc>
          <w:tcPr>
            <w:tcW w:w="0" w:type="auto"/>
            <w:vAlign w:val="center"/>
            <w:hideMark/>
          </w:tcPr>
          <w:p w14:paraId="16A1731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source-layer fidelity, methodology coherence, protected terminology, release alignment, and boundary discipline</w:t>
            </w:r>
          </w:p>
        </w:tc>
        <w:tc>
          <w:tcPr>
            <w:tcW w:w="0" w:type="auto"/>
            <w:vAlign w:val="center"/>
            <w:hideMark/>
          </w:tcPr>
          <w:p w14:paraId="4AC98D7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Selected under defined governance process</w:t>
            </w:r>
          </w:p>
        </w:tc>
        <w:tc>
          <w:tcPr>
            <w:tcW w:w="0" w:type="auto"/>
            <w:vAlign w:val="center"/>
            <w:hideMark/>
          </w:tcPr>
          <w:p w14:paraId="314563C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Defined by governance rules</w:t>
            </w:r>
          </w:p>
        </w:tc>
      </w:tr>
    </w:tbl>
    <w:p w14:paraId="13CEF67F"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I-A.2 Decision processes</w:t>
      </w:r>
    </w:p>
    <w:p w14:paraId="05D312B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DNA may support multiple decision-making protocols, selected by the relevant circle according to the nature, risk, and scope of the decision.</w:t>
      </w:r>
    </w:p>
    <w:p w14:paraId="0D81F99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No decision process should bypass the source layer, human dignity, MRV discipline, legal review, public-claim boundaries, investor-facing safeguards, or protected-domain review.</w:t>
      </w:r>
    </w:p>
    <w:p w14:paraId="4E518434"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I-A.2.1 Consent as default governance protocol</w:t>
      </w:r>
    </w:p>
    <w:p w14:paraId="2849910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Consent is the standard decision protocol for ordinary governance matters.</w:t>
      </w:r>
    </w:p>
    <w:p w14:paraId="294CFCE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proposal is adopted when no circle member has a reasoned and paramount objection.</w:t>
      </w:r>
    </w:p>
    <w:p w14:paraId="098FEBF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reasoned and paramount objection is an evidence-based concern that the proposal may harm the circle’s ability to achieve its purpose, violate source-layer principles, create material risk, or exceed the circle’s authority.</w:t>
      </w:r>
    </w:p>
    <w:p w14:paraId="715C0A5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Process flow:</w:t>
      </w:r>
    </w:p>
    <w:p w14:paraId="7306955B"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lastRenderedPageBreak/>
        <w:t>Proposal is formulated and published with sufficient context, scope, rationale, and review period.</w:t>
      </w:r>
    </w:p>
    <w:p w14:paraId="5E9CC2C3"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t>Facilitator confirms the decision domain and applicable review pathway.</w:t>
      </w:r>
    </w:p>
    <w:p w14:paraId="3EE892AC"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t>Members may state consent, stand aside, or objection.</w:t>
      </w:r>
    </w:p>
    <w:p w14:paraId="7B4FB689"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t>Objections are explored, documented, and integrated where possible.</w:t>
      </w:r>
    </w:p>
    <w:p w14:paraId="3C1A8EBF"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t>Modified proposal returns for renewed consent.</w:t>
      </w:r>
    </w:p>
    <w:p w14:paraId="61E2FB4B"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t>If no unresolved reasoned and paramount objection remains, the proposal passes.</w:t>
      </w:r>
    </w:p>
    <w:p w14:paraId="5BCF5824" w14:textId="77777777" w:rsidR="00EB0717" w:rsidRPr="00B479AE" w:rsidRDefault="00EB0717">
      <w:pPr>
        <w:numPr>
          <w:ilvl w:val="0"/>
          <w:numId w:val="21"/>
        </w:numPr>
        <w:spacing w:line="360" w:lineRule="auto"/>
        <w:rPr>
          <w:rFonts w:ascii="Baskerville Old Face" w:hAnsi="Baskerville Old Face"/>
          <w:i/>
          <w:iCs/>
        </w:rPr>
      </w:pPr>
      <w:r w:rsidRPr="00B479AE">
        <w:rPr>
          <w:rFonts w:ascii="Baskerville Old Face" w:hAnsi="Baskerville Old Face"/>
          <w:i/>
          <w:iCs/>
        </w:rPr>
        <w:t>The decision is recorded with scope, date, participants, rationale, objections, modifications, and implementation status.</w:t>
      </w:r>
    </w:p>
    <w:p w14:paraId="3C754C7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Technical implementation example:</w:t>
      </w:r>
    </w:p>
    <w:p w14:paraId="7B0481C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struct </w:t>
      </w:r>
      <w:proofErr w:type="spellStart"/>
      <w:r w:rsidRPr="00B479AE">
        <w:rPr>
          <w:rFonts w:ascii="Baskerville Old Face" w:hAnsi="Baskerville Old Face"/>
          <w:i/>
          <w:iCs/>
        </w:rPr>
        <w:t>ConsentVote</w:t>
      </w:r>
      <w:proofErr w:type="spellEnd"/>
      <w:r w:rsidRPr="00B479AE">
        <w:rPr>
          <w:rFonts w:ascii="Baskerville Old Face" w:hAnsi="Baskerville Old Face"/>
          <w:i/>
          <w:iCs/>
        </w:rPr>
        <w:t xml:space="preserve"> {</w:t>
      </w:r>
    </w:p>
    <w:p w14:paraId="76F44AE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proposal_id</w:t>
      </w:r>
      <w:proofErr w:type="spellEnd"/>
      <w:r w:rsidRPr="00B479AE">
        <w:rPr>
          <w:rFonts w:ascii="Baskerville Old Face" w:hAnsi="Baskerville Old Face"/>
          <w:i/>
          <w:iCs/>
        </w:rPr>
        <w:t>: Hash,</w:t>
      </w:r>
    </w:p>
    <w:p w14:paraId="14EA20A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member_id</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AgentPubKey</w:t>
      </w:r>
      <w:proofErr w:type="spellEnd"/>
      <w:r w:rsidRPr="00B479AE">
        <w:rPr>
          <w:rFonts w:ascii="Baskerville Old Face" w:hAnsi="Baskerville Old Face"/>
          <w:i/>
          <w:iCs/>
        </w:rPr>
        <w:t>,</w:t>
      </w:r>
    </w:p>
    <w:p w14:paraId="74F3DBC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decision: </w:t>
      </w:r>
      <w:proofErr w:type="spellStart"/>
      <w:r w:rsidRPr="00B479AE">
        <w:rPr>
          <w:rFonts w:ascii="Baskerville Old Face" w:hAnsi="Baskerville Old Face"/>
          <w:i/>
          <w:iCs/>
        </w:rPr>
        <w:t>ConsentDecision</w:t>
      </w:r>
      <w:proofErr w:type="spellEnd"/>
      <w:r w:rsidRPr="00B479AE">
        <w:rPr>
          <w:rFonts w:ascii="Baskerville Old Face" w:hAnsi="Baskerville Old Face"/>
          <w:i/>
          <w:iCs/>
        </w:rPr>
        <w:t xml:space="preserve">, // Consent, </w:t>
      </w:r>
      <w:proofErr w:type="spellStart"/>
      <w:r w:rsidRPr="00B479AE">
        <w:rPr>
          <w:rFonts w:ascii="Baskerville Old Face" w:hAnsi="Baskerville Old Face"/>
          <w:i/>
          <w:iCs/>
        </w:rPr>
        <w:t>StandAside</w:t>
      </w:r>
      <w:proofErr w:type="spellEnd"/>
      <w:r w:rsidRPr="00B479AE">
        <w:rPr>
          <w:rFonts w:ascii="Baskerville Old Face" w:hAnsi="Baskerville Old Face"/>
          <w:i/>
          <w:iCs/>
        </w:rPr>
        <w:t>, Objection</w:t>
      </w:r>
    </w:p>
    <w:p w14:paraId="4A42EF6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objection_reason</w:t>
      </w:r>
      <w:proofErr w:type="spellEnd"/>
      <w:r w:rsidRPr="00B479AE">
        <w:rPr>
          <w:rFonts w:ascii="Baskerville Old Face" w:hAnsi="Baskerville Old Face"/>
          <w:i/>
          <w:iCs/>
        </w:rPr>
        <w:t>: Option&lt;String&gt;,</w:t>
      </w:r>
    </w:p>
    <w:p w14:paraId="04E63BC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timestamp: Timestamp,</w:t>
      </w:r>
    </w:p>
    <w:p w14:paraId="0F8FE51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signature: Signature</w:t>
      </w:r>
    </w:p>
    <w:p w14:paraId="1E55364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460FB967"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I-A.2.2 Consent with reputation-informed context</w:t>
      </w:r>
    </w:p>
    <w:p w14:paraId="6448711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For certain operational decisions, a circle may choose to consider reputation signals as non-binding contextual inputs.</w:t>
      </w:r>
    </w:p>
    <w:p w14:paraId="4A26926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Reputation may inform role suitability, contribution history, reliability context, and participation maturity.</w:t>
      </w:r>
    </w:p>
    <w:p w14:paraId="44CB9BF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It should not automatically determine consent, override objections, create token authority, exclude participants, or convert governance into weighted plutocracy.</w:t>
      </w:r>
    </w:p>
    <w:p w14:paraId="522A1F3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Where reputation-informed context is used, the circle should define:</w:t>
      </w:r>
    </w:p>
    <w:p w14:paraId="34FBDFA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the decision scope;</w:t>
      </w:r>
    </w:p>
    <w:p w14:paraId="3DBF509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the reputation dimensions considered;</w:t>
      </w:r>
    </w:p>
    <w:p w14:paraId="6F82E18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reputation is advisory or operationally relevant;</w:t>
      </w:r>
    </w:p>
    <w:p w14:paraId="0B12045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the privacy and disclosure boundaries;</w:t>
      </w:r>
    </w:p>
    <w:p w14:paraId="4D3DDF8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the appeal or correction pathway;</w:t>
      </w:r>
    </w:p>
    <w:p w14:paraId="59B4973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the protected-domain review requirements.</w:t>
      </w:r>
    </w:p>
    <w:p w14:paraId="001A88D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Reputation-informed decision support may be appropriate for operational roles, technical maintenance, validator eligibility, steward responsibility, or contribution recognition.</w:t>
      </w:r>
    </w:p>
    <w:p w14:paraId="14FFF10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not be used to decide human worth, ecological truth, PRU value analysis, investor rights, constitutional amendments, legal rights, medical claims, public certification, or source-layer changes.</w:t>
      </w:r>
    </w:p>
    <w:p w14:paraId="39CF56DE"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I-A.2.3 Scenario-Informed Governance Research</w:t>
      </w:r>
    </w:p>
    <w:p w14:paraId="62444E0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For complex, high-stakes decisions, a circle may use scenario analysis, forecasting tools, prediction-market research, probabilistic modeling, AI-assisted comparison, stress testing, or risk simulations as non-binding decision-support inputs.</w:t>
      </w:r>
    </w:p>
    <w:p w14:paraId="71717A1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These tools may inform deliberation, surface assumptions, identify downside cases, and improve risk awareness.</w:t>
      </w:r>
    </w:p>
    <w:p w14:paraId="2965BC9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They may not determine constitutional interpretation, MRV admissibility, legal rights, investor exposure, human dignity, source-layer constraints, public-claim boundaries, or protected-domain decisions.</w:t>
      </w:r>
    </w:p>
    <w:p w14:paraId="3F01C16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Scenario tools support judgment.</w:t>
      </w:r>
    </w:p>
    <w:p w14:paraId="41657B9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They do not replace judgment.</w:t>
      </w:r>
    </w:p>
    <w:p w14:paraId="1C41071A" w14:textId="77777777" w:rsidR="00410962" w:rsidRPr="00B479AE" w:rsidRDefault="00410962" w:rsidP="00EB0717">
      <w:pPr>
        <w:spacing w:line="360" w:lineRule="auto"/>
        <w:rPr>
          <w:rFonts w:ascii="Baskerville Old Face" w:hAnsi="Baskerville Old Face"/>
          <w:i/>
          <w:iCs/>
        </w:rPr>
      </w:pPr>
    </w:p>
    <w:p w14:paraId="6D43FECA"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lastRenderedPageBreak/>
        <w:t>I-A.2.4 Constitutional amendments and source-layer review</w:t>
      </w:r>
    </w:p>
    <w:p w14:paraId="6492738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Constitutional amendments must follow the constitutional review pathway defined by the source layer.</w:t>
      </w:r>
    </w:p>
    <w:p w14:paraId="616714D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Any amendment process must preserve:</w:t>
      </w:r>
    </w:p>
    <w:p w14:paraId="4A96DC7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foundational articles;</w:t>
      </w:r>
    </w:p>
    <w:p w14:paraId="1895683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Eternity Clauses;</w:t>
      </w:r>
    </w:p>
    <w:p w14:paraId="36CC311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Access Covenant;</w:t>
      </w:r>
    </w:p>
    <w:p w14:paraId="528520A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canonical glossary;</w:t>
      </w:r>
    </w:p>
    <w:p w14:paraId="58421E2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human dignity;</w:t>
      </w:r>
    </w:p>
    <w:p w14:paraId="7B8A96B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MRV discipline;</w:t>
      </w:r>
    </w:p>
    <w:p w14:paraId="0EC4528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legal boundaries;</w:t>
      </w:r>
    </w:p>
    <w:p w14:paraId="1C9DF3E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public-claim discipline;</w:t>
      </w:r>
    </w:p>
    <w:p w14:paraId="72A2EB5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no-double-counting controls;</w:t>
      </w:r>
    </w:p>
    <w:p w14:paraId="6F2B3D3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68D7AA3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protected-domain review.</w:t>
      </w:r>
    </w:p>
    <w:p w14:paraId="34A9CDF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Token participation may support bounded signaling, contribution recognition, or defined governance participation where legally and constitutionally appropriate.</w:t>
      </w:r>
    </w:p>
    <w:p w14:paraId="714FF36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may not create unilateral constitutional authority, sovereign veto power, financial override, ordinary bypass of source-layer constraints, or automatic amendment authority.</w:t>
      </w:r>
    </w:p>
    <w:p w14:paraId="23394209"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I-A.3 Reputation algorithms</w:t>
      </w:r>
    </w:p>
    <w:p w14:paraId="66A70CB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Reputation is a multidimensional, non-transferable, context-bound signal that tracks an agent’s history of contributions, reliability, review outcomes, and alignment with Prometheus governance discipline.</w:t>
      </w:r>
    </w:p>
    <w:p w14:paraId="31A094B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may inform:</w:t>
      </w:r>
    </w:p>
    <w:p w14:paraId="7875F31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contextual governance review;</w:t>
      </w:r>
    </w:p>
    <w:p w14:paraId="5FFBA58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role suitability;</w:t>
      </w:r>
    </w:p>
    <w:p w14:paraId="540AF72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contribution recognition;</w:t>
      </w:r>
    </w:p>
    <w:p w14:paraId="43B8605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stewardship reliability;</w:t>
      </w:r>
    </w:p>
    <w:p w14:paraId="1354ED4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validator eligibility;</w:t>
      </w:r>
    </w:p>
    <w:p w14:paraId="3C1EB5E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operational trust;</w:t>
      </w:r>
    </w:p>
    <w:p w14:paraId="0135FA6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access assessment within defined scope.</w:t>
      </w:r>
    </w:p>
    <w:p w14:paraId="0ED2EDF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does not create:</w:t>
      </w:r>
    </w:p>
    <w:p w14:paraId="4D002CA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automatic governance weight;</w:t>
      </w:r>
    </w:p>
    <w:p w14:paraId="1ABE7ED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human ranking;</w:t>
      </w:r>
    </w:p>
    <w:p w14:paraId="1914D0A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token authority;</w:t>
      </w:r>
    </w:p>
    <w:p w14:paraId="4E965D2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financial modulation;</w:t>
      </w:r>
    </w:p>
    <w:p w14:paraId="797FA47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role entitlement;</w:t>
      </w:r>
    </w:p>
    <w:p w14:paraId="30D61FA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investor rights;</w:t>
      </w:r>
    </w:p>
    <w:p w14:paraId="21895E8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PRU value;</w:t>
      </w:r>
    </w:p>
    <w:p w14:paraId="2DFD1DF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MRV validity;</w:t>
      </w:r>
    </w:p>
    <w:p w14:paraId="627459C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legal rights;</w:t>
      </w:r>
    </w:p>
    <w:p w14:paraId="24A55CE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source-layer authority.</w:t>
      </w:r>
    </w:p>
    <w:p w14:paraId="76EA889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Reputation is an integrity signal.</w:t>
      </w:r>
    </w:p>
    <w:p w14:paraId="1E873EA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is not a social-credit system.</w:t>
      </w:r>
    </w:p>
    <w:p w14:paraId="457A99C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is not a measure of human worth.</w:t>
      </w:r>
    </w:p>
    <w:p w14:paraId="52CCD1B7" w14:textId="77777777" w:rsidR="00410962" w:rsidRPr="00B479AE" w:rsidRDefault="00410962" w:rsidP="00EB0717">
      <w:pPr>
        <w:spacing w:line="360" w:lineRule="auto"/>
        <w:rPr>
          <w:rFonts w:ascii="Baskerville Old Face" w:hAnsi="Baskerville Old Face"/>
          <w:i/>
          <w:iCs/>
        </w:rPr>
      </w:pPr>
    </w:p>
    <w:p w14:paraId="1A166FA8" w14:textId="77777777" w:rsidR="00410962" w:rsidRPr="00B479AE" w:rsidRDefault="00410962" w:rsidP="00EB0717">
      <w:pPr>
        <w:spacing w:line="360" w:lineRule="auto"/>
        <w:rPr>
          <w:rFonts w:ascii="Baskerville Old Face" w:hAnsi="Baskerville Old Face"/>
          <w:i/>
          <w:iCs/>
        </w:rPr>
      </w:pPr>
    </w:p>
    <w:p w14:paraId="0B6B3C38"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lastRenderedPageBreak/>
        <w:t>I-A.3.1 Reputation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1"/>
        <w:gridCol w:w="1063"/>
        <w:gridCol w:w="3152"/>
        <w:gridCol w:w="1613"/>
        <w:gridCol w:w="2339"/>
      </w:tblGrid>
      <w:tr w:rsidR="00EB0717" w:rsidRPr="00B479AE" w14:paraId="17AEB40C" w14:textId="77777777" w:rsidTr="00410962">
        <w:trPr>
          <w:tblHeader/>
          <w:tblCellSpacing w:w="15" w:type="dxa"/>
        </w:trPr>
        <w:tc>
          <w:tcPr>
            <w:tcW w:w="0" w:type="auto"/>
            <w:vAlign w:val="center"/>
            <w:hideMark/>
          </w:tcPr>
          <w:p w14:paraId="2BF1F5A7"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Component</w:t>
            </w:r>
          </w:p>
        </w:tc>
        <w:tc>
          <w:tcPr>
            <w:tcW w:w="0" w:type="auto"/>
            <w:vAlign w:val="center"/>
            <w:hideMark/>
          </w:tcPr>
          <w:p w14:paraId="7C69E22E"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Indicative weight</w:t>
            </w:r>
          </w:p>
        </w:tc>
        <w:tc>
          <w:tcPr>
            <w:tcW w:w="0" w:type="auto"/>
            <w:vAlign w:val="center"/>
            <w:hideMark/>
          </w:tcPr>
          <w:p w14:paraId="0516E8BD"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Data source</w:t>
            </w:r>
          </w:p>
        </w:tc>
        <w:tc>
          <w:tcPr>
            <w:tcW w:w="0" w:type="auto"/>
            <w:vAlign w:val="center"/>
            <w:hideMark/>
          </w:tcPr>
          <w:p w14:paraId="5AEB4F09"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Update frequency</w:t>
            </w:r>
          </w:p>
        </w:tc>
        <w:tc>
          <w:tcPr>
            <w:tcW w:w="0" w:type="auto"/>
            <w:vAlign w:val="center"/>
            <w:hideMark/>
          </w:tcPr>
          <w:p w14:paraId="1043E4D7"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Boundary</w:t>
            </w:r>
          </w:p>
        </w:tc>
      </w:tr>
      <w:tr w:rsidR="00EB0717" w:rsidRPr="00B479AE" w14:paraId="0E0709F2" w14:textId="77777777" w:rsidTr="00410962">
        <w:trPr>
          <w:tblCellSpacing w:w="15" w:type="dxa"/>
        </w:trPr>
        <w:tc>
          <w:tcPr>
            <w:tcW w:w="0" w:type="auto"/>
            <w:vAlign w:val="center"/>
            <w:hideMark/>
          </w:tcPr>
          <w:p w14:paraId="243DDCB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Contribution Score</w:t>
            </w:r>
          </w:p>
        </w:tc>
        <w:tc>
          <w:tcPr>
            <w:tcW w:w="0" w:type="auto"/>
            <w:vAlign w:val="center"/>
            <w:hideMark/>
          </w:tcPr>
          <w:p w14:paraId="744946B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40%</w:t>
            </w:r>
          </w:p>
        </w:tc>
        <w:tc>
          <w:tcPr>
            <w:tcW w:w="0" w:type="auto"/>
            <w:vAlign w:val="center"/>
            <w:hideMark/>
          </w:tcPr>
          <w:p w14:paraId="3A2A224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REA events, completed commitments, verified project participation, documented stewardship</w:t>
            </w:r>
          </w:p>
        </w:tc>
        <w:tc>
          <w:tcPr>
            <w:tcW w:w="0" w:type="auto"/>
            <w:vAlign w:val="center"/>
            <w:hideMark/>
          </w:tcPr>
          <w:p w14:paraId="7D721BA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After relevant contribution records</w:t>
            </w:r>
          </w:p>
        </w:tc>
        <w:tc>
          <w:tcPr>
            <w:tcW w:w="0" w:type="auto"/>
            <w:vAlign w:val="center"/>
            <w:hideMark/>
          </w:tcPr>
          <w:p w14:paraId="1D9C3E1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Recognizes contribution; does not create entitlement</w:t>
            </w:r>
          </w:p>
        </w:tc>
      </w:tr>
      <w:tr w:rsidR="00EB0717" w:rsidRPr="00B479AE" w14:paraId="558EA20B" w14:textId="77777777" w:rsidTr="00410962">
        <w:trPr>
          <w:tblCellSpacing w:w="15" w:type="dxa"/>
        </w:trPr>
        <w:tc>
          <w:tcPr>
            <w:tcW w:w="0" w:type="auto"/>
            <w:vAlign w:val="center"/>
            <w:hideMark/>
          </w:tcPr>
          <w:p w14:paraId="3F15399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Reliability Score</w:t>
            </w:r>
          </w:p>
        </w:tc>
        <w:tc>
          <w:tcPr>
            <w:tcW w:w="0" w:type="auto"/>
            <w:vAlign w:val="center"/>
            <w:hideMark/>
          </w:tcPr>
          <w:p w14:paraId="2C503EC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30%</w:t>
            </w:r>
          </w:p>
        </w:tc>
        <w:tc>
          <w:tcPr>
            <w:tcW w:w="0" w:type="auto"/>
            <w:vAlign w:val="center"/>
            <w:hideMark/>
          </w:tcPr>
          <w:p w14:paraId="1D857D7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Commitments respected, commitments breached, remediation history, adverse integrity records</w:t>
            </w:r>
          </w:p>
        </w:tc>
        <w:tc>
          <w:tcPr>
            <w:tcW w:w="0" w:type="auto"/>
            <w:vAlign w:val="center"/>
            <w:hideMark/>
          </w:tcPr>
          <w:p w14:paraId="2529F20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After each relevant commitment</w:t>
            </w:r>
          </w:p>
        </w:tc>
        <w:tc>
          <w:tcPr>
            <w:tcW w:w="0" w:type="auto"/>
            <w:vAlign w:val="center"/>
            <w:hideMark/>
          </w:tcPr>
          <w:p w14:paraId="5537B7A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trust assessment; requires appeal and correction pathways</w:t>
            </w:r>
          </w:p>
        </w:tc>
      </w:tr>
      <w:tr w:rsidR="00EB0717" w:rsidRPr="00B479AE" w14:paraId="23508CD9" w14:textId="77777777" w:rsidTr="00410962">
        <w:trPr>
          <w:tblCellSpacing w:w="15" w:type="dxa"/>
        </w:trPr>
        <w:tc>
          <w:tcPr>
            <w:tcW w:w="0" w:type="auto"/>
            <w:vAlign w:val="center"/>
            <w:hideMark/>
          </w:tcPr>
          <w:p w14:paraId="5BEB684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 Participation</w:t>
            </w:r>
          </w:p>
        </w:tc>
        <w:tc>
          <w:tcPr>
            <w:tcW w:w="0" w:type="auto"/>
            <w:vAlign w:val="center"/>
            <w:hideMark/>
          </w:tcPr>
          <w:p w14:paraId="710CFF7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15%</w:t>
            </w:r>
          </w:p>
        </w:tc>
        <w:tc>
          <w:tcPr>
            <w:tcW w:w="0" w:type="auto"/>
            <w:vAlign w:val="center"/>
            <w:hideMark/>
          </w:tcPr>
          <w:p w14:paraId="1AB0E8C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Meeting participation, proposal quality, review contribution, circle attendance, constructive deliberation</w:t>
            </w:r>
          </w:p>
        </w:tc>
        <w:tc>
          <w:tcPr>
            <w:tcW w:w="0" w:type="auto"/>
            <w:vAlign w:val="center"/>
            <w:hideMark/>
          </w:tcPr>
          <w:p w14:paraId="0FDFA41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Per governance event</w:t>
            </w:r>
          </w:p>
        </w:tc>
        <w:tc>
          <w:tcPr>
            <w:tcW w:w="0" w:type="auto"/>
            <w:vAlign w:val="center"/>
            <w:hideMark/>
          </w:tcPr>
          <w:p w14:paraId="11A5DE5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governance maturity; not a voting-right guarantee</w:t>
            </w:r>
          </w:p>
        </w:tc>
      </w:tr>
      <w:tr w:rsidR="00EB0717" w:rsidRPr="00B479AE" w14:paraId="791CAB1B" w14:textId="77777777" w:rsidTr="00410962">
        <w:trPr>
          <w:tblCellSpacing w:w="15" w:type="dxa"/>
        </w:trPr>
        <w:tc>
          <w:tcPr>
            <w:tcW w:w="0" w:type="auto"/>
            <w:vAlign w:val="center"/>
            <w:hideMark/>
          </w:tcPr>
          <w:p w14:paraId="64382C5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Validation Accuracy</w:t>
            </w:r>
          </w:p>
        </w:tc>
        <w:tc>
          <w:tcPr>
            <w:tcW w:w="0" w:type="auto"/>
            <w:vAlign w:val="center"/>
            <w:hideMark/>
          </w:tcPr>
          <w:p w14:paraId="5A0AA2D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10%</w:t>
            </w:r>
          </w:p>
        </w:tc>
        <w:tc>
          <w:tcPr>
            <w:tcW w:w="0" w:type="auto"/>
            <w:vAlign w:val="center"/>
            <w:hideMark/>
          </w:tcPr>
          <w:p w14:paraId="651698C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MRV validation quality, review consistency, false-positive and false-negative history, audit alignment</w:t>
            </w:r>
          </w:p>
        </w:tc>
        <w:tc>
          <w:tcPr>
            <w:tcW w:w="0" w:type="auto"/>
            <w:vAlign w:val="center"/>
            <w:hideMark/>
          </w:tcPr>
          <w:p w14:paraId="2EF0EA3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Per validation or review event</w:t>
            </w:r>
          </w:p>
        </w:tc>
        <w:tc>
          <w:tcPr>
            <w:tcW w:w="0" w:type="auto"/>
            <w:vAlign w:val="center"/>
            <w:hideMark/>
          </w:tcPr>
          <w:p w14:paraId="6B56B9A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validator suitability; does not replace MRV methodology</w:t>
            </w:r>
          </w:p>
        </w:tc>
      </w:tr>
      <w:tr w:rsidR="00EB0717" w:rsidRPr="00B479AE" w14:paraId="7D9B00E2" w14:textId="77777777" w:rsidTr="00410962">
        <w:trPr>
          <w:tblCellSpacing w:w="15" w:type="dxa"/>
        </w:trPr>
        <w:tc>
          <w:tcPr>
            <w:tcW w:w="0" w:type="auto"/>
            <w:vAlign w:val="center"/>
            <w:hideMark/>
          </w:tcPr>
          <w:p w14:paraId="5BDD259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Coherence Context</w:t>
            </w:r>
          </w:p>
        </w:tc>
        <w:tc>
          <w:tcPr>
            <w:tcW w:w="0" w:type="auto"/>
            <w:vAlign w:val="center"/>
            <w:hideMark/>
          </w:tcPr>
          <w:p w14:paraId="4DF8ED2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5%</w:t>
            </w:r>
          </w:p>
        </w:tc>
        <w:tc>
          <w:tcPr>
            <w:tcW w:w="0" w:type="auto"/>
            <w:vAlign w:val="center"/>
            <w:hideMark/>
          </w:tcPr>
          <w:p w14:paraId="61AEA0F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Voluntary, aggregated, privacy-preserving HSI or self-reflection context where lawfully and explicitly consented</w:t>
            </w:r>
          </w:p>
        </w:tc>
        <w:tc>
          <w:tcPr>
            <w:tcW w:w="0" w:type="auto"/>
            <w:vAlign w:val="center"/>
            <w:hideMark/>
          </w:tcPr>
          <w:p w14:paraId="036245F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Periodic and optional</w:t>
            </w:r>
          </w:p>
        </w:tc>
        <w:tc>
          <w:tcPr>
            <w:tcW w:w="0" w:type="auto"/>
            <w:vAlign w:val="center"/>
            <w:hideMark/>
          </w:tcPr>
          <w:p w14:paraId="6C225EC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or reflection only; never human ranking or financial authority</w:t>
            </w:r>
          </w:p>
        </w:tc>
      </w:tr>
    </w:tbl>
    <w:p w14:paraId="3E7DE366"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I-A.3.2 Reputation calculation</w:t>
      </w:r>
    </w:p>
    <w:p w14:paraId="7E899F4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Reputation may be calculated locally by each node and shared through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under appropriate privacy and disclosure controls.</w:t>
      </w:r>
    </w:p>
    <w:p w14:paraId="00B0AE8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simplified formula may be expressed as:</w:t>
      </w:r>
    </w:p>
    <w:p w14:paraId="15253AF5" w14:textId="77777777" w:rsidR="00EB0717" w:rsidRPr="00B479AE" w:rsidRDefault="00EB0717" w:rsidP="00EB0717">
      <w:pPr>
        <w:spacing w:line="360" w:lineRule="auto"/>
        <w:rPr>
          <w:rFonts w:ascii="Baskerville Old Face" w:hAnsi="Baskerville Old Face"/>
          <w:i/>
          <w:iCs/>
        </w:rPr>
      </w:pPr>
      <w:proofErr w:type="spellStart"/>
      <w:r w:rsidRPr="00B479AE">
        <w:rPr>
          <w:rFonts w:ascii="Baskerville Old Face" w:hAnsi="Baskerville Old Face"/>
          <w:i/>
          <w:iCs/>
        </w:rPr>
        <w:t>R_total</w:t>
      </w:r>
      <w:proofErr w:type="spellEnd"/>
      <w:r w:rsidRPr="00B479AE">
        <w:rPr>
          <w:rFonts w:ascii="Baskerville Old Face" w:hAnsi="Baskerville Old Face"/>
          <w:i/>
          <w:iCs/>
        </w:rPr>
        <w:t xml:space="preserve"> = (</w:t>
      </w:r>
      <w:r w:rsidRPr="00B479AE">
        <w:rPr>
          <w:rFonts w:ascii="Cambria" w:hAnsi="Cambria" w:cs="Cambria"/>
          <w:i/>
          <w:iCs/>
        </w:rPr>
        <w:t>Σ</w:t>
      </w:r>
      <w:r w:rsidRPr="00B479AE">
        <w:rPr>
          <w:rFonts w:ascii="Baskerville Old Face" w:hAnsi="Baskerville Old Face"/>
          <w:i/>
          <w:iCs/>
        </w:rPr>
        <w:t xml:space="preserve"> </w:t>
      </w:r>
      <w:proofErr w:type="spellStart"/>
      <w:r w:rsidRPr="00B479AE">
        <w:rPr>
          <w:rFonts w:ascii="Baskerville Old Face" w:hAnsi="Baskerville Old Face"/>
          <w:i/>
          <w:iCs/>
        </w:rPr>
        <w:t>w_i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s_i</w:t>
      </w:r>
      <w:proofErr w:type="spellEnd"/>
      <w:r w:rsidRPr="00B479AE">
        <w:rPr>
          <w:rFonts w:ascii="Baskerville Old Face" w:hAnsi="Baskerville Old Face"/>
          <w:i/>
          <w:iCs/>
        </w:rPr>
        <w:t>) / (</w:t>
      </w:r>
      <w:r w:rsidRPr="00B479AE">
        <w:rPr>
          <w:rFonts w:ascii="Cambria" w:hAnsi="Cambria" w:cs="Cambria"/>
          <w:i/>
          <w:iCs/>
        </w:rPr>
        <w:t>Σ</w:t>
      </w:r>
      <w:r w:rsidRPr="00B479AE">
        <w:rPr>
          <w:rFonts w:ascii="Baskerville Old Face" w:hAnsi="Baskerville Old Face"/>
          <w:i/>
          <w:iCs/>
        </w:rPr>
        <w:t xml:space="preserve"> </w:t>
      </w:r>
      <w:proofErr w:type="spellStart"/>
      <w:r w:rsidRPr="00B479AE">
        <w:rPr>
          <w:rFonts w:ascii="Baskerville Old Face" w:hAnsi="Baskerville Old Face"/>
          <w:i/>
          <w:iCs/>
        </w:rPr>
        <w:t>w_i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(1 - </w:t>
      </w:r>
      <w:proofErr w:type="spellStart"/>
      <w:r w:rsidRPr="00B479AE">
        <w:rPr>
          <w:rFonts w:ascii="Baskerville Old Face" w:hAnsi="Baskerville Old Face"/>
          <w:i/>
          <w:iCs/>
        </w:rPr>
        <w:t>p_warrants</w:t>
      </w:r>
      <w:proofErr w:type="spellEnd"/>
      <w:r w:rsidRPr="00B479AE">
        <w:rPr>
          <w:rFonts w:ascii="Baskerville Old Face" w:hAnsi="Baskerville Old Face"/>
          <w:i/>
          <w:iCs/>
        </w:rPr>
        <w:t>)</w:t>
      </w:r>
    </w:p>
    <w:p w14:paraId="5053736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Where:</w:t>
      </w:r>
    </w:p>
    <w:p w14:paraId="2C7F878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w_i</w:t>
      </w:r>
      <w:proofErr w:type="spellEnd"/>
      <w:r w:rsidRPr="00B479AE">
        <w:rPr>
          <w:rFonts w:ascii="Baskerville Old Face" w:hAnsi="Baskerville Old Face"/>
          <w:i/>
          <w:iCs/>
        </w:rPr>
        <w:t xml:space="preserve"> are component weights;</w:t>
      </w:r>
    </w:p>
    <w:p w14:paraId="337E47D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s_i</w:t>
      </w:r>
      <w:proofErr w:type="spellEnd"/>
      <w:r w:rsidRPr="00B479AE">
        <w:rPr>
          <w:rFonts w:ascii="Baskerville Old Face" w:hAnsi="Baskerville Old Face"/>
          <w:i/>
          <w:iCs/>
        </w:rPr>
        <w:t xml:space="preserve"> are normalized component scores between 0 and 1;</w:t>
      </w:r>
    </w:p>
    <w:p w14:paraId="0E97C7A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p_warrants</w:t>
      </w:r>
      <w:proofErr w:type="spellEnd"/>
      <w:r w:rsidRPr="00B479AE">
        <w:rPr>
          <w:rFonts w:ascii="Baskerville Old Face" w:hAnsi="Baskerville Old Face"/>
          <w:i/>
          <w:iCs/>
        </w:rPr>
        <w:t xml:space="preserve"> is a penalty factor based on active, reviewed, and procedurally valid adverse integrity records.</w:t>
      </w:r>
    </w:p>
    <w:p w14:paraId="6FD1EC8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Reputation decay may be applied over time to prevent stale reputation from becoming permanent authority.</w:t>
      </w:r>
    </w:p>
    <w:p w14:paraId="636C327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default decay rate may be defined by governance, for example 5% per year, subject to review.</w:t>
      </w:r>
    </w:p>
    <w:p w14:paraId="48D7D77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purpose of decay is to encourage continued participation, current reliability, and ongoing stewardship rather than static prestige.</w:t>
      </w:r>
    </w:p>
    <w:p w14:paraId="1B71D5D6"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I-A.3.3 Cross-community reputation context</w:t>
      </w:r>
    </w:p>
    <w:p w14:paraId="792531E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reputation system may be token-aware and wallet-aware where legally, technically, and privacy-wise appropriate.</w:t>
      </w:r>
    </w:p>
    <w:p w14:paraId="22F86FD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should remain token-non-deterministic.</w:t>
      </w:r>
    </w:p>
    <w:p w14:paraId="5C715A11" w14:textId="15460B76"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An agent’s history of contributions across multiple communities, projects, DAOs, bioregional systems, or Prometheus-compatible implementations may inform a unified reputation context only where consent, privacy, provenance, and compatibility conditions are satisfied.</w:t>
      </w:r>
      <w:r w:rsidR="00410962" w:rsidRPr="00B479AE">
        <w:rPr>
          <w:rFonts w:ascii="Baskerville Old Face" w:hAnsi="Baskerville Old Face"/>
          <w:i/>
          <w:iCs/>
        </w:rPr>
        <w:t xml:space="preserve"> </w:t>
      </w:r>
      <w:r w:rsidRPr="00B479AE">
        <w:rPr>
          <w:rFonts w:ascii="Baskerville Old Face" w:hAnsi="Baskerville Old Face"/>
          <w:i/>
          <w:iCs/>
        </w:rPr>
        <w:t>This may enable:</w:t>
      </w:r>
    </w:p>
    <w:p w14:paraId="03991BC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trust to travel across communities;</w:t>
      </w:r>
    </w:p>
    <w:p w14:paraId="23CADCA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reduced onboarding friction;</w:t>
      </w:r>
    </w:p>
    <w:p w14:paraId="38800A8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stronger contribution recognition;</w:t>
      </w:r>
    </w:p>
    <w:p w14:paraId="23217DD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detection of inconsistent or harmful behavior;</w:t>
      </w:r>
    </w:p>
    <w:p w14:paraId="56E4966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mitigation of Sybil risk.</w:t>
      </w:r>
    </w:p>
    <w:p w14:paraId="1A6B320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However, cross-community reputation should not create automatic governance power, financial eligibility, investment suitability, social ranking, identity scoring, or source-layer authority.</w:t>
      </w:r>
    </w:p>
    <w:p w14:paraId="1D6B285D"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lastRenderedPageBreak/>
        <w:t>I-A.4 Warrant handling and adverse integrity records</w:t>
      </w:r>
    </w:p>
    <w:p w14:paraId="32F827E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Warrants are signed integrity records that identify alleged misbehavior, data falsification, constitutional violation, governance abuse, or other harmful acts.</w:t>
      </w:r>
    </w:p>
    <w:p w14:paraId="751F20D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They function as part of the immune system of Prometheus.</w:t>
      </w:r>
    </w:p>
    <w:p w14:paraId="463B5E6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warrant should not be treated as guilt by declaration.</w:t>
      </w:r>
    </w:p>
    <w:p w14:paraId="6EA152C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is an adverse integrity signal that must pass through due process, review, evidence assessment, challenge, and appeal where relevant.</w:t>
      </w:r>
    </w:p>
    <w:p w14:paraId="3DF1B9CB"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I-A.4.1 Warrant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6"/>
        <w:gridCol w:w="5130"/>
        <w:gridCol w:w="2882"/>
      </w:tblGrid>
      <w:tr w:rsidR="00EB0717" w:rsidRPr="00B479AE" w14:paraId="46337CCE" w14:textId="77777777" w:rsidTr="00410962">
        <w:trPr>
          <w:tblHeader/>
          <w:tblCellSpacing w:w="15" w:type="dxa"/>
        </w:trPr>
        <w:tc>
          <w:tcPr>
            <w:tcW w:w="0" w:type="auto"/>
            <w:vAlign w:val="center"/>
            <w:hideMark/>
          </w:tcPr>
          <w:p w14:paraId="7D717363"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Warrant type</w:t>
            </w:r>
          </w:p>
        </w:tc>
        <w:tc>
          <w:tcPr>
            <w:tcW w:w="0" w:type="auto"/>
            <w:vAlign w:val="center"/>
            <w:hideMark/>
          </w:tcPr>
          <w:p w14:paraId="0464AA95"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24F0D54C"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Issuance threshold</w:t>
            </w:r>
          </w:p>
        </w:tc>
      </w:tr>
      <w:tr w:rsidR="00EB0717" w:rsidRPr="00B479AE" w14:paraId="64FF32E7" w14:textId="77777777" w:rsidTr="00410962">
        <w:trPr>
          <w:tblCellSpacing w:w="15" w:type="dxa"/>
        </w:trPr>
        <w:tc>
          <w:tcPr>
            <w:tcW w:w="0" w:type="auto"/>
            <w:vAlign w:val="center"/>
            <w:hideMark/>
          </w:tcPr>
          <w:p w14:paraId="4047CD8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Data integrity violation</w:t>
            </w:r>
          </w:p>
        </w:tc>
        <w:tc>
          <w:tcPr>
            <w:tcW w:w="0" w:type="auto"/>
            <w:vAlign w:val="center"/>
            <w:hideMark/>
          </w:tcPr>
          <w:p w14:paraId="1DA4234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Falsified MRV data, invalid evidence records, altered provenance, unsupported claims</w:t>
            </w:r>
          </w:p>
        </w:tc>
        <w:tc>
          <w:tcPr>
            <w:tcW w:w="0" w:type="auto"/>
            <w:vAlign w:val="center"/>
            <w:hideMark/>
          </w:tcPr>
          <w:p w14:paraId="3CE980C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Initial detection by node, reviewer, auditor, or governance process</w:t>
            </w:r>
          </w:p>
        </w:tc>
      </w:tr>
      <w:tr w:rsidR="00EB0717" w:rsidRPr="00B479AE" w14:paraId="6A3E6785" w14:textId="77777777" w:rsidTr="00410962">
        <w:trPr>
          <w:tblCellSpacing w:w="15" w:type="dxa"/>
        </w:trPr>
        <w:tc>
          <w:tcPr>
            <w:tcW w:w="0" w:type="auto"/>
            <w:vAlign w:val="center"/>
            <w:hideMark/>
          </w:tcPr>
          <w:p w14:paraId="2D50C07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violation</w:t>
            </w:r>
          </w:p>
        </w:tc>
        <w:tc>
          <w:tcPr>
            <w:tcW w:w="0" w:type="auto"/>
            <w:vAlign w:val="center"/>
            <w:hideMark/>
          </w:tcPr>
          <w:p w14:paraId="0DF4EC2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Code, action, proposal, claim, or implementation that may violate source-layer constraints, Eternity Clauses, human dignity, or protected-domain rules</w:t>
            </w:r>
          </w:p>
        </w:tc>
        <w:tc>
          <w:tcPr>
            <w:tcW w:w="0" w:type="auto"/>
            <w:vAlign w:val="center"/>
            <w:hideMark/>
          </w:tcPr>
          <w:p w14:paraId="08135F5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Detection plus appropriate constitutional or Prometheus circle review</w:t>
            </w:r>
          </w:p>
        </w:tc>
      </w:tr>
      <w:tr w:rsidR="00EB0717" w:rsidRPr="00B479AE" w14:paraId="1D9342CB" w14:textId="77777777" w:rsidTr="00410962">
        <w:trPr>
          <w:tblCellSpacing w:w="15" w:type="dxa"/>
        </w:trPr>
        <w:tc>
          <w:tcPr>
            <w:tcW w:w="0" w:type="auto"/>
            <w:vAlign w:val="center"/>
            <w:hideMark/>
          </w:tcPr>
          <w:p w14:paraId="7716595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Reputation fraud</w:t>
            </w:r>
          </w:p>
        </w:tc>
        <w:tc>
          <w:tcPr>
            <w:tcW w:w="0" w:type="auto"/>
            <w:vAlign w:val="center"/>
            <w:hideMark/>
          </w:tcPr>
          <w:p w14:paraId="2F6F554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Artificial inflation of reputation through collusion, circular endorsements, false contribution records, or Sybil behavior</w:t>
            </w:r>
          </w:p>
        </w:tc>
        <w:tc>
          <w:tcPr>
            <w:tcW w:w="0" w:type="auto"/>
            <w:vAlign w:val="center"/>
            <w:hideMark/>
          </w:tcPr>
          <w:p w14:paraId="5D26338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Neighborhood review or defined governance threshold</w:t>
            </w:r>
          </w:p>
        </w:tc>
      </w:tr>
      <w:tr w:rsidR="00EB0717" w:rsidRPr="00B479AE" w14:paraId="7DC63677" w14:textId="77777777" w:rsidTr="00410962">
        <w:trPr>
          <w:tblCellSpacing w:w="15" w:type="dxa"/>
        </w:trPr>
        <w:tc>
          <w:tcPr>
            <w:tcW w:w="0" w:type="auto"/>
            <w:vAlign w:val="center"/>
            <w:hideMark/>
          </w:tcPr>
          <w:p w14:paraId="3576388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Double-counting attempt</w:t>
            </w:r>
          </w:p>
        </w:tc>
        <w:tc>
          <w:tcPr>
            <w:tcW w:w="0" w:type="auto"/>
            <w:vAlign w:val="center"/>
            <w:hideMark/>
          </w:tcPr>
          <w:p w14:paraId="1363FB5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Attempt to claim the same regenerative event, ecological improvement, credit, PRU-relevant evidence, or impact result across incompatible pathways</w:t>
            </w:r>
          </w:p>
        </w:tc>
        <w:tc>
          <w:tcPr>
            <w:tcW w:w="0" w:type="auto"/>
            <w:vAlign w:val="center"/>
            <w:hideMark/>
          </w:tcPr>
          <w:p w14:paraId="7DAD55E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Validation detection plus no-double-counting review</w:t>
            </w:r>
          </w:p>
        </w:tc>
      </w:tr>
      <w:tr w:rsidR="00EB0717" w:rsidRPr="00B479AE" w14:paraId="70603A62" w14:textId="77777777" w:rsidTr="00410962">
        <w:trPr>
          <w:tblCellSpacing w:w="15" w:type="dxa"/>
        </w:trPr>
        <w:tc>
          <w:tcPr>
            <w:tcW w:w="0" w:type="auto"/>
            <w:vAlign w:val="center"/>
            <w:hideMark/>
          </w:tcPr>
          <w:p w14:paraId="38247DA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Public-claim violation</w:t>
            </w:r>
          </w:p>
        </w:tc>
        <w:tc>
          <w:tcPr>
            <w:tcW w:w="0" w:type="auto"/>
            <w:vAlign w:val="center"/>
            <w:hideMark/>
          </w:tcPr>
          <w:p w14:paraId="6AF4297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External use of Prometheus language, mark, certification, PRU, MRV, RAP, or investor-facing claim outside permitted boundaries</w:t>
            </w:r>
          </w:p>
        </w:tc>
        <w:tc>
          <w:tcPr>
            <w:tcW w:w="0" w:type="auto"/>
            <w:vAlign w:val="center"/>
            <w:hideMark/>
          </w:tcPr>
          <w:p w14:paraId="33E8430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Claim-control review and governance assessment</w:t>
            </w:r>
          </w:p>
        </w:tc>
      </w:tr>
      <w:tr w:rsidR="00EB0717" w:rsidRPr="00B479AE" w14:paraId="784406B9" w14:textId="77777777" w:rsidTr="00410962">
        <w:trPr>
          <w:tblCellSpacing w:w="15" w:type="dxa"/>
        </w:trPr>
        <w:tc>
          <w:tcPr>
            <w:tcW w:w="0" w:type="auto"/>
            <w:vAlign w:val="center"/>
            <w:hideMark/>
          </w:tcPr>
          <w:p w14:paraId="36ACAF7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Partner overreach</w:t>
            </w:r>
          </w:p>
        </w:tc>
        <w:tc>
          <w:tcPr>
            <w:tcW w:w="0" w:type="auto"/>
            <w:vAlign w:val="center"/>
            <w:hideMark/>
          </w:tcPr>
          <w:p w14:paraId="19D38D5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Institution, partner, fork, or implementation claiming authority beyond granted agreement or verified status</w:t>
            </w:r>
          </w:p>
        </w:tc>
        <w:tc>
          <w:tcPr>
            <w:tcW w:w="0" w:type="auto"/>
            <w:vAlign w:val="center"/>
            <w:hideMark/>
          </w:tcPr>
          <w:p w14:paraId="63E2362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 review and, where relevant, legal review</w:t>
            </w:r>
          </w:p>
        </w:tc>
      </w:tr>
    </w:tbl>
    <w:p w14:paraId="64C2ECE1"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lastRenderedPageBreak/>
        <w:t>I-A.4.2 Warrant lifecycle</w:t>
      </w:r>
    </w:p>
    <w:p w14:paraId="25064F61" w14:textId="28CADAFE"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1. </w:t>
      </w:r>
      <w:r w:rsidR="00EB0717" w:rsidRPr="00B479AE">
        <w:rPr>
          <w:rFonts w:ascii="Baskerville Old Face" w:hAnsi="Baskerville Old Face"/>
          <w:i/>
          <w:iCs/>
        </w:rPr>
        <w:t>Issuance.</w:t>
      </w:r>
    </w:p>
    <w:p w14:paraId="7E1FF55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warrant or adverse integrity record may be issued by a node, reviewer, auditor, governance circle, or authorized process.</w:t>
      </w:r>
    </w:p>
    <w:p w14:paraId="2B13A77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record should identify the alleged issue, affected record, evidence basis, issuer, timestamp, and applicable review domain.</w:t>
      </w:r>
    </w:p>
    <w:p w14:paraId="2C0BE46F" w14:textId="00B8F0F0"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2. </w:t>
      </w:r>
      <w:r w:rsidR="00EB0717" w:rsidRPr="00B479AE">
        <w:rPr>
          <w:rFonts w:ascii="Baskerville Old Face" w:hAnsi="Baskerville Old Face"/>
          <w:i/>
          <w:iCs/>
        </w:rPr>
        <w:t>Notice.</w:t>
      </w:r>
    </w:p>
    <w:p w14:paraId="5F47414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affected agent, project, implementation, partner, or fork should receive notice where feasible and appropriate.</w:t>
      </w:r>
    </w:p>
    <w:p w14:paraId="4B9F26AA" w14:textId="20080AA7"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3. </w:t>
      </w:r>
      <w:r w:rsidR="00EB0717" w:rsidRPr="00B479AE">
        <w:rPr>
          <w:rFonts w:ascii="Baskerville Old Face" w:hAnsi="Baskerville Old Face"/>
          <w:i/>
          <w:iCs/>
        </w:rPr>
        <w:t>Challenge period.</w:t>
      </w:r>
    </w:p>
    <w:p w14:paraId="339B2F9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affected party should have a defined period to respond, provide evidence, correct misunderstanding, contest the warrant, or request review.</w:t>
      </w:r>
    </w:p>
    <w:p w14:paraId="637E441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default period may be seven days unless urgency, legal risk, public-harm risk, data integrity, or protected-domain concerns require faster containment.</w:t>
      </w:r>
    </w:p>
    <w:p w14:paraId="7E063C8E" w14:textId="58540F73"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4. </w:t>
      </w:r>
      <w:r w:rsidR="00EB0717" w:rsidRPr="00B479AE">
        <w:rPr>
          <w:rFonts w:ascii="Baskerville Old Face" w:hAnsi="Baskerville Old Face"/>
          <w:i/>
          <w:iCs/>
        </w:rPr>
        <w:t>Neighborhood or governance review.</w:t>
      </w:r>
    </w:p>
    <w:p w14:paraId="504E018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warrant should be reviewed by the relevant validation neighborhood, governance circle, protocol steward group, or protected-domain review body.</w:t>
      </w:r>
    </w:p>
    <w:p w14:paraId="5B9C9DAF" w14:textId="44A0F71A"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5. </w:t>
      </w:r>
      <w:r w:rsidR="00EB0717" w:rsidRPr="00B479AE">
        <w:rPr>
          <w:rFonts w:ascii="Baskerville Old Face" w:hAnsi="Baskerville Old Face"/>
          <w:i/>
          <w:iCs/>
        </w:rPr>
        <w:t>Determination.</w:t>
      </w:r>
    </w:p>
    <w:p w14:paraId="225A2B0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review may result in:</w:t>
      </w:r>
    </w:p>
    <w:p w14:paraId="783166F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no action;</w:t>
      </w:r>
    </w:p>
    <w:p w14:paraId="1A47C6C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correction request;</w:t>
      </w:r>
    </w:p>
    <w:p w14:paraId="4EA1B13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warning;</w:t>
      </w:r>
    </w:p>
    <w:p w14:paraId="2C18343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review-required status;</w:t>
      </w:r>
    </w:p>
    <w:p w14:paraId="379711E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compatibility downgrade;</w:t>
      </w:r>
    </w:p>
    <w:p w14:paraId="39964CB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restricted status;</w:t>
      </w:r>
    </w:p>
    <w:p w14:paraId="5609F01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non-admissible status;</w:t>
      </w:r>
    </w:p>
    <w:p w14:paraId="564D1DA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quarantine;</w:t>
      </w:r>
    </w:p>
    <w:p w14:paraId="6777E52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certification suspension or revocation where applicable;</w:t>
      </w:r>
    </w:p>
    <w:p w14:paraId="7D9E5C8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role limitation;</w:t>
      </w:r>
    </w:p>
    <w:p w14:paraId="3F4FDD8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access limitation;</w:t>
      </w:r>
    </w:p>
    <w:p w14:paraId="75F2C9C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public correction notice;</w:t>
      </w:r>
    </w:p>
    <w:p w14:paraId="7E33BE8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legal review.</w:t>
      </w:r>
    </w:p>
    <w:p w14:paraId="2221C007" w14:textId="776B0ECB"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6. </w:t>
      </w:r>
      <w:r w:rsidR="00EB0717" w:rsidRPr="00B479AE">
        <w:rPr>
          <w:rFonts w:ascii="Baskerville Old Face" w:hAnsi="Baskerville Old Face"/>
          <w:i/>
          <w:iCs/>
        </w:rPr>
        <w:t>Appeal.</w:t>
      </w:r>
    </w:p>
    <w:p w14:paraId="03D084D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Warrants and material adverse determinations should be appealable to the appropriate higher circle or review body, up to the Prometheus circle where source-layer meaning is implicated.</w:t>
      </w:r>
    </w:p>
    <w:p w14:paraId="71840935" w14:textId="34AC1F1E" w:rsidR="00EB0717" w:rsidRPr="00B479AE" w:rsidRDefault="005907F1" w:rsidP="005907F1">
      <w:pPr>
        <w:spacing w:line="360" w:lineRule="auto"/>
        <w:rPr>
          <w:rFonts w:ascii="Baskerville Old Face" w:hAnsi="Baskerville Old Face"/>
          <w:i/>
          <w:iCs/>
        </w:rPr>
      </w:pPr>
      <w:r>
        <w:rPr>
          <w:rFonts w:ascii="Baskerville Old Face" w:hAnsi="Baskerville Old Face"/>
          <w:i/>
          <w:iCs/>
        </w:rPr>
        <w:t xml:space="preserve">7. </w:t>
      </w:r>
      <w:r w:rsidR="00EB0717" w:rsidRPr="00B479AE">
        <w:rPr>
          <w:rFonts w:ascii="Baskerville Old Face" w:hAnsi="Baskerville Old Face"/>
          <w:i/>
          <w:iCs/>
        </w:rPr>
        <w:t>Record update.</w:t>
      </w:r>
    </w:p>
    <w:p w14:paraId="71623AC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outcome should be recorded with rationale, evidence reviewed, determination, scope, duration, and appeal status.</w:t>
      </w:r>
    </w:p>
    <w:p w14:paraId="6076B0C0"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I-A.4.3 False warrant penalties</w:t>
      </w:r>
    </w:p>
    <w:p w14:paraId="44678D5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To prevent abuse, false, reckless, malicious, or bad-faith warrant issuance should itself create consequences.</w:t>
      </w:r>
    </w:p>
    <w:p w14:paraId="53A6296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Possible consequences may include:</w:t>
      </w:r>
    </w:p>
    <w:p w14:paraId="288F5CB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reputation loss for the issuing node or agent;</w:t>
      </w:r>
    </w:p>
    <w:p w14:paraId="1EE49B7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review-required status;</w:t>
      </w:r>
    </w:p>
    <w:p w14:paraId="432D0CE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restriction from validation roles;</w:t>
      </w:r>
    </w:p>
    <w:p w14:paraId="3254F09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remediation requirement;</w:t>
      </w:r>
    </w:p>
    <w:p w14:paraId="7F9F395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compatibility downgrade;</w:t>
      </w:r>
    </w:p>
    <w:p w14:paraId="1A684A1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temporary or permanent role limitation;</w:t>
      </w:r>
    </w:p>
    <w:p w14:paraId="2DEF8C9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access limitation;</w:t>
      </w:r>
    </w:p>
    <w:p w14:paraId="59F1E2E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legal review where applicable.</w:t>
      </w:r>
    </w:p>
    <w:p w14:paraId="2F99EA5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Any TRBK-related consequence, if ever applicable, must be governed by a separate legally reviewed instrument, explicit disclosures, governance approval, and jurisdiction-specific compliance.</w:t>
      </w:r>
    </w:p>
    <w:p w14:paraId="3EC0F21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Ordinary Prometheus governance should prefer review-required status, restriction, non-admissibility, quarantine, remediation, compatibility revocation, or role limitation over automatic token penalties.</w:t>
      </w:r>
    </w:p>
    <w:p w14:paraId="0B132875"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I-A.5 Integration with other DNAs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7629"/>
      </w:tblGrid>
      <w:tr w:rsidR="00EB0717" w:rsidRPr="00B479AE" w14:paraId="79F780B0" w14:textId="77777777" w:rsidTr="00410962">
        <w:trPr>
          <w:tblHeader/>
          <w:tblCellSpacing w:w="15" w:type="dxa"/>
        </w:trPr>
        <w:tc>
          <w:tcPr>
            <w:tcW w:w="0" w:type="auto"/>
            <w:vAlign w:val="center"/>
            <w:hideMark/>
          </w:tcPr>
          <w:p w14:paraId="7903BF68"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DNA</w:t>
            </w:r>
          </w:p>
        </w:tc>
        <w:tc>
          <w:tcPr>
            <w:tcW w:w="0" w:type="auto"/>
            <w:vAlign w:val="center"/>
            <w:hideMark/>
          </w:tcPr>
          <w:p w14:paraId="1FD2EDBF"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Integration point</w:t>
            </w:r>
          </w:p>
        </w:tc>
      </w:tr>
      <w:tr w:rsidR="00EB0717" w:rsidRPr="00B479AE" w14:paraId="5C4D1749" w14:textId="77777777" w:rsidTr="00410962">
        <w:trPr>
          <w:tblCellSpacing w:w="15" w:type="dxa"/>
        </w:trPr>
        <w:tc>
          <w:tcPr>
            <w:tcW w:w="0" w:type="auto"/>
            <w:vAlign w:val="center"/>
            <w:hideMark/>
          </w:tcPr>
          <w:p w14:paraId="2710EB0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REA / </w:t>
            </w:r>
            <w:proofErr w:type="spellStart"/>
            <w:r w:rsidRPr="00B479AE">
              <w:rPr>
                <w:rFonts w:ascii="Baskerville Old Face" w:hAnsi="Baskerville Old Face"/>
                <w:i/>
                <w:iCs/>
                <w:sz w:val="22"/>
                <w:szCs w:val="22"/>
              </w:rPr>
              <w:t>Valueflows</w:t>
            </w:r>
            <w:proofErr w:type="spellEnd"/>
          </w:p>
        </w:tc>
        <w:tc>
          <w:tcPr>
            <w:tcW w:w="0" w:type="auto"/>
            <w:vAlign w:val="center"/>
            <w:hideMark/>
          </w:tcPr>
          <w:p w14:paraId="4F1463F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Reputation updates may be informed by completed commitments, contribution records, disputed events, and role performance</w:t>
            </w:r>
          </w:p>
        </w:tc>
      </w:tr>
      <w:tr w:rsidR="00EB0717" w:rsidRPr="00B479AE" w14:paraId="6AF9CBC4" w14:textId="77777777" w:rsidTr="00410962">
        <w:trPr>
          <w:tblCellSpacing w:w="15" w:type="dxa"/>
        </w:trPr>
        <w:tc>
          <w:tcPr>
            <w:tcW w:w="0" w:type="auto"/>
            <w:vAlign w:val="center"/>
            <w:hideMark/>
          </w:tcPr>
          <w:p w14:paraId="148329B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MRV</w:t>
            </w:r>
          </w:p>
        </w:tc>
        <w:tc>
          <w:tcPr>
            <w:tcW w:w="0" w:type="auto"/>
            <w:vAlign w:val="center"/>
            <w:hideMark/>
          </w:tcPr>
          <w:p w14:paraId="06E3C49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Validation accuracy, evidence quality, audit alignment, and data-integrity issues may inform reputation or warrant status</w:t>
            </w:r>
          </w:p>
        </w:tc>
      </w:tr>
      <w:tr w:rsidR="00EB0717" w:rsidRPr="00B479AE" w14:paraId="51EE037E" w14:textId="77777777" w:rsidTr="00410962">
        <w:trPr>
          <w:tblCellSpacing w:w="15" w:type="dxa"/>
        </w:trPr>
        <w:tc>
          <w:tcPr>
            <w:tcW w:w="0" w:type="auto"/>
            <w:vAlign w:val="center"/>
            <w:hideMark/>
          </w:tcPr>
          <w:p w14:paraId="0C0B022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TRBK</w:t>
            </w:r>
          </w:p>
        </w:tc>
        <w:tc>
          <w:tcPr>
            <w:tcW w:w="0" w:type="auto"/>
            <w:vAlign w:val="center"/>
            <w:hideMark/>
          </w:tcPr>
          <w:p w14:paraId="1D5E9E5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TRBK may support bounded governance participation, access, contribution recognition, or coordination where legally and constitutionally defined; it should not create automatic authority, staking supremacy, or slashing-based constitutional control</w:t>
            </w:r>
          </w:p>
        </w:tc>
      </w:tr>
      <w:tr w:rsidR="00EB0717" w:rsidRPr="00B479AE" w14:paraId="2F54A24C" w14:textId="77777777" w:rsidTr="00410962">
        <w:trPr>
          <w:tblCellSpacing w:w="15" w:type="dxa"/>
        </w:trPr>
        <w:tc>
          <w:tcPr>
            <w:tcW w:w="0" w:type="auto"/>
            <w:vAlign w:val="center"/>
            <w:hideMark/>
          </w:tcPr>
          <w:p w14:paraId="3308CAF9"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Holo</w:t>
            </w:r>
            <w:proofErr w:type="spellEnd"/>
            <w:r w:rsidRPr="00B479AE">
              <w:rPr>
                <w:rFonts w:ascii="Baskerville Old Face" w:hAnsi="Baskerville Old Face"/>
                <w:i/>
                <w:iCs/>
                <w:sz w:val="22"/>
                <w:szCs w:val="22"/>
              </w:rPr>
              <w:t xml:space="preserve"> Hosting / operational infrastructure</w:t>
            </w:r>
          </w:p>
        </w:tc>
        <w:tc>
          <w:tcPr>
            <w:tcW w:w="0" w:type="auto"/>
            <w:vAlign w:val="center"/>
            <w:hideMark/>
          </w:tcPr>
          <w:p w14:paraId="735F6FE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Uptime, service reliability, node behavior, and operational integrity may inform role suitability and infrastructure reputation</w:t>
            </w:r>
          </w:p>
        </w:tc>
      </w:tr>
      <w:tr w:rsidR="00EB0717" w:rsidRPr="00B479AE" w14:paraId="306FFDCA" w14:textId="77777777" w:rsidTr="00410962">
        <w:trPr>
          <w:tblCellSpacing w:w="15" w:type="dxa"/>
        </w:trPr>
        <w:tc>
          <w:tcPr>
            <w:tcW w:w="0" w:type="auto"/>
            <w:vAlign w:val="center"/>
            <w:hideMark/>
          </w:tcPr>
          <w:p w14:paraId="5CE30C0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Decision Log</w:t>
            </w:r>
          </w:p>
        </w:tc>
        <w:tc>
          <w:tcPr>
            <w:tcW w:w="0" w:type="auto"/>
            <w:vAlign w:val="center"/>
            <w:hideMark/>
          </w:tcPr>
          <w:p w14:paraId="0D527C1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 decisions, objections, consent records, amendments, reviews, and appeals should be recorded for auditability and future learning</w:t>
            </w:r>
          </w:p>
        </w:tc>
      </w:tr>
      <w:tr w:rsidR="00EB0717" w:rsidRPr="00B479AE" w14:paraId="474364B1" w14:textId="77777777" w:rsidTr="00410962">
        <w:trPr>
          <w:tblCellSpacing w:w="15" w:type="dxa"/>
        </w:trPr>
        <w:tc>
          <w:tcPr>
            <w:tcW w:w="0" w:type="auto"/>
            <w:vAlign w:val="center"/>
            <w:hideMark/>
          </w:tcPr>
          <w:p w14:paraId="5367EA0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Canonical Registry</w:t>
            </w:r>
          </w:p>
        </w:tc>
        <w:tc>
          <w:tcPr>
            <w:tcW w:w="0" w:type="auto"/>
            <w:vAlign w:val="center"/>
            <w:hideMark/>
          </w:tcPr>
          <w:p w14:paraId="5489D87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Fork status, implementation status, compatibility claims, certification claims, and public-claim boundaries may be linked to registry status</w:t>
            </w:r>
          </w:p>
        </w:tc>
      </w:tr>
    </w:tbl>
    <w:p w14:paraId="7F7AAAFF"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I-A.6 Privacy and transparency</w:t>
      </w:r>
    </w:p>
    <w:p w14:paraId="1FFEEA8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Governance &amp; Reputation DNA should balance radical auditability with privacy, dignity, purpose limitation, and proportional disclosure.</w:t>
      </w:r>
    </w:p>
    <w:p w14:paraId="11781A7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Prometheus should distinguish between public decisions, private deliberation, individual voting choices, aggregate reputation, component-level reputation, warrants, protected-domain records, and legally sensitive materials.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4275"/>
        <w:gridCol w:w="3515"/>
      </w:tblGrid>
      <w:tr w:rsidR="00EB0717" w:rsidRPr="00B479AE" w14:paraId="6FFC4CEA" w14:textId="77777777" w:rsidTr="00410962">
        <w:trPr>
          <w:tblHeader/>
          <w:tblCellSpacing w:w="15" w:type="dxa"/>
        </w:trPr>
        <w:tc>
          <w:tcPr>
            <w:tcW w:w="0" w:type="auto"/>
            <w:vAlign w:val="center"/>
            <w:hideMark/>
          </w:tcPr>
          <w:p w14:paraId="479CA791"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Data type</w:t>
            </w:r>
          </w:p>
        </w:tc>
        <w:tc>
          <w:tcPr>
            <w:tcW w:w="0" w:type="auto"/>
            <w:vAlign w:val="center"/>
            <w:hideMark/>
          </w:tcPr>
          <w:p w14:paraId="5FD53912"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Visibility</w:t>
            </w:r>
          </w:p>
        </w:tc>
        <w:tc>
          <w:tcPr>
            <w:tcW w:w="0" w:type="auto"/>
            <w:vAlign w:val="center"/>
            <w:hideMark/>
          </w:tcPr>
          <w:p w14:paraId="11FB47C0"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Privacy mechanism</w:t>
            </w:r>
          </w:p>
        </w:tc>
      </w:tr>
      <w:tr w:rsidR="00EB0717" w:rsidRPr="00B479AE" w14:paraId="7E69C2A2" w14:textId="77777777" w:rsidTr="00410962">
        <w:trPr>
          <w:tblCellSpacing w:w="15" w:type="dxa"/>
        </w:trPr>
        <w:tc>
          <w:tcPr>
            <w:tcW w:w="0" w:type="auto"/>
            <w:vAlign w:val="center"/>
            <w:hideMark/>
          </w:tcPr>
          <w:p w14:paraId="3D1FA7B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Final decisions</w:t>
            </w:r>
          </w:p>
        </w:tc>
        <w:tc>
          <w:tcPr>
            <w:tcW w:w="0" w:type="auto"/>
            <w:vAlign w:val="center"/>
            <w:hideMark/>
          </w:tcPr>
          <w:p w14:paraId="0272EBE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Public or registry-visible where appropriate</w:t>
            </w:r>
          </w:p>
        </w:tc>
        <w:tc>
          <w:tcPr>
            <w:tcW w:w="0" w:type="auto"/>
            <w:vAlign w:val="center"/>
            <w:hideMark/>
          </w:tcPr>
          <w:p w14:paraId="0DCFF80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No privacy required unless legally or ethically sensitive</w:t>
            </w:r>
          </w:p>
        </w:tc>
      </w:tr>
      <w:tr w:rsidR="00EB0717" w:rsidRPr="00B479AE" w14:paraId="5678D5E6" w14:textId="77777777" w:rsidTr="00410962">
        <w:trPr>
          <w:tblCellSpacing w:w="15" w:type="dxa"/>
        </w:trPr>
        <w:tc>
          <w:tcPr>
            <w:tcW w:w="0" w:type="auto"/>
            <w:vAlign w:val="center"/>
            <w:hideMark/>
          </w:tcPr>
          <w:p w14:paraId="3A5CBF4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Individual votes</w:t>
            </w:r>
          </w:p>
        </w:tc>
        <w:tc>
          <w:tcPr>
            <w:tcW w:w="0" w:type="auto"/>
            <w:vAlign w:val="center"/>
            <w:hideMark/>
          </w:tcPr>
          <w:p w14:paraId="13220AF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Circle-configurable: public, delayed disclosure, private, or selectively disclosed</w:t>
            </w:r>
          </w:p>
        </w:tc>
        <w:tc>
          <w:tcPr>
            <w:tcW w:w="0" w:type="auto"/>
            <w:vAlign w:val="center"/>
            <w:hideMark/>
          </w:tcPr>
          <w:p w14:paraId="1C0A695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Selective disclosure, zero-knowledge proof, or circle-level confidentiality where appropriate</w:t>
            </w:r>
          </w:p>
        </w:tc>
      </w:tr>
      <w:tr w:rsidR="00EB0717" w:rsidRPr="00B479AE" w14:paraId="79BEBF6C" w14:textId="77777777" w:rsidTr="00410962">
        <w:trPr>
          <w:tblCellSpacing w:w="15" w:type="dxa"/>
        </w:trPr>
        <w:tc>
          <w:tcPr>
            <w:tcW w:w="0" w:type="auto"/>
            <w:vAlign w:val="center"/>
            <w:hideMark/>
          </w:tcPr>
          <w:p w14:paraId="74B2AC7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Reputation aggregate</w:t>
            </w:r>
          </w:p>
        </w:tc>
        <w:tc>
          <w:tcPr>
            <w:tcW w:w="0" w:type="auto"/>
            <w:vAlign w:val="center"/>
            <w:hideMark/>
          </w:tcPr>
          <w:p w14:paraId="058F889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Context-dependent; may be public, limited, or role-specific</w:t>
            </w:r>
          </w:p>
        </w:tc>
        <w:tc>
          <w:tcPr>
            <w:tcW w:w="0" w:type="auto"/>
            <w:vAlign w:val="center"/>
            <w:hideMark/>
          </w:tcPr>
          <w:p w14:paraId="6E7781E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Selective disclosure, Merkle proofs, permissioned access, or privacy-preserving attestations</w:t>
            </w:r>
          </w:p>
        </w:tc>
      </w:tr>
      <w:tr w:rsidR="00EB0717" w:rsidRPr="00B479AE" w14:paraId="0494EAF9" w14:textId="77777777" w:rsidTr="00410962">
        <w:trPr>
          <w:tblCellSpacing w:w="15" w:type="dxa"/>
        </w:trPr>
        <w:tc>
          <w:tcPr>
            <w:tcW w:w="0" w:type="auto"/>
            <w:vAlign w:val="center"/>
            <w:hideMark/>
          </w:tcPr>
          <w:p w14:paraId="25C28A0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Reputation components</w:t>
            </w:r>
          </w:p>
        </w:tc>
        <w:tc>
          <w:tcPr>
            <w:tcW w:w="0" w:type="auto"/>
            <w:vAlign w:val="center"/>
            <w:hideMark/>
          </w:tcPr>
          <w:p w14:paraId="3336B2E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Generally private or limited to relevant review body</w:t>
            </w:r>
          </w:p>
        </w:tc>
        <w:tc>
          <w:tcPr>
            <w:tcW w:w="0" w:type="auto"/>
            <w:vAlign w:val="center"/>
            <w:hideMark/>
          </w:tcPr>
          <w:p w14:paraId="547AC2E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Component-level privacy, purpose limitation, access logs</w:t>
            </w:r>
          </w:p>
        </w:tc>
      </w:tr>
      <w:tr w:rsidR="00EB0717" w:rsidRPr="00B479AE" w14:paraId="4A4FD95C" w14:textId="77777777" w:rsidTr="00410962">
        <w:trPr>
          <w:tblCellSpacing w:w="15" w:type="dxa"/>
        </w:trPr>
        <w:tc>
          <w:tcPr>
            <w:tcW w:w="0" w:type="auto"/>
            <w:vAlign w:val="center"/>
            <w:hideMark/>
          </w:tcPr>
          <w:p w14:paraId="6007030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Warrants / adverse integrity records</w:t>
            </w:r>
          </w:p>
        </w:tc>
        <w:tc>
          <w:tcPr>
            <w:tcW w:w="0" w:type="auto"/>
            <w:vAlign w:val="center"/>
            <w:hideMark/>
          </w:tcPr>
          <w:p w14:paraId="080B588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Visible to relevant review bodies; public only where necessary for protection, certification, registry, or public-claim clarity</w:t>
            </w:r>
          </w:p>
        </w:tc>
        <w:tc>
          <w:tcPr>
            <w:tcW w:w="0" w:type="auto"/>
            <w:vAlign w:val="center"/>
            <w:hideMark/>
          </w:tcPr>
          <w:p w14:paraId="365086C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Due process, scope limitation, appeal records</w:t>
            </w:r>
          </w:p>
        </w:tc>
      </w:tr>
      <w:tr w:rsidR="00EB0717" w:rsidRPr="00B479AE" w14:paraId="3477F2E2" w14:textId="77777777" w:rsidTr="00410962">
        <w:trPr>
          <w:tblCellSpacing w:w="15" w:type="dxa"/>
        </w:trPr>
        <w:tc>
          <w:tcPr>
            <w:tcW w:w="0" w:type="auto"/>
            <w:vAlign w:val="center"/>
            <w:hideMark/>
          </w:tcPr>
          <w:p w14:paraId="7452806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HSI-related context</w:t>
            </w:r>
          </w:p>
        </w:tc>
        <w:tc>
          <w:tcPr>
            <w:tcW w:w="0" w:type="auto"/>
            <w:vAlign w:val="center"/>
            <w:hideMark/>
          </w:tcPr>
          <w:p w14:paraId="1C15C5E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Private, voluntary, consent-based, time-limited</w:t>
            </w:r>
          </w:p>
        </w:tc>
        <w:tc>
          <w:tcPr>
            <w:tcW w:w="0" w:type="auto"/>
            <w:vAlign w:val="center"/>
            <w:hideMark/>
          </w:tcPr>
          <w:p w14:paraId="0A5686A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No personally identifiable disclosure by default; research or reflection only</w:t>
            </w:r>
          </w:p>
        </w:tc>
      </w:tr>
    </w:tbl>
    <w:p w14:paraId="78AD8F8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Detailed technical specifications, including complete data structures, validation rules, privacy controls, DHT behavior,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functions, and API endpoints, should be maintained in the separate technical documentation package.</w:t>
      </w:r>
    </w:p>
    <w:p w14:paraId="56DCDEFE" w14:textId="77777777" w:rsidR="00EB0717" w:rsidRPr="005907F1" w:rsidRDefault="00EB0717"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t xml:space="preserve">Appendix J: REA / </w:t>
      </w:r>
      <w:proofErr w:type="spellStart"/>
      <w:r w:rsidRPr="005907F1">
        <w:rPr>
          <w:rFonts w:ascii="Baskerville Old Face" w:hAnsi="Baskerville Old Face"/>
          <w:b/>
          <w:bCs/>
          <w:i/>
          <w:iCs/>
          <w:sz w:val="24"/>
          <w:szCs w:val="24"/>
        </w:rPr>
        <w:t>Valueflows</w:t>
      </w:r>
      <w:proofErr w:type="spellEnd"/>
      <w:r w:rsidRPr="005907F1">
        <w:rPr>
          <w:rFonts w:ascii="Baskerville Old Face" w:hAnsi="Baskerville Old Face"/>
          <w:b/>
          <w:bCs/>
          <w:i/>
          <w:iCs/>
          <w:sz w:val="24"/>
          <w:szCs w:val="24"/>
        </w:rPr>
        <w:t xml:space="preserve"> DNA Specification</w:t>
      </w:r>
    </w:p>
    <w:p w14:paraId="72639B6D"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J.1 Overview</w:t>
      </w:r>
    </w:p>
    <w:p w14:paraId="724E86A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The REA /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DNA implements a multidimensional accounting framework based on the Resource-Event-Agent ontology, extended for regenerative applications.</w:t>
      </w:r>
    </w:p>
    <w:p w14:paraId="4991923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xml:space="preserve">It provides foundational data structures for tracking value flows within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ecosystem: ecological, social, operational, economic, relational, and governance-related.</w:t>
      </w:r>
    </w:p>
    <w:p w14:paraId="70A2E2B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Its purpose is not to reduce living systems to financial entries.</w:t>
      </w:r>
    </w:p>
    <w:p w14:paraId="33E0F3D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Its purpose is to preserve the path from resource to event, from event to agent, from agent to evidence, from evidence to review, and from review to admissible value interpretation.</w:t>
      </w:r>
    </w:p>
    <w:p w14:paraId="57F7DCD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DNA is designed to be:</w:t>
      </w:r>
    </w:p>
    <w:p w14:paraId="5ADF29F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agent-centric: each agent maintains its own source chain of events, with shared validation through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w:t>
      </w:r>
    </w:p>
    <w:p w14:paraId="3E5A0C7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multidimensional: resources, events, commitments, agents, evidence, locations, and time windows can be represented without collapsing them into one metric;</w:t>
      </w:r>
    </w:p>
    <w:p w14:paraId="1F9C6D3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temporally aware: every event is linked to time windows, allowing historical reconstruction, performance review, and future planning;</w:t>
      </w:r>
    </w:p>
    <w:p w14:paraId="4F15F3B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ecologically grounded: relevant events may be linked to site, ecosystem, OHE, MRV evidence, PHI context, PRU analysis, or RAP screening;</w:t>
      </w:r>
    </w:p>
    <w:p w14:paraId="1833006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constitutionally compliant: all entries should carry the syntropic sovereignty header or equivalent canonical integrity metadata;</w:t>
      </w:r>
    </w:p>
    <w:p w14:paraId="77A267B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review-bound: entries may support value interpretation only where evidence, methodology, governance, and legal structure allow.</w:t>
      </w:r>
    </w:p>
    <w:p w14:paraId="2C71FFEC"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J.2 Core data structures</w:t>
      </w:r>
    </w:p>
    <w:p w14:paraId="2C73C0CD"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J.2.1 Resource</w:t>
      </w:r>
    </w:p>
    <w:p w14:paraId="6FB8378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resource is anything that is identified, quantified, and relevant to agents within the Prometheus ecosystem.</w:t>
      </w:r>
    </w:p>
    <w:p w14:paraId="093866E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resource may be tangible or intangible.</w:t>
      </w:r>
    </w:p>
    <w:p w14:paraId="53D092C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Examples may include land-use rights, water access, biomass, food output, labor, knowledge, operational capacity, ecological performance claims, data records, reputation context, or digital coordination assets.</w:t>
      </w:r>
    </w:p>
    <w:p w14:paraId="039C5EA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The resource model should not imply ownership of living beings, automatic ecological credit issuance, investor rights, or market entitlement.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6"/>
        <w:gridCol w:w="1571"/>
        <w:gridCol w:w="5835"/>
        <w:gridCol w:w="906"/>
      </w:tblGrid>
      <w:tr w:rsidR="00EB0717" w:rsidRPr="00B479AE" w14:paraId="05C532F1" w14:textId="77777777" w:rsidTr="00410962">
        <w:trPr>
          <w:tblHeader/>
          <w:tblCellSpacing w:w="15" w:type="dxa"/>
        </w:trPr>
        <w:tc>
          <w:tcPr>
            <w:tcW w:w="0" w:type="auto"/>
            <w:vAlign w:val="center"/>
            <w:hideMark/>
          </w:tcPr>
          <w:p w14:paraId="20E7C52C"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Field</w:t>
            </w:r>
          </w:p>
        </w:tc>
        <w:tc>
          <w:tcPr>
            <w:tcW w:w="0" w:type="auto"/>
            <w:vAlign w:val="center"/>
            <w:hideMark/>
          </w:tcPr>
          <w:p w14:paraId="7683EBAB"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Type</w:t>
            </w:r>
          </w:p>
        </w:tc>
        <w:tc>
          <w:tcPr>
            <w:tcW w:w="0" w:type="auto"/>
            <w:vAlign w:val="center"/>
            <w:hideMark/>
          </w:tcPr>
          <w:p w14:paraId="3DF4F249"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78FFBB66"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w:t>
            </w:r>
          </w:p>
        </w:tc>
      </w:tr>
      <w:tr w:rsidR="00EB0717" w:rsidRPr="00B479AE" w14:paraId="514DC788" w14:textId="77777777" w:rsidTr="00410962">
        <w:trPr>
          <w:tblCellSpacing w:w="15" w:type="dxa"/>
        </w:trPr>
        <w:tc>
          <w:tcPr>
            <w:tcW w:w="0" w:type="auto"/>
            <w:vAlign w:val="center"/>
            <w:hideMark/>
          </w:tcPr>
          <w:p w14:paraId="793FF6D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id</w:t>
            </w:r>
          </w:p>
        </w:tc>
        <w:tc>
          <w:tcPr>
            <w:tcW w:w="0" w:type="auto"/>
            <w:vAlign w:val="center"/>
            <w:hideMark/>
          </w:tcPr>
          <w:p w14:paraId="25ED147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1336A6A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Unique identifier or hash of genesis entry</w:t>
            </w:r>
          </w:p>
        </w:tc>
        <w:tc>
          <w:tcPr>
            <w:tcW w:w="0" w:type="auto"/>
            <w:vAlign w:val="center"/>
            <w:hideMark/>
          </w:tcPr>
          <w:p w14:paraId="32A3CF20"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3AFFAE51" w14:textId="77777777" w:rsidTr="00410962">
        <w:trPr>
          <w:tblCellSpacing w:w="15" w:type="dxa"/>
        </w:trPr>
        <w:tc>
          <w:tcPr>
            <w:tcW w:w="0" w:type="auto"/>
            <w:vAlign w:val="center"/>
            <w:hideMark/>
          </w:tcPr>
          <w:p w14:paraId="2FEC7C2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name</w:t>
            </w:r>
          </w:p>
        </w:tc>
        <w:tc>
          <w:tcPr>
            <w:tcW w:w="0" w:type="auto"/>
            <w:vAlign w:val="center"/>
            <w:hideMark/>
          </w:tcPr>
          <w:p w14:paraId="1E62E20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String</w:t>
            </w:r>
          </w:p>
        </w:tc>
        <w:tc>
          <w:tcPr>
            <w:tcW w:w="0" w:type="auto"/>
            <w:vAlign w:val="center"/>
            <w:hideMark/>
          </w:tcPr>
          <w:p w14:paraId="5285A01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Human-readable name</w:t>
            </w:r>
          </w:p>
        </w:tc>
        <w:tc>
          <w:tcPr>
            <w:tcW w:w="0" w:type="auto"/>
            <w:vAlign w:val="center"/>
            <w:hideMark/>
          </w:tcPr>
          <w:p w14:paraId="6B5BC774"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72EA4909" w14:textId="77777777" w:rsidTr="00410962">
        <w:trPr>
          <w:tblCellSpacing w:w="15" w:type="dxa"/>
        </w:trPr>
        <w:tc>
          <w:tcPr>
            <w:tcW w:w="0" w:type="auto"/>
            <w:vAlign w:val="center"/>
            <w:hideMark/>
          </w:tcPr>
          <w:p w14:paraId="7DCF38F5"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resource_type</w:t>
            </w:r>
            <w:proofErr w:type="spellEnd"/>
          </w:p>
        </w:tc>
        <w:tc>
          <w:tcPr>
            <w:tcW w:w="0" w:type="auto"/>
            <w:vAlign w:val="center"/>
            <w:hideMark/>
          </w:tcPr>
          <w:p w14:paraId="11C8FF8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Enum</w:t>
            </w:r>
          </w:p>
        </w:tc>
        <w:tc>
          <w:tcPr>
            <w:tcW w:w="0" w:type="auto"/>
            <w:vAlign w:val="center"/>
            <w:hideMark/>
          </w:tcPr>
          <w:p w14:paraId="6700711A"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land_use_right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water_access</w:t>
            </w:r>
            <w:proofErr w:type="spellEnd"/>
            <w:r w:rsidRPr="00B479AE">
              <w:rPr>
                <w:rFonts w:ascii="Baskerville Old Face" w:hAnsi="Baskerville Old Face"/>
                <w:i/>
                <w:iCs/>
                <w:sz w:val="22"/>
                <w:szCs w:val="22"/>
              </w:rPr>
              <w:t xml:space="preserve">, biomass, </w:t>
            </w:r>
            <w:proofErr w:type="spellStart"/>
            <w:r w:rsidRPr="00B479AE">
              <w:rPr>
                <w:rFonts w:ascii="Baskerville Old Face" w:hAnsi="Baskerville Old Face"/>
                <w:i/>
                <w:iCs/>
                <w:sz w:val="22"/>
                <w:szCs w:val="22"/>
              </w:rPr>
              <w:t>food_output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ecological_performance_claim</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biodiversity_record</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data_record</w:t>
            </w:r>
            <w:proofErr w:type="spellEnd"/>
            <w:r w:rsidRPr="00B479AE">
              <w:rPr>
                <w:rFonts w:ascii="Baskerville Old Face" w:hAnsi="Baskerville Old Face"/>
                <w:i/>
                <w:iCs/>
                <w:sz w:val="22"/>
                <w:szCs w:val="22"/>
              </w:rPr>
              <w:t xml:space="preserve">, labor, knowledge, </w:t>
            </w:r>
            <w:proofErr w:type="spellStart"/>
            <w:r w:rsidRPr="00B479AE">
              <w:rPr>
                <w:rFonts w:ascii="Baskerville Old Face" w:hAnsi="Baskerville Old Face"/>
                <w:i/>
                <w:iCs/>
                <w:sz w:val="22"/>
                <w:szCs w:val="22"/>
              </w:rPr>
              <w:t>reputation_context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digital_asset</w:t>
            </w:r>
            <w:proofErr w:type="spellEnd"/>
            <w:r w:rsidRPr="00B479AE">
              <w:rPr>
                <w:rFonts w:ascii="Baskerville Old Face" w:hAnsi="Baskerville Old Face"/>
                <w:i/>
                <w:iCs/>
                <w:sz w:val="22"/>
                <w:szCs w:val="22"/>
              </w:rPr>
              <w:t>, other</w:t>
            </w:r>
          </w:p>
        </w:tc>
        <w:tc>
          <w:tcPr>
            <w:tcW w:w="0" w:type="auto"/>
            <w:vAlign w:val="center"/>
            <w:hideMark/>
          </w:tcPr>
          <w:p w14:paraId="16FFEB15"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2906CAEF" w14:textId="77777777" w:rsidTr="00410962">
        <w:trPr>
          <w:tblCellSpacing w:w="15" w:type="dxa"/>
        </w:trPr>
        <w:tc>
          <w:tcPr>
            <w:tcW w:w="0" w:type="auto"/>
            <w:vAlign w:val="center"/>
            <w:hideMark/>
          </w:tcPr>
          <w:p w14:paraId="2100D84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quantity</w:t>
            </w:r>
          </w:p>
        </w:tc>
        <w:tc>
          <w:tcPr>
            <w:tcW w:w="0" w:type="auto"/>
            <w:vAlign w:val="center"/>
            <w:hideMark/>
          </w:tcPr>
          <w:p w14:paraId="3875045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Float</w:t>
            </w:r>
          </w:p>
        </w:tc>
        <w:tc>
          <w:tcPr>
            <w:tcW w:w="0" w:type="auto"/>
            <w:vAlign w:val="center"/>
            <w:hideMark/>
          </w:tcPr>
          <w:p w14:paraId="7C3539F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Current amount or recorded quantity, where applicable</w:t>
            </w:r>
          </w:p>
        </w:tc>
        <w:tc>
          <w:tcPr>
            <w:tcW w:w="0" w:type="auto"/>
            <w:vAlign w:val="center"/>
            <w:hideMark/>
          </w:tcPr>
          <w:p w14:paraId="20FD1B23"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52B8C534" w14:textId="77777777" w:rsidTr="00410962">
        <w:trPr>
          <w:tblCellSpacing w:w="15" w:type="dxa"/>
        </w:trPr>
        <w:tc>
          <w:tcPr>
            <w:tcW w:w="0" w:type="auto"/>
            <w:vAlign w:val="center"/>
            <w:hideMark/>
          </w:tcPr>
          <w:p w14:paraId="04A3F5A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unit</w:t>
            </w:r>
          </w:p>
        </w:tc>
        <w:tc>
          <w:tcPr>
            <w:tcW w:w="0" w:type="auto"/>
            <w:vAlign w:val="center"/>
            <w:hideMark/>
          </w:tcPr>
          <w:p w14:paraId="21142F2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String</w:t>
            </w:r>
          </w:p>
        </w:tc>
        <w:tc>
          <w:tcPr>
            <w:tcW w:w="0" w:type="auto"/>
            <w:vAlign w:val="center"/>
            <w:hideMark/>
          </w:tcPr>
          <w:p w14:paraId="1E6103E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Unit of measurement, such as hectares, tons, kWh, hours, index points, records, or equivalent</w:t>
            </w:r>
          </w:p>
        </w:tc>
        <w:tc>
          <w:tcPr>
            <w:tcW w:w="0" w:type="auto"/>
            <w:vAlign w:val="center"/>
            <w:hideMark/>
          </w:tcPr>
          <w:p w14:paraId="0AE01CAD"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3DF53DBC" w14:textId="77777777" w:rsidTr="00410962">
        <w:trPr>
          <w:tblCellSpacing w:w="15" w:type="dxa"/>
        </w:trPr>
        <w:tc>
          <w:tcPr>
            <w:tcW w:w="0" w:type="auto"/>
            <w:vAlign w:val="center"/>
            <w:hideMark/>
          </w:tcPr>
          <w:p w14:paraId="15724A1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location</w:t>
            </w:r>
          </w:p>
        </w:tc>
        <w:tc>
          <w:tcPr>
            <w:tcW w:w="0" w:type="auto"/>
            <w:vAlign w:val="center"/>
            <w:hideMark/>
          </w:tcPr>
          <w:p w14:paraId="5C91F56D"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GeoJSON</w:t>
            </w:r>
            <w:proofErr w:type="spellEnd"/>
          </w:p>
        </w:tc>
        <w:tc>
          <w:tcPr>
            <w:tcW w:w="0" w:type="auto"/>
            <w:vAlign w:val="center"/>
            <w:hideMark/>
          </w:tcPr>
          <w:p w14:paraId="66814DF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Optional geographic coordinates or boundary</w:t>
            </w:r>
          </w:p>
        </w:tc>
        <w:tc>
          <w:tcPr>
            <w:tcW w:w="0" w:type="auto"/>
            <w:vAlign w:val="center"/>
            <w:hideMark/>
          </w:tcPr>
          <w:p w14:paraId="09989769"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4E9BDA5F" w14:textId="77777777" w:rsidTr="00410962">
        <w:trPr>
          <w:tblCellSpacing w:w="15" w:type="dxa"/>
        </w:trPr>
        <w:tc>
          <w:tcPr>
            <w:tcW w:w="0" w:type="auto"/>
            <w:vAlign w:val="center"/>
            <w:hideMark/>
          </w:tcPr>
          <w:p w14:paraId="044E1DAE"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ecosystem_id</w:t>
            </w:r>
            <w:proofErr w:type="spellEnd"/>
          </w:p>
        </w:tc>
        <w:tc>
          <w:tcPr>
            <w:tcW w:w="0" w:type="auto"/>
            <w:vAlign w:val="center"/>
            <w:hideMark/>
          </w:tcPr>
          <w:p w14:paraId="43D5618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6C0B05D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Link to ecosystem, OHE, site, or project context where applicable</w:t>
            </w:r>
          </w:p>
        </w:tc>
        <w:tc>
          <w:tcPr>
            <w:tcW w:w="0" w:type="auto"/>
            <w:vAlign w:val="center"/>
            <w:hideMark/>
          </w:tcPr>
          <w:p w14:paraId="7DEB8009"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0C032046" w14:textId="77777777" w:rsidTr="00410962">
        <w:trPr>
          <w:tblCellSpacing w:w="15" w:type="dxa"/>
        </w:trPr>
        <w:tc>
          <w:tcPr>
            <w:tcW w:w="0" w:type="auto"/>
            <w:vAlign w:val="center"/>
            <w:hideMark/>
          </w:tcPr>
          <w:p w14:paraId="4C15472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metadata</w:t>
            </w:r>
          </w:p>
        </w:tc>
        <w:tc>
          <w:tcPr>
            <w:tcW w:w="0" w:type="auto"/>
            <w:vAlign w:val="center"/>
            <w:hideMark/>
          </w:tcPr>
          <w:p w14:paraId="6757786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JSON</w:t>
            </w:r>
          </w:p>
        </w:tc>
        <w:tc>
          <w:tcPr>
            <w:tcW w:w="0" w:type="auto"/>
            <w:vAlign w:val="center"/>
            <w:hideMark/>
          </w:tcPr>
          <w:p w14:paraId="21B42F4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Extended attributes, limitations, methodology references, or certification status where applicable</w:t>
            </w:r>
          </w:p>
        </w:tc>
        <w:tc>
          <w:tcPr>
            <w:tcW w:w="0" w:type="auto"/>
            <w:vAlign w:val="center"/>
            <w:hideMark/>
          </w:tcPr>
          <w:p w14:paraId="1886F21E"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15FD1E9" w14:textId="77777777" w:rsidTr="00410962">
        <w:trPr>
          <w:tblCellSpacing w:w="15" w:type="dxa"/>
        </w:trPr>
        <w:tc>
          <w:tcPr>
            <w:tcW w:w="0" w:type="auto"/>
            <w:vAlign w:val="center"/>
            <w:hideMark/>
          </w:tcPr>
          <w:p w14:paraId="6EF9D9D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header</w:t>
            </w:r>
          </w:p>
        </w:tc>
        <w:tc>
          <w:tcPr>
            <w:tcW w:w="0" w:type="auto"/>
            <w:vAlign w:val="center"/>
            <w:hideMark/>
          </w:tcPr>
          <w:p w14:paraId="02263691"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SyntropicHeader</w:t>
            </w:r>
            <w:proofErr w:type="spellEnd"/>
          </w:p>
        </w:tc>
        <w:tc>
          <w:tcPr>
            <w:tcW w:w="0" w:type="auto"/>
            <w:vAlign w:val="center"/>
            <w:hideMark/>
          </w:tcPr>
          <w:p w14:paraId="0F08141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compliance or canonical integrity header</w:t>
            </w:r>
          </w:p>
        </w:tc>
        <w:tc>
          <w:tcPr>
            <w:tcW w:w="0" w:type="auto"/>
            <w:vAlign w:val="center"/>
            <w:hideMark/>
          </w:tcPr>
          <w:p w14:paraId="43F7B822"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bl>
    <w:p w14:paraId="24049E27"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J.2.2 Event</w:t>
      </w:r>
    </w:p>
    <w:p w14:paraId="6034151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An event is an observable transformation, transfer, action, measurement, commitment fulfillment, or status change affecting resources, agents, evidence, or governance records.</w:t>
      </w:r>
    </w:p>
    <w:p w14:paraId="4919BB7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Events are the atomic units of operational and economic activity.</w:t>
      </w:r>
    </w:p>
    <w:p w14:paraId="2E58F42E" w14:textId="77777777" w:rsidR="00410962" w:rsidRPr="00B479AE" w:rsidRDefault="00410962" w:rsidP="00EB071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8"/>
        <w:gridCol w:w="1571"/>
        <w:gridCol w:w="5663"/>
        <w:gridCol w:w="906"/>
      </w:tblGrid>
      <w:tr w:rsidR="00EB0717" w:rsidRPr="00B479AE" w14:paraId="2392244F" w14:textId="77777777" w:rsidTr="00410962">
        <w:trPr>
          <w:tblHeader/>
          <w:tblCellSpacing w:w="15" w:type="dxa"/>
        </w:trPr>
        <w:tc>
          <w:tcPr>
            <w:tcW w:w="0" w:type="auto"/>
            <w:vAlign w:val="center"/>
            <w:hideMark/>
          </w:tcPr>
          <w:p w14:paraId="7B38BEB4"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Field</w:t>
            </w:r>
          </w:p>
        </w:tc>
        <w:tc>
          <w:tcPr>
            <w:tcW w:w="0" w:type="auto"/>
            <w:vAlign w:val="center"/>
            <w:hideMark/>
          </w:tcPr>
          <w:p w14:paraId="4AF90BBB"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Type</w:t>
            </w:r>
          </w:p>
        </w:tc>
        <w:tc>
          <w:tcPr>
            <w:tcW w:w="0" w:type="auto"/>
            <w:vAlign w:val="center"/>
            <w:hideMark/>
          </w:tcPr>
          <w:p w14:paraId="4F43E704"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7B02555F"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w:t>
            </w:r>
          </w:p>
        </w:tc>
      </w:tr>
      <w:tr w:rsidR="00EB0717" w:rsidRPr="00B479AE" w14:paraId="2C9DB28F" w14:textId="77777777" w:rsidTr="00410962">
        <w:trPr>
          <w:tblCellSpacing w:w="15" w:type="dxa"/>
        </w:trPr>
        <w:tc>
          <w:tcPr>
            <w:tcW w:w="0" w:type="auto"/>
            <w:vAlign w:val="center"/>
            <w:hideMark/>
          </w:tcPr>
          <w:p w14:paraId="3887BBD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id</w:t>
            </w:r>
          </w:p>
        </w:tc>
        <w:tc>
          <w:tcPr>
            <w:tcW w:w="0" w:type="auto"/>
            <w:vAlign w:val="center"/>
            <w:hideMark/>
          </w:tcPr>
          <w:p w14:paraId="4A3E42C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5195C3E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Unique identifier</w:t>
            </w:r>
          </w:p>
        </w:tc>
        <w:tc>
          <w:tcPr>
            <w:tcW w:w="0" w:type="auto"/>
            <w:vAlign w:val="center"/>
            <w:hideMark/>
          </w:tcPr>
          <w:p w14:paraId="79898AC5"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3F916C48" w14:textId="77777777" w:rsidTr="00410962">
        <w:trPr>
          <w:tblCellSpacing w:w="15" w:type="dxa"/>
        </w:trPr>
        <w:tc>
          <w:tcPr>
            <w:tcW w:w="0" w:type="auto"/>
            <w:vAlign w:val="center"/>
            <w:hideMark/>
          </w:tcPr>
          <w:p w14:paraId="38D7EFB1"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event_type</w:t>
            </w:r>
            <w:proofErr w:type="spellEnd"/>
          </w:p>
        </w:tc>
        <w:tc>
          <w:tcPr>
            <w:tcW w:w="0" w:type="auto"/>
            <w:vAlign w:val="center"/>
            <w:hideMark/>
          </w:tcPr>
          <w:p w14:paraId="4F1327AD"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Enum</w:t>
            </w:r>
          </w:p>
        </w:tc>
        <w:tc>
          <w:tcPr>
            <w:tcW w:w="0" w:type="auto"/>
            <w:vAlign w:val="center"/>
            <w:hideMark/>
          </w:tcPr>
          <w:p w14:paraId="2CE5F18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production, consumption, transfer, exchange, measurement, verification, </w:t>
            </w:r>
            <w:proofErr w:type="spellStart"/>
            <w:r w:rsidRPr="00B479AE">
              <w:rPr>
                <w:rFonts w:ascii="Baskerville Old Face" w:hAnsi="Baskerville Old Face"/>
                <w:i/>
                <w:iCs/>
                <w:sz w:val="22"/>
                <w:szCs w:val="22"/>
              </w:rPr>
              <w:t>stewardship_action</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commitment_fulfillment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governance_decision</w:t>
            </w:r>
            <w:proofErr w:type="spellEnd"/>
            <w:r w:rsidRPr="00B479AE">
              <w:rPr>
                <w:rFonts w:ascii="Baskerville Old Face" w:hAnsi="Baskerville Old Face"/>
                <w:i/>
                <w:iCs/>
                <w:sz w:val="22"/>
                <w:szCs w:val="22"/>
              </w:rPr>
              <w:t>, correction, review</w:t>
            </w:r>
          </w:p>
        </w:tc>
        <w:tc>
          <w:tcPr>
            <w:tcW w:w="0" w:type="auto"/>
            <w:vAlign w:val="center"/>
            <w:hideMark/>
          </w:tcPr>
          <w:p w14:paraId="0C6FFEDF"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7042F6FF" w14:textId="77777777" w:rsidTr="00410962">
        <w:trPr>
          <w:tblCellSpacing w:w="15" w:type="dxa"/>
        </w:trPr>
        <w:tc>
          <w:tcPr>
            <w:tcW w:w="0" w:type="auto"/>
            <w:vAlign w:val="center"/>
            <w:hideMark/>
          </w:tcPr>
          <w:p w14:paraId="48F3D3A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action</w:t>
            </w:r>
          </w:p>
        </w:tc>
        <w:tc>
          <w:tcPr>
            <w:tcW w:w="0" w:type="auto"/>
            <w:vAlign w:val="center"/>
            <w:hideMark/>
          </w:tcPr>
          <w:p w14:paraId="4D0AC0A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String</w:t>
            </w:r>
          </w:p>
        </w:tc>
        <w:tc>
          <w:tcPr>
            <w:tcW w:w="0" w:type="auto"/>
            <w:vAlign w:val="center"/>
            <w:hideMark/>
          </w:tcPr>
          <w:p w14:paraId="308D6F2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Verb describing the action, such as plant, harvest, measure, verify, certify, review, correct, transfer, report, or reinvest</w:t>
            </w:r>
          </w:p>
        </w:tc>
        <w:tc>
          <w:tcPr>
            <w:tcW w:w="0" w:type="auto"/>
            <w:vAlign w:val="center"/>
            <w:hideMark/>
          </w:tcPr>
          <w:p w14:paraId="3CED2220"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6708A1F2" w14:textId="77777777" w:rsidTr="00410962">
        <w:trPr>
          <w:tblCellSpacing w:w="15" w:type="dxa"/>
        </w:trPr>
        <w:tc>
          <w:tcPr>
            <w:tcW w:w="0" w:type="auto"/>
            <w:vAlign w:val="center"/>
            <w:hideMark/>
          </w:tcPr>
          <w:p w14:paraId="540A788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provider</w:t>
            </w:r>
          </w:p>
        </w:tc>
        <w:tc>
          <w:tcPr>
            <w:tcW w:w="0" w:type="auto"/>
            <w:vAlign w:val="center"/>
            <w:hideMark/>
          </w:tcPr>
          <w:p w14:paraId="30BE3EBD"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AgentPubKey</w:t>
            </w:r>
            <w:proofErr w:type="spellEnd"/>
          </w:p>
        </w:tc>
        <w:tc>
          <w:tcPr>
            <w:tcW w:w="0" w:type="auto"/>
            <w:vAlign w:val="center"/>
            <w:hideMark/>
          </w:tcPr>
          <w:p w14:paraId="0D79A9E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Agent providing the resource, action, service, or evidence</w:t>
            </w:r>
          </w:p>
        </w:tc>
        <w:tc>
          <w:tcPr>
            <w:tcW w:w="0" w:type="auto"/>
            <w:vAlign w:val="center"/>
            <w:hideMark/>
          </w:tcPr>
          <w:p w14:paraId="0F77190C"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0AF6A3C1" w14:textId="77777777" w:rsidTr="00410962">
        <w:trPr>
          <w:tblCellSpacing w:w="15" w:type="dxa"/>
        </w:trPr>
        <w:tc>
          <w:tcPr>
            <w:tcW w:w="0" w:type="auto"/>
            <w:vAlign w:val="center"/>
            <w:hideMark/>
          </w:tcPr>
          <w:p w14:paraId="5139B0C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receiver</w:t>
            </w:r>
          </w:p>
        </w:tc>
        <w:tc>
          <w:tcPr>
            <w:tcW w:w="0" w:type="auto"/>
            <w:vAlign w:val="center"/>
            <w:hideMark/>
          </w:tcPr>
          <w:p w14:paraId="2D3FC9C4"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AgentPubKey</w:t>
            </w:r>
            <w:proofErr w:type="spellEnd"/>
          </w:p>
        </w:tc>
        <w:tc>
          <w:tcPr>
            <w:tcW w:w="0" w:type="auto"/>
            <w:vAlign w:val="center"/>
            <w:hideMark/>
          </w:tcPr>
          <w:p w14:paraId="032C274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Agent receiving the resource, action, service, or evidence</w:t>
            </w:r>
          </w:p>
        </w:tc>
        <w:tc>
          <w:tcPr>
            <w:tcW w:w="0" w:type="auto"/>
            <w:vAlign w:val="center"/>
            <w:hideMark/>
          </w:tcPr>
          <w:p w14:paraId="4FEB24FB"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5C7E76D6" w14:textId="77777777" w:rsidTr="00410962">
        <w:trPr>
          <w:tblCellSpacing w:w="15" w:type="dxa"/>
        </w:trPr>
        <w:tc>
          <w:tcPr>
            <w:tcW w:w="0" w:type="auto"/>
            <w:vAlign w:val="center"/>
            <w:hideMark/>
          </w:tcPr>
          <w:p w14:paraId="32F4E32E"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resource_id</w:t>
            </w:r>
            <w:proofErr w:type="spellEnd"/>
          </w:p>
        </w:tc>
        <w:tc>
          <w:tcPr>
            <w:tcW w:w="0" w:type="auto"/>
            <w:vAlign w:val="center"/>
            <w:hideMark/>
          </w:tcPr>
          <w:p w14:paraId="77BC1AC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065D021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Link to affected resource</w:t>
            </w:r>
          </w:p>
        </w:tc>
        <w:tc>
          <w:tcPr>
            <w:tcW w:w="0" w:type="auto"/>
            <w:vAlign w:val="center"/>
            <w:hideMark/>
          </w:tcPr>
          <w:p w14:paraId="392506B1"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7B18837" w14:textId="77777777" w:rsidTr="00410962">
        <w:trPr>
          <w:tblCellSpacing w:w="15" w:type="dxa"/>
        </w:trPr>
        <w:tc>
          <w:tcPr>
            <w:tcW w:w="0" w:type="auto"/>
            <w:vAlign w:val="center"/>
            <w:hideMark/>
          </w:tcPr>
          <w:p w14:paraId="7AA1D4F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quantity</w:t>
            </w:r>
          </w:p>
        </w:tc>
        <w:tc>
          <w:tcPr>
            <w:tcW w:w="0" w:type="auto"/>
            <w:vAlign w:val="center"/>
            <w:hideMark/>
          </w:tcPr>
          <w:p w14:paraId="2D74172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Float</w:t>
            </w:r>
          </w:p>
        </w:tc>
        <w:tc>
          <w:tcPr>
            <w:tcW w:w="0" w:type="auto"/>
            <w:vAlign w:val="center"/>
            <w:hideMark/>
          </w:tcPr>
          <w:p w14:paraId="59A8B36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Amount involved where applicable</w:t>
            </w:r>
          </w:p>
        </w:tc>
        <w:tc>
          <w:tcPr>
            <w:tcW w:w="0" w:type="auto"/>
            <w:vAlign w:val="center"/>
            <w:hideMark/>
          </w:tcPr>
          <w:p w14:paraId="37F6F213"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0595FC8B" w14:textId="77777777" w:rsidTr="00410962">
        <w:trPr>
          <w:tblCellSpacing w:w="15" w:type="dxa"/>
        </w:trPr>
        <w:tc>
          <w:tcPr>
            <w:tcW w:w="0" w:type="auto"/>
            <w:vAlign w:val="center"/>
            <w:hideMark/>
          </w:tcPr>
          <w:p w14:paraId="10C35A2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unit</w:t>
            </w:r>
          </w:p>
        </w:tc>
        <w:tc>
          <w:tcPr>
            <w:tcW w:w="0" w:type="auto"/>
            <w:vAlign w:val="center"/>
            <w:hideMark/>
          </w:tcPr>
          <w:p w14:paraId="31658E0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String</w:t>
            </w:r>
          </w:p>
        </w:tc>
        <w:tc>
          <w:tcPr>
            <w:tcW w:w="0" w:type="auto"/>
            <w:vAlign w:val="center"/>
            <w:hideMark/>
          </w:tcPr>
          <w:p w14:paraId="2005E3C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Unit of measurement</w:t>
            </w:r>
          </w:p>
        </w:tc>
        <w:tc>
          <w:tcPr>
            <w:tcW w:w="0" w:type="auto"/>
            <w:vAlign w:val="center"/>
            <w:hideMark/>
          </w:tcPr>
          <w:p w14:paraId="1CFF34B6"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1A1FAB16" w14:textId="77777777" w:rsidTr="00410962">
        <w:trPr>
          <w:tblCellSpacing w:w="15" w:type="dxa"/>
        </w:trPr>
        <w:tc>
          <w:tcPr>
            <w:tcW w:w="0" w:type="auto"/>
            <w:vAlign w:val="center"/>
            <w:hideMark/>
          </w:tcPr>
          <w:p w14:paraId="66060C7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location</w:t>
            </w:r>
          </w:p>
        </w:tc>
        <w:tc>
          <w:tcPr>
            <w:tcW w:w="0" w:type="auto"/>
            <w:vAlign w:val="center"/>
            <w:hideMark/>
          </w:tcPr>
          <w:p w14:paraId="11199611"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GeoJSON</w:t>
            </w:r>
            <w:proofErr w:type="spellEnd"/>
          </w:p>
        </w:tc>
        <w:tc>
          <w:tcPr>
            <w:tcW w:w="0" w:type="auto"/>
            <w:vAlign w:val="center"/>
            <w:hideMark/>
          </w:tcPr>
          <w:p w14:paraId="1D9EB35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Where the event occurred where applicable</w:t>
            </w:r>
          </w:p>
        </w:tc>
        <w:tc>
          <w:tcPr>
            <w:tcW w:w="0" w:type="auto"/>
            <w:vAlign w:val="center"/>
            <w:hideMark/>
          </w:tcPr>
          <w:p w14:paraId="6C51D32F"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6729E515" w14:textId="77777777" w:rsidTr="00410962">
        <w:trPr>
          <w:tblCellSpacing w:w="15" w:type="dxa"/>
        </w:trPr>
        <w:tc>
          <w:tcPr>
            <w:tcW w:w="0" w:type="auto"/>
            <w:vAlign w:val="center"/>
            <w:hideMark/>
          </w:tcPr>
          <w:p w14:paraId="4BF32BF4"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time_window</w:t>
            </w:r>
            <w:proofErr w:type="spellEnd"/>
          </w:p>
        </w:tc>
        <w:tc>
          <w:tcPr>
            <w:tcW w:w="0" w:type="auto"/>
            <w:vAlign w:val="center"/>
            <w:hideMark/>
          </w:tcPr>
          <w:p w14:paraId="4AEA1BFD"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TimeWindow</w:t>
            </w:r>
            <w:proofErr w:type="spellEnd"/>
          </w:p>
        </w:tc>
        <w:tc>
          <w:tcPr>
            <w:tcW w:w="0" w:type="auto"/>
            <w:vAlign w:val="center"/>
            <w:hideMark/>
          </w:tcPr>
          <w:p w14:paraId="1240856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When the event occurred</w:t>
            </w:r>
          </w:p>
        </w:tc>
        <w:tc>
          <w:tcPr>
            <w:tcW w:w="0" w:type="auto"/>
            <w:vAlign w:val="center"/>
            <w:hideMark/>
          </w:tcPr>
          <w:p w14:paraId="504AF871"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359F3AD8" w14:textId="77777777" w:rsidTr="00410962">
        <w:trPr>
          <w:tblCellSpacing w:w="15" w:type="dxa"/>
        </w:trPr>
        <w:tc>
          <w:tcPr>
            <w:tcW w:w="0" w:type="auto"/>
            <w:vAlign w:val="center"/>
            <w:hideMark/>
          </w:tcPr>
          <w:p w14:paraId="4D465542"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mrv_id</w:t>
            </w:r>
            <w:proofErr w:type="spellEnd"/>
          </w:p>
        </w:tc>
        <w:tc>
          <w:tcPr>
            <w:tcW w:w="0" w:type="auto"/>
            <w:vAlign w:val="center"/>
            <w:hideMark/>
          </w:tcPr>
          <w:p w14:paraId="1E419DC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564E4B6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Link to MRV evidence where applicable</w:t>
            </w:r>
          </w:p>
        </w:tc>
        <w:tc>
          <w:tcPr>
            <w:tcW w:w="0" w:type="auto"/>
            <w:vAlign w:val="center"/>
            <w:hideMark/>
          </w:tcPr>
          <w:p w14:paraId="14AFC181"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03E46CB3" w14:textId="77777777" w:rsidTr="00410962">
        <w:trPr>
          <w:tblCellSpacing w:w="15" w:type="dxa"/>
        </w:trPr>
        <w:tc>
          <w:tcPr>
            <w:tcW w:w="0" w:type="auto"/>
            <w:vAlign w:val="center"/>
            <w:hideMark/>
          </w:tcPr>
          <w:p w14:paraId="38A14729"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commitment_id</w:t>
            </w:r>
            <w:proofErr w:type="spellEnd"/>
          </w:p>
        </w:tc>
        <w:tc>
          <w:tcPr>
            <w:tcW w:w="0" w:type="auto"/>
            <w:vAlign w:val="center"/>
            <w:hideMark/>
          </w:tcPr>
          <w:p w14:paraId="1E33CFC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44B7D87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Link to commitment being fulfilled where applicable</w:t>
            </w:r>
          </w:p>
        </w:tc>
        <w:tc>
          <w:tcPr>
            <w:tcW w:w="0" w:type="auto"/>
            <w:vAlign w:val="center"/>
            <w:hideMark/>
          </w:tcPr>
          <w:p w14:paraId="5BF93EA0"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28DA632D" w14:textId="77777777" w:rsidTr="00410962">
        <w:trPr>
          <w:tblCellSpacing w:w="15" w:type="dxa"/>
        </w:trPr>
        <w:tc>
          <w:tcPr>
            <w:tcW w:w="0" w:type="auto"/>
            <w:vAlign w:val="center"/>
            <w:hideMark/>
          </w:tcPr>
          <w:p w14:paraId="6D2ACA12"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review_status</w:t>
            </w:r>
            <w:proofErr w:type="spellEnd"/>
          </w:p>
        </w:tc>
        <w:tc>
          <w:tcPr>
            <w:tcW w:w="0" w:type="auto"/>
            <w:vAlign w:val="center"/>
            <w:hideMark/>
          </w:tcPr>
          <w:p w14:paraId="1D96F37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Enum</w:t>
            </w:r>
          </w:p>
        </w:tc>
        <w:tc>
          <w:tcPr>
            <w:tcW w:w="0" w:type="auto"/>
            <w:vAlign w:val="center"/>
            <w:hideMark/>
          </w:tcPr>
          <w:p w14:paraId="4307483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draft, submitted, reviewed, rejected, corrected, admissible, </w:t>
            </w:r>
            <w:proofErr w:type="spellStart"/>
            <w:r w:rsidRPr="00B479AE">
              <w:rPr>
                <w:rFonts w:ascii="Baskerville Old Face" w:hAnsi="Baskerville Old Face"/>
                <w:i/>
                <w:iCs/>
                <w:sz w:val="22"/>
                <w:szCs w:val="22"/>
              </w:rPr>
              <w:t>non_admissible</w:t>
            </w:r>
            <w:proofErr w:type="spellEnd"/>
          </w:p>
        </w:tc>
        <w:tc>
          <w:tcPr>
            <w:tcW w:w="0" w:type="auto"/>
            <w:vAlign w:val="center"/>
            <w:hideMark/>
          </w:tcPr>
          <w:p w14:paraId="09695479"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458E559B" w14:textId="77777777" w:rsidTr="00410962">
        <w:trPr>
          <w:tblCellSpacing w:w="15" w:type="dxa"/>
        </w:trPr>
        <w:tc>
          <w:tcPr>
            <w:tcW w:w="0" w:type="auto"/>
            <w:vAlign w:val="center"/>
            <w:hideMark/>
          </w:tcPr>
          <w:p w14:paraId="5D1B782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metadata</w:t>
            </w:r>
          </w:p>
        </w:tc>
        <w:tc>
          <w:tcPr>
            <w:tcW w:w="0" w:type="auto"/>
            <w:vAlign w:val="center"/>
            <w:hideMark/>
          </w:tcPr>
          <w:p w14:paraId="01DE7DD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JSON</w:t>
            </w:r>
          </w:p>
        </w:tc>
        <w:tc>
          <w:tcPr>
            <w:tcW w:w="0" w:type="auto"/>
            <w:vAlign w:val="center"/>
            <w:hideMark/>
          </w:tcPr>
          <w:p w14:paraId="4F8D6D2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Extended attributes, limitations, methodology references, legal boundary, or audit notes</w:t>
            </w:r>
          </w:p>
        </w:tc>
        <w:tc>
          <w:tcPr>
            <w:tcW w:w="0" w:type="auto"/>
            <w:vAlign w:val="center"/>
            <w:hideMark/>
          </w:tcPr>
          <w:p w14:paraId="7FA0594A"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71228C4" w14:textId="77777777" w:rsidTr="00410962">
        <w:trPr>
          <w:tblCellSpacing w:w="15" w:type="dxa"/>
        </w:trPr>
        <w:tc>
          <w:tcPr>
            <w:tcW w:w="0" w:type="auto"/>
            <w:vAlign w:val="center"/>
            <w:hideMark/>
          </w:tcPr>
          <w:p w14:paraId="0077008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header</w:t>
            </w:r>
          </w:p>
        </w:tc>
        <w:tc>
          <w:tcPr>
            <w:tcW w:w="0" w:type="auto"/>
            <w:vAlign w:val="center"/>
            <w:hideMark/>
          </w:tcPr>
          <w:p w14:paraId="705C70D1"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SyntropicHeader</w:t>
            </w:r>
            <w:proofErr w:type="spellEnd"/>
          </w:p>
        </w:tc>
        <w:tc>
          <w:tcPr>
            <w:tcW w:w="0" w:type="auto"/>
            <w:vAlign w:val="center"/>
            <w:hideMark/>
          </w:tcPr>
          <w:p w14:paraId="2560F51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compliance or canonical integrity header</w:t>
            </w:r>
          </w:p>
        </w:tc>
        <w:tc>
          <w:tcPr>
            <w:tcW w:w="0" w:type="auto"/>
            <w:vAlign w:val="center"/>
            <w:hideMark/>
          </w:tcPr>
          <w:p w14:paraId="13A75FC8"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bl>
    <w:p w14:paraId="6CA6BFC6" w14:textId="77777777" w:rsidR="00410962" w:rsidRPr="00B479AE" w:rsidRDefault="00410962" w:rsidP="00EB0717">
      <w:pPr>
        <w:spacing w:line="360" w:lineRule="auto"/>
        <w:rPr>
          <w:rFonts w:ascii="Baskerville Old Face" w:hAnsi="Baskerville Old Face"/>
          <w:b/>
          <w:bCs/>
          <w:i/>
          <w:iCs/>
        </w:rPr>
      </w:pPr>
    </w:p>
    <w:p w14:paraId="2EB2A804" w14:textId="181B5C0B"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lastRenderedPageBreak/>
        <w:t>J.2.3 Agent</w:t>
      </w:r>
    </w:p>
    <w:p w14:paraId="16E47FD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An agent is any entity capable of action within the system.</w:t>
      </w:r>
    </w:p>
    <w:p w14:paraId="570A160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Agents may include individuals, organizations, DAOs, projects, devices, auditors, validators, laboratories, public institutions, or automated processes operating under defined authority.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571"/>
        <w:gridCol w:w="5677"/>
        <w:gridCol w:w="906"/>
      </w:tblGrid>
      <w:tr w:rsidR="00EB0717" w:rsidRPr="00B479AE" w14:paraId="3238CBFE" w14:textId="77777777" w:rsidTr="00410962">
        <w:trPr>
          <w:tblHeader/>
          <w:tblCellSpacing w:w="15" w:type="dxa"/>
        </w:trPr>
        <w:tc>
          <w:tcPr>
            <w:tcW w:w="0" w:type="auto"/>
            <w:vAlign w:val="center"/>
            <w:hideMark/>
          </w:tcPr>
          <w:p w14:paraId="38FBF517"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Field</w:t>
            </w:r>
          </w:p>
        </w:tc>
        <w:tc>
          <w:tcPr>
            <w:tcW w:w="0" w:type="auto"/>
            <w:vAlign w:val="center"/>
            <w:hideMark/>
          </w:tcPr>
          <w:p w14:paraId="34F6586F"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Type</w:t>
            </w:r>
          </w:p>
        </w:tc>
        <w:tc>
          <w:tcPr>
            <w:tcW w:w="0" w:type="auto"/>
            <w:vAlign w:val="center"/>
            <w:hideMark/>
          </w:tcPr>
          <w:p w14:paraId="69AB756F"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71C51EBA"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w:t>
            </w:r>
          </w:p>
        </w:tc>
      </w:tr>
      <w:tr w:rsidR="00EB0717" w:rsidRPr="00B479AE" w14:paraId="4625D548" w14:textId="77777777" w:rsidTr="00410962">
        <w:trPr>
          <w:tblCellSpacing w:w="15" w:type="dxa"/>
        </w:trPr>
        <w:tc>
          <w:tcPr>
            <w:tcW w:w="0" w:type="auto"/>
            <w:vAlign w:val="center"/>
            <w:hideMark/>
          </w:tcPr>
          <w:p w14:paraId="47F6A40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id</w:t>
            </w:r>
          </w:p>
        </w:tc>
        <w:tc>
          <w:tcPr>
            <w:tcW w:w="0" w:type="auto"/>
            <w:vAlign w:val="center"/>
            <w:hideMark/>
          </w:tcPr>
          <w:p w14:paraId="5BFF1800"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AgentPubKey</w:t>
            </w:r>
            <w:proofErr w:type="spellEnd"/>
          </w:p>
        </w:tc>
        <w:tc>
          <w:tcPr>
            <w:tcW w:w="0" w:type="auto"/>
            <w:vAlign w:val="center"/>
            <w:hideMark/>
          </w:tcPr>
          <w:p w14:paraId="64489D1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Public key or DPKI identifier</w:t>
            </w:r>
          </w:p>
        </w:tc>
        <w:tc>
          <w:tcPr>
            <w:tcW w:w="0" w:type="auto"/>
            <w:vAlign w:val="center"/>
            <w:hideMark/>
          </w:tcPr>
          <w:p w14:paraId="50BEE361"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4E94CF82" w14:textId="77777777" w:rsidTr="00410962">
        <w:trPr>
          <w:tblCellSpacing w:w="15" w:type="dxa"/>
        </w:trPr>
        <w:tc>
          <w:tcPr>
            <w:tcW w:w="0" w:type="auto"/>
            <w:vAlign w:val="center"/>
            <w:hideMark/>
          </w:tcPr>
          <w:p w14:paraId="34740B37"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agent_type</w:t>
            </w:r>
            <w:proofErr w:type="spellEnd"/>
          </w:p>
        </w:tc>
        <w:tc>
          <w:tcPr>
            <w:tcW w:w="0" w:type="auto"/>
            <w:vAlign w:val="center"/>
            <w:hideMark/>
          </w:tcPr>
          <w:p w14:paraId="62DF119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Enum</w:t>
            </w:r>
          </w:p>
        </w:tc>
        <w:tc>
          <w:tcPr>
            <w:tcW w:w="0" w:type="auto"/>
            <w:vAlign w:val="center"/>
            <w:hideMark/>
          </w:tcPr>
          <w:p w14:paraId="22B2110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individual, organization, dao, project, device, auditor, validator, laboratory, </w:t>
            </w:r>
            <w:proofErr w:type="spellStart"/>
            <w:r w:rsidRPr="00B479AE">
              <w:rPr>
                <w:rFonts w:ascii="Baskerville Old Face" w:hAnsi="Baskerville Old Face"/>
                <w:i/>
                <w:iCs/>
                <w:sz w:val="22"/>
                <w:szCs w:val="22"/>
              </w:rPr>
              <w:t>public_institution</w:t>
            </w:r>
            <w:proofErr w:type="spellEnd"/>
            <w:r w:rsidRPr="00B479AE">
              <w:rPr>
                <w:rFonts w:ascii="Baskerville Old Face" w:hAnsi="Baskerville Old Face"/>
                <w:i/>
                <w:iCs/>
                <w:sz w:val="22"/>
                <w:szCs w:val="22"/>
              </w:rPr>
              <w:t>, automated</w:t>
            </w:r>
          </w:p>
        </w:tc>
        <w:tc>
          <w:tcPr>
            <w:tcW w:w="0" w:type="auto"/>
            <w:vAlign w:val="center"/>
            <w:hideMark/>
          </w:tcPr>
          <w:p w14:paraId="24438D6A"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0B3478A6" w14:textId="77777777" w:rsidTr="00410962">
        <w:trPr>
          <w:tblCellSpacing w:w="15" w:type="dxa"/>
        </w:trPr>
        <w:tc>
          <w:tcPr>
            <w:tcW w:w="0" w:type="auto"/>
            <w:vAlign w:val="center"/>
            <w:hideMark/>
          </w:tcPr>
          <w:p w14:paraId="3DE98A50"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name</w:t>
            </w:r>
          </w:p>
        </w:tc>
        <w:tc>
          <w:tcPr>
            <w:tcW w:w="0" w:type="auto"/>
            <w:vAlign w:val="center"/>
            <w:hideMark/>
          </w:tcPr>
          <w:p w14:paraId="436C01F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String</w:t>
            </w:r>
          </w:p>
        </w:tc>
        <w:tc>
          <w:tcPr>
            <w:tcW w:w="0" w:type="auto"/>
            <w:vAlign w:val="center"/>
            <w:hideMark/>
          </w:tcPr>
          <w:p w14:paraId="219457F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Human-readable name</w:t>
            </w:r>
          </w:p>
        </w:tc>
        <w:tc>
          <w:tcPr>
            <w:tcW w:w="0" w:type="auto"/>
            <w:vAlign w:val="center"/>
            <w:hideMark/>
          </w:tcPr>
          <w:p w14:paraId="52FE9204"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62733D21" w14:textId="77777777" w:rsidTr="00410962">
        <w:trPr>
          <w:tblCellSpacing w:w="15" w:type="dxa"/>
        </w:trPr>
        <w:tc>
          <w:tcPr>
            <w:tcW w:w="0" w:type="auto"/>
            <w:vAlign w:val="center"/>
            <w:hideMark/>
          </w:tcPr>
          <w:p w14:paraId="77053FE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profile</w:t>
            </w:r>
          </w:p>
        </w:tc>
        <w:tc>
          <w:tcPr>
            <w:tcW w:w="0" w:type="auto"/>
            <w:vAlign w:val="center"/>
            <w:hideMark/>
          </w:tcPr>
          <w:p w14:paraId="1F72A68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JSON</w:t>
            </w:r>
          </w:p>
        </w:tc>
        <w:tc>
          <w:tcPr>
            <w:tcW w:w="0" w:type="auto"/>
            <w:vAlign w:val="center"/>
            <w:hideMark/>
          </w:tcPr>
          <w:p w14:paraId="0C6BD99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Optional profile data, credentials, role information, or public metadata</w:t>
            </w:r>
          </w:p>
        </w:tc>
        <w:tc>
          <w:tcPr>
            <w:tcW w:w="0" w:type="auto"/>
            <w:vAlign w:val="center"/>
            <w:hideMark/>
          </w:tcPr>
          <w:p w14:paraId="20867CEC"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048A47E8" w14:textId="77777777" w:rsidTr="00410962">
        <w:trPr>
          <w:tblCellSpacing w:w="15" w:type="dxa"/>
        </w:trPr>
        <w:tc>
          <w:tcPr>
            <w:tcW w:w="0" w:type="auto"/>
            <w:vAlign w:val="center"/>
            <w:hideMark/>
          </w:tcPr>
          <w:p w14:paraId="79FCFB31"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reputation_id</w:t>
            </w:r>
            <w:proofErr w:type="spellEnd"/>
          </w:p>
        </w:tc>
        <w:tc>
          <w:tcPr>
            <w:tcW w:w="0" w:type="auto"/>
            <w:vAlign w:val="center"/>
            <w:hideMark/>
          </w:tcPr>
          <w:p w14:paraId="793D8FB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49BE741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Link to reputation context where applicable</w:t>
            </w:r>
          </w:p>
        </w:tc>
        <w:tc>
          <w:tcPr>
            <w:tcW w:w="0" w:type="auto"/>
            <w:vAlign w:val="center"/>
            <w:hideMark/>
          </w:tcPr>
          <w:p w14:paraId="2A7924EC"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763B11AD" w14:textId="77777777" w:rsidTr="00410962">
        <w:trPr>
          <w:tblCellSpacing w:w="15" w:type="dxa"/>
        </w:trPr>
        <w:tc>
          <w:tcPr>
            <w:tcW w:w="0" w:type="auto"/>
            <w:vAlign w:val="center"/>
            <w:hideMark/>
          </w:tcPr>
          <w:p w14:paraId="47F53E69"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authority_scope</w:t>
            </w:r>
            <w:proofErr w:type="spellEnd"/>
          </w:p>
        </w:tc>
        <w:tc>
          <w:tcPr>
            <w:tcW w:w="0" w:type="auto"/>
            <w:vAlign w:val="center"/>
            <w:hideMark/>
          </w:tcPr>
          <w:p w14:paraId="266825A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JSON</w:t>
            </w:r>
          </w:p>
        </w:tc>
        <w:tc>
          <w:tcPr>
            <w:tcW w:w="0" w:type="auto"/>
            <w:vAlign w:val="center"/>
            <w:hideMark/>
          </w:tcPr>
          <w:p w14:paraId="0479338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Defined scope of authority, role, or permitted action</w:t>
            </w:r>
          </w:p>
        </w:tc>
        <w:tc>
          <w:tcPr>
            <w:tcW w:w="0" w:type="auto"/>
            <w:vAlign w:val="center"/>
            <w:hideMark/>
          </w:tcPr>
          <w:p w14:paraId="38BAEDA1"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728CC9D3" w14:textId="77777777" w:rsidTr="00410962">
        <w:trPr>
          <w:tblCellSpacing w:w="15" w:type="dxa"/>
        </w:trPr>
        <w:tc>
          <w:tcPr>
            <w:tcW w:w="0" w:type="auto"/>
            <w:vAlign w:val="center"/>
            <w:hideMark/>
          </w:tcPr>
          <w:p w14:paraId="5322120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header</w:t>
            </w:r>
          </w:p>
        </w:tc>
        <w:tc>
          <w:tcPr>
            <w:tcW w:w="0" w:type="auto"/>
            <w:vAlign w:val="center"/>
            <w:hideMark/>
          </w:tcPr>
          <w:p w14:paraId="5D1AA43B"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SyntropicHeader</w:t>
            </w:r>
            <w:proofErr w:type="spellEnd"/>
          </w:p>
        </w:tc>
        <w:tc>
          <w:tcPr>
            <w:tcW w:w="0" w:type="auto"/>
            <w:vAlign w:val="center"/>
            <w:hideMark/>
          </w:tcPr>
          <w:p w14:paraId="621B57C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compliance or canonical integrity header</w:t>
            </w:r>
          </w:p>
        </w:tc>
        <w:tc>
          <w:tcPr>
            <w:tcW w:w="0" w:type="auto"/>
            <w:vAlign w:val="center"/>
            <w:hideMark/>
          </w:tcPr>
          <w:p w14:paraId="4E036028"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bl>
    <w:p w14:paraId="1E27A80E"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J.2.4 Commitment</w:t>
      </w:r>
    </w:p>
    <w:p w14:paraId="7266D30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commitment is an agreement, plan, proposal, contract, stewardship undertaking, delivery obligation, or governance-approved intention to perform future events.</w:t>
      </w:r>
    </w:p>
    <w:p w14:paraId="6DBBEC9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 creates accountability and enables forward planning.</w:t>
      </w:r>
    </w:p>
    <w:p w14:paraId="71F9A270" w14:textId="77777777" w:rsidR="00410962" w:rsidRPr="00B479AE" w:rsidRDefault="00410962" w:rsidP="00EB0717">
      <w:pPr>
        <w:spacing w:line="360" w:lineRule="auto"/>
        <w:rPr>
          <w:rFonts w:ascii="Baskerville Old Face" w:hAnsi="Baskerville Old Face"/>
          <w:i/>
          <w:iCs/>
        </w:rPr>
      </w:pPr>
    </w:p>
    <w:p w14:paraId="08EEAF22" w14:textId="77777777" w:rsidR="00410962" w:rsidRPr="00B479AE" w:rsidRDefault="00410962" w:rsidP="00EB0717">
      <w:pPr>
        <w:spacing w:line="360" w:lineRule="auto"/>
        <w:rPr>
          <w:rFonts w:ascii="Baskerville Old Face" w:hAnsi="Baskerville Old Face"/>
          <w:i/>
          <w:iCs/>
        </w:rPr>
      </w:pPr>
    </w:p>
    <w:p w14:paraId="5F99659C" w14:textId="77777777" w:rsidR="00410962" w:rsidRPr="00B479AE" w:rsidRDefault="00410962" w:rsidP="00EB071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3"/>
        <w:gridCol w:w="1571"/>
        <w:gridCol w:w="5468"/>
        <w:gridCol w:w="906"/>
      </w:tblGrid>
      <w:tr w:rsidR="00EB0717" w:rsidRPr="00B479AE" w14:paraId="0651C62A" w14:textId="77777777" w:rsidTr="00410962">
        <w:trPr>
          <w:tblHeader/>
          <w:tblCellSpacing w:w="15" w:type="dxa"/>
        </w:trPr>
        <w:tc>
          <w:tcPr>
            <w:tcW w:w="0" w:type="auto"/>
            <w:vAlign w:val="center"/>
            <w:hideMark/>
          </w:tcPr>
          <w:p w14:paraId="5D6F7C45"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Field</w:t>
            </w:r>
          </w:p>
        </w:tc>
        <w:tc>
          <w:tcPr>
            <w:tcW w:w="0" w:type="auto"/>
            <w:vAlign w:val="center"/>
            <w:hideMark/>
          </w:tcPr>
          <w:p w14:paraId="18FF5E2D"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Type</w:t>
            </w:r>
          </w:p>
        </w:tc>
        <w:tc>
          <w:tcPr>
            <w:tcW w:w="0" w:type="auto"/>
            <w:vAlign w:val="center"/>
            <w:hideMark/>
          </w:tcPr>
          <w:p w14:paraId="17CCA889"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216A4E7D" w14:textId="77777777" w:rsidR="00EB0717" w:rsidRPr="00B479AE" w:rsidRDefault="00EB0717" w:rsidP="00EB0717">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Required</w:t>
            </w:r>
          </w:p>
        </w:tc>
      </w:tr>
      <w:tr w:rsidR="00EB0717" w:rsidRPr="00B479AE" w14:paraId="07BA6092" w14:textId="77777777" w:rsidTr="00410962">
        <w:trPr>
          <w:tblCellSpacing w:w="15" w:type="dxa"/>
        </w:trPr>
        <w:tc>
          <w:tcPr>
            <w:tcW w:w="0" w:type="auto"/>
            <w:vAlign w:val="center"/>
            <w:hideMark/>
          </w:tcPr>
          <w:p w14:paraId="0A2BE7F1"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id</w:t>
            </w:r>
          </w:p>
        </w:tc>
        <w:tc>
          <w:tcPr>
            <w:tcW w:w="0" w:type="auto"/>
            <w:vAlign w:val="center"/>
            <w:hideMark/>
          </w:tcPr>
          <w:p w14:paraId="516DC23F"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7AC1BF7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Unique identifier</w:t>
            </w:r>
          </w:p>
        </w:tc>
        <w:tc>
          <w:tcPr>
            <w:tcW w:w="0" w:type="auto"/>
            <w:vAlign w:val="center"/>
            <w:hideMark/>
          </w:tcPr>
          <w:p w14:paraId="75DBAE4B"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5EE2456A" w14:textId="77777777" w:rsidTr="00410962">
        <w:trPr>
          <w:tblCellSpacing w:w="15" w:type="dxa"/>
        </w:trPr>
        <w:tc>
          <w:tcPr>
            <w:tcW w:w="0" w:type="auto"/>
            <w:vAlign w:val="center"/>
            <w:hideMark/>
          </w:tcPr>
          <w:p w14:paraId="1417751E"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commitment_type</w:t>
            </w:r>
            <w:proofErr w:type="spellEnd"/>
          </w:p>
        </w:tc>
        <w:tc>
          <w:tcPr>
            <w:tcW w:w="0" w:type="auto"/>
            <w:vAlign w:val="center"/>
            <w:hideMark/>
          </w:tcPr>
          <w:p w14:paraId="62F4BC9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Enum</w:t>
            </w:r>
          </w:p>
        </w:tc>
        <w:tc>
          <w:tcPr>
            <w:tcW w:w="0" w:type="auto"/>
            <w:vAlign w:val="center"/>
            <w:hideMark/>
          </w:tcPr>
          <w:p w14:paraId="61F3CBA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agreement, contract, plan, proposal, </w:t>
            </w:r>
            <w:proofErr w:type="spellStart"/>
            <w:r w:rsidRPr="00B479AE">
              <w:rPr>
                <w:rFonts w:ascii="Baskerville Old Face" w:hAnsi="Baskerville Old Face"/>
                <w:i/>
                <w:iCs/>
                <w:sz w:val="22"/>
                <w:szCs w:val="22"/>
              </w:rPr>
              <w:t>stewardship_commitment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service_commitment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funding_commitment</w:t>
            </w:r>
            <w:proofErr w:type="spellEnd"/>
            <w:r w:rsidRPr="00B479AE">
              <w:rPr>
                <w:rFonts w:ascii="Baskerville Old Face" w:hAnsi="Baskerville Old Face"/>
                <w:i/>
                <w:iCs/>
                <w:sz w:val="22"/>
                <w:szCs w:val="22"/>
              </w:rPr>
              <w:t xml:space="preserve">, </w:t>
            </w:r>
            <w:proofErr w:type="spellStart"/>
            <w:r w:rsidRPr="00B479AE">
              <w:rPr>
                <w:rFonts w:ascii="Baskerville Old Face" w:hAnsi="Baskerville Old Face"/>
                <w:i/>
                <w:iCs/>
                <w:sz w:val="22"/>
                <w:szCs w:val="22"/>
              </w:rPr>
              <w:t>governance_commitment</w:t>
            </w:r>
            <w:proofErr w:type="spellEnd"/>
          </w:p>
        </w:tc>
        <w:tc>
          <w:tcPr>
            <w:tcW w:w="0" w:type="auto"/>
            <w:vAlign w:val="center"/>
            <w:hideMark/>
          </w:tcPr>
          <w:p w14:paraId="60D823CC"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524AFD02" w14:textId="77777777" w:rsidTr="00410962">
        <w:trPr>
          <w:tblCellSpacing w:w="15" w:type="dxa"/>
        </w:trPr>
        <w:tc>
          <w:tcPr>
            <w:tcW w:w="0" w:type="auto"/>
            <w:vAlign w:val="center"/>
            <w:hideMark/>
          </w:tcPr>
          <w:p w14:paraId="298DDA7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provider</w:t>
            </w:r>
          </w:p>
        </w:tc>
        <w:tc>
          <w:tcPr>
            <w:tcW w:w="0" w:type="auto"/>
            <w:vAlign w:val="center"/>
            <w:hideMark/>
          </w:tcPr>
          <w:p w14:paraId="4202AA5F"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AgentPubKey</w:t>
            </w:r>
            <w:proofErr w:type="spellEnd"/>
          </w:p>
        </w:tc>
        <w:tc>
          <w:tcPr>
            <w:tcW w:w="0" w:type="auto"/>
            <w:vAlign w:val="center"/>
            <w:hideMark/>
          </w:tcPr>
          <w:p w14:paraId="7B4EDF9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Agent committing to provide</w:t>
            </w:r>
          </w:p>
        </w:tc>
        <w:tc>
          <w:tcPr>
            <w:tcW w:w="0" w:type="auto"/>
            <w:vAlign w:val="center"/>
            <w:hideMark/>
          </w:tcPr>
          <w:p w14:paraId="1BE599D3"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C827B3D" w14:textId="77777777" w:rsidTr="00410962">
        <w:trPr>
          <w:tblCellSpacing w:w="15" w:type="dxa"/>
        </w:trPr>
        <w:tc>
          <w:tcPr>
            <w:tcW w:w="0" w:type="auto"/>
            <w:vAlign w:val="center"/>
            <w:hideMark/>
          </w:tcPr>
          <w:p w14:paraId="21D908E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receiver</w:t>
            </w:r>
          </w:p>
        </w:tc>
        <w:tc>
          <w:tcPr>
            <w:tcW w:w="0" w:type="auto"/>
            <w:vAlign w:val="center"/>
            <w:hideMark/>
          </w:tcPr>
          <w:p w14:paraId="1E372ADC"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AgentPubKey</w:t>
            </w:r>
            <w:proofErr w:type="spellEnd"/>
          </w:p>
        </w:tc>
        <w:tc>
          <w:tcPr>
            <w:tcW w:w="0" w:type="auto"/>
            <w:vAlign w:val="center"/>
            <w:hideMark/>
          </w:tcPr>
          <w:p w14:paraId="4574027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Agent expecting to receive or benefit</w:t>
            </w:r>
          </w:p>
        </w:tc>
        <w:tc>
          <w:tcPr>
            <w:tcW w:w="0" w:type="auto"/>
            <w:vAlign w:val="center"/>
            <w:hideMark/>
          </w:tcPr>
          <w:p w14:paraId="0E8EEF64"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3FE9F02A" w14:textId="77777777" w:rsidTr="00410962">
        <w:trPr>
          <w:tblCellSpacing w:w="15" w:type="dxa"/>
        </w:trPr>
        <w:tc>
          <w:tcPr>
            <w:tcW w:w="0" w:type="auto"/>
            <w:vAlign w:val="center"/>
            <w:hideMark/>
          </w:tcPr>
          <w:p w14:paraId="54BE9792"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resource_id</w:t>
            </w:r>
            <w:proofErr w:type="spellEnd"/>
          </w:p>
        </w:tc>
        <w:tc>
          <w:tcPr>
            <w:tcW w:w="0" w:type="auto"/>
            <w:vAlign w:val="center"/>
            <w:hideMark/>
          </w:tcPr>
          <w:p w14:paraId="2EC98FA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0599152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Resource involved where applicable</w:t>
            </w:r>
          </w:p>
        </w:tc>
        <w:tc>
          <w:tcPr>
            <w:tcW w:w="0" w:type="auto"/>
            <w:vAlign w:val="center"/>
            <w:hideMark/>
          </w:tcPr>
          <w:p w14:paraId="5CCD029C"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65625DB5" w14:textId="77777777" w:rsidTr="00410962">
        <w:trPr>
          <w:tblCellSpacing w:w="15" w:type="dxa"/>
        </w:trPr>
        <w:tc>
          <w:tcPr>
            <w:tcW w:w="0" w:type="auto"/>
            <w:vAlign w:val="center"/>
            <w:hideMark/>
          </w:tcPr>
          <w:p w14:paraId="0CAF5EC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quantity</w:t>
            </w:r>
          </w:p>
        </w:tc>
        <w:tc>
          <w:tcPr>
            <w:tcW w:w="0" w:type="auto"/>
            <w:vAlign w:val="center"/>
            <w:hideMark/>
          </w:tcPr>
          <w:p w14:paraId="3ED3411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Float</w:t>
            </w:r>
          </w:p>
        </w:tc>
        <w:tc>
          <w:tcPr>
            <w:tcW w:w="0" w:type="auto"/>
            <w:vAlign w:val="center"/>
            <w:hideMark/>
          </w:tcPr>
          <w:p w14:paraId="49742E6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Amount committed where applicable</w:t>
            </w:r>
          </w:p>
        </w:tc>
        <w:tc>
          <w:tcPr>
            <w:tcW w:w="0" w:type="auto"/>
            <w:vAlign w:val="center"/>
            <w:hideMark/>
          </w:tcPr>
          <w:p w14:paraId="0924D740"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17D6C337" w14:textId="77777777" w:rsidTr="00410962">
        <w:trPr>
          <w:tblCellSpacing w:w="15" w:type="dxa"/>
        </w:trPr>
        <w:tc>
          <w:tcPr>
            <w:tcW w:w="0" w:type="auto"/>
            <w:vAlign w:val="center"/>
            <w:hideMark/>
          </w:tcPr>
          <w:p w14:paraId="09B1D015"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unit</w:t>
            </w:r>
          </w:p>
        </w:tc>
        <w:tc>
          <w:tcPr>
            <w:tcW w:w="0" w:type="auto"/>
            <w:vAlign w:val="center"/>
            <w:hideMark/>
          </w:tcPr>
          <w:p w14:paraId="05887B9E"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String</w:t>
            </w:r>
          </w:p>
        </w:tc>
        <w:tc>
          <w:tcPr>
            <w:tcW w:w="0" w:type="auto"/>
            <w:vAlign w:val="center"/>
            <w:hideMark/>
          </w:tcPr>
          <w:p w14:paraId="5FFB0289"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Unit of measurement</w:t>
            </w:r>
          </w:p>
        </w:tc>
        <w:tc>
          <w:tcPr>
            <w:tcW w:w="0" w:type="auto"/>
            <w:vAlign w:val="center"/>
            <w:hideMark/>
          </w:tcPr>
          <w:p w14:paraId="3B9D2D11"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52885E8B" w14:textId="77777777" w:rsidTr="00410962">
        <w:trPr>
          <w:tblCellSpacing w:w="15" w:type="dxa"/>
        </w:trPr>
        <w:tc>
          <w:tcPr>
            <w:tcW w:w="0" w:type="auto"/>
            <w:vAlign w:val="center"/>
            <w:hideMark/>
          </w:tcPr>
          <w:p w14:paraId="250BC6E2"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due_start</w:t>
            </w:r>
            <w:proofErr w:type="spellEnd"/>
          </w:p>
        </w:tc>
        <w:tc>
          <w:tcPr>
            <w:tcW w:w="0" w:type="auto"/>
            <w:vAlign w:val="center"/>
            <w:hideMark/>
          </w:tcPr>
          <w:p w14:paraId="4FD9A4E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Timestamp</w:t>
            </w:r>
          </w:p>
        </w:tc>
        <w:tc>
          <w:tcPr>
            <w:tcW w:w="0" w:type="auto"/>
            <w:vAlign w:val="center"/>
            <w:hideMark/>
          </w:tcPr>
          <w:p w14:paraId="6B97A208"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Earliest expected fulfillment</w:t>
            </w:r>
          </w:p>
        </w:tc>
        <w:tc>
          <w:tcPr>
            <w:tcW w:w="0" w:type="auto"/>
            <w:vAlign w:val="center"/>
            <w:hideMark/>
          </w:tcPr>
          <w:p w14:paraId="332FF9A1"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D0A2ABB" w14:textId="77777777" w:rsidTr="00410962">
        <w:trPr>
          <w:tblCellSpacing w:w="15" w:type="dxa"/>
        </w:trPr>
        <w:tc>
          <w:tcPr>
            <w:tcW w:w="0" w:type="auto"/>
            <w:vAlign w:val="center"/>
            <w:hideMark/>
          </w:tcPr>
          <w:p w14:paraId="549FD828"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due_end</w:t>
            </w:r>
            <w:proofErr w:type="spellEnd"/>
          </w:p>
        </w:tc>
        <w:tc>
          <w:tcPr>
            <w:tcW w:w="0" w:type="auto"/>
            <w:vAlign w:val="center"/>
            <w:hideMark/>
          </w:tcPr>
          <w:p w14:paraId="1334525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Timestamp</w:t>
            </w:r>
          </w:p>
        </w:tc>
        <w:tc>
          <w:tcPr>
            <w:tcW w:w="0" w:type="auto"/>
            <w:vAlign w:val="center"/>
            <w:hideMark/>
          </w:tcPr>
          <w:p w14:paraId="5946DAD2"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Latest expected fulfillment</w:t>
            </w:r>
          </w:p>
        </w:tc>
        <w:tc>
          <w:tcPr>
            <w:tcW w:w="0" w:type="auto"/>
            <w:vAlign w:val="center"/>
            <w:hideMark/>
          </w:tcPr>
          <w:p w14:paraId="0E458BA0"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1137CEEB" w14:textId="77777777" w:rsidTr="00410962">
        <w:trPr>
          <w:tblCellSpacing w:w="15" w:type="dxa"/>
        </w:trPr>
        <w:tc>
          <w:tcPr>
            <w:tcW w:w="0" w:type="auto"/>
            <w:vAlign w:val="center"/>
            <w:hideMark/>
          </w:tcPr>
          <w:p w14:paraId="2A1604DA"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conditions</w:t>
            </w:r>
          </w:p>
        </w:tc>
        <w:tc>
          <w:tcPr>
            <w:tcW w:w="0" w:type="auto"/>
            <w:vAlign w:val="center"/>
            <w:hideMark/>
          </w:tcPr>
          <w:p w14:paraId="29C4EC8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JSON</w:t>
            </w:r>
          </w:p>
        </w:tc>
        <w:tc>
          <w:tcPr>
            <w:tcW w:w="0" w:type="auto"/>
            <w:vAlign w:val="center"/>
            <w:hideMark/>
          </w:tcPr>
          <w:p w14:paraId="02B2958B"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Conditions, limitations, legal boundary, methodology references, or governance constraints</w:t>
            </w:r>
          </w:p>
        </w:tc>
        <w:tc>
          <w:tcPr>
            <w:tcW w:w="0" w:type="auto"/>
            <w:vAlign w:val="center"/>
            <w:hideMark/>
          </w:tcPr>
          <w:p w14:paraId="181FA634"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E745922" w14:textId="77777777" w:rsidTr="00410962">
        <w:trPr>
          <w:tblCellSpacing w:w="15" w:type="dxa"/>
        </w:trPr>
        <w:tc>
          <w:tcPr>
            <w:tcW w:w="0" w:type="auto"/>
            <w:vAlign w:val="center"/>
            <w:hideMark/>
          </w:tcPr>
          <w:p w14:paraId="2509D66E"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fulfilled_by</w:t>
            </w:r>
            <w:proofErr w:type="spellEnd"/>
          </w:p>
        </w:tc>
        <w:tc>
          <w:tcPr>
            <w:tcW w:w="0" w:type="auto"/>
            <w:vAlign w:val="center"/>
            <w:hideMark/>
          </w:tcPr>
          <w:p w14:paraId="0573F14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[Hash]</w:t>
            </w:r>
          </w:p>
        </w:tc>
        <w:tc>
          <w:tcPr>
            <w:tcW w:w="0" w:type="auto"/>
            <w:vAlign w:val="center"/>
            <w:hideMark/>
          </w:tcPr>
          <w:p w14:paraId="4BFB4CC3"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Events that fulfill this commitment</w:t>
            </w:r>
          </w:p>
        </w:tc>
        <w:tc>
          <w:tcPr>
            <w:tcW w:w="0" w:type="auto"/>
            <w:vAlign w:val="center"/>
            <w:hideMark/>
          </w:tcPr>
          <w:p w14:paraId="02BCC23D" w14:textId="77777777" w:rsidR="00EB0717" w:rsidRPr="00B479AE" w:rsidRDefault="00EB0717" w:rsidP="00EB0717">
            <w:pPr>
              <w:spacing w:line="360" w:lineRule="auto"/>
              <w:rPr>
                <w:rFonts w:ascii="Baskerville Old Face" w:hAnsi="Baskerville Old Face"/>
                <w:i/>
                <w:iCs/>
                <w:sz w:val="22"/>
                <w:szCs w:val="22"/>
              </w:rPr>
            </w:pPr>
          </w:p>
        </w:tc>
      </w:tr>
      <w:tr w:rsidR="00EB0717" w:rsidRPr="00B479AE" w14:paraId="173F8DCE" w14:textId="77777777" w:rsidTr="00410962">
        <w:trPr>
          <w:tblCellSpacing w:w="15" w:type="dxa"/>
        </w:trPr>
        <w:tc>
          <w:tcPr>
            <w:tcW w:w="0" w:type="auto"/>
            <w:vAlign w:val="center"/>
            <w:hideMark/>
          </w:tcPr>
          <w:p w14:paraId="708C1EF4"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status</w:t>
            </w:r>
          </w:p>
        </w:tc>
        <w:tc>
          <w:tcPr>
            <w:tcW w:w="0" w:type="auto"/>
            <w:vAlign w:val="center"/>
            <w:hideMark/>
          </w:tcPr>
          <w:p w14:paraId="4A8C70E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Enum</w:t>
            </w:r>
          </w:p>
        </w:tc>
        <w:tc>
          <w:tcPr>
            <w:tcW w:w="0" w:type="auto"/>
            <w:vAlign w:val="center"/>
            <w:hideMark/>
          </w:tcPr>
          <w:p w14:paraId="08D4F85C"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active, fulfilled, expired, cancelled, </w:t>
            </w:r>
            <w:proofErr w:type="spellStart"/>
            <w:r w:rsidRPr="00B479AE">
              <w:rPr>
                <w:rFonts w:ascii="Baskerville Old Face" w:hAnsi="Baskerville Old Face"/>
                <w:i/>
                <w:iCs/>
                <w:sz w:val="22"/>
                <w:szCs w:val="22"/>
              </w:rPr>
              <w:t>under_review</w:t>
            </w:r>
            <w:proofErr w:type="spellEnd"/>
            <w:r w:rsidRPr="00B479AE">
              <w:rPr>
                <w:rFonts w:ascii="Baskerville Old Face" w:hAnsi="Baskerville Old Face"/>
                <w:i/>
                <w:iCs/>
                <w:sz w:val="22"/>
                <w:szCs w:val="22"/>
              </w:rPr>
              <w:t>, disputed</w:t>
            </w:r>
          </w:p>
        </w:tc>
        <w:tc>
          <w:tcPr>
            <w:tcW w:w="0" w:type="auto"/>
            <w:vAlign w:val="center"/>
            <w:hideMark/>
          </w:tcPr>
          <w:p w14:paraId="6D48A71A"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r w:rsidR="00EB0717" w:rsidRPr="00B479AE" w14:paraId="4FB5AF9C" w14:textId="77777777" w:rsidTr="00410962">
        <w:trPr>
          <w:tblCellSpacing w:w="15" w:type="dxa"/>
        </w:trPr>
        <w:tc>
          <w:tcPr>
            <w:tcW w:w="0" w:type="auto"/>
            <w:vAlign w:val="center"/>
            <w:hideMark/>
          </w:tcPr>
          <w:p w14:paraId="7C2FC6F6"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header</w:t>
            </w:r>
          </w:p>
        </w:tc>
        <w:tc>
          <w:tcPr>
            <w:tcW w:w="0" w:type="auto"/>
            <w:vAlign w:val="center"/>
            <w:hideMark/>
          </w:tcPr>
          <w:p w14:paraId="4FF0D53C" w14:textId="77777777" w:rsidR="00EB0717" w:rsidRPr="00B479AE" w:rsidRDefault="00EB0717" w:rsidP="00EB0717">
            <w:pPr>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SyntropicHeader</w:t>
            </w:r>
            <w:proofErr w:type="spellEnd"/>
          </w:p>
        </w:tc>
        <w:tc>
          <w:tcPr>
            <w:tcW w:w="0" w:type="auto"/>
            <w:vAlign w:val="center"/>
            <w:hideMark/>
          </w:tcPr>
          <w:p w14:paraId="65314107" w14:textId="77777777" w:rsidR="00EB0717" w:rsidRPr="00B479AE" w:rsidRDefault="00EB0717" w:rsidP="00EB0717">
            <w:pPr>
              <w:spacing w:line="360" w:lineRule="auto"/>
              <w:rPr>
                <w:rFonts w:ascii="Baskerville Old Face" w:hAnsi="Baskerville Old Face"/>
                <w:i/>
                <w:iCs/>
                <w:sz w:val="22"/>
                <w:szCs w:val="22"/>
              </w:rPr>
            </w:pPr>
            <w:r w:rsidRPr="00B479AE">
              <w:rPr>
                <w:rFonts w:ascii="Baskerville Old Face" w:hAnsi="Baskerville Old Face"/>
                <w:i/>
                <w:iCs/>
                <w:sz w:val="22"/>
                <w:szCs w:val="22"/>
              </w:rPr>
              <w:t>Constitutional compliance header carrying relevant sovereignty hashes and signature metadata</w:t>
            </w:r>
          </w:p>
        </w:tc>
        <w:tc>
          <w:tcPr>
            <w:tcW w:w="0" w:type="auto"/>
            <w:vAlign w:val="center"/>
            <w:hideMark/>
          </w:tcPr>
          <w:p w14:paraId="2D988867" w14:textId="77777777" w:rsidR="00EB0717" w:rsidRPr="00B479AE" w:rsidRDefault="00EB0717" w:rsidP="00EB0717">
            <w:pPr>
              <w:spacing w:line="360" w:lineRule="auto"/>
              <w:rPr>
                <w:rFonts w:ascii="Baskerville Old Face" w:hAnsi="Baskerville Old Face"/>
                <w:i/>
                <w:iCs/>
                <w:sz w:val="22"/>
                <w:szCs w:val="22"/>
              </w:rPr>
            </w:pPr>
            <w:r w:rsidRPr="00B479AE">
              <w:rPr>
                <w:rFonts w:ascii="Segoe UI Symbol" w:hAnsi="Segoe UI Symbol" w:cs="Segoe UI Symbol"/>
                <w:i/>
                <w:iCs/>
                <w:sz w:val="22"/>
                <w:szCs w:val="22"/>
              </w:rPr>
              <w:t>✓</w:t>
            </w:r>
          </w:p>
        </w:tc>
      </w:tr>
    </w:tbl>
    <w:p w14:paraId="081EC57F"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 xml:space="preserve">J.2.5 </w:t>
      </w:r>
      <w:proofErr w:type="spellStart"/>
      <w:r w:rsidRPr="00B479AE">
        <w:rPr>
          <w:rFonts w:ascii="Baskerville Old Face" w:hAnsi="Baskerville Old Face"/>
          <w:b/>
          <w:bCs/>
          <w:i/>
          <w:iCs/>
        </w:rPr>
        <w:t>TimeWindow</w:t>
      </w:r>
      <w:proofErr w:type="spellEnd"/>
    </w:p>
    <w:p w14:paraId="1F8B5A1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reusable time specification for events, commitments, monitoring periods, or reporting windows.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7"/>
        <w:gridCol w:w="1080"/>
        <w:gridCol w:w="1569"/>
        <w:gridCol w:w="906"/>
      </w:tblGrid>
      <w:tr w:rsidR="00EB0717" w:rsidRPr="00812032" w14:paraId="35323983" w14:textId="77777777" w:rsidTr="00410962">
        <w:trPr>
          <w:tblHeader/>
          <w:tblCellSpacing w:w="15" w:type="dxa"/>
        </w:trPr>
        <w:tc>
          <w:tcPr>
            <w:tcW w:w="0" w:type="auto"/>
            <w:vAlign w:val="center"/>
            <w:hideMark/>
          </w:tcPr>
          <w:p w14:paraId="400C5D6E" w14:textId="77777777" w:rsidR="00EB0717" w:rsidRPr="00812032" w:rsidRDefault="00EB0717" w:rsidP="00EB0717">
            <w:pPr>
              <w:spacing w:line="360" w:lineRule="auto"/>
              <w:rPr>
                <w:rFonts w:ascii="Baskerville Old Face" w:hAnsi="Baskerville Old Face"/>
                <w:b/>
                <w:bCs/>
                <w:i/>
                <w:iCs/>
                <w:sz w:val="22"/>
                <w:szCs w:val="22"/>
              </w:rPr>
            </w:pPr>
            <w:r w:rsidRPr="00812032">
              <w:rPr>
                <w:rFonts w:ascii="Baskerville Old Face" w:hAnsi="Baskerville Old Face"/>
                <w:b/>
                <w:bCs/>
                <w:i/>
                <w:iCs/>
                <w:sz w:val="22"/>
                <w:szCs w:val="22"/>
              </w:rPr>
              <w:lastRenderedPageBreak/>
              <w:t>Field</w:t>
            </w:r>
          </w:p>
        </w:tc>
        <w:tc>
          <w:tcPr>
            <w:tcW w:w="0" w:type="auto"/>
            <w:vAlign w:val="center"/>
            <w:hideMark/>
          </w:tcPr>
          <w:p w14:paraId="35691177" w14:textId="77777777" w:rsidR="00EB0717" w:rsidRPr="00812032" w:rsidRDefault="00EB0717" w:rsidP="00EB0717">
            <w:pPr>
              <w:spacing w:line="360" w:lineRule="auto"/>
              <w:rPr>
                <w:rFonts w:ascii="Baskerville Old Face" w:hAnsi="Baskerville Old Face"/>
                <w:b/>
                <w:bCs/>
                <w:i/>
                <w:iCs/>
                <w:sz w:val="22"/>
                <w:szCs w:val="22"/>
              </w:rPr>
            </w:pPr>
            <w:r w:rsidRPr="00812032">
              <w:rPr>
                <w:rFonts w:ascii="Baskerville Old Face" w:hAnsi="Baskerville Old Face"/>
                <w:b/>
                <w:bCs/>
                <w:i/>
                <w:iCs/>
                <w:sz w:val="22"/>
                <w:szCs w:val="22"/>
              </w:rPr>
              <w:t>Type</w:t>
            </w:r>
          </w:p>
        </w:tc>
        <w:tc>
          <w:tcPr>
            <w:tcW w:w="0" w:type="auto"/>
            <w:vAlign w:val="center"/>
            <w:hideMark/>
          </w:tcPr>
          <w:p w14:paraId="1ACFC72B" w14:textId="77777777" w:rsidR="00EB0717" w:rsidRPr="00812032" w:rsidRDefault="00EB0717" w:rsidP="00EB0717">
            <w:pPr>
              <w:spacing w:line="360" w:lineRule="auto"/>
              <w:rPr>
                <w:rFonts w:ascii="Baskerville Old Face" w:hAnsi="Baskerville Old Face"/>
                <w:b/>
                <w:bCs/>
                <w:i/>
                <w:iCs/>
                <w:sz w:val="22"/>
                <w:szCs w:val="22"/>
              </w:rPr>
            </w:pPr>
            <w:r w:rsidRPr="00812032">
              <w:rPr>
                <w:rFonts w:ascii="Baskerville Old Face" w:hAnsi="Baskerville Old Face"/>
                <w:b/>
                <w:bCs/>
                <w:i/>
                <w:iCs/>
                <w:sz w:val="22"/>
                <w:szCs w:val="22"/>
              </w:rPr>
              <w:t>Description</w:t>
            </w:r>
          </w:p>
        </w:tc>
        <w:tc>
          <w:tcPr>
            <w:tcW w:w="0" w:type="auto"/>
            <w:vAlign w:val="center"/>
            <w:hideMark/>
          </w:tcPr>
          <w:p w14:paraId="3018744B" w14:textId="77777777" w:rsidR="00EB0717" w:rsidRPr="00812032" w:rsidRDefault="00EB0717" w:rsidP="00EB0717">
            <w:pPr>
              <w:spacing w:line="360" w:lineRule="auto"/>
              <w:rPr>
                <w:rFonts w:ascii="Baskerville Old Face" w:hAnsi="Baskerville Old Face"/>
                <w:b/>
                <w:bCs/>
                <w:i/>
                <w:iCs/>
                <w:sz w:val="22"/>
                <w:szCs w:val="22"/>
              </w:rPr>
            </w:pPr>
            <w:r w:rsidRPr="00812032">
              <w:rPr>
                <w:rFonts w:ascii="Baskerville Old Face" w:hAnsi="Baskerville Old Face"/>
                <w:b/>
                <w:bCs/>
                <w:i/>
                <w:iCs/>
                <w:sz w:val="22"/>
                <w:szCs w:val="22"/>
              </w:rPr>
              <w:t>Required</w:t>
            </w:r>
          </w:p>
        </w:tc>
      </w:tr>
      <w:tr w:rsidR="00EB0717" w:rsidRPr="00812032" w14:paraId="4ED15356" w14:textId="77777777" w:rsidTr="00410962">
        <w:trPr>
          <w:tblCellSpacing w:w="15" w:type="dxa"/>
        </w:trPr>
        <w:tc>
          <w:tcPr>
            <w:tcW w:w="0" w:type="auto"/>
            <w:vAlign w:val="center"/>
            <w:hideMark/>
          </w:tcPr>
          <w:p w14:paraId="62D52F61"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id</w:t>
            </w:r>
          </w:p>
        </w:tc>
        <w:tc>
          <w:tcPr>
            <w:tcW w:w="0" w:type="auto"/>
            <w:vAlign w:val="center"/>
            <w:hideMark/>
          </w:tcPr>
          <w:p w14:paraId="27877F72"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String</w:t>
            </w:r>
          </w:p>
        </w:tc>
        <w:tc>
          <w:tcPr>
            <w:tcW w:w="0" w:type="auto"/>
            <w:vAlign w:val="center"/>
            <w:hideMark/>
          </w:tcPr>
          <w:p w14:paraId="1430FEC6"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Named identifier</w:t>
            </w:r>
          </w:p>
        </w:tc>
        <w:tc>
          <w:tcPr>
            <w:tcW w:w="0" w:type="auto"/>
            <w:vAlign w:val="center"/>
            <w:hideMark/>
          </w:tcPr>
          <w:p w14:paraId="36AABAE9" w14:textId="77777777" w:rsidR="00EB0717" w:rsidRPr="00812032" w:rsidRDefault="00EB0717" w:rsidP="00EB0717">
            <w:pPr>
              <w:spacing w:line="360" w:lineRule="auto"/>
              <w:rPr>
                <w:rFonts w:ascii="Baskerville Old Face" w:hAnsi="Baskerville Old Face"/>
                <w:i/>
                <w:iCs/>
                <w:sz w:val="22"/>
                <w:szCs w:val="22"/>
              </w:rPr>
            </w:pPr>
            <w:r w:rsidRPr="00812032">
              <w:rPr>
                <w:rFonts w:ascii="Segoe UI Symbol" w:hAnsi="Segoe UI Symbol" w:cs="Segoe UI Symbol"/>
                <w:i/>
                <w:iCs/>
                <w:sz w:val="22"/>
                <w:szCs w:val="22"/>
              </w:rPr>
              <w:t>✓</w:t>
            </w:r>
          </w:p>
        </w:tc>
      </w:tr>
      <w:tr w:rsidR="00EB0717" w:rsidRPr="00812032" w14:paraId="742D1BCE" w14:textId="77777777" w:rsidTr="00410962">
        <w:trPr>
          <w:tblCellSpacing w:w="15" w:type="dxa"/>
        </w:trPr>
        <w:tc>
          <w:tcPr>
            <w:tcW w:w="0" w:type="auto"/>
            <w:vAlign w:val="center"/>
            <w:hideMark/>
          </w:tcPr>
          <w:p w14:paraId="4F76EA26"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start</w:t>
            </w:r>
          </w:p>
        </w:tc>
        <w:tc>
          <w:tcPr>
            <w:tcW w:w="0" w:type="auto"/>
            <w:vAlign w:val="center"/>
            <w:hideMark/>
          </w:tcPr>
          <w:p w14:paraId="2001A0D4"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Timestamp</w:t>
            </w:r>
          </w:p>
        </w:tc>
        <w:tc>
          <w:tcPr>
            <w:tcW w:w="0" w:type="auto"/>
            <w:vAlign w:val="center"/>
            <w:hideMark/>
          </w:tcPr>
          <w:p w14:paraId="7983A381"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UTC start time</w:t>
            </w:r>
          </w:p>
        </w:tc>
        <w:tc>
          <w:tcPr>
            <w:tcW w:w="0" w:type="auto"/>
            <w:vAlign w:val="center"/>
            <w:hideMark/>
          </w:tcPr>
          <w:p w14:paraId="4A24786F" w14:textId="77777777" w:rsidR="00EB0717" w:rsidRPr="00812032" w:rsidRDefault="00EB0717" w:rsidP="00EB0717">
            <w:pPr>
              <w:spacing w:line="360" w:lineRule="auto"/>
              <w:rPr>
                <w:rFonts w:ascii="Baskerville Old Face" w:hAnsi="Baskerville Old Face"/>
                <w:i/>
                <w:iCs/>
                <w:sz w:val="22"/>
                <w:szCs w:val="22"/>
              </w:rPr>
            </w:pPr>
            <w:r w:rsidRPr="00812032">
              <w:rPr>
                <w:rFonts w:ascii="Segoe UI Symbol" w:hAnsi="Segoe UI Symbol" w:cs="Segoe UI Symbol"/>
                <w:i/>
                <w:iCs/>
                <w:sz w:val="22"/>
                <w:szCs w:val="22"/>
              </w:rPr>
              <w:t>✓</w:t>
            </w:r>
          </w:p>
        </w:tc>
      </w:tr>
      <w:tr w:rsidR="00EB0717" w:rsidRPr="00812032" w14:paraId="3EEA5C88" w14:textId="77777777" w:rsidTr="00410962">
        <w:trPr>
          <w:tblCellSpacing w:w="15" w:type="dxa"/>
        </w:trPr>
        <w:tc>
          <w:tcPr>
            <w:tcW w:w="0" w:type="auto"/>
            <w:vAlign w:val="center"/>
            <w:hideMark/>
          </w:tcPr>
          <w:p w14:paraId="019093BE"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end</w:t>
            </w:r>
          </w:p>
        </w:tc>
        <w:tc>
          <w:tcPr>
            <w:tcW w:w="0" w:type="auto"/>
            <w:vAlign w:val="center"/>
            <w:hideMark/>
          </w:tcPr>
          <w:p w14:paraId="228094B3"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Timestamp</w:t>
            </w:r>
          </w:p>
        </w:tc>
        <w:tc>
          <w:tcPr>
            <w:tcW w:w="0" w:type="auto"/>
            <w:vAlign w:val="center"/>
            <w:hideMark/>
          </w:tcPr>
          <w:p w14:paraId="39D5651B" w14:textId="77777777" w:rsidR="00EB0717" w:rsidRPr="00812032" w:rsidRDefault="00EB0717" w:rsidP="00EB0717">
            <w:pPr>
              <w:spacing w:line="360" w:lineRule="auto"/>
              <w:rPr>
                <w:rFonts w:ascii="Baskerville Old Face" w:hAnsi="Baskerville Old Face"/>
                <w:i/>
                <w:iCs/>
                <w:sz w:val="22"/>
                <w:szCs w:val="22"/>
              </w:rPr>
            </w:pPr>
            <w:r w:rsidRPr="00812032">
              <w:rPr>
                <w:rFonts w:ascii="Baskerville Old Face" w:hAnsi="Baskerville Old Face"/>
                <w:i/>
                <w:iCs/>
                <w:sz w:val="22"/>
                <w:szCs w:val="22"/>
              </w:rPr>
              <w:t>UTC end time</w:t>
            </w:r>
          </w:p>
        </w:tc>
        <w:tc>
          <w:tcPr>
            <w:tcW w:w="0" w:type="auto"/>
            <w:vAlign w:val="center"/>
            <w:hideMark/>
          </w:tcPr>
          <w:p w14:paraId="4A948620" w14:textId="77777777" w:rsidR="00EB0717" w:rsidRPr="00812032" w:rsidRDefault="00EB0717" w:rsidP="00EB0717">
            <w:pPr>
              <w:spacing w:line="360" w:lineRule="auto"/>
              <w:rPr>
                <w:rFonts w:ascii="Baskerville Old Face" w:hAnsi="Baskerville Old Face"/>
                <w:i/>
                <w:iCs/>
                <w:sz w:val="22"/>
                <w:szCs w:val="22"/>
              </w:rPr>
            </w:pPr>
            <w:r w:rsidRPr="00812032">
              <w:rPr>
                <w:rFonts w:ascii="Segoe UI Symbol" w:hAnsi="Segoe UI Symbol" w:cs="Segoe UI Symbol"/>
                <w:i/>
                <w:iCs/>
                <w:sz w:val="22"/>
                <w:szCs w:val="22"/>
              </w:rPr>
              <w:t>✓</w:t>
            </w:r>
          </w:p>
        </w:tc>
      </w:tr>
    </w:tbl>
    <w:p w14:paraId="3FEC9E41"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J.3 Validation rules</w:t>
      </w:r>
    </w:p>
    <w:p w14:paraId="737FFD13"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J.3.1 Intrinsic validation</w:t>
      </w:r>
    </w:p>
    <w:p w14:paraId="101CBD7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All entries should pass basic structural validation:</w:t>
      </w:r>
    </w:p>
    <w:p w14:paraId="399D1F9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required fields present and correctly typed;</w:t>
      </w:r>
    </w:p>
    <w:p w14:paraId="5BD11DB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signatures valid;</w:t>
      </w:r>
    </w:p>
    <w:p w14:paraId="006E1B7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syntropic sovereignty header or canonical integrity metadata present and verified;</w:t>
      </w:r>
    </w:p>
    <w:p w14:paraId="1B1FCB1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hash</w:t>
      </w:r>
      <w:proofErr w:type="spellEnd"/>
      <w:r w:rsidRPr="00B479AE">
        <w:rPr>
          <w:rFonts w:ascii="Baskerville Old Face" w:hAnsi="Baskerville Old Face"/>
          <w:i/>
          <w:iCs/>
        </w:rPr>
        <w:t xml:space="preserve"> links point to existing entries or permitted null values;</w:t>
      </w:r>
    </w:p>
    <w:p w14:paraId="2DBE1F2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timestamps valid;</w:t>
      </w:r>
    </w:p>
    <w:p w14:paraId="71BEB1B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authority scope not exceeded;</w:t>
      </w:r>
    </w:p>
    <w:p w14:paraId="3BB489B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review status properly assigned.</w:t>
      </w:r>
    </w:p>
    <w:p w14:paraId="18132332"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J.3.2 Economic and operational validation</w:t>
      </w:r>
    </w:p>
    <w:p w14:paraId="3139EB1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Economic and operational entries should satisfy applicable consistency rules:</w:t>
      </w:r>
    </w:p>
    <w:p w14:paraId="15FD88F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conservation of value where double-entry or reciprocal accounting applies;</w:t>
      </w:r>
    </w:p>
    <w:p w14:paraId="3A7CF00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quantity non-negativity unless explicitly allowed for liabilities, obligations, deficits, or corrective records;</w:t>
      </w:r>
    </w:p>
    <w:p w14:paraId="66113D7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unit consistency;</w:t>
      </w:r>
    </w:p>
    <w:p w14:paraId="3E70FBC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commitment fulfillment matched to valid commitment;</w:t>
      </w:r>
    </w:p>
    <w:p w14:paraId="0F7764C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event authorization by relevant agent or governance process;</w:t>
      </w:r>
    </w:p>
    <w:p w14:paraId="7260C55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clear separation between operational events, financial events, ecological evidence, and legal rights.</w:t>
      </w:r>
    </w:p>
    <w:p w14:paraId="05802953"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J.3.3 Ecological validation</w:t>
      </w:r>
    </w:p>
    <w:p w14:paraId="20BE12F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Events claiming ecological relevance should satisfy ecological validation rules:</w:t>
      </w:r>
    </w:p>
    <w:p w14:paraId="36EA885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MRV linking where ecological impact is claimed;</w:t>
      </w:r>
    </w:p>
    <w:p w14:paraId="5E7C453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location validity within the claimed site, OHE, project, bioregion, or ecosystem;</w:t>
      </w:r>
    </w:p>
    <w:p w14:paraId="60776AB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methodology compatibility;</w:t>
      </w:r>
    </w:p>
    <w:p w14:paraId="60463A0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confidence scoring where required;</w:t>
      </w:r>
    </w:p>
    <w:p w14:paraId="012E3F2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no-double-counting controls;</w:t>
      </w:r>
    </w:p>
    <w:p w14:paraId="6639454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PHI or Planetary Boundaries context where applicable;</w:t>
      </w:r>
    </w:p>
    <w:p w14:paraId="3E23C90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review pathway for PRU-relevant or public-facing claims.</w:t>
      </w:r>
    </w:p>
    <w:p w14:paraId="7DE2F53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Ecological validation does not automatically create credits, investor rights, PRU value, token issuance, or financial instruments.</w:t>
      </w:r>
    </w:p>
    <w:p w14:paraId="06E7291D"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J.3.4 Constitutional validation</w:t>
      </w:r>
    </w:p>
    <w:p w14:paraId="6D20EC1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All entries should remain compatible with the Prometheus source layer.</w:t>
      </w:r>
    </w:p>
    <w:p w14:paraId="230D1A4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Constitutional validation should enforce:</w:t>
      </w:r>
    </w:p>
    <w:p w14:paraId="48B6B27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non-commodification of life;</w:t>
      </w:r>
    </w:p>
    <w:p w14:paraId="23E89B4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human dignity;</w:t>
      </w:r>
    </w:p>
    <w:p w14:paraId="2D99C0C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agent sovereignty;</w:t>
      </w:r>
    </w:p>
    <w:p w14:paraId="7E8608F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consent and lawful authority;</w:t>
      </w:r>
    </w:p>
    <w:p w14:paraId="7712775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MRV discipline;</w:t>
      </w:r>
    </w:p>
    <w:p w14:paraId="1A794AC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legal boundary;</w:t>
      </w:r>
    </w:p>
    <w:p w14:paraId="3A37809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no-double-counting;</w:t>
      </w:r>
    </w:p>
    <w:p w14:paraId="7E4D5D8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7909C5C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public-claim discipline;</w:t>
      </w:r>
    </w:p>
    <w:p w14:paraId="06F4627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token-boundary separation.</w:t>
      </w:r>
    </w:p>
    <w:p w14:paraId="68734C7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Any event violating constitutional principles may be rejected, marked non-admissible, quarantined, or routed to governance review.</w:t>
      </w:r>
    </w:p>
    <w:p w14:paraId="2A49897D"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J.4 Integration with other DNAs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9"/>
        <w:gridCol w:w="8279"/>
      </w:tblGrid>
      <w:tr w:rsidR="005213EF" w:rsidRPr="00812032" w14:paraId="7F8948B1" w14:textId="77777777" w:rsidTr="005213EF">
        <w:trPr>
          <w:tblHeader/>
          <w:tblCellSpacing w:w="15" w:type="dxa"/>
        </w:trPr>
        <w:tc>
          <w:tcPr>
            <w:tcW w:w="0" w:type="auto"/>
            <w:vAlign w:val="center"/>
            <w:hideMark/>
          </w:tcPr>
          <w:p w14:paraId="552DA915" w14:textId="77777777" w:rsidR="005213EF" w:rsidRPr="00812032" w:rsidRDefault="005213EF" w:rsidP="005213EF">
            <w:pPr>
              <w:spacing w:line="360" w:lineRule="auto"/>
              <w:rPr>
                <w:rFonts w:ascii="Baskerville Old Face" w:hAnsi="Baskerville Old Face"/>
                <w:b/>
                <w:bCs/>
                <w:i/>
                <w:iCs/>
                <w:sz w:val="20"/>
                <w:szCs w:val="20"/>
              </w:rPr>
            </w:pPr>
            <w:r w:rsidRPr="00812032">
              <w:rPr>
                <w:rFonts w:ascii="Baskerville Old Face" w:hAnsi="Baskerville Old Face"/>
                <w:b/>
                <w:bCs/>
                <w:i/>
                <w:iCs/>
                <w:sz w:val="20"/>
                <w:szCs w:val="20"/>
              </w:rPr>
              <w:t>DNA</w:t>
            </w:r>
          </w:p>
        </w:tc>
        <w:tc>
          <w:tcPr>
            <w:tcW w:w="0" w:type="auto"/>
            <w:vAlign w:val="center"/>
            <w:hideMark/>
          </w:tcPr>
          <w:p w14:paraId="53BC72B4" w14:textId="77777777" w:rsidR="005213EF" w:rsidRPr="00812032" w:rsidRDefault="005213EF" w:rsidP="005213EF">
            <w:pPr>
              <w:spacing w:line="360" w:lineRule="auto"/>
              <w:rPr>
                <w:rFonts w:ascii="Baskerville Old Face" w:hAnsi="Baskerville Old Face"/>
                <w:b/>
                <w:bCs/>
                <w:i/>
                <w:iCs/>
                <w:sz w:val="20"/>
                <w:szCs w:val="20"/>
              </w:rPr>
            </w:pPr>
            <w:r w:rsidRPr="00812032">
              <w:rPr>
                <w:rFonts w:ascii="Baskerville Old Face" w:hAnsi="Baskerville Old Face"/>
                <w:b/>
                <w:bCs/>
                <w:i/>
                <w:iCs/>
                <w:sz w:val="20"/>
                <w:szCs w:val="20"/>
              </w:rPr>
              <w:t>Integration point</w:t>
            </w:r>
          </w:p>
        </w:tc>
      </w:tr>
      <w:tr w:rsidR="005213EF" w:rsidRPr="00812032" w14:paraId="3FF154A6" w14:textId="77777777" w:rsidTr="005213EF">
        <w:trPr>
          <w:tblCellSpacing w:w="15" w:type="dxa"/>
        </w:trPr>
        <w:tc>
          <w:tcPr>
            <w:tcW w:w="0" w:type="auto"/>
            <w:vAlign w:val="center"/>
            <w:hideMark/>
          </w:tcPr>
          <w:p w14:paraId="50B69E51"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b/>
                <w:bCs/>
                <w:i/>
                <w:iCs/>
                <w:sz w:val="20"/>
                <w:szCs w:val="20"/>
              </w:rPr>
              <w:t>Governance &amp; Reputation</w:t>
            </w:r>
          </w:p>
        </w:tc>
        <w:tc>
          <w:tcPr>
            <w:tcW w:w="0" w:type="auto"/>
            <w:vAlign w:val="center"/>
            <w:hideMark/>
          </w:tcPr>
          <w:p w14:paraId="08E4788C"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i/>
                <w:iCs/>
                <w:sz w:val="20"/>
                <w:szCs w:val="20"/>
              </w:rPr>
              <w:t>Agent records may link to governance roles, contribution context, reputation context, review status, and participation history. Commitments may originate from governance decisions, consent processes, delegated mandates, or reviewed operational plans. Disputed events may trigger review, correction, quarantine, or appeal pathways.</w:t>
            </w:r>
          </w:p>
        </w:tc>
      </w:tr>
      <w:tr w:rsidR="005213EF" w:rsidRPr="00812032" w14:paraId="0BA8A203" w14:textId="77777777" w:rsidTr="005213EF">
        <w:trPr>
          <w:tblCellSpacing w:w="15" w:type="dxa"/>
        </w:trPr>
        <w:tc>
          <w:tcPr>
            <w:tcW w:w="0" w:type="auto"/>
            <w:vAlign w:val="center"/>
            <w:hideMark/>
          </w:tcPr>
          <w:p w14:paraId="28492A37"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b/>
                <w:bCs/>
                <w:i/>
                <w:iCs/>
                <w:sz w:val="20"/>
                <w:szCs w:val="20"/>
              </w:rPr>
              <w:t>MRV</w:t>
            </w:r>
          </w:p>
        </w:tc>
        <w:tc>
          <w:tcPr>
            <w:tcW w:w="0" w:type="auto"/>
            <w:vAlign w:val="center"/>
            <w:hideMark/>
          </w:tcPr>
          <w:p w14:paraId="19E54584"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i/>
                <w:iCs/>
                <w:sz w:val="20"/>
                <w:szCs w:val="20"/>
              </w:rPr>
              <w:t xml:space="preserve">Events may link to MRV evidence through </w:t>
            </w:r>
            <w:proofErr w:type="spellStart"/>
            <w:r w:rsidRPr="00812032">
              <w:rPr>
                <w:rFonts w:ascii="Baskerville Old Face" w:hAnsi="Baskerville Old Face"/>
                <w:i/>
                <w:iCs/>
                <w:sz w:val="20"/>
                <w:szCs w:val="20"/>
              </w:rPr>
              <w:t>mrv_id</w:t>
            </w:r>
            <w:proofErr w:type="spellEnd"/>
            <w:r w:rsidRPr="00812032">
              <w:rPr>
                <w:rFonts w:ascii="Baskerville Old Face" w:hAnsi="Baskerville Old Face"/>
                <w:i/>
                <w:iCs/>
                <w:sz w:val="20"/>
                <w:szCs w:val="20"/>
              </w:rPr>
              <w:t xml:space="preserve">, </w:t>
            </w:r>
            <w:proofErr w:type="spellStart"/>
            <w:r w:rsidRPr="00812032">
              <w:rPr>
                <w:rFonts w:ascii="Baskerville Old Face" w:hAnsi="Baskerville Old Face"/>
                <w:i/>
                <w:iCs/>
                <w:sz w:val="20"/>
                <w:szCs w:val="20"/>
              </w:rPr>
              <w:t>evidence_bundle_id</w:t>
            </w:r>
            <w:proofErr w:type="spellEnd"/>
            <w:r w:rsidRPr="00812032">
              <w:rPr>
                <w:rFonts w:ascii="Baskerville Old Face" w:hAnsi="Baskerville Old Face"/>
                <w:i/>
                <w:iCs/>
                <w:sz w:val="20"/>
                <w:szCs w:val="20"/>
              </w:rPr>
              <w:t xml:space="preserve">, </w:t>
            </w:r>
            <w:proofErr w:type="spellStart"/>
            <w:r w:rsidRPr="00812032">
              <w:rPr>
                <w:rFonts w:ascii="Baskerville Old Face" w:hAnsi="Baskerville Old Face"/>
                <w:i/>
                <w:iCs/>
                <w:sz w:val="20"/>
                <w:szCs w:val="20"/>
              </w:rPr>
              <w:t>methodology_version</w:t>
            </w:r>
            <w:proofErr w:type="spellEnd"/>
            <w:r w:rsidRPr="00812032">
              <w:rPr>
                <w:rFonts w:ascii="Baskerville Old Face" w:hAnsi="Baskerville Old Face"/>
                <w:i/>
                <w:iCs/>
                <w:sz w:val="20"/>
                <w:szCs w:val="20"/>
              </w:rPr>
              <w:t xml:space="preserve">, </w:t>
            </w:r>
            <w:proofErr w:type="spellStart"/>
            <w:r w:rsidRPr="00812032">
              <w:rPr>
                <w:rFonts w:ascii="Baskerville Old Face" w:hAnsi="Baskerville Old Face"/>
                <w:i/>
                <w:iCs/>
                <w:sz w:val="20"/>
                <w:szCs w:val="20"/>
              </w:rPr>
              <w:t>confidence_score</w:t>
            </w:r>
            <w:proofErr w:type="spellEnd"/>
            <w:r w:rsidRPr="00812032">
              <w:rPr>
                <w:rFonts w:ascii="Baskerville Old Face" w:hAnsi="Baskerville Old Face"/>
                <w:i/>
                <w:iCs/>
                <w:sz w:val="20"/>
                <w:szCs w:val="20"/>
              </w:rPr>
              <w:t xml:space="preserve">, and </w:t>
            </w:r>
            <w:proofErr w:type="spellStart"/>
            <w:r w:rsidRPr="00812032">
              <w:rPr>
                <w:rFonts w:ascii="Baskerville Old Face" w:hAnsi="Baskerville Old Face"/>
                <w:i/>
                <w:iCs/>
                <w:sz w:val="20"/>
                <w:szCs w:val="20"/>
              </w:rPr>
              <w:t>review_status</w:t>
            </w:r>
            <w:proofErr w:type="spellEnd"/>
            <w:r w:rsidRPr="00812032">
              <w:rPr>
                <w:rFonts w:ascii="Baskerville Old Face" w:hAnsi="Baskerville Old Face"/>
                <w:i/>
                <w:iCs/>
                <w:sz w:val="20"/>
                <w:szCs w:val="20"/>
              </w:rPr>
              <w:t>. MRV outcomes may support evidence-backed reporting, PRU analysis, maturity classification, or review pathways where admissible. MRV outcomes do not automatically trigger token issuance, PRU value, investor rights, or legal recognition.</w:t>
            </w:r>
          </w:p>
        </w:tc>
      </w:tr>
      <w:tr w:rsidR="005213EF" w:rsidRPr="00812032" w14:paraId="5AB22425" w14:textId="77777777" w:rsidTr="005213EF">
        <w:trPr>
          <w:tblCellSpacing w:w="15" w:type="dxa"/>
        </w:trPr>
        <w:tc>
          <w:tcPr>
            <w:tcW w:w="0" w:type="auto"/>
            <w:vAlign w:val="center"/>
            <w:hideMark/>
          </w:tcPr>
          <w:p w14:paraId="5F5C0463"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b/>
                <w:bCs/>
                <w:i/>
                <w:iCs/>
                <w:sz w:val="20"/>
                <w:szCs w:val="20"/>
              </w:rPr>
              <w:t>TRBK / tokens</w:t>
            </w:r>
          </w:p>
        </w:tc>
        <w:tc>
          <w:tcPr>
            <w:tcW w:w="0" w:type="auto"/>
            <w:vAlign w:val="center"/>
            <w:hideMark/>
          </w:tcPr>
          <w:p w14:paraId="682125C0"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i/>
                <w:iCs/>
                <w:sz w:val="20"/>
                <w:szCs w:val="20"/>
              </w:rPr>
              <w:t>Token-related events may represent governance, access, coordination, contribution, participation, settlement, or legally structured rights only where explicitly defined, legally reviewed, and jurisdictionally appropriate. Token-related records must not imply PRU value, RAP exposure, investor rights, land rights, MRV validity, or constitutional authority by default.</w:t>
            </w:r>
          </w:p>
        </w:tc>
      </w:tr>
      <w:tr w:rsidR="005213EF" w:rsidRPr="00812032" w14:paraId="55E04B9F" w14:textId="77777777" w:rsidTr="005213EF">
        <w:trPr>
          <w:tblCellSpacing w:w="15" w:type="dxa"/>
        </w:trPr>
        <w:tc>
          <w:tcPr>
            <w:tcW w:w="0" w:type="auto"/>
            <w:vAlign w:val="center"/>
            <w:hideMark/>
          </w:tcPr>
          <w:p w14:paraId="7F2180C5"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b/>
                <w:bCs/>
                <w:i/>
                <w:iCs/>
                <w:sz w:val="20"/>
                <w:szCs w:val="20"/>
              </w:rPr>
              <w:t>Decision Log</w:t>
            </w:r>
          </w:p>
        </w:tc>
        <w:tc>
          <w:tcPr>
            <w:tcW w:w="0" w:type="auto"/>
            <w:vAlign w:val="center"/>
            <w:hideMark/>
          </w:tcPr>
          <w:p w14:paraId="435603E5"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i/>
                <w:iCs/>
                <w:sz w:val="20"/>
                <w:szCs w:val="20"/>
              </w:rPr>
              <w:t>Commitments, consent decisions, objections, reviews, amendments, corrections, withdrawals, adverse events, and protected-domain decisions may be logged for auditability, governance continuity, and institutional traceability.</w:t>
            </w:r>
          </w:p>
        </w:tc>
      </w:tr>
      <w:tr w:rsidR="005213EF" w:rsidRPr="00812032" w14:paraId="29E4DFB6" w14:textId="77777777" w:rsidTr="005213EF">
        <w:trPr>
          <w:tblCellSpacing w:w="15" w:type="dxa"/>
        </w:trPr>
        <w:tc>
          <w:tcPr>
            <w:tcW w:w="0" w:type="auto"/>
            <w:vAlign w:val="center"/>
            <w:hideMark/>
          </w:tcPr>
          <w:p w14:paraId="18C1EE07"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b/>
                <w:bCs/>
                <w:i/>
                <w:iCs/>
                <w:sz w:val="20"/>
                <w:szCs w:val="20"/>
              </w:rPr>
              <w:t>Planetary Boundaries / PHI</w:t>
            </w:r>
          </w:p>
        </w:tc>
        <w:tc>
          <w:tcPr>
            <w:tcW w:w="0" w:type="auto"/>
            <w:vAlign w:val="center"/>
            <w:hideMark/>
          </w:tcPr>
          <w:p w14:paraId="62D53F28" w14:textId="77777777" w:rsidR="005213EF" w:rsidRPr="00812032" w:rsidRDefault="005213EF" w:rsidP="005213EF">
            <w:pPr>
              <w:spacing w:line="360" w:lineRule="auto"/>
              <w:rPr>
                <w:rFonts w:ascii="Baskerville Old Face" w:hAnsi="Baskerville Old Face"/>
                <w:i/>
                <w:iCs/>
                <w:sz w:val="20"/>
                <w:szCs w:val="20"/>
              </w:rPr>
            </w:pPr>
            <w:r w:rsidRPr="00812032">
              <w:rPr>
                <w:rFonts w:ascii="Baskerville Old Face" w:hAnsi="Baskerville Old Face"/>
                <w:i/>
                <w:iCs/>
                <w:sz w:val="20"/>
                <w:szCs w:val="20"/>
              </w:rPr>
              <w:t>Event validation may check PHI context, protected-domain constraints, planetary-boundary relevance, ecological-risk signals, and public-claim boundaries. PHI signals may trigger review but do not automatically approve, reject, downgrade, finance, certify, or reclassify an event, PRU, RAP, project, or portfolio.</w:t>
            </w:r>
          </w:p>
        </w:tc>
      </w:tr>
    </w:tbl>
    <w:p w14:paraId="7E2190ED" w14:textId="77777777" w:rsidR="00812032" w:rsidRDefault="00812032" w:rsidP="00EB0717">
      <w:pPr>
        <w:spacing w:line="360" w:lineRule="auto"/>
        <w:rPr>
          <w:rFonts w:ascii="Baskerville Old Face" w:hAnsi="Baskerville Old Face"/>
          <w:b/>
          <w:bCs/>
          <w:i/>
          <w:iCs/>
        </w:rPr>
      </w:pPr>
    </w:p>
    <w:p w14:paraId="32C0278E" w14:textId="02908A98"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lastRenderedPageBreak/>
        <w:t>J.5 Query patterns</w:t>
      </w:r>
    </w:p>
    <w:p w14:paraId="10BA50C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REA DNA may support complex queries for dashboards, reporting, audits, data rooms, and analysis.</w:t>
      </w:r>
    </w:p>
    <w:p w14:paraId="56B97BC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Example: Get all events for a project in a time range</w:t>
      </w:r>
    </w:p>
    <w:p w14:paraId="24CE051E" w14:textId="77777777" w:rsidR="00EB0717" w:rsidRPr="00B479AE" w:rsidRDefault="00EB0717" w:rsidP="00EB0717">
      <w:pPr>
        <w:spacing w:line="360" w:lineRule="auto"/>
        <w:rPr>
          <w:rFonts w:ascii="Baskerville Old Face" w:hAnsi="Baskerville Old Face"/>
          <w:i/>
          <w:iCs/>
        </w:rPr>
      </w:pPr>
      <w:proofErr w:type="spellStart"/>
      <w:r w:rsidRPr="00B479AE">
        <w:rPr>
          <w:rFonts w:ascii="Baskerville Old Face" w:hAnsi="Baskerville Old Face"/>
          <w:i/>
          <w:iCs/>
        </w:rPr>
        <w:t>fn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get_events_by_</w:t>
      </w:r>
      <w:proofErr w:type="gramStart"/>
      <w:r w:rsidRPr="00B479AE">
        <w:rPr>
          <w:rFonts w:ascii="Baskerville Old Face" w:hAnsi="Baskerville Old Face"/>
          <w:i/>
          <w:iCs/>
        </w:rPr>
        <w:t>project</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project_id</w:t>
      </w:r>
      <w:proofErr w:type="spellEnd"/>
      <w:r w:rsidRPr="00B479AE">
        <w:rPr>
          <w:rFonts w:ascii="Baskerville Old Face" w:hAnsi="Baskerville Old Face"/>
          <w:i/>
          <w:iCs/>
        </w:rPr>
        <w:t>: Hash, start: Timestamp, end: Timestamp) -&gt; Vec&lt;Event&gt; {</w:t>
      </w:r>
    </w:p>
    <w:p w14:paraId="0EA70D7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 DHT query by basis address (</w:t>
      </w:r>
      <w:proofErr w:type="spellStart"/>
      <w:r w:rsidRPr="00B479AE">
        <w:rPr>
          <w:rFonts w:ascii="Baskerville Old Face" w:hAnsi="Baskerville Old Face"/>
          <w:i/>
          <w:iCs/>
        </w:rPr>
        <w:t>project_id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event_type</w:t>
      </w:r>
      <w:proofErr w:type="spellEnd"/>
      <w:r w:rsidRPr="00B479AE">
        <w:rPr>
          <w:rFonts w:ascii="Baskerville Old Face" w:hAnsi="Baskerville Old Face"/>
          <w:i/>
          <w:iCs/>
        </w:rPr>
        <w:t>)</w:t>
      </w:r>
    </w:p>
    <w:p w14:paraId="39BD5A1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1F7197D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Example: Calculate net resource change for an agent</w:t>
      </w:r>
    </w:p>
    <w:p w14:paraId="63DB42E3" w14:textId="77777777" w:rsidR="00EB0717" w:rsidRPr="00B479AE" w:rsidRDefault="00EB0717" w:rsidP="00EB0717">
      <w:pPr>
        <w:spacing w:line="360" w:lineRule="auto"/>
        <w:rPr>
          <w:rFonts w:ascii="Baskerville Old Face" w:hAnsi="Baskerville Old Face"/>
          <w:i/>
          <w:iCs/>
        </w:rPr>
      </w:pPr>
      <w:proofErr w:type="spellStart"/>
      <w:r w:rsidRPr="00B479AE">
        <w:rPr>
          <w:rFonts w:ascii="Baskerville Old Face" w:hAnsi="Baskerville Old Face"/>
          <w:i/>
          <w:iCs/>
        </w:rPr>
        <w:t>fn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net_resource_</w:t>
      </w:r>
      <w:proofErr w:type="gramStart"/>
      <w:r w:rsidRPr="00B479AE">
        <w:rPr>
          <w:rFonts w:ascii="Baskerville Old Face" w:hAnsi="Baskerville Old Face"/>
          <w:i/>
          <w:iCs/>
        </w:rPr>
        <w:t>change</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agent_id</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AgentPubKey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resource_type</w:t>
      </w:r>
      <w:proofErr w:type="spellEnd"/>
      <w:r w:rsidRPr="00B479AE">
        <w:rPr>
          <w:rFonts w:ascii="Baskerville Old Face" w:hAnsi="Baskerville Old Face"/>
          <w:i/>
          <w:iCs/>
        </w:rPr>
        <w:t>: String) -&gt; Float {</w:t>
      </w:r>
    </w:p>
    <w:p w14:paraId="6DA1DD3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 Sum provider events and receiver events where applicable</w:t>
      </w:r>
    </w:p>
    <w:p w14:paraId="75B1B17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354A129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Example: Find unfulfilled commitments</w:t>
      </w:r>
    </w:p>
    <w:p w14:paraId="75B7AE99" w14:textId="77777777" w:rsidR="00EB0717" w:rsidRPr="00B479AE" w:rsidRDefault="00EB0717" w:rsidP="00EB0717">
      <w:pPr>
        <w:spacing w:line="360" w:lineRule="auto"/>
        <w:rPr>
          <w:rFonts w:ascii="Baskerville Old Face" w:hAnsi="Baskerville Old Face"/>
          <w:i/>
          <w:iCs/>
        </w:rPr>
      </w:pPr>
      <w:proofErr w:type="spellStart"/>
      <w:r w:rsidRPr="00B479AE">
        <w:rPr>
          <w:rFonts w:ascii="Baskerville Old Face" w:hAnsi="Baskerville Old Face"/>
          <w:i/>
          <w:iCs/>
        </w:rPr>
        <w:t>fn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unfulfilled_</w:t>
      </w:r>
      <w:proofErr w:type="gramStart"/>
      <w:r w:rsidRPr="00B479AE">
        <w:rPr>
          <w:rFonts w:ascii="Baskerville Old Face" w:hAnsi="Baskerville Old Face"/>
          <w:i/>
          <w:iCs/>
        </w:rPr>
        <w:t>commitments</w:t>
      </w:r>
      <w:proofErr w:type="spellEnd"/>
      <w:r w:rsidRPr="00B479AE">
        <w:rPr>
          <w:rFonts w:ascii="Baskerville Old Face" w:hAnsi="Baskerville Old Face"/>
          <w:i/>
          <w:iCs/>
        </w:rPr>
        <w:t>(</w:t>
      </w:r>
      <w:proofErr w:type="gramEnd"/>
      <w:r w:rsidRPr="00B479AE">
        <w:rPr>
          <w:rFonts w:ascii="Baskerville Old Face" w:hAnsi="Baskerville Old Face"/>
          <w:i/>
          <w:iCs/>
        </w:rPr>
        <w:t>) -&gt; Vec&lt;Commitment&gt; {</w:t>
      </w:r>
    </w:p>
    <w:p w14:paraId="22B226E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 Query where status = active and </w:t>
      </w:r>
      <w:proofErr w:type="spellStart"/>
      <w:r w:rsidRPr="00B479AE">
        <w:rPr>
          <w:rFonts w:ascii="Baskerville Old Face" w:hAnsi="Baskerville Old Face"/>
          <w:i/>
          <w:iCs/>
        </w:rPr>
        <w:t>due_end</w:t>
      </w:r>
      <w:proofErr w:type="spellEnd"/>
      <w:r w:rsidRPr="00B479AE">
        <w:rPr>
          <w:rFonts w:ascii="Baskerville Old Face" w:hAnsi="Baskerville Old Face"/>
          <w:i/>
          <w:iCs/>
        </w:rPr>
        <w:t xml:space="preserve"> &lt; now</w:t>
      </w:r>
    </w:p>
    <w:p w14:paraId="278C625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131388F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Example: Get all PRU-relevant evidence events</w:t>
      </w:r>
    </w:p>
    <w:p w14:paraId="6F790A7E" w14:textId="77777777" w:rsidR="00EB0717" w:rsidRPr="00B479AE" w:rsidRDefault="00EB0717" w:rsidP="00EB0717">
      <w:pPr>
        <w:spacing w:line="360" w:lineRule="auto"/>
        <w:rPr>
          <w:rFonts w:ascii="Baskerville Old Face" w:hAnsi="Baskerville Old Face"/>
          <w:i/>
          <w:iCs/>
        </w:rPr>
      </w:pPr>
      <w:proofErr w:type="spellStart"/>
      <w:r w:rsidRPr="00B479AE">
        <w:rPr>
          <w:rFonts w:ascii="Baskerville Old Face" w:hAnsi="Baskerville Old Face"/>
          <w:i/>
          <w:iCs/>
        </w:rPr>
        <w:t>fn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get_pru_relevant_</w:t>
      </w:r>
      <w:proofErr w:type="gramStart"/>
      <w:r w:rsidRPr="00B479AE">
        <w:rPr>
          <w:rFonts w:ascii="Baskerville Old Face" w:hAnsi="Baskerville Old Face"/>
          <w:i/>
          <w:iCs/>
        </w:rPr>
        <w:t>events</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project_id</w:t>
      </w:r>
      <w:proofErr w:type="spellEnd"/>
      <w:r w:rsidRPr="00B479AE">
        <w:rPr>
          <w:rFonts w:ascii="Baskerville Old Face" w:hAnsi="Baskerville Old Face"/>
          <w:i/>
          <w:iCs/>
        </w:rPr>
        <w:t>: Hash) -&gt; Vec&lt;Event&gt; {</w:t>
      </w:r>
    </w:p>
    <w:p w14:paraId="1194838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 Query events linked to MRV evidence, admissibility review, or PRU methodology scope</w:t>
      </w:r>
    </w:p>
    <w:p w14:paraId="0986A05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0CC222B1"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J.6 Example flow: Regenerative agriculture project</w:t>
      </w:r>
    </w:p>
    <w:p w14:paraId="0EB9A829" w14:textId="7BFCEEBD"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1. </w:t>
      </w:r>
      <w:r w:rsidR="00EB0717" w:rsidRPr="00B479AE">
        <w:rPr>
          <w:rFonts w:ascii="Baskerville Old Face" w:hAnsi="Baskerville Old Face"/>
          <w:i/>
          <w:iCs/>
        </w:rPr>
        <w:t>Agent registration.</w:t>
      </w:r>
    </w:p>
    <w:p w14:paraId="0374E7C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Land steward, project entity, verifier, and relevant institutional actors register as agents.</w:t>
      </w:r>
    </w:p>
    <w:p w14:paraId="36ED0162" w14:textId="641D5DF1" w:rsidR="00EB0717" w:rsidRPr="00B479AE" w:rsidRDefault="00812032" w:rsidP="00812032">
      <w:pPr>
        <w:spacing w:line="360" w:lineRule="auto"/>
        <w:rPr>
          <w:rFonts w:ascii="Baskerville Old Face" w:hAnsi="Baskerville Old Face"/>
          <w:i/>
          <w:iCs/>
        </w:rPr>
      </w:pPr>
      <w:r>
        <w:rPr>
          <w:rFonts w:ascii="Baskerville Old Face" w:hAnsi="Baskerville Old Face"/>
          <w:i/>
          <w:iCs/>
        </w:rPr>
        <w:lastRenderedPageBreak/>
        <w:t xml:space="preserve">2. </w:t>
      </w:r>
      <w:r w:rsidR="00EB0717" w:rsidRPr="00B479AE">
        <w:rPr>
          <w:rFonts w:ascii="Baskerville Old Face" w:hAnsi="Baskerville Old Face"/>
          <w:i/>
          <w:iCs/>
        </w:rPr>
        <w:t>Commitment.</w:t>
      </w:r>
    </w:p>
    <w:p w14:paraId="3D5ACDA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funder, partner, public entity, or internal treasury creates a defined commitment to support a soil-regeneration project.</w:t>
      </w:r>
    </w:p>
    <w:p w14:paraId="5F8FD987" w14:textId="0D189948"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3. </w:t>
      </w:r>
      <w:r w:rsidR="00EB0717" w:rsidRPr="00B479AE">
        <w:rPr>
          <w:rFonts w:ascii="Baskerville Old Face" w:hAnsi="Baskerville Old Face"/>
          <w:i/>
          <w:iCs/>
        </w:rPr>
        <w:t>Resource.</w:t>
      </w:r>
    </w:p>
    <w:p w14:paraId="2C98FEC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A land-use-right or project-resource entry is created, linked to site boundaries, OHE context, and legal access documentation.</w:t>
      </w:r>
    </w:p>
    <w:p w14:paraId="047350B2" w14:textId="1B02E170"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4. </w:t>
      </w:r>
      <w:r w:rsidR="00EB0717" w:rsidRPr="00B479AE">
        <w:rPr>
          <w:rFonts w:ascii="Baskerville Old Face" w:hAnsi="Baskerville Old Face"/>
          <w:i/>
          <w:iCs/>
        </w:rPr>
        <w:t>MRV event.</w:t>
      </w:r>
    </w:p>
    <w:p w14:paraId="56EB70D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Satellite data, soil sensors, field observations, laboratory tests, and stewardship records produce MRV-linked evidence events.</w:t>
      </w:r>
    </w:p>
    <w:p w14:paraId="2153C597" w14:textId="20D43387"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5. </w:t>
      </w:r>
      <w:r w:rsidR="00EB0717" w:rsidRPr="00B479AE">
        <w:rPr>
          <w:rFonts w:ascii="Baskerville Old Face" w:hAnsi="Baskerville Old Face"/>
          <w:i/>
          <w:iCs/>
        </w:rPr>
        <w:t xml:space="preserve">Evidence </w:t>
      </w:r>
      <w:proofErr w:type="gramStart"/>
      <w:r w:rsidR="00EB0717" w:rsidRPr="00B479AE">
        <w:rPr>
          <w:rFonts w:ascii="Baskerville Old Face" w:hAnsi="Baskerville Old Face"/>
          <w:i/>
          <w:iCs/>
        </w:rPr>
        <w:t>review</w:t>
      </w:r>
      <w:proofErr w:type="gramEnd"/>
      <w:r w:rsidR="00EB0717" w:rsidRPr="00B479AE">
        <w:rPr>
          <w:rFonts w:ascii="Baskerville Old Face" w:hAnsi="Baskerville Old Face"/>
          <w:i/>
          <w:iCs/>
        </w:rPr>
        <w:t>.</w:t>
      </w:r>
    </w:p>
    <w:p w14:paraId="25CFE62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MRV evidence is reviewed for provenance, confidence, methodology alignment, no-double-counting, PHI context, and admissibility.</w:t>
      </w:r>
    </w:p>
    <w:p w14:paraId="33BD5E21" w14:textId="5881C132"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6. </w:t>
      </w:r>
      <w:r w:rsidR="00EB0717" w:rsidRPr="00B479AE">
        <w:rPr>
          <w:rFonts w:ascii="Baskerville Old Face" w:hAnsi="Baskerville Old Face"/>
          <w:i/>
          <w:iCs/>
        </w:rPr>
        <w:t>PRU-relevant interpretation.</w:t>
      </w:r>
    </w:p>
    <w:p w14:paraId="02D0EA6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Verified indicators may support PRU value analysis only after evidence, methodology, confidence, governance review, admissibility, and legal boundary checks.</w:t>
      </w:r>
    </w:p>
    <w:p w14:paraId="23BD907E" w14:textId="1182660B"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7. </w:t>
      </w:r>
      <w:r w:rsidR="00EB0717" w:rsidRPr="00B479AE">
        <w:rPr>
          <w:rFonts w:ascii="Baskerville Old Face" w:hAnsi="Baskerville Old Face"/>
          <w:i/>
          <w:iCs/>
        </w:rPr>
        <w:t>Economic or operational event.</w:t>
      </w:r>
    </w:p>
    <w:p w14:paraId="3A5CFD2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Operational outputs, service delivery, procurement, hospitality, education, food production, or other real economic activity may be recorded as REA events.</w:t>
      </w:r>
    </w:p>
    <w:p w14:paraId="1C68A7AC" w14:textId="5D757C21" w:rsidR="00EB0717" w:rsidRPr="00B479AE" w:rsidRDefault="00812032" w:rsidP="00812032">
      <w:pPr>
        <w:spacing w:line="360" w:lineRule="auto"/>
        <w:rPr>
          <w:rFonts w:ascii="Baskerville Old Face" w:hAnsi="Baskerville Old Face"/>
          <w:i/>
          <w:iCs/>
        </w:rPr>
      </w:pPr>
      <w:r>
        <w:rPr>
          <w:rFonts w:ascii="Baskerville Old Face" w:hAnsi="Baskerville Old Face"/>
          <w:i/>
          <w:iCs/>
        </w:rPr>
        <w:t xml:space="preserve">8. </w:t>
      </w:r>
      <w:r w:rsidR="00EB0717" w:rsidRPr="00B479AE">
        <w:rPr>
          <w:rFonts w:ascii="Baskerville Old Face" w:hAnsi="Baskerville Old Face"/>
          <w:i/>
          <w:iCs/>
        </w:rPr>
        <w:t>Legal or institutional pathway.</w:t>
      </w:r>
    </w:p>
    <w:p w14:paraId="4708D5A5" w14:textId="77777777" w:rsidR="00812032" w:rsidRDefault="00EB0717" w:rsidP="00812032">
      <w:pPr>
        <w:spacing w:line="360" w:lineRule="auto"/>
        <w:rPr>
          <w:rFonts w:ascii="Baskerville Old Face" w:hAnsi="Baskerville Old Face"/>
          <w:i/>
          <w:iCs/>
        </w:rPr>
      </w:pPr>
      <w:r w:rsidRPr="00B479AE">
        <w:rPr>
          <w:rFonts w:ascii="Baskerville Old Face" w:hAnsi="Baskerville Old Face"/>
          <w:i/>
          <w:iCs/>
        </w:rPr>
        <w:t>Any future credit, note, fund interest, revenue right, tokenized representation, or compliant digital instrument requires separate legal structuring, disclosure, investor-protection review, jurisdiction-specific compliance, and anti-double-counting controls.</w:t>
      </w:r>
      <w:r w:rsidR="00812032">
        <w:rPr>
          <w:rFonts w:ascii="Baskerville Old Face" w:hAnsi="Baskerville Old Face"/>
          <w:i/>
          <w:iCs/>
        </w:rPr>
        <w:t xml:space="preserve"> </w:t>
      </w:r>
    </w:p>
    <w:p w14:paraId="5B60A2F7" w14:textId="2E03A13D" w:rsidR="00EB0717" w:rsidRPr="00812032" w:rsidRDefault="00812032" w:rsidP="00812032">
      <w:pPr>
        <w:spacing w:line="360" w:lineRule="auto"/>
        <w:rPr>
          <w:rFonts w:ascii="Baskerville Old Face" w:hAnsi="Baskerville Old Face"/>
          <w:i/>
          <w:iCs/>
        </w:rPr>
      </w:pPr>
      <w:r>
        <w:rPr>
          <w:rFonts w:ascii="Baskerville Old Face" w:hAnsi="Baskerville Old Face"/>
          <w:i/>
          <w:iCs/>
        </w:rPr>
        <w:t xml:space="preserve">9. </w:t>
      </w:r>
      <w:r w:rsidR="00EB0717" w:rsidRPr="00812032">
        <w:rPr>
          <w:rFonts w:ascii="Baskerville Old Face" w:hAnsi="Baskerville Old Face"/>
          <w:i/>
          <w:iCs/>
        </w:rPr>
        <w:t>Commitment fulfillment.</w:t>
      </w:r>
    </w:p>
    <w:p w14:paraId="2558C50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Events fulfilling the original commitment are linked back to the commitment record.</w:t>
      </w:r>
    </w:p>
    <w:p w14:paraId="6B595958" w14:textId="77777777" w:rsidR="00812032" w:rsidRDefault="00812032" w:rsidP="00812032">
      <w:pPr>
        <w:spacing w:line="360" w:lineRule="auto"/>
        <w:rPr>
          <w:rFonts w:ascii="Baskerville Old Face" w:hAnsi="Baskerville Old Face"/>
          <w:i/>
          <w:iCs/>
        </w:rPr>
      </w:pPr>
    </w:p>
    <w:p w14:paraId="598C966E" w14:textId="19018BB5" w:rsidR="00EB0717" w:rsidRPr="00B479AE" w:rsidRDefault="00812032" w:rsidP="00812032">
      <w:pPr>
        <w:spacing w:line="360" w:lineRule="auto"/>
        <w:rPr>
          <w:rFonts w:ascii="Baskerville Old Face" w:hAnsi="Baskerville Old Face"/>
          <w:i/>
          <w:iCs/>
        </w:rPr>
      </w:pPr>
      <w:r>
        <w:rPr>
          <w:rFonts w:ascii="Baskerville Old Face" w:hAnsi="Baskerville Old Face"/>
          <w:i/>
          <w:iCs/>
        </w:rPr>
        <w:lastRenderedPageBreak/>
        <w:t xml:space="preserve">10. </w:t>
      </w:r>
      <w:r w:rsidR="00EB0717" w:rsidRPr="00B479AE">
        <w:rPr>
          <w:rFonts w:ascii="Baskerville Old Face" w:hAnsi="Baskerville Old Face"/>
          <w:i/>
          <w:iCs/>
        </w:rPr>
        <w:t>Governance review.</w:t>
      </w:r>
    </w:p>
    <w:p w14:paraId="575145F3" w14:textId="76A4F22E"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relevant circle reviews project performance, evidence quality, adverse events, lessons learned, and parameter updates.</w:t>
      </w:r>
      <w:r w:rsidR="00B46769" w:rsidRPr="00B479AE">
        <w:rPr>
          <w:rFonts w:ascii="Baskerville Old Face" w:hAnsi="Baskerville Old Face"/>
          <w:i/>
          <w:iCs/>
        </w:rPr>
        <w:t xml:space="preserve"> </w:t>
      </w:r>
      <w:r w:rsidRPr="00B479AE">
        <w:rPr>
          <w:rFonts w:ascii="Baskerville Old Face" w:hAnsi="Baskerville Old Face"/>
          <w:i/>
          <w:iCs/>
        </w:rPr>
        <w:t>All steps are recorded through agent-centric source chains and shared validation where appropriate, preserving temporal linking, auditability, and constitutional compliance.</w:t>
      </w:r>
    </w:p>
    <w:p w14:paraId="63F55950" w14:textId="562A4B8F"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J.7 Schema definitions</w:t>
      </w:r>
    </w:p>
    <w:p w14:paraId="567035C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The following simplified schema illustrates the conceptual structure of REA / </w:t>
      </w:r>
      <w:proofErr w:type="spellStart"/>
      <w:r w:rsidRPr="00B479AE">
        <w:rPr>
          <w:rFonts w:ascii="Baskerville Old Face" w:hAnsi="Baskerville Old Face"/>
          <w:i/>
          <w:iCs/>
        </w:rPr>
        <w:t>Valueflows</w:t>
      </w:r>
      <w:proofErr w:type="spellEnd"/>
      <w:r w:rsidRPr="00B479AE">
        <w:rPr>
          <w:rFonts w:ascii="Baskerville Old Face" w:hAnsi="Baskerville Old Face"/>
          <w:i/>
          <w:iCs/>
        </w:rPr>
        <w:t>-compatible records.</w:t>
      </w:r>
    </w:p>
    <w:p w14:paraId="29CC7D8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syntax = "proto3";</w:t>
      </w:r>
    </w:p>
    <w:p w14:paraId="24F829D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package </w:t>
      </w:r>
      <w:proofErr w:type="gramStart"/>
      <w:r w:rsidRPr="00B479AE">
        <w:rPr>
          <w:rFonts w:ascii="Baskerville Old Face" w:hAnsi="Baskerville Old Face"/>
          <w:i/>
          <w:iCs/>
        </w:rPr>
        <w:t>rea.v</w:t>
      </w:r>
      <w:proofErr w:type="gramEnd"/>
      <w:r w:rsidRPr="00B479AE">
        <w:rPr>
          <w:rFonts w:ascii="Baskerville Old Face" w:hAnsi="Baskerville Old Face"/>
          <w:i/>
          <w:iCs/>
        </w:rPr>
        <w:t>1;</w:t>
      </w:r>
    </w:p>
    <w:p w14:paraId="56E123F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import "google/</w:t>
      </w:r>
      <w:proofErr w:type="spellStart"/>
      <w:r w:rsidRPr="00B479AE">
        <w:rPr>
          <w:rFonts w:ascii="Baskerville Old Face" w:hAnsi="Baskerville Old Face"/>
          <w:i/>
          <w:iCs/>
        </w:rPr>
        <w:t>protobuf</w:t>
      </w:r>
      <w:proofErr w:type="spellEnd"/>
      <w:r w:rsidRPr="00B479AE">
        <w:rPr>
          <w:rFonts w:ascii="Baskerville Old Face" w:hAnsi="Baskerville Old Face"/>
          <w:i/>
          <w:iCs/>
        </w:rPr>
        <w:t>/</w:t>
      </w:r>
      <w:proofErr w:type="spellStart"/>
      <w:r w:rsidRPr="00B479AE">
        <w:rPr>
          <w:rFonts w:ascii="Baskerville Old Face" w:hAnsi="Baskerville Old Face"/>
          <w:i/>
          <w:iCs/>
        </w:rPr>
        <w:t>timestamp.proto</w:t>
      </w:r>
      <w:proofErr w:type="spellEnd"/>
      <w:r w:rsidRPr="00B479AE">
        <w:rPr>
          <w:rFonts w:ascii="Baskerville Old Face" w:hAnsi="Baskerville Old Face"/>
          <w:i/>
          <w:iCs/>
        </w:rPr>
        <w:t>";</w:t>
      </w:r>
    </w:p>
    <w:p w14:paraId="162EBD8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import "</w:t>
      </w:r>
      <w:proofErr w:type="spellStart"/>
      <w:r w:rsidRPr="00B479AE">
        <w:rPr>
          <w:rFonts w:ascii="Baskerville Old Face" w:hAnsi="Baskerville Old Face"/>
          <w:i/>
          <w:iCs/>
        </w:rPr>
        <w:t>syntropic_</w:t>
      </w:r>
      <w:proofErr w:type="gramStart"/>
      <w:r w:rsidRPr="00B479AE">
        <w:rPr>
          <w:rFonts w:ascii="Baskerville Old Face" w:hAnsi="Baskerville Old Face"/>
          <w:i/>
          <w:iCs/>
        </w:rPr>
        <w:t>header.proto</w:t>
      </w:r>
      <w:proofErr w:type="spellEnd"/>
      <w:proofErr w:type="gramEnd"/>
      <w:r w:rsidRPr="00B479AE">
        <w:rPr>
          <w:rFonts w:ascii="Baskerville Old Face" w:hAnsi="Baskerville Old Face"/>
          <w:i/>
          <w:iCs/>
        </w:rPr>
        <w:t>";</w:t>
      </w:r>
    </w:p>
    <w:p w14:paraId="35453A3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message Resource {</w:t>
      </w:r>
    </w:p>
    <w:p w14:paraId="3BD6C60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id = 1;</w:t>
      </w:r>
    </w:p>
    <w:p w14:paraId="39775B3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name = 2;</w:t>
      </w:r>
    </w:p>
    <w:p w14:paraId="4111CE9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enum</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ResourceType</w:t>
      </w:r>
      <w:proofErr w:type="spellEnd"/>
      <w:r w:rsidRPr="00B479AE">
        <w:rPr>
          <w:rFonts w:ascii="Baskerville Old Face" w:hAnsi="Baskerville Old Face"/>
          <w:i/>
          <w:iCs/>
        </w:rPr>
        <w:t xml:space="preserve"> {</w:t>
      </w:r>
    </w:p>
    <w:p w14:paraId="633059A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LAND_USE_RIGHT = 0;</w:t>
      </w:r>
    </w:p>
    <w:p w14:paraId="50EBC50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WATER_ACCESS = 1;</w:t>
      </w:r>
    </w:p>
    <w:p w14:paraId="7FF2F00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BIOMASS = 2;</w:t>
      </w:r>
    </w:p>
    <w:p w14:paraId="25EEAC1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FOOD_OUTPUT = 3;</w:t>
      </w:r>
    </w:p>
    <w:p w14:paraId="504B96C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ECOLOGICAL_PERFORMANCE_CLAIM = 4;</w:t>
      </w:r>
    </w:p>
    <w:p w14:paraId="7EE486F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BIODIVERSITY_RECORD = 5;</w:t>
      </w:r>
    </w:p>
    <w:p w14:paraId="201AABC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DATA_RECORD = 6;</w:t>
      </w:r>
    </w:p>
    <w:p w14:paraId="3A3D3A2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LABOR = 7;</w:t>
      </w:r>
    </w:p>
    <w:p w14:paraId="59EDA95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xml:space="preserve">    KNOWLEDGE = 8;</w:t>
      </w:r>
    </w:p>
    <w:p w14:paraId="0D87268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REPUTATION_CONTEXT = 9;</w:t>
      </w:r>
    </w:p>
    <w:p w14:paraId="14DE0FC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DIGITAL_ASSET = 10;</w:t>
      </w:r>
    </w:p>
    <w:p w14:paraId="260F9C4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OTHER = 11;</w:t>
      </w:r>
    </w:p>
    <w:p w14:paraId="3FEC4ED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
    <w:p w14:paraId="6F5B653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ResourceType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resource_type</w:t>
      </w:r>
      <w:proofErr w:type="spellEnd"/>
      <w:r w:rsidRPr="00B479AE">
        <w:rPr>
          <w:rFonts w:ascii="Baskerville Old Face" w:hAnsi="Baskerville Old Face"/>
          <w:i/>
          <w:iCs/>
        </w:rPr>
        <w:t xml:space="preserve"> = 3;</w:t>
      </w:r>
    </w:p>
    <w:p w14:paraId="2047853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double quantity = 4;</w:t>
      </w:r>
    </w:p>
    <w:p w14:paraId="72CD6CE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unit = 5;</w:t>
      </w:r>
    </w:p>
    <w:p w14:paraId="4DD804C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location = 6; // </w:t>
      </w:r>
      <w:proofErr w:type="spellStart"/>
      <w:r w:rsidRPr="00B479AE">
        <w:rPr>
          <w:rFonts w:ascii="Baskerville Old Face" w:hAnsi="Baskerville Old Face"/>
          <w:i/>
          <w:iCs/>
        </w:rPr>
        <w:t>GeoJSON</w:t>
      </w:r>
      <w:proofErr w:type="spellEnd"/>
    </w:p>
    <w:p w14:paraId="733B3F5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w:t>
      </w:r>
      <w:proofErr w:type="spellStart"/>
      <w:r w:rsidRPr="00B479AE">
        <w:rPr>
          <w:rFonts w:ascii="Baskerville Old Face" w:hAnsi="Baskerville Old Face"/>
          <w:i/>
          <w:iCs/>
        </w:rPr>
        <w:t>ecosystem_id</w:t>
      </w:r>
      <w:proofErr w:type="spellEnd"/>
      <w:r w:rsidRPr="00B479AE">
        <w:rPr>
          <w:rFonts w:ascii="Baskerville Old Face" w:hAnsi="Baskerville Old Face"/>
          <w:i/>
          <w:iCs/>
        </w:rPr>
        <w:t xml:space="preserve"> = 7;</w:t>
      </w:r>
    </w:p>
    <w:p w14:paraId="42FA0E0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metadata = 8; // JSON</w:t>
      </w:r>
    </w:p>
    <w:p w14:paraId="0DF7F9B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SyntropicHeader</w:t>
      </w:r>
      <w:proofErr w:type="spellEnd"/>
      <w:r w:rsidRPr="00B479AE">
        <w:rPr>
          <w:rFonts w:ascii="Baskerville Old Face" w:hAnsi="Baskerville Old Face"/>
          <w:i/>
          <w:iCs/>
        </w:rPr>
        <w:t xml:space="preserve"> header = 9;</w:t>
      </w:r>
    </w:p>
    <w:p w14:paraId="7D344BB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44F33DA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message Event {</w:t>
      </w:r>
    </w:p>
    <w:p w14:paraId="42908AC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id = 1;</w:t>
      </w:r>
    </w:p>
    <w:p w14:paraId="649A88D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enum</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EventType</w:t>
      </w:r>
      <w:proofErr w:type="spellEnd"/>
      <w:r w:rsidRPr="00B479AE">
        <w:rPr>
          <w:rFonts w:ascii="Baskerville Old Face" w:hAnsi="Baskerville Old Face"/>
          <w:i/>
          <w:iCs/>
        </w:rPr>
        <w:t xml:space="preserve"> {</w:t>
      </w:r>
    </w:p>
    <w:p w14:paraId="1780344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PRODUCTION = 0;</w:t>
      </w:r>
    </w:p>
    <w:p w14:paraId="2C61C2D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CONSUMPTION = 1;</w:t>
      </w:r>
    </w:p>
    <w:p w14:paraId="3D7D479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TRANSFER = 2;</w:t>
      </w:r>
    </w:p>
    <w:p w14:paraId="0A2F50C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EXCHANGE = 3;</w:t>
      </w:r>
    </w:p>
    <w:p w14:paraId="5439D61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MEASUREMENT = 4;</w:t>
      </w:r>
    </w:p>
    <w:p w14:paraId="49D7830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VERIFICATION = 5;</w:t>
      </w:r>
    </w:p>
    <w:p w14:paraId="6BCB813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xml:space="preserve">    STEWARDSHIP_ACTION = 6;</w:t>
      </w:r>
    </w:p>
    <w:p w14:paraId="7929A9C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COMMITMENT_FULFILLMENT = 7;</w:t>
      </w:r>
    </w:p>
    <w:p w14:paraId="4E62D5C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GOVERNANCE_DECISION = 8;</w:t>
      </w:r>
    </w:p>
    <w:p w14:paraId="40B07D8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CORRECTION = 9;</w:t>
      </w:r>
    </w:p>
    <w:p w14:paraId="4DCC610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REVIEW = 10;</w:t>
      </w:r>
    </w:p>
    <w:p w14:paraId="34B36A9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
    <w:p w14:paraId="0105A2F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EventType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event_type</w:t>
      </w:r>
      <w:proofErr w:type="spellEnd"/>
      <w:r w:rsidRPr="00B479AE">
        <w:rPr>
          <w:rFonts w:ascii="Baskerville Old Face" w:hAnsi="Baskerville Old Face"/>
          <w:i/>
          <w:iCs/>
        </w:rPr>
        <w:t xml:space="preserve"> = 2;</w:t>
      </w:r>
    </w:p>
    <w:p w14:paraId="50491D2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action = 3;</w:t>
      </w:r>
    </w:p>
    <w:p w14:paraId="1FEFD84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provider = 4;</w:t>
      </w:r>
    </w:p>
    <w:p w14:paraId="4F48035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receiver = 5;</w:t>
      </w:r>
    </w:p>
    <w:p w14:paraId="18B3FBC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w:t>
      </w:r>
      <w:proofErr w:type="spellStart"/>
      <w:r w:rsidRPr="00B479AE">
        <w:rPr>
          <w:rFonts w:ascii="Baskerville Old Face" w:hAnsi="Baskerville Old Face"/>
          <w:i/>
          <w:iCs/>
        </w:rPr>
        <w:t>resource_id</w:t>
      </w:r>
      <w:proofErr w:type="spellEnd"/>
      <w:r w:rsidRPr="00B479AE">
        <w:rPr>
          <w:rFonts w:ascii="Baskerville Old Face" w:hAnsi="Baskerville Old Face"/>
          <w:i/>
          <w:iCs/>
        </w:rPr>
        <w:t xml:space="preserve"> = 6;</w:t>
      </w:r>
    </w:p>
    <w:p w14:paraId="4BCE50A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double quantity = 7;</w:t>
      </w:r>
    </w:p>
    <w:p w14:paraId="44F9680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unit = 8;</w:t>
      </w:r>
    </w:p>
    <w:p w14:paraId="2F184EA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location = 9;</w:t>
      </w:r>
    </w:p>
    <w:p w14:paraId="528D1C8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TimeWindow</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time_window</w:t>
      </w:r>
      <w:proofErr w:type="spellEnd"/>
      <w:r w:rsidRPr="00B479AE">
        <w:rPr>
          <w:rFonts w:ascii="Baskerville Old Face" w:hAnsi="Baskerville Old Face"/>
          <w:i/>
          <w:iCs/>
        </w:rPr>
        <w:t xml:space="preserve"> = 10;</w:t>
      </w:r>
    </w:p>
    <w:p w14:paraId="0A8D318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w:t>
      </w:r>
      <w:proofErr w:type="spellStart"/>
      <w:r w:rsidRPr="00B479AE">
        <w:rPr>
          <w:rFonts w:ascii="Baskerville Old Face" w:hAnsi="Baskerville Old Face"/>
          <w:i/>
          <w:iCs/>
        </w:rPr>
        <w:t>mrv_id</w:t>
      </w:r>
      <w:proofErr w:type="spellEnd"/>
      <w:r w:rsidRPr="00B479AE">
        <w:rPr>
          <w:rFonts w:ascii="Baskerville Old Face" w:hAnsi="Baskerville Old Face"/>
          <w:i/>
          <w:iCs/>
        </w:rPr>
        <w:t xml:space="preserve"> = 11;</w:t>
      </w:r>
    </w:p>
    <w:p w14:paraId="65B2D06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w:t>
      </w:r>
      <w:proofErr w:type="spellStart"/>
      <w:r w:rsidRPr="00B479AE">
        <w:rPr>
          <w:rFonts w:ascii="Baskerville Old Face" w:hAnsi="Baskerville Old Face"/>
          <w:i/>
          <w:iCs/>
        </w:rPr>
        <w:t>commitment_id</w:t>
      </w:r>
      <w:proofErr w:type="spellEnd"/>
      <w:r w:rsidRPr="00B479AE">
        <w:rPr>
          <w:rFonts w:ascii="Baskerville Old Face" w:hAnsi="Baskerville Old Face"/>
          <w:i/>
          <w:iCs/>
        </w:rPr>
        <w:t xml:space="preserve"> = 12;</w:t>
      </w:r>
    </w:p>
    <w:p w14:paraId="17F0F12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w:t>
      </w:r>
      <w:proofErr w:type="spellStart"/>
      <w:r w:rsidRPr="00B479AE">
        <w:rPr>
          <w:rFonts w:ascii="Baskerville Old Face" w:hAnsi="Baskerville Old Face"/>
          <w:i/>
          <w:iCs/>
        </w:rPr>
        <w:t>review_status</w:t>
      </w:r>
      <w:proofErr w:type="spellEnd"/>
      <w:r w:rsidRPr="00B479AE">
        <w:rPr>
          <w:rFonts w:ascii="Baskerville Old Face" w:hAnsi="Baskerville Old Face"/>
          <w:i/>
          <w:iCs/>
        </w:rPr>
        <w:t xml:space="preserve"> = 13;</w:t>
      </w:r>
    </w:p>
    <w:p w14:paraId="115F5B4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metadata = 14; // JSON</w:t>
      </w:r>
    </w:p>
    <w:p w14:paraId="123E6A6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SyntropicHeader</w:t>
      </w:r>
      <w:proofErr w:type="spellEnd"/>
      <w:r w:rsidRPr="00B479AE">
        <w:rPr>
          <w:rFonts w:ascii="Baskerville Old Face" w:hAnsi="Baskerville Old Face"/>
          <w:i/>
          <w:iCs/>
        </w:rPr>
        <w:t xml:space="preserve"> header = 15;</w:t>
      </w:r>
    </w:p>
    <w:p w14:paraId="7F8575B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6B24E30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message Agent {</w:t>
      </w:r>
    </w:p>
    <w:p w14:paraId="0126610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xml:space="preserve">  bytes id = 1;</w:t>
      </w:r>
    </w:p>
    <w:p w14:paraId="417D7D7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enum</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AgentType</w:t>
      </w:r>
      <w:proofErr w:type="spellEnd"/>
      <w:r w:rsidRPr="00B479AE">
        <w:rPr>
          <w:rFonts w:ascii="Baskerville Old Face" w:hAnsi="Baskerville Old Face"/>
          <w:i/>
          <w:iCs/>
        </w:rPr>
        <w:t xml:space="preserve"> {</w:t>
      </w:r>
    </w:p>
    <w:p w14:paraId="064303E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INDIVIDUAL = 0;</w:t>
      </w:r>
    </w:p>
    <w:p w14:paraId="53F9FF0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ORGANIZATION = 1;</w:t>
      </w:r>
    </w:p>
    <w:p w14:paraId="38B8786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DAO = 2;</w:t>
      </w:r>
    </w:p>
    <w:p w14:paraId="17F07D6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PROJECT = 3;</w:t>
      </w:r>
    </w:p>
    <w:p w14:paraId="0007E52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DEVICE = 4;</w:t>
      </w:r>
    </w:p>
    <w:p w14:paraId="49EE27D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AUDITOR = 5;</w:t>
      </w:r>
    </w:p>
    <w:p w14:paraId="507B187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VALIDATOR = 6;</w:t>
      </w:r>
    </w:p>
    <w:p w14:paraId="1D660E3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LABORATORY = 7;</w:t>
      </w:r>
    </w:p>
    <w:p w14:paraId="6F3BC89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PUBLIC_INSTITUTION = 8;</w:t>
      </w:r>
    </w:p>
    <w:p w14:paraId="638B31A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AUTOMATED = 9;</w:t>
      </w:r>
    </w:p>
    <w:p w14:paraId="6DFDBE8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
    <w:p w14:paraId="6D9B0BA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AgentType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agent_type</w:t>
      </w:r>
      <w:proofErr w:type="spellEnd"/>
      <w:r w:rsidRPr="00B479AE">
        <w:rPr>
          <w:rFonts w:ascii="Baskerville Old Face" w:hAnsi="Baskerville Old Face"/>
          <w:i/>
          <w:iCs/>
        </w:rPr>
        <w:t xml:space="preserve"> = 2;</w:t>
      </w:r>
    </w:p>
    <w:p w14:paraId="701B91C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name = 3;</w:t>
      </w:r>
    </w:p>
    <w:p w14:paraId="6CB3BC6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profile = 4; // JSON</w:t>
      </w:r>
    </w:p>
    <w:p w14:paraId="464ECDA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w:t>
      </w:r>
      <w:proofErr w:type="spellStart"/>
      <w:r w:rsidRPr="00B479AE">
        <w:rPr>
          <w:rFonts w:ascii="Baskerville Old Face" w:hAnsi="Baskerville Old Face"/>
          <w:i/>
          <w:iCs/>
        </w:rPr>
        <w:t>reputation_id</w:t>
      </w:r>
      <w:proofErr w:type="spellEnd"/>
      <w:r w:rsidRPr="00B479AE">
        <w:rPr>
          <w:rFonts w:ascii="Baskerville Old Face" w:hAnsi="Baskerville Old Face"/>
          <w:i/>
          <w:iCs/>
        </w:rPr>
        <w:t xml:space="preserve"> = 5;</w:t>
      </w:r>
    </w:p>
    <w:p w14:paraId="58342F3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w:t>
      </w:r>
      <w:proofErr w:type="spellStart"/>
      <w:r w:rsidRPr="00B479AE">
        <w:rPr>
          <w:rFonts w:ascii="Baskerville Old Face" w:hAnsi="Baskerville Old Face"/>
          <w:i/>
          <w:iCs/>
        </w:rPr>
        <w:t>authority_scope</w:t>
      </w:r>
      <w:proofErr w:type="spellEnd"/>
      <w:r w:rsidRPr="00B479AE">
        <w:rPr>
          <w:rFonts w:ascii="Baskerville Old Face" w:hAnsi="Baskerville Old Face"/>
          <w:i/>
          <w:iCs/>
        </w:rPr>
        <w:t xml:space="preserve"> = 6; // JSON</w:t>
      </w:r>
    </w:p>
    <w:p w14:paraId="65056AD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SyntropicHeader</w:t>
      </w:r>
      <w:proofErr w:type="spellEnd"/>
      <w:r w:rsidRPr="00B479AE">
        <w:rPr>
          <w:rFonts w:ascii="Baskerville Old Face" w:hAnsi="Baskerville Old Face"/>
          <w:i/>
          <w:iCs/>
        </w:rPr>
        <w:t xml:space="preserve"> header = 7;</w:t>
      </w:r>
    </w:p>
    <w:p w14:paraId="1BE0839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39FA33B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message Commitment {</w:t>
      </w:r>
    </w:p>
    <w:p w14:paraId="4E9EE32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id = 1;</w:t>
      </w:r>
    </w:p>
    <w:p w14:paraId="7251AA7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r w:rsidRPr="00B479AE">
        <w:rPr>
          <w:rFonts w:ascii="Baskerville Old Face" w:hAnsi="Baskerville Old Face"/>
          <w:i/>
          <w:iCs/>
        </w:rPr>
        <w:t>enum</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CommitmentType</w:t>
      </w:r>
      <w:proofErr w:type="spellEnd"/>
      <w:r w:rsidRPr="00B479AE">
        <w:rPr>
          <w:rFonts w:ascii="Baskerville Old Face" w:hAnsi="Baskerville Old Face"/>
          <w:i/>
          <w:iCs/>
        </w:rPr>
        <w:t xml:space="preserve"> {</w:t>
      </w:r>
    </w:p>
    <w:p w14:paraId="4204793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AGREEMENT = 0;</w:t>
      </w:r>
    </w:p>
    <w:p w14:paraId="40AABD1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CONTRACT = 1;</w:t>
      </w:r>
    </w:p>
    <w:p w14:paraId="71252F9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PLAN = 2;</w:t>
      </w:r>
    </w:p>
    <w:p w14:paraId="3A9E8C1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PROPOSAL = 3;</w:t>
      </w:r>
    </w:p>
    <w:p w14:paraId="6F71340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STEWARDSHIP_COMMITMENT = 4;</w:t>
      </w:r>
    </w:p>
    <w:p w14:paraId="64E6036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SERVICE_COMMITMENT = 5;</w:t>
      </w:r>
    </w:p>
    <w:p w14:paraId="671D60D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FUNDING_COMMITMENT = 6;</w:t>
      </w:r>
    </w:p>
    <w:p w14:paraId="6D19949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GOVERNANCE_COMMITMENT = 7;</w:t>
      </w:r>
    </w:p>
    <w:p w14:paraId="096729D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
    <w:p w14:paraId="2F540D6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CommitmentType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commitment_type</w:t>
      </w:r>
      <w:proofErr w:type="spellEnd"/>
      <w:r w:rsidRPr="00B479AE">
        <w:rPr>
          <w:rFonts w:ascii="Baskerville Old Face" w:hAnsi="Baskerville Old Face"/>
          <w:i/>
          <w:iCs/>
        </w:rPr>
        <w:t xml:space="preserve"> = 2;</w:t>
      </w:r>
    </w:p>
    <w:p w14:paraId="46930B4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provider = 3;</w:t>
      </w:r>
    </w:p>
    <w:p w14:paraId="1223602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receiver = 4;</w:t>
      </w:r>
    </w:p>
    <w:p w14:paraId="722BAF92"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bytes </w:t>
      </w:r>
      <w:proofErr w:type="spellStart"/>
      <w:r w:rsidRPr="00B479AE">
        <w:rPr>
          <w:rFonts w:ascii="Baskerville Old Face" w:hAnsi="Baskerville Old Face"/>
          <w:i/>
          <w:iCs/>
        </w:rPr>
        <w:t>resource_id</w:t>
      </w:r>
      <w:proofErr w:type="spellEnd"/>
      <w:r w:rsidRPr="00B479AE">
        <w:rPr>
          <w:rFonts w:ascii="Baskerville Old Face" w:hAnsi="Baskerville Old Face"/>
          <w:i/>
          <w:iCs/>
        </w:rPr>
        <w:t xml:space="preserve"> = 5;</w:t>
      </w:r>
    </w:p>
    <w:p w14:paraId="10FB6F3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double quantity = 6;</w:t>
      </w:r>
    </w:p>
    <w:p w14:paraId="18E6A8D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unit = 7;</w:t>
      </w:r>
    </w:p>
    <w:p w14:paraId="63E8E0E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google.protobuf</w:t>
      </w:r>
      <w:proofErr w:type="gramEnd"/>
      <w:r w:rsidRPr="00B479AE">
        <w:rPr>
          <w:rFonts w:ascii="Baskerville Old Face" w:hAnsi="Baskerville Old Face"/>
          <w:i/>
          <w:iCs/>
        </w:rPr>
        <w:t>.Timestamp</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due_start</w:t>
      </w:r>
      <w:proofErr w:type="spellEnd"/>
      <w:r w:rsidRPr="00B479AE">
        <w:rPr>
          <w:rFonts w:ascii="Baskerville Old Face" w:hAnsi="Baskerville Old Face"/>
          <w:i/>
          <w:iCs/>
        </w:rPr>
        <w:t xml:space="preserve"> = 8;</w:t>
      </w:r>
    </w:p>
    <w:p w14:paraId="7807F33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google.protobuf</w:t>
      </w:r>
      <w:proofErr w:type="gramEnd"/>
      <w:r w:rsidRPr="00B479AE">
        <w:rPr>
          <w:rFonts w:ascii="Baskerville Old Face" w:hAnsi="Baskerville Old Face"/>
          <w:i/>
          <w:iCs/>
        </w:rPr>
        <w:t>.Timestamp</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due_end</w:t>
      </w:r>
      <w:proofErr w:type="spellEnd"/>
      <w:r w:rsidRPr="00B479AE">
        <w:rPr>
          <w:rFonts w:ascii="Baskerville Old Face" w:hAnsi="Baskerville Old Face"/>
          <w:i/>
          <w:iCs/>
        </w:rPr>
        <w:t xml:space="preserve"> = 9;</w:t>
      </w:r>
    </w:p>
    <w:p w14:paraId="640AC99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conditions = 10; // JSON</w:t>
      </w:r>
    </w:p>
    <w:p w14:paraId="0CE497A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repeated bytes </w:t>
      </w:r>
      <w:proofErr w:type="spellStart"/>
      <w:r w:rsidRPr="00B479AE">
        <w:rPr>
          <w:rFonts w:ascii="Baskerville Old Face" w:hAnsi="Baskerville Old Face"/>
          <w:i/>
          <w:iCs/>
        </w:rPr>
        <w:t>fulfilled_by</w:t>
      </w:r>
      <w:proofErr w:type="spellEnd"/>
      <w:r w:rsidRPr="00B479AE">
        <w:rPr>
          <w:rFonts w:ascii="Baskerville Old Face" w:hAnsi="Baskerville Old Face"/>
          <w:i/>
          <w:iCs/>
        </w:rPr>
        <w:t xml:space="preserve"> = 11;</w:t>
      </w:r>
    </w:p>
    <w:p w14:paraId="3F5596A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enum</w:t>
      </w:r>
      <w:proofErr w:type="spellEnd"/>
      <w:r w:rsidRPr="00B479AE">
        <w:rPr>
          <w:rFonts w:ascii="Baskerville Old Face" w:hAnsi="Baskerville Old Face"/>
          <w:i/>
          <w:iCs/>
        </w:rPr>
        <w:t xml:space="preserve"> Status {</w:t>
      </w:r>
    </w:p>
    <w:p w14:paraId="51810AF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ACTIVE = 0;</w:t>
      </w:r>
    </w:p>
    <w:p w14:paraId="5E8E631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 xml:space="preserve">    FULFILLED = 1;</w:t>
      </w:r>
    </w:p>
    <w:p w14:paraId="177C86DC"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EXPIRED = 2;</w:t>
      </w:r>
    </w:p>
    <w:p w14:paraId="1F4E520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CANCELLED = 3;</w:t>
      </w:r>
    </w:p>
    <w:p w14:paraId="1AAEBC6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UNDER_REVIEW = 4;</w:t>
      </w:r>
    </w:p>
    <w:p w14:paraId="3C7E82A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DISPUTED = 5;</w:t>
      </w:r>
    </w:p>
    <w:p w14:paraId="5C67F6B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
    <w:p w14:paraId="54BA039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Status </w:t>
      </w:r>
      <w:proofErr w:type="spellStart"/>
      <w:r w:rsidRPr="00B479AE">
        <w:rPr>
          <w:rFonts w:ascii="Baskerville Old Face" w:hAnsi="Baskerville Old Face"/>
          <w:i/>
          <w:iCs/>
        </w:rPr>
        <w:t>status</w:t>
      </w:r>
      <w:proofErr w:type="spellEnd"/>
      <w:r w:rsidRPr="00B479AE">
        <w:rPr>
          <w:rFonts w:ascii="Baskerville Old Face" w:hAnsi="Baskerville Old Face"/>
          <w:i/>
          <w:iCs/>
        </w:rPr>
        <w:t xml:space="preserve"> = 12;</w:t>
      </w:r>
    </w:p>
    <w:p w14:paraId="7F29141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SyntropicHeader</w:t>
      </w:r>
      <w:proofErr w:type="spellEnd"/>
      <w:r w:rsidRPr="00B479AE">
        <w:rPr>
          <w:rFonts w:ascii="Baskerville Old Face" w:hAnsi="Baskerville Old Face"/>
          <w:i/>
          <w:iCs/>
        </w:rPr>
        <w:t xml:space="preserve"> header = 13;</w:t>
      </w:r>
    </w:p>
    <w:p w14:paraId="65F3CA4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5C3804A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message </w:t>
      </w:r>
      <w:proofErr w:type="spellStart"/>
      <w:r w:rsidRPr="00B479AE">
        <w:rPr>
          <w:rFonts w:ascii="Baskerville Old Face" w:hAnsi="Baskerville Old Face"/>
          <w:i/>
          <w:iCs/>
        </w:rPr>
        <w:t>TimeWindow</w:t>
      </w:r>
      <w:proofErr w:type="spellEnd"/>
      <w:r w:rsidRPr="00B479AE">
        <w:rPr>
          <w:rFonts w:ascii="Baskerville Old Face" w:hAnsi="Baskerville Old Face"/>
          <w:i/>
          <w:iCs/>
        </w:rPr>
        <w:t xml:space="preserve"> {</w:t>
      </w:r>
    </w:p>
    <w:p w14:paraId="6C1688D9"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string id = 1;</w:t>
      </w:r>
    </w:p>
    <w:p w14:paraId="378CF06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google.protobuf</w:t>
      </w:r>
      <w:proofErr w:type="gramEnd"/>
      <w:r w:rsidRPr="00B479AE">
        <w:rPr>
          <w:rFonts w:ascii="Baskerville Old Face" w:hAnsi="Baskerville Old Face"/>
          <w:i/>
          <w:iCs/>
        </w:rPr>
        <w:t>.Timestamp</w:t>
      </w:r>
      <w:proofErr w:type="spellEnd"/>
      <w:r w:rsidRPr="00B479AE">
        <w:rPr>
          <w:rFonts w:ascii="Baskerville Old Face" w:hAnsi="Baskerville Old Face"/>
          <w:i/>
          <w:iCs/>
        </w:rPr>
        <w:t xml:space="preserve"> start = 2;</w:t>
      </w:r>
    </w:p>
    <w:p w14:paraId="34EF9E1F"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google.protobuf</w:t>
      </w:r>
      <w:proofErr w:type="gramEnd"/>
      <w:r w:rsidRPr="00B479AE">
        <w:rPr>
          <w:rFonts w:ascii="Baskerville Old Face" w:hAnsi="Baskerville Old Face"/>
          <w:i/>
          <w:iCs/>
        </w:rPr>
        <w:t>.Timestamp</w:t>
      </w:r>
      <w:proofErr w:type="spellEnd"/>
      <w:r w:rsidRPr="00B479AE">
        <w:rPr>
          <w:rFonts w:ascii="Baskerville Old Face" w:hAnsi="Baskerville Old Face"/>
          <w:i/>
          <w:iCs/>
        </w:rPr>
        <w:t xml:space="preserve"> end = 3;</w:t>
      </w:r>
    </w:p>
    <w:p w14:paraId="6791EB0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t>
      </w:r>
    </w:p>
    <w:p w14:paraId="63F1FDE6"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J.8 Constitutional integration</w:t>
      </w:r>
    </w:p>
    <w:p w14:paraId="55A64DA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Every entry in the REA /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DNA should include a syntropic sovereignty header or equivalent canonical integrity metadata.</w:t>
      </w:r>
    </w:p>
    <w:p w14:paraId="0D804514" w14:textId="35320E52"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header ensures that value-flow records remain connected to source-layer constraints, release identity, governance boundaries, and constitutional compliance.</w:t>
      </w:r>
      <w:r w:rsidR="00305E1A" w:rsidRPr="00B479AE">
        <w:rPr>
          <w:rFonts w:ascii="Baskerville Old Face" w:hAnsi="Baskerville Old Face"/>
          <w:i/>
          <w:iCs/>
        </w:rPr>
        <w:t xml:space="preserve"> </w:t>
      </w:r>
      <w:r w:rsidRPr="00B479AE">
        <w:rPr>
          <w:rFonts w:ascii="Baskerville Old Face" w:hAnsi="Baskerville Old Face"/>
          <w:i/>
          <w:iCs/>
        </w:rPr>
        <w:t>Any attempt to record non-compliant events may be rejected, marked non-admissible, quarantined, or routed to governance review.</w:t>
      </w:r>
    </w:p>
    <w:p w14:paraId="0CE6CBB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Detailed implementation specifications, including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code, validation callbacks, query optimization, privacy controls, and API endpoints, should be maintained in the separate technical documentation package.</w:t>
      </w:r>
    </w:p>
    <w:p w14:paraId="3F715B77" w14:textId="77777777" w:rsidR="00EB0717" w:rsidRPr="005907F1" w:rsidRDefault="00EB0717" w:rsidP="005907F1">
      <w:pPr>
        <w:pStyle w:val="Titolo1"/>
        <w:rPr>
          <w:rFonts w:ascii="Baskerville Old Face" w:hAnsi="Baskerville Old Face"/>
          <w:b/>
          <w:bCs/>
          <w:i/>
          <w:iCs/>
          <w:sz w:val="24"/>
          <w:szCs w:val="24"/>
        </w:rPr>
      </w:pPr>
      <w:r w:rsidRPr="005907F1">
        <w:rPr>
          <w:rFonts w:ascii="Baskerville Old Face" w:hAnsi="Baskerville Old Face"/>
          <w:b/>
          <w:bCs/>
          <w:i/>
          <w:iCs/>
          <w:sz w:val="24"/>
          <w:szCs w:val="24"/>
        </w:rPr>
        <w:lastRenderedPageBreak/>
        <w:t>Appendix K: Planetary Boundaries, PHI, and Evidence Review Framework</w:t>
      </w:r>
    </w:p>
    <w:p w14:paraId="7ACEB3CD" w14:textId="77777777" w:rsidR="00EB0717" w:rsidRPr="00B479AE" w:rsidRDefault="00EB0717" w:rsidP="00EB0717">
      <w:pPr>
        <w:spacing w:line="360" w:lineRule="auto"/>
        <w:rPr>
          <w:rFonts w:ascii="Baskerville Old Face" w:hAnsi="Baskerville Old Face"/>
          <w:b/>
          <w:bCs/>
          <w:i/>
          <w:iCs/>
        </w:rPr>
      </w:pPr>
      <w:r w:rsidRPr="00B479AE">
        <w:rPr>
          <w:rFonts w:ascii="Baskerville Old Face" w:hAnsi="Baskerville Old Face"/>
          <w:b/>
          <w:bCs/>
          <w:i/>
          <w:iCs/>
        </w:rPr>
        <w:t>K.0 Overview</w:t>
      </w:r>
    </w:p>
    <w:p w14:paraId="66D4BBE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protocol integrates the Planetary Boundaries framework as a foundational context layer for ecological integrity assessment, regenerative design, MRV prioritization, PHI synthesis, PRU analysis, RAP screening, and capital-readiness review.</w:t>
      </w:r>
    </w:p>
    <w:p w14:paraId="0A3A6810"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purpose of this appendix is not to convert Planetary Boundaries into automatic financial value, investment eligibility, ecological credit issuance, legal rights, or tokenized representation.</w:t>
      </w:r>
    </w:p>
    <w:p w14:paraId="7DB6F60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Its purpose is to define how planetary-boundary context may inform evidence review, risk interpretation, methodological caution, protected-domain routing, and capital-readiness discipline.</w:t>
      </w:r>
    </w:p>
    <w:p w14:paraId="6F09E1B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Within Prometheus, the Planetary Boundaries layer helps answer:</w:t>
      </w:r>
    </w:p>
    <w:p w14:paraId="6925A5C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an activity supports or weakens ecological integrity;</w:t>
      </w:r>
    </w:p>
    <w:p w14:paraId="64551A28"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a project operates in a sensitive ecological domain;</w:t>
      </w:r>
    </w:p>
    <w:p w14:paraId="2FD9551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MRV requirements should be strengthened;</w:t>
      </w:r>
    </w:p>
    <w:p w14:paraId="3FA1FDB1"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PHI signals indicate heightened review needs;</w:t>
      </w:r>
    </w:p>
    <w:p w14:paraId="448E3AD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PRU-related analysis should remain internal, review-bound, or non-admissible;</w:t>
      </w:r>
    </w:p>
    <w:p w14:paraId="1F73B47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RAP inclusion requires additional safeguards;</w:t>
      </w:r>
    </w:p>
    <w:p w14:paraId="34DE8D06"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public claims require stricter language discipline;</w:t>
      </w:r>
    </w:p>
    <w:p w14:paraId="58D4F29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whether capital-readiness interpretation should be limited, conditioned, or paused.</w:t>
      </w:r>
    </w:p>
    <w:p w14:paraId="7C6AD19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Planetary Boundaries and PHI should therefore function as context and review infrastructure.</w:t>
      </w:r>
    </w:p>
    <w:p w14:paraId="28F83034"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They should not function as automatic scoring authority.</w:t>
      </w:r>
    </w:p>
    <w:p w14:paraId="545E0F55"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 xml:space="preserve">They should not automatically create </w:t>
      </w:r>
      <w:proofErr w:type="spellStart"/>
      <w:r w:rsidRPr="00B479AE">
        <w:rPr>
          <w:rFonts w:ascii="Baskerville Old Face" w:hAnsi="Baskerville Old Face"/>
          <w:i/>
          <w:iCs/>
        </w:rPr>
        <w:t>financeability</w:t>
      </w:r>
      <w:proofErr w:type="spellEnd"/>
      <w:r w:rsidRPr="00B479AE">
        <w:rPr>
          <w:rFonts w:ascii="Baskerville Old Face" w:hAnsi="Baskerville Old Face"/>
          <w:i/>
          <w:iCs/>
        </w:rPr>
        <w:t>.</w:t>
      </w:r>
    </w:p>
    <w:p w14:paraId="377F24E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They should not automatically downgrade, approve, certify, tokenize, or reject a project without the appropriate evidence, methodology, governance, and legal review pathway.</w:t>
      </w:r>
    </w:p>
    <w:p w14:paraId="23B81A93"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The operational rule is:</w:t>
      </w:r>
    </w:p>
    <w:p w14:paraId="68E02CA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lastRenderedPageBreak/>
        <w:t>planetary context informs risk;</w:t>
      </w:r>
    </w:p>
    <w:p w14:paraId="7B1DE5CB"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PHI signals review needs;</w:t>
      </w:r>
    </w:p>
    <w:p w14:paraId="4505A8DD"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MRV verifies evidence;</w:t>
      </w:r>
    </w:p>
    <w:p w14:paraId="052BF38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PRU analyzes only admissible value;</w:t>
      </w:r>
    </w:p>
    <w:p w14:paraId="022AB307"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RAP aggregates only where portfolio criteria are satisfied;</w:t>
      </w:r>
    </w:p>
    <w:p w14:paraId="3B22C85E"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capital-readiness remains downstream from evidence, governance, legal structure, and admissibility.</w:t>
      </w:r>
    </w:p>
    <w:p w14:paraId="406D9A2A" w14:textId="77777777" w:rsidR="00EB0717" w:rsidRPr="00B479AE" w:rsidRDefault="00EB0717" w:rsidP="00EB0717">
      <w:pPr>
        <w:spacing w:line="360" w:lineRule="auto"/>
        <w:rPr>
          <w:rFonts w:ascii="Baskerville Old Face" w:hAnsi="Baskerville Old Face"/>
          <w:i/>
          <w:iCs/>
        </w:rPr>
      </w:pPr>
      <w:r w:rsidRPr="00B479AE">
        <w:rPr>
          <w:rFonts w:ascii="Baskerville Old Face" w:hAnsi="Baskerville Old Face"/>
          <w:i/>
          <w:iCs/>
        </w:rPr>
        <w:t>This preserves the distinction between ecological context, evidence review, financial interpretation, legal rights, and institutional use.</w:t>
      </w:r>
    </w:p>
    <w:p w14:paraId="3CA880D4"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Planetary Boundaries provide Prometheus with a global scientific horizon.</w:t>
      </w:r>
    </w:p>
    <w:p w14:paraId="27631CE9"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They help the system understand where human activity interacts with the Earth-system processes that regulate planetary stability, biospheric resilience, ecological function, climate integrity, freshwater cycles, land systems, nutrient flows, ocean chemistry, atmospheric conditions, and novel-entity pressure.</w:t>
      </w:r>
    </w:p>
    <w:p w14:paraId="2058CC98"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Prometheus uses this framework to connect global ecological risk with local regenerative action.</w:t>
      </w:r>
    </w:p>
    <w:p w14:paraId="09ADB4AB"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 purpose is not to reduce Earth-system science into a single score.</w:t>
      </w:r>
    </w:p>
    <w:p w14:paraId="67F8C89A"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 purpose is to make planetary context operationally legible inside a regenerative infrastructure system.</w:t>
      </w:r>
    </w:p>
    <w:p w14:paraId="4E34BCE5"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Within Prometheus, planetary-boundary logic informs:</w:t>
      </w:r>
    </w:p>
    <w:p w14:paraId="583F8E2F"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 ecological baseline interpretation;</w:t>
      </w:r>
      <w:r w:rsidRPr="00B479AE">
        <w:rPr>
          <w:rFonts w:ascii="Baskerville Old Face" w:hAnsi="Baskerville Old Face"/>
          <w:i/>
          <w:iCs/>
        </w:rPr>
        <w:br/>
        <w:t>• bioregional stress assessment;</w:t>
      </w:r>
      <w:r w:rsidRPr="00B479AE">
        <w:rPr>
          <w:rFonts w:ascii="Baskerville Old Face" w:hAnsi="Baskerville Old Face"/>
          <w:i/>
          <w:iCs/>
        </w:rPr>
        <w:br/>
        <w:t>• MRV indicator selection;</w:t>
      </w:r>
      <w:r w:rsidRPr="00B479AE">
        <w:rPr>
          <w:rFonts w:ascii="Baskerville Old Face" w:hAnsi="Baskerville Old Face"/>
          <w:i/>
          <w:iCs/>
        </w:rPr>
        <w:br/>
        <w:t>• Planetary Health Index, or PHI, domain structure;</w:t>
      </w:r>
      <w:r w:rsidRPr="00B479AE">
        <w:rPr>
          <w:rFonts w:ascii="Baskerville Old Face" w:hAnsi="Baskerville Old Face"/>
          <w:i/>
          <w:iCs/>
        </w:rPr>
        <w:br/>
        <w:t>• boundary-pressure profiling;</w:t>
      </w:r>
      <w:r w:rsidRPr="00B479AE">
        <w:rPr>
          <w:rFonts w:ascii="Baskerville Old Face" w:hAnsi="Baskerville Old Face"/>
          <w:i/>
          <w:iCs/>
        </w:rPr>
        <w:br/>
        <w:t>• PRU-relevant ecological analysis;</w:t>
      </w:r>
      <w:r w:rsidRPr="00B479AE">
        <w:rPr>
          <w:rFonts w:ascii="Baskerville Old Face" w:hAnsi="Baskerville Old Face"/>
          <w:i/>
          <w:iCs/>
        </w:rPr>
        <w:br/>
        <w:t>• RAP portfolio screening;</w:t>
      </w:r>
      <w:r w:rsidRPr="00B479AE">
        <w:rPr>
          <w:rFonts w:ascii="Baskerville Old Face" w:hAnsi="Baskerville Old Face"/>
          <w:i/>
          <w:iCs/>
        </w:rPr>
        <w:br/>
        <w:t>• regenerative design priorities;</w:t>
      </w:r>
      <w:r w:rsidRPr="00B479AE">
        <w:rPr>
          <w:rFonts w:ascii="Baskerville Old Face" w:hAnsi="Baskerville Old Face"/>
          <w:i/>
          <w:iCs/>
        </w:rPr>
        <w:br/>
      </w:r>
      <w:r w:rsidRPr="00B479AE">
        <w:rPr>
          <w:rFonts w:ascii="Baskerville Old Face" w:hAnsi="Baskerville Old Face"/>
          <w:i/>
          <w:iCs/>
        </w:rPr>
        <w:lastRenderedPageBreak/>
        <w:t>• capital-readiness diligence;</w:t>
      </w:r>
      <w:r w:rsidRPr="00B479AE">
        <w:rPr>
          <w:rFonts w:ascii="Baskerville Old Face" w:hAnsi="Baskerville Old Face"/>
          <w:i/>
          <w:iCs/>
        </w:rPr>
        <w:br/>
        <w:t>• long-term continuity and resilience planning.</w:t>
      </w:r>
    </w:p>
    <w:p w14:paraId="193E779E"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 framework follows the 2023 revision of the Planetary Boundaries architecture and aligns with the scientific direction associated with the Stockholm Resilience Centre, the Potsdam Institute for Climate Impact Research, and the Planetary Boundaries Science initiative.</w:t>
      </w:r>
    </w:p>
    <w:p w14:paraId="0C7FBA60"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For Prometheus, this scientific architecture becomes part of the wider source-layer discipline:</w:t>
      </w:r>
    </w:p>
    <w:p w14:paraId="1B1D9D6A"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planetary reality provides context;</w:t>
      </w:r>
      <w:r w:rsidRPr="00B479AE">
        <w:rPr>
          <w:rFonts w:ascii="Baskerville Old Face" w:hAnsi="Baskerville Old Face"/>
          <w:i/>
          <w:iCs/>
        </w:rPr>
        <w:br/>
        <w:t>bioregional reality provides interpretation;</w:t>
      </w:r>
      <w:r w:rsidRPr="00B479AE">
        <w:rPr>
          <w:rFonts w:ascii="Baskerville Old Face" w:hAnsi="Baskerville Old Face"/>
          <w:i/>
          <w:iCs/>
        </w:rPr>
        <w:br/>
        <w:t>field evidence provides grounding;</w:t>
      </w:r>
      <w:r w:rsidRPr="00B479AE">
        <w:rPr>
          <w:rFonts w:ascii="Baskerville Old Face" w:hAnsi="Baskerville Old Face"/>
          <w:i/>
          <w:iCs/>
        </w:rPr>
        <w:br/>
        <w:t>MRV provides verification;</w:t>
      </w:r>
      <w:r w:rsidRPr="00B479AE">
        <w:rPr>
          <w:rFonts w:ascii="Baskerville Old Face" w:hAnsi="Baskerville Old Face"/>
          <w:i/>
          <w:iCs/>
        </w:rPr>
        <w:br/>
        <w:t>PHI provides synthesis;</w:t>
      </w:r>
      <w:r w:rsidRPr="00B479AE">
        <w:rPr>
          <w:rFonts w:ascii="Baskerville Old Face" w:hAnsi="Baskerville Old Face"/>
          <w:i/>
          <w:iCs/>
        </w:rPr>
        <w:br/>
        <w:t>PRU provides value discipline;</w:t>
      </w:r>
      <w:r w:rsidRPr="00B479AE">
        <w:rPr>
          <w:rFonts w:ascii="Baskerville Old Face" w:hAnsi="Baskerville Old Face"/>
          <w:i/>
          <w:iCs/>
        </w:rPr>
        <w:br/>
        <w:t>governance provides admissibility;</w:t>
      </w:r>
      <w:r w:rsidRPr="00B479AE">
        <w:rPr>
          <w:rFonts w:ascii="Baskerville Old Face" w:hAnsi="Baskerville Old Face"/>
          <w:i/>
          <w:iCs/>
        </w:rPr>
        <w:br/>
        <w:t>capital follows verified regeneration.</w:t>
      </w:r>
    </w:p>
    <w:p w14:paraId="26920914" w14:textId="20EE59D9" w:rsidR="00756479" w:rsidRPr="00B479AE" w:rsidRDefault="00756479" w:rsidP="007A4B90">
      <w:pPr>
        <w:spacing w:line="360" w:lineRule="auto"/>
        <w:rPr>
          <w:rFonts w:ascii="Baskerville Old Face" w:hAnsi="Baskerville Old Face"/>
          <w:i/>
          <w:iCs/>
        </w:rPr>
      </w:pPr>
      <w:r w:rsidRPr="00B479AE">
        <w:rPr>
          <w:rFonts w:ascii="Baskerville Old Face" w:hAnsi="Baskerville Old Face"/>
          <w:i/>
          <w:iCs/>
        </w:rPr>
        <w:t xml:space="preserve">This appendix specifies the technical implementation of planetary boundary monitoring, threshold calculations, and the derivation of the Planetary Health Index (PHI) used throughout the ecosystem for ecological-context assessment, protective review triggers, systemic-risk awareness, and review-bound ecological response pathways. </w:t>
      </w:r>
    </w:p>
    <w:p w14:paraId="31BB1017" w14:textId="77777777" w:rsidR="00756479" w:rsidRPr="00B479AE" w:rsidRDefault="00756479" w:rsidP="00756479">
      <w:pPr>
        <w:spacing w:line="360" w:lineRule="auto"/>
        <w:rPr>
          <w:rFonts w:ascii="Baskerville Old Face" w:hAnsi="Baskerville Old Face"/>
          <w:i/>
          <w:iCs/>
        </w:rPr>
      </w:pPr>
      <w:r w:rsidRPr="00B479AE">
        <w:rPr>
          <w:rFonts w:ascii="Baskerville Old Face" w:hAnsi="Baskerville Old Face"/>
          <w:i/>
          <w:iCs/>
        </w:rPr>
        <w:t xml:space="preserve">It establishes a disciplined bridge between Earth-system science and site-level regenerative intelligence. </w:t>
      </w:r>
    </w:p>
    <w:p w14:paraId="12CC2274" w14:textId="77777777" w:rsidR="007A4B90" w:rsidRPr="00B479AE" w:rsidRDefault="007A4B90" w:rsidP="007A4B90">
      <w:pPr>
        <w:spacing w:line="360" w:lineRule="auto"/>
        <w:rPr>
          <w:rFonts w:ascii="Baskerville Old Face" w:hAnsi="Baskerville Old Face"/>
          <w:b/>
          <w:bCs/>
          <w:i/>
          <w:iCs/>
        </w:rPr>
      </w:pPr>
      <w:r w:rsidRPr="00B479AE">
        <w:rPr>
          <w:rFonts w:ascii="Baskerville Old Face" w:hAnsi="Baskerville Old Face"/>
          <w:b/>
          <w:bCs/>
          <w:i/>
          <w:iCs/>
        </w:rPr>
        <w:t>K.1 Purpose and boundary</w:t>
      </w:r>
    </w:p>
    <w:p w14:paraId="3C527FBA"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Prometheus exists within planetary reality.</w:t>
      </w:r>
    </w:p>
    <w:p w14:paraId="43FAD644"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Every regenerative claim made inside Prometheus must remain accountable to the living systems that make life possible: soil, water, biodiversity, climate, nutrient cycles, land systems, ecological resilience, biospheric integrity, and the capacity of human communities to live within those systems over time.</w:t>
      </w:r>
    </w:p>
    <w:p w14:paraId="08FAC46D"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 purpose of this appendix is to define how Prometheus integrates planetary-boundary thinking, bioregional stress indicators, Planetary Health Index logic, and ecological evidence review into its MRV, PRU, RAP, governance, design, legal, reporting, and capital-readiness architecture.</w:t>
      </w:r>
    </w:p>
    <w:p w14:paraId="174E3549"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lastRenderedPageBreak/>
        <w:t>This appendix gives Prometheus a planetary-context layer.</w:t>
      </w:r>
    </w:p>
    <w:p w14:paraId="2E5EE107"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It helps answer questions such as:</w:t>
      </w:r>
    </w:p>
    <w:p w14:paraId="08EB832B"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 Which Earth-system pressures are relevant to a given site, project, OHE, bioregion, or portfolio?</w:t>
      </w:r>
      <w:r w:rsidRPr="00B479AE">
        <w:rPr>
          <w:rFonts w:ascii="Baskerville Old Face" w:hAnsi="Baskerville Old Face"/>
          <w:i/>
          <w:iCs/>
        </w:rPr>
        <w:br/>
        <w:t>• Which planetary-boundary domains should influence MRV indicator selection?</w:t>
      </w:r>
      <w:r w:rsidRPr="00B479AE">
        <w:rPr>
          <w:rFonts w:ascii="Baskerville Old Face" w:hAnsi="Baskerville Old Face"/>
          <w:i/>
          <w:iCs/>
        </w:rPr>
        <w:br/>
        <w:t>• Which ecological risks should be visible before capital formation?</w:t>
      </w:r>
      <w:r w:rsidRPr="00B479AE">
        <w:rPr>
          <w:rFonts w:ascii="Baskerville Old Face" w:hAnsi="Baskerville Old Face"/>
          <w:i/>
          <w:iCs/>
        </w:rPr>
        <w:br/>
        <w:t>• Which PHI domains are mature enough for evidence-backed interpretation?</w:t>
      </w:r>
      <w:r w:rsidRPr="00B479AE">
        <w:rPr>
          <w:rFonts w:ascii="Baskerville Old Face" w:hAnsi="Baskerville Old Face"/>
          <w:i/>
          <w:iCs/>
        </w:rPr>
        <w:br/>
        <w:t>• Which indicators remain contextual, research-use, MRV-admissible, PRU-eligible, or non-admissible?</w:t>
      </w:r>
      <w:r w:rsidRPr="00B479AE">
        <w:rPr>
          <w:rFonts w:ascii="Baskerville Old Face" w:hAnsi="Baskerville Old Face"/>
          <w:i/>
          <w:iCs/>
        </w:rPr>
        <w:br/>
        <w:t>• Which claims require scientific review, governance review, or further field evidence?</w:t>
      </w:r>
      <w:r w:rsidRPr="00B479AE">
        <w:rPr>
          <w:rFonts w:ascii="Baskerville Old Face" w:hAnsi="Baskerville Old Face"/>
          <w:i/>
          <w:iCs/>
        </w:rPr>
        <w:br/>
        <w:t>• Which local regenerative actions may reduce pressure, increase resilience, or improve ecological function in relation to planetary-boundary domains?</w:t>
      </w:r>
    </w:p>
    <w:p w14:paraId="4E13AFE2"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 role of this appendix is therefore to create disciplined ecological legibility.</w:t>
      </w:r>
    </w:p>
    <w:p w14:paraId="644F51D5"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Planetary Boundaries do not operate inside Prometheus as an oracle, automatic approval mechanism, or sovereign enforcement layer.</w:t>
      </w:r>
    </w:p>
    <w:p w14:paraId="52034553"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They operate as a global scientific context.</w:t>
      </w:r>
    </w:p>
    <w:p w14:paraId="62875F09"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PHI does not operate as a magic number.</w:t>
      </w:r>
    </w:p>
    <w:p w14:paraId="7E55CCF5"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It operates as a structured synthesis of ecological, bioregional, evidentiary, governance, and resilience indicators.</w:t>
      </w:r>
    </w:p>
    <w:p w14:paraId="3CA4DA66"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MRV remains the evidence-verification pathway.</w:t>
      </w:r>
    </w:p>
    <w:p w14:paraId="1B5B5D97"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Governance remains the admissibility pathway.</w:t>
      </w:r>
    </w:p>
    <w:p w14:paraId="1B2217DD"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Legal review remains the enforceability pathway.</w:t>
      </w:r>
    </w:p>
    <w:p w14:paraId="05FA40FF"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PRU and RAP remain downstream from methodology, evidence, confidence, and review.</w:t>
      </w:r>
    </w:p>
    <w:p w14:paraId="6C9C2397"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Capital remains downstream from verified regeneration.</w:t>
      </w:r>
    </w:p>
    <w:p w14:paraId="3D0E5775"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Prometheus may therefore use planetary-boundary and PHI logic to understand whether a project, OHE, bioregional cluster, PRU-relevant unit, or RAP candidate is operating within conditions of ecological stability, rising stress, threshold pressure, or systemic vulnerability.</w:t>
      </w:r>
    </w:p>
    <w:p w14:paraId="6A3E0A3A"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lastRenderedPageBreak/>
        <w:t>This assessment is not merely descriptive.</w:t>
      </w:r>
    </w:p>
    <w:p w14:paraId="691B5465"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It supports design intelligence.</w:t>
      </w:r>
    </w:p>
    <w:p w14:paraId="58819429"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It helps Prometheus identify where regeneration is most needed, which indicators matter most, how evidence should be prioritized, where public claims must remain cautious, and how capital can be aligned with real ecological repair.</w:t>
      </w:r>
    </w:p>
    <w:p w14:paraId="7E1DD131"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The core operating principle is:</w:t>
      </w:r>
    </w:p>
    <w:p w14:paraId="58EF3F02"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planetary context informs design;</w:t>
      </w:r>
      <w:r w:rsidRPr="00B479AE">
        <w:rPr>
          <w:rFonts w:ascii="Baskerville Old Face" w:hAnsi="Baskerville Old Face"/>
          <w:i/>
          <w:iCs/>
        </w:rPr>
        <w:br/>
        <w:t>bioregional reality grounds interpretation;</w:t>
      </w:r>
      <w:r w:rsidRPr="00B479AE">
        <w:rPr>
          <w:rFonts w:ascii="Baskerville Old Face" w:hAnsi="Baskerville Old Face"/>
          <w:i/>
          <w:iCs/>
        </w:rPr>
        <w:br/>
        <w:t>field evidence anchors claims;</w:t>
      </w:r>
      <w:r w:rsidRPr="00B479AE">
        <w:rPr>
          <w:rFonts w:ascii="Baskerville Old Face" w:hAnsi="Baskerville Old Face"/>
          <w:i/>
          <w:iCs/>
        </w:rPr>
        <w:br/>
        <w:t>MRV verifies performance;</w:t>
      </w:r>
      <w:r w:rsidRPr="00B479AE">
        <w:rPr>
          <w:rFonts w:ascii="Baskerville Old Face" w:hAnsi="Baskerville Old Face"/>
          <w:i/>
          <w:iCs/>
        </w:rPr>
        <w:br/>
        <w:t>PHI organizes ecological intelligence;</w:t>
      </w:r>
      <w:r w:rsidRPr="00B479AE">
        <w:rPr>
          <w:rFonts w:ascii="Baskerville Old Face" w:hAnsi="Baskerville Old Face"/>
          <w:i/>
          <w:iCs/>
        </w:rPr>
        <w:br/>
        <w:t>governance determines admissibility;</w:t>
      </w:r>
      <w:r w:rsidRPr="00B479AE">
        <w:rPr>
          <w:rFonts w:ascii="Baskerville Old Face" w:hAnsi="Baskerville Old Face"/>
          <w:i/>
          <w:iCs/>
        </w:rPr>
        <w:br/>
        <w:t>legal structure defines rights;</w:t>
      </w:r>
      <w:r w:rsidRPr="00B479AE">
        <w:rPr>
          <w:rFonts w:ascii="Baskerville Old Face" w:hAnsi="Baskerville Old Face"/>
          <w:i/>
          <w:iCs/>
        </w:rPr>
        <w:br/>
        <w:t>capital follows verified regeneration.</w:t>
      </w:r>
    </w:p>
    <w:p w14:paraId="6D511374" w14:textId="77777777" w:rsidR="007A4B90" w:rsidRPr="00B479AE" w:rsidRDefault="007A4B90" w:rsidP="007A4B90">
      <w:pPr>
        <w:spacing w:line="360" w:lineRule="auto"/>
        <w:rPr>
          <w:rFonts w:ascii="Baskerville Old Face" w:hAnsi="Baskerville Old Face"/>
          <w:i/>
          <w:iCs/>
        </w:rPr>
      </w:pPr>
      <w:r w:rsidRPr="00B479AE">
        <w:rPr>
          <w:rFonts w:ascii="Baskerville Old Face" w:hAnsi="Baskerville Old Face"/>
          <w:i/>
          <w:iCs/>
        </w:rPr>
        <w:t>Prometheus is planetary in awareness, bioregional in interpretation, local in evidence, and constitutional in fidelity.</w:t>
      </w:r>
    </w:p>
    <w:p w14:paraId="780F28A0" w14:textId="77777777" w:rsidR="00356654" w:rsidRPr="00B479AE" w:rsidRDefault="00356654" w:rsidP="00356654">
      <w:pPr>
        <w:spacing w:line="360" w:lineRule="auto"/>
        <w:rPr>
          <w:rFonts w:ascii="Baskerville Old Face" w:hAnsi="Baskerville Old Face"/>
          <w:b/>
          <w:bCs/>
          <w:i/>
          <w:iCs/>
        </w:rPr>
      </w:pPr>
      <w:r w:rsidRPr="00B479AE">
        <w:rPr>
          <w:rFonts w:ascii="Baskerville Old Face" w:hAnsi="Baskerville Old Face"/>
          <w:b/>
          <w:bCs/>
          <w:i/>
          <w:iCs/>
        </w:rPr>
        <w:t>K.2 The Nine Planetary Boundaries: Indicators and Data Sources</w:t>
      </w:r>
    </w:p>
    <w:p w14:paraId="789681CD" w14:textId="77777777" w:rsidR="00356654" w:rsidRPr="00812032" w:rsidRDefault="00356654" w:rsidP="00356654">
      <w:pPr>
        <w:spacing w:line="360" w:lineRule="auto"/>
        <w:rPr>
          <w:rFonts w:ascii="Baskerville Old Face" w:hAnsi="Baskerville Old Face"/>
          <w:i/>
          <w:iCs/>
        </w:rPr>
      </w:pPr>
      <w:r w:rsidRPr="00812032">
        <w:rPr>
          <w:rFonts w:ascii="Baskerville Old Face" w:hAnsi="Baskerville Old Face"/>
          <w:i/>
          <w:iCs/>
        </w:rPr>
        <w:t>The Planetary Boundaries framework provides Prometheus with a global Earth-system context for interpreting regenerative performance.</w:t>
      </w:r>
    </w:p>
    <w:p w14:paraId="7EF7FFAA" w14:textId="7DD1F7E2" w:rsidR="00356654" w:rsidRPr="00B479AE" w:rsidRDefault="00356654" w:rsidP="00356654">
      <w:pPr>
        <w:spacing w:line="360" w:lineRule="auto"/>
        <w:rPr>
          <w:rFonts w:ascii="Baskerville Old Face" w:hAnsi="Baskerville Old Face"/>
          <w:i/>
          <w:iCs/>
        </w:rPr>
      </w:pPr>
      <w:r w:rsidRPr="00812032">
        <w:rPr>
          <w:rFonts w:ascii="Baskerville Old Face" w:hAnsi="Baskerville Old Face"/>
          <w:i/>
          <w:iCs/>
        </w:rPr>
        <w:t>The table below should be treated as a versioned planetary-boundary reference snapshot, not as an automatic enforcement mechanism.</w:t>
      </w:r>
      <w:r w:rsidR="00812032">
        <w:rPr>
          <w:rFonts w:ascii="Baskerville Old Face" w:hAnsi="Baskerville Old Face"/>
          <w:i/>
          <w:iCs/>
        </w:rPr>
        <w:t xml:space="preserve"> </w:t>
      </w:r>
      <w:r w:rsidRPr="00B479AE">
        <w:rPr>
          <w:rFonts w:ascii="Baskerville Old Face" w:hAnsi="Baskerville Old Face"/>
          <w:i/>
          <w:iCs/>
        </w:rPr>
        <w:t>Its purpose is to identify:</w:t>
      </w:r>
    </w:p>
    <w:p w14:paraId="0B1815B2"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 Earth-system process;</w:t>
      </w:r>
      <w:r w:rsidRPr="00B479AE">
        <w:rPr>
          <w:rFonts w:ascii="Baskerville Old Face" w:hAnsi="Baskerville Old Face"/>
          <w:i/>
          <w:iCs/>
        </w:rPr>
        <w:br/>
        <w:t>• control variable;</w:t>
      </w:r>
      <w:r w:rsidRPr="00B479AE">
        <w:rPr>
          <w:rFonts w:ascii="Baskerville Old Face" w:hAnsi="Baskerville Old Face"/>
          <w:i/>
          <w:iCs/>
        </w:rPr>
        <w:br/>
        <w:t>• pre-industrial or reference condition;</w:t>
      </w:r>
      <w:r w:rsidRPr="00B479AE">
        <w:rPr>
          <w:rFonts w:ascii="Baskerville Old Face" w:hAnsi="Baskerville Old Face"/>
          <w:i/>
          <w:iCs/>
        </w:rPr>
        <w:br/>
        <w:t>• planetary-boundary range;</w:t>
      </w:r>
      <w:r w:rsidRPr="00B479AE">
        <w:rPr>
          <w:rFonts w:ascii="Baskerville Old Face" w:hAnsi="Baskerville Old Face"/>
          <w:i/>
          <w:iCs/>
        </w:rPr>
        <w:br/>
        <w:t>• current global condition;</w:t>
      </w:r>
      <w:r w:rsidRPr="00B479AE">
        <w:rPr>
          <w:rFonts w:ascii="Baskerville Old Face" w:hAnsi="Baskerville Old Face"/>
          <w:i/>
          <w:iCs/>
        </w:rPr>
        <w:br/>
        <w:t>• primary data sources;</w:t>
      </w:r>
      <w:r w:rsidRPr="00B479AE">
        <w:rPr>
          <w:rFonts w:ascii="Baskerville Old Face" w:hAnsi="Baskerville Old Face"/>
          <w:i/>
          <w:iCs/>
        </w:rPr>
        <w:br/>
        <w:t>• suggested update frequency.</w:t>
      </w:r>
    </w:p>
    <w:p w14:paraId="360507BC"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lastRenderedPageBreak/>
        <w:t>This table supports PHI, boundary-pressure profiling, MRV prioritization, PRU contextual analysis, RAP portfolio screening, and capital-readiness diligence.</w:t>
      </w:r>
    </w:p>
    <w:p w14:paraId="7A06885E"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It does not automatically issue PRU value, approve RAP inclusion, trigger token issuance, determine investor rights, replace MRV, or replace scientific review.</w:t>
      </w:r>
    </w:p>
    <w:p w14:paraId="67AA6C84"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Planetary Boundaries provide context.</w:t>
      </w:r>
    </w:p>
    <w:p w14:paraId="1011F33A"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MRV provides evidence.</w:t>
      </w:r>
    </w:p>
    <w:p w14:paraId="1BACA16F"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PHI organizes ecological intelligence.</w:t>
      </w:r>
    </w:p>
    <w:p w14:paraId="48B9DCFD"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Governance determines admissibility.</w:t>
      </w:r>
    </w:p>
    <w:p w14:paraId="1D5FC28F"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Capital follows verified regeneration.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8"/>
        <w:gridCol w:w="1977"/>
        <w:gridCol w:w="1076"/>
        <w:gridCol w:w="1460"/>
        <w:gridCol w:w="1344"/>
        <w:gridCol w:w="1511"/>
        <w:gridCol w:w="862"/>
      </w:tblGrid>
      <w:tr w:rsidR="00356654" w:rsidRPr="00B479AE" w14:paraId="4E9E0552" w14:textId="77777777" w:rsidTr="007A4B90">
        <w:trPr>
          <w:tblHeader/>
          <w:tblCellSpacing w:w="15" w:type="dxa"/>
        </w:trPr>
        <w:tc>
          <w:tcPr>
            <w:tcW w:w="0" w:type="auto"/>
            <w:vAlign w:val="center"/>
            <w:hideMark/>
          </w:tcPr>
          <w:p w14:paraId="7DB7A9F5"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Earth system process</w:t>
            </w:r>
          </w:p>
        </w:tc>
        <w:tc>
          <w:tcPr>
            <w:tcW w:w="0" w:type="auto"/>
            <w:vAlign w:val="center"/>
            <w:hideMark/>
          </w:tcPr>
          <w:p w14:paraId="0A001D2F"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Control variable</w:t>
            </w:r>
          </w:p>
        </w:tc>
        <w:tc>
          <w:tcPr>
            <w:tcW w:w="0" w:type="auto"/>
            <w:vAlign w:val="center"/>
            <w:hideMark/>
          </w:tcPr>
          <w:p w14:paraId="416C4D3F"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Pre-industrial reference</w:t>
            </w:r>
          </w:p>
        </w:tc>
        <w:tc>
          <w:tcPr>
            <w:tcW w:w="0" w:type="auto"/>
            <w:vAlign w:val="center"/>
            <w:hideMark/>
          </w:tcPr>
          <w:p w14:paraId="72DC3410"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Planetary boundary / Zone of increasing risk</w:t>
            </w:r>
          </w:p>
        </w:tc>
        <w:tc>
          <w:tcPr>
            <w:tcW w:w="0" w:type="auto"/>
            <w:vAlign w:val="center"/>
            <w:hideMark/>
          </w:tcPr>
          <w:p w14:paraId="04C64346"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Current value / 2023 reference snapshot</w:t>
            </w:r>
          </w:p>
        </w:tc>
        <w:tc>
          <w:tcPr>
            <w:tcW w:w="0" w:type="auto"/>
            <w:vAlign w:val="center"/>
            <w:hideMark/>
          </w:tcPr>
          <w:p w14:paraId="450F98D7"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Data sources</w:t>
            </w:r>
          </w:p>
        </w:tc>
        <w:tc>
          <w:tcPr>
            <w:tcW w:w="0" w:type="auto"/>
            <w:vAlign w:val="center"/>
            <w:hideMark/>
          </w:tcPr>
          <w:p w14:paraId="026743BB" w14:textId="77777777" w:rsidR="00356654" w:rsidRPr="00B479AE" w:rsidRDefault="00356654" w:rsidP="00356654">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Update frequency</w:t>
            </w:r>
          </w:p>
        </w:tc>
      </w:tr>
      <w:tr w:rsidR="00356654" w:rsidRPr="00B479AE" w14:paraId="1B40ADB1" w14:textId="77777777" w:rsidTr="007A4B90">
        <w:trPr>
          <w:tblCellSpacing w:w="15" w:type="dxa"/>
        </w:trPr>
        <w:tc>
          <w:tcPr>
            <w:tcW w:w="0" w:type="auto"/>
            <w:vAlign w:val="center"/>
            <w:hideMark/>
          </w:tcPr>
          <w:p w14:paraId="1F3EF0F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Climate change</w:t>
            </w:r>
          </w:p>
        </w:tc>
        <w:tc>
          <w:tcPr>
            <w:tcW w:w="0" w:type="auto"/>
            <w:vAlign w:val="center"/>
            <w:hideMark/>
          </w:tcPr>
          <w:p w14:paraId="4CAED38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Atmospheric CO</w:t>
            </w:r>
            <w:r w:rsidRPr="00B479AE">
              <w:rPr>
                <w:rFonts w:ascii="Cambria Math" w:hAnsi="Cambria Math" w:cs="Cambria Math"/>
                <w:i/>
                <w:iCs/>
                <w:sz w:val="18"/>
                <w:szCs w:val="18"/>
              </w:rPr>
              <w:t>₂</w:t>
            </w:r>
            <w:r w:rsidRPr="00B479AE">
              <w:rPr>
                <w:rFonts w:ascii="Baskerville Old Face" w:hAnsi="Baskerville Old Face"/>
                <w:i/>
                <w:iCs/>
                <w:sz w:val="18"/>
                <w:szCs w:val="18"/>
              </w:rPr>
              <w:t xml:space="preserve"> concentration</w:t>
            </w:r>
          </w:p>
        </w:tc>
        <w:tc>
          <w:tcPr>
            <w:tcW w:w="0" w:type="auto"/>
            <w:vAlign w:val="center"/>
            <w:hideMark/>
          </w:tcPr>
          <w:p w14:paraId="69F4AFF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280 ppm</w:t>
            </w:r>
          </w:p>
        </w:tc>
        <w:tc>
          <w:tcPr>
            <w:tcW w:w="0" w:type="auto"/>
            <w:vAlign w:val="center"/>
            <w:hideMark/>
          </w:tcPr>
          <w:p w14:paraId="6B0E6D3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350–450 ppm</w:t>
            </w:r>
          </w:p>
        </w:tc>
        <w:tc>
          <w:tcPr>
            <w:tcW w:w="0" w:type="auto"/>
            <w:vAlign w:val="center"/>
            <w:hideMark/>
          </w:tcPr>
          <w:p w14:paraId="2381C24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417 ppm</w:t>
            </w:r>
          </w:p>
        </w:tc>
        <w:tc>
          <w:tcPr>
            <w:tcW w:w="0" w:type="auto"/>
            <w:vAlign w:val="center"/>
            <w:hideMark/>
          </w:tcPr>
          <w:p w14:paraId="440821FF" w14:textId="77777777" w:rsidR="00356654" w:rsidRPr="005907F1" w:rsidRDefault="00356654" w:rsidP="00356654">
            <w:pPr>
              <w:spacing w:line="360" w:lineRule="auto"/>
              <w:rPr>
                <w:rFonts w:ascii="Baskerville Old Face" w:hAnsi="Baskerville Old Face"/>
                <w:i/>
                <w:iCs/>
                <w:sz w:val="18"/>
                <w:szCs w:val="18"/>
                <w:lang w:val="it-IT"/>
              </w:rPr>
            </w:pPr>
            <w:r w:rsidRPr="005907F1">
              <w:rPr>
                <w:rFonts w:ascii="Baskerville Old Face" w:hAnsi="Baskerville Old Face"/>
                <w:i/>
                <w:iCs/>
                <w:sz w:val="18"/>
                <w:szCs w:val="18"/>
                <w:lang w:val="it-IT"/>
              </w:rPr>
              <w:t>NOAA/ESRL, Copernicus, WMO GAW</w:t>
            </w:r>
          </w:p>
        </w:tc>
        <w:tc>
          <w:tcPr>
            <w:tcW w:w="0" w:type="auto"/>
            <w:vAlign w:val="center"/>
            <w:hideMark/>
          </w:tcPr>
          <w:p w14:paraId="070D108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Monthly</w:t>
            </w:r>
          </w:p>
        </w:tc>
      </w:tr>
      <w:tr w:rsidR="00356654" w:rsidRPr="00B479AE" w14:paraId="777018BC" w14:textId="77777777" w:rsidTr="007A4B90">
        <w:trPr>
          <w:tblCellSpacing w:w="15" w:type="dxa"/>
        </w:trPr>
        <w:tc>
          <w:tcPr>
            <w:tcW w:w="0" w:type="auto"/>
            <w:vAlign w:val="center"/>
            <w:hideMark/>
          </w:tcPr>
          <w:p w14:paraId="1B54292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Climate change</w:t>
            </w:r>
          </w:p>
        </w:tc>
        <w:tc>
          <w:tcPr>
            <w:tcW w:w="0" w:type="auto"/>
            <w:vAlign w:val="center"/>
            <w:hideMark/>
          </w:tcPr>
          <w:p w14:paraId="06BCA74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Radiative forcing</w:t>
            </w:r>
          </w:p>
        </w:tc>
        <w:tc>
          <w:tcPr>
            <w:tcW w:w="0" w:type="auto"/>
            <w:vAlign w:val="center"/>
            <w:hideMark/>
          </w:tcPr>
          <w:p w14:paraId="0E6AE36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 W/m²</w:t>
            </w:r>
          </w:p>
        </w:tc>
        <w:tc>
          <w:tcPr>
            <w:tcW w:w="0" w:type="auto"/>
            <w:vAlign w:val="center"/>
            <w:hideMark/>
          </w:tcPr>
          <w:p w14:paraId="35A3BE1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 to +1.5 W/m²</w:t>
            </w:r>
          </w:p>
        </w:tc>
        <w:tc>
          <w:tcPr>
            <w:tcW w:w="0" w:type="auto"/>
            <w:vAlign w:val="center"/>
            <w:hideMark/>
          </w:tcPr>
          <w:p w14:paraId="65C13F7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+2.91 W/m²</w:t>
            </w:r>
          </w:p>
        </w:tc>
        <w:tc>
          <w:tcPr>
            <w:tcW w:w="0" w:type="auto"/>
            <w:vAlign w:val="center"/>
            <w:hideMark/>
          </w:tcPr>
          <w:p w14:paraId="41ADA04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IPCC AR6, NASA GISS</w:t>
            </w:r>
          </w:p>
        </w:tc>
        <w:tc>
          <w:tcPr>
            <w:tcW w:w="0" w:type="auto"/>
            <w:vAlign w:val="center"/>
            <w:hideMark/>
          </w:tcPr>
          <w:p w14:paraId="3CE9FBD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573386AD" w14:textId="77777777" w:rsidTr="007A4B90">
        <w:trPr>
          <w:tblCellSpacing w:w="15" w:type="dxa"/>
        </w:trPr>
        <w:tc>
          <w:tcPr>
            <w:tcW w:w="0" w:type="auto"/>
            <w:vAlign w:val="center"/>
            <w:hideMark/>
          </w:tcPr>
          <w:p w14:paraId="2271E121"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Biosphere integrity</w:t>
            </w:r>
          </w:p>
        </w:tc>
        <w:tc>
          <w:tcPr>
            <w:tcW w:w="0" w:type="auto"/>
            <w:vAlign w:val="center"/>
            <w:hideMark/>
          </w:tcPr>
          <w:p w14:paraId="05D67A2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Genetic diversity: extinction rate</w:t>
            </w:r>
          </w:p>
        </w:tc>
        <w:tc>
          <w:tcPr>
            <w:tcW w:w="0" w:type="auto"/>
            <w:vAlign w:val="center"/>
            <w:hideMark/>
          </w:tcPr>
          <w:p w14:paraId="1018980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0.1–1 E/MSY, background rate</w:t>
            </w:r>
          </w:p>
        </w:tc>
        <w:tc>
          <w:tcPr>
            <w:tcW w:w="0" w:type="auto"/>
            <w:vAlign w:val="center"/>
            <w:hideMark/>
          </w:tcPr>
          <w:p w14:paraId="1A8D6CC2"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10–100 E/MSY</w:t>
            </w:r>
          </w:p>
        </w:tc>
        <w:tc>
          <w:tcPr>
            <w:tcW w:w="0" w:type="auto"/>
            <w:vAlign w:val="center"/>
            <w:hideMark/>
          </w:tcPr>
          <w:p w14:paraId="3E92200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&gt;100 E/MSY</w:t>
            </w:r>
          </w:p>
        </w:tc>
        <w:tc>
          <w:tcPr>
            <w:tcW w:w="0" w:type="auto"/>
            <w:vAlign w:val="center"/>
            <w:hideMark/>
          </w:tcPr>
          <w:p w14:paraId="06E26B7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IUCN Red List, Living Planet Index</w:t>
            </w:r>
          </w:p>
        </w:tc>
        <w:tc>
          <w:tcPr>
            <w:tcW w:w="0" w:type="auto"/>
            <w:vAlign w:val="center"/>
            <w:hideMark/>
          </w:tcPr>
          <w:p w14:paraId="3741179C"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13B9DAD3" w14:textId="77777777" w:rsidTr="007A4B90">
        <w:trPr>
          <w:tblCellSpacing w:w="15" w:type="dxa"/>
        </w:trPr>
        <w:tc>
          <w:tcPr>
            <w:tcW w:w="0" w:type="auto"/>
            <w:vAlign w:val="center"/>
            <w:hideMark/>
          </w:tcPr>
          <w:p w14:paraId="6EC26DD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Biosphere integrity</w:t>
            </w:r>
          </w:p>
        </w:tc>
        <w:tc>
          <w:tcPr>
            <w:tcW w:w="0" w:type="auto"/>
            <w:vAlign w:val="center"/>
            <w:hideMark/>
          </w:tcPr>
          <w:p w14:paraId="33FDC161"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Functional diversity: HANPP, percentage of pre-industrial NPP</w:t>
            </w:r>
          </w:p>
        </w:tc>
        <w:tc>
          <w:tcPr>
            <w:tcW w:w="0" w:type="auto"/>
            <w:vAlign w:val="center"/>
            <w:hideMark/>
          </w:tcPr>
          <w:p w14:paraId="28F0771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1.9%</w:t>
            </w:r>
          </w:p>
        </w:tc>
        <w:tc>
          <w:tcPr>
            <w:tcW w:w="0" w:type="auto"/>
            <w:vAlign w:val="center"/>
            <w:hideMark/>
          </w:tcPr>
          <w:p w14:paraId="2C15607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10–20%</w:t>
            </w:r>
          </w:p>
        </w:tc>
        <w:tc>
          <w:tcPr>
            <w:tcW w:w="0" w:type="auto"/>
            <w:vAlign w:val="center"/>
            <w:hideMark/>
          </w:tcPr>
          <w:p w14:paraId="4B223DB2"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30%</w:t>
            </w:r>
          </w:p>
        </w:tc>
        <w:tc>
          <w:tcPr>
            <w:tcW w:w="0" w:type="auto"/>
            <w:vAlign w:val="center"/>
            <w:hideMark/>
          </w:tcPr>
          <w:p w14:paraId="7BA5C3A8"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FLUXCOM, MODIS, </w:t>
            </w:r>
            <w:proofErr w:type="spellStart"/>
            <w:r w:rsidRPr="00B479AE">
              <w:rPr>
                <w:rFonts w:ascii="Baskerville Old Face" w:hAnsi="Baskerville Old Face"/>
                <w:i/>
                <w:iCs/>
                <w:sz w:val="18"/>
                <w:szCs w:val="18"/>
              </w:rPr>
              <w:t>EarthStat</w:t>
            </w:r>
            <w:proofErr w:type="spellEnd"/>
          </w:p>
        </w:tc>
        <w:tc>
          <w:tcPr>
            <w:tcW w:w="0" w:type="auto"/>
            <w:vAlign w:val="center"/>
            <w:hideMark/>
          </w:tcPr>
          <w:p w14:paraId="214FF6C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0E192633" w14:textId="77777777" w:rsidTr="007A4B90">
        <w:trPr>
          <w:tblCellSpacing w:w="15" w:type="dxa"/>
        </w:trPr>
        <w:tc>
          <w:tcPr>
            <w:tcW w:w="0" w:type="auto"/>
            <w:vAlign w:val="center"/>
            <w:hideMark/>
          </w:tcPr>
          <w:p w14:paraId="5C0C9788"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Stratospheric ozone depletion</w:t>
            </w:r>
          </w:p>
        </w:tc>
        <w:tc>
          <w:tcPr>
            <w:tcW w:w="0" w:type="auto"/>
            <w:vAlign w:val="center"/>
            <w:hideMark/>
          </w:tcPr>
          <w:p w14:paraId="6A1E362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Ozone concentration</w:t>
            </w:r>
          </w:p>
        </w:tc>
        <w:tc>
          <w:tcPr>
            <w:tcW w:w="0" w:type="auto"/>
            <w:vAlign w:val="center"/>
            <w:hideMark/>
          </w:tcPr>
          <w:p w14:paraId="2410C978"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290 DU</w:t>
            </w:r>
          </w:p>
        </w:tc>
        <w:tc>
          <w:tcPr>
            <w:tcW w:w="0" w:type="auto"/>
            <w:vAlign w:val="center"/>
            <w:hideMark/>
          </w:tcPr>
          <w:p w14:paraId="330DBCC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276–261 DU</w:t>
            </w:r>
          </w:p>
        </w:tc>
        <w:tc>
          <w:tcPr>
            <w:tcW w:w="0" w:type="auto"/>
            <w:vAlign w:val="center"/>
            <w:hideMark/>
          </w:tcPr>
          <w:p w14:paraId="310F593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284.6 DU</w:t>
            </w:r>
          </w:p>
        </w:tc>
        <w:tc>
          <w:tcPr>
            <w:tcW w:w="0" w:type="auto"/>
            <w:vAlign w:val="center"/>
            <w:hideMark/>
          </w:tcPr>
          <w:p w14:paraId="34DE345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NASA Ozone Watch, Copernicus CAMS</w:t>
            </w:r>
          </w:p>
        </w:tc>
        <w:tc>
          <w:tcPr>
            <w:tcW w:w="0" w:type="auto"/>
            <w:vAlign w:val="center"/>
            <w:hideMark/>
          </w:tcPr>
          <w:p w14:paraId="4B8A277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Daily / Monthly</w:t>
            </w:r>
          </w:p>
        </w:tc>
      </w:tr>
      <w:tr w:rsidR="00356654" w:rsidRPr="00B479AE" w14:paraId="41A4369D" w14:textId="77777777" w:rsidTr="007A4B90">
        <w:trPr>
          <w:tblCellSpacing w:w="15" w:type="dxa"/>
        </w:trPr>
        <w:tc>
          <w:tcPr>
            <w:tcW w:w="0" w:type="auto"/>
            <w:vAlign w:val="center"/>
            <w:hideMark/>
          </w:tcPr>
          <w:p w14:paraId="75DB32D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Ocean acidification</w:t>
            </w:r>
          </w:p>
        </w:tc>
        <w:tc>
          <w:tcPr>
            <w:tcW w:w="0" w:type="auto"/>
            <w:vAlign w:val="center"/>
            <w:hideMark/>
          </w:tcPr>
          <w:p w14:paraId="75394FE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Aragonite saturation state, </w:t>
            </w:r>
            <w:proofErr w:type="spellStart"/>
            <w:r w:rsidRPr="00B479AE">
              <w:rPr>
                <w:rFonts w:ascii="Cambria" w:hAnsi="Cambria" w:cs="Cambria"/>
                <w:i/>
                <w:iCs/>
                <w:sz w:val="18"/>
                <w:szCs w:val="18"/>
              </w:rPr>
              <w:t>Ω</w:t>
            </w:r>
            <w:r w:rsidRPr="00B479AE">
              <w:rPr>
                <w:rFonts w:ascii="Baskerville Old Face" w:hAnsi="Baskerville Old Face"/>
                <w:i/>
                <w:iCs/>
                <w:sz w:val="18"/>
                <w:szCs w:val="18"/>
              </w:rPr>
              <w:t>arag</w:t>
            </w:r>
            <w:proofErr w:type="spellEnd"/>
          </w:p>
        </w:tc>
        <w:tc>
          <w:tcPr>
            <w:tcW w:w="0" w:type="auto"/>
            <w:vAlign w:val="center"/>
            <w:hideMark/>
          </w:tcPr>
          <w:p w14:paraId="32BBDC0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3.44 </w:t>
            </w:r>
            <w:proofErr w:type="spellStart"/>
            <w:r w:rsidRPr="00B479AE">
              <w:rPr>
                <w:rFonts w:ascii="Cambria" w:hAnsi="Cambria" w:cs="Cambria"/>
                <w:i/>
                <w:iCs/>
                <w:sz w:val="18"/>
                <w:szCs w:val="18"/>
              </w:rPr>
              <w:t>Ω</w:t>
            </w:r>
            <w:r w:rsidRPr="00B479AE">
              <w:rPr>
                <w:rFonts w:ascii="Baskerville Old Face" w:hAnsi="Baskerville Old Face"/>
                <w:i/>
                <w:iCs/>
                <w:sz w:val="18"/>
                <w:szCs w:val="18"/>
              </w:rPr>
              <w:t>arag</w:t>
            </w:r>
            <w:proofErr w:type="spellEnd"/>
          </w:p>
        </w:tc>
        <w:tc>
          <w:tcPr>
            <w:tcW w:w="0" w:type="auto"/>
            <w:vAlign w:val="center"/>
            <w:hideMark/>
          </w:tcPr>
          <w:p w14:paraId="6BF5343C"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2.75–2.4 </w:t>
            </w:r>
            <w:proofErr w:type="spellStart"/>
            <w:r w:rsidRPr="00B479AE">
              <w:rPr>
                <w:rFonts w:ascii="Cambria" w:hAnsi="Cambria" w:cs="Cambria"/>
                <w:i/>
                <w:iCs/>
                <w:sz w:val="18"/>
                <w:szCs w:val="18"/>
              </w:rPr>
              <w:t>Ω</w:t>
            </w:r>
            <w:r w:rsidRPr="00B479AE">
              <w:rPr>
                <w:rFonts w:ascii="Baskerville Old Face" w:hAnsi="Baskerville Old Face"/>
                <w:i/>
                <w:iCs/>
                <w:sz w:val="18"/>
                <w:szCs w:val="18"/>
              </w:rPr>
              <w:t>arag</w:t>
            </w:r>
            <w:proofErr w:type="spellEnd"/>
            <w:r w:rsidRPr="00B479AE">
              <w:rPr>
                <w:rFonts w:ascii="Baskerville Old Face" w:hAnsi="Baskerville Old Face"/>
                <w:i/>
                <w:iCs/>
                <w:sz w:val="18"/>
                <w:szCs w:val="18"/>
              </w:rPr>
              <w:t>, approximately 80</w:t>
            </w:r>
            <w:r w:rsidRPr="00B479AE">
              <w:rPr>
                <w:rFonts w:ascii="Baskerville Old Face" w:hAnsi="Baskerville Old Face" w:cs="Baskerville Old Face"/>
                <w:i/>
                <w:iCs/>
                <w:sz w:val="18"/>
                <w:szCs w:val="18"/>
              </w:rPr>
              <w:t>–</w:t>
            </w:r>
            <w:r w:rsidRPr="00B479AE">
              <w:rPr>
                <w:rFonts w:ascii="Baskerville Old Face" w:hAnsi="Baskerville Old Face"/>
                <w:i/>
                <w:iCs/>
                <w:sz w:val="18"/>
                <w:szCs w:val="18"/>
              </w:rPr>
              <w:lastRenderedPageBreak/>
              <w:t>70% of pre-industrial level</w:t>
            </w:r>
          </w:p>
        </w:tc>
        <w:tc>
          <w:tcPr>
            <w:tcW w:w="0" w:type="auto"/>
            <w:vAlign w:val="center"/>
            <w:hideMark/>
          </w:tcPr>
          <w:p w14:paraId="38E1E26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lastRenderedPageBreak/>
              <w:t xml:space="preserve">2.8 </w:t>
            </w:r>
            <w:proofErr w:type="spellStart"/>
            <w:r w:rsidRPr="00B479AE">
              <w:rPr>
                <w:rFonts w:ascii="Cambria" w:hAnsi="Cambria" w:cs="Cambria"/>
                <w:i/>
                <w:iCs/>
                <w:sz w:val="18"/>
                <w:szCs w:val="18"/>
              </w:rPr>
              <w:t>Ω</w:t>
            </w:r>
            <w:r w:rsidRPr="00B479AE">
              <w:rPr>
                <w:rFonts w:ascii="Baskerville Old Face" w:hAnsi="Baskerville Old Face"/>
                <w:i/>
                <w:iCs/>
                <w:sz w:val="18"/>
                <w:szCs w:val="18"/>
              </w:rPr>
              <w:t>arag</w:t>
            </w:r>
            <w:proofErr w:type="spellEnd"/>
            <w:r w:rsidRPr="00B479AE">
              <w:rPr>
                <w:rFonts w:ascii="Baskerville Old Face" w:hAnsi="Baskerville Old Face"/>
                <w:i/>
                <w:iCs/>
                <w:sz w:val="18"/>
                <w:szCs w:val="18"/>
              </w:rPr>
              <w:t>, approximately 84%</w:t>
            </w:r>
          </w:p>
        </w:tc>
        <w:tc>
          <w:tcPr>
            <w:tcW w:w="0" w:type="auto"/>
            <w:vAlign w:val="center"/>
            <w:hideMark/>
          </w:tcPr>
          <w:p w14:paraId="4CB64B0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NOAA PMEL, GOA-ON, SOCAT</w:t>
            </w:r>
          </w:p>
        </w:tc>
        <w:tc>
          <w:tcPr>
            <w:tcW w:w="0" w:type="auto"/>
            <w:vAlign w:val="center"/>
            <w:hideMark/>
          </w:tcPr>
          <w:p w14:paraId="0869105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Monthly</w:t>
            </w:r>
          </w:p>
        </w:tc>
      </w:tr>
      <w:tr w:rsidR="00356654" w:rsidRPr="00B479AE" w14:paraId="5F5C02AC" w14:textId="77777777" w:rsidTr="007A4B90">
        <w:trPr>
          <w:tblCellSpacing w:w="15" w:type="dxa"/>
        </w:trPr>
        <w:tc>
          <w:tcPr>
            <w:tcW w:w="0" w:type="auto"/>
            <w:vAlign w:val="center"/>
            <w:hideMark/>
          </w:tcPr>
          <w:p w14:paraId="53D0058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Biogeochemical flows — phosphorus</w:t>
            </w:r>
          </w:p>
        </w:tc>
        <w:tc>
          <w:tcPr>
            <w:tcW w:w="0" w:type="auto"/>
            <w:vAlign w:val="center"/>
            <w:hideMark/>
          </w:tcPr>
          <w:p w14:paraId="6E717D8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Global phosphorus flow to oceans</w:t>
            </w:r>
          </w:p>
        </w:tc>
        <w:tc>
          <w:tcPr>
            <w:tcW w:w="0" w:type="auto"/>
            <w:vAlign w:val="center"/>
            <w:hideMark/>
          </w:tcPr>
          <w:p w14:paraId="12E9DB0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 Mt/year</w:t>
            </w:r>
          </w:p>
        </w:tc>
        <w:tc>
          <w:tcPr>
            <w:tcW w:w="0" w:type="auto"/>
            <w:vAlign w:val="center"/>
            <w:hideMark/>
          </w:tcPr>
          <w:p w14:paraId="3084182C"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11–100 Mt/year</w:t>
            </w:r>
          </w:p>
        </w:tc>
        <w:tc>
          <w:tcPr>
            <w:tcW w:w="0" w:type="auto"/>
            <w:vAlign w:val="center"/>
            <w:hideMark/>
          </w:tcPr>
          <w:p w14:paraId="56A02327"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22.6 Mt/year</w:t>
            </w:r>
          </w:p>
        </w:tc>
        <w:tc>
          <w:tcPr>
            <w:tcW w:w="0" w:type="auto"/>
            <w:vAlign w:val="center"/>
            <w:hideMark/>
          </w:tcPr>
          <w:p w14:paraId="587180D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FAO, global nutrient-cycle databases</w:t>
            </w:r>
          </w:p>
        </w:tc>
        <w:tc>
          <w:tcPr>
            <w:tcW w:w="0" w:type="auto"/>
            <w:vAlign w:val="center"/>
            <w:hideMark/>
          </w:tcPr>
          <w:p w14:paraId="15685A47"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25976AC0" w14:textId="77777777" w:rsidTr="007A4B90">
        <w:trPr>
          <w:tblCellSpacing w:w="15" w:type="dxa"/>
        </w:trPr>
        <w:tc>
          <w:tcPr>
            <w:tcW w:w="0" w:type="auto"/>
            <w:vAlign w:val="center"/>
            <w:hideMark/>
          </w:tcPr>
          <w:p w14:paraId="67DF791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Biogeochemical flows — phosphorus</w:t>
            </w:r>
          </w:p>
        </w:tc>
        <w:tc>
          <w:tcPr>
            <w:tcW w:w="0" w:type="auto"/>
            <w:vAlign w:val="center"/>
            <w:hideMark/>
          </w:tcPr>
          <w:p w14:paraId="03365EA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Regional phosphorus fertilizer application</w:t>
            </w:r>
          </w:p>
        </w:tc>
        <w:tc>
          <w:tcPr>
            <w:tcW w:w="0" w:type="auto"/>
            <w:vAlign w:val="center"/>
            <w:hideMark/>
          </w:tcPr>
          <w:p w14:paraId="57DAC01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 Mt/year</w:t>
            </w:r>
          </w:p>
        </w:tc>
        <w:tc>
          <w:tcPr>
            <w:tcW w:w="0" w:type="auto"/>
            <w:vAlign w:val="center"/>
            <w:hideMark/>
          </w:tcPr>
          <w:p w14:paraId="7E089A8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6.2–11.2 Mt/year</w:t>
            </w:r>
          </w:p>
        </w:tc>
        <w:tc>
          <w:tcPr>
            <w:tcW w:w="0" w:type="auto"/>
            <w:vAlign w:val="center"/>
            <w:hideMark/>
          </w:tcPr>
          <w:p w14:paraId="2B1E4D1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17.5 Mt/year</w:t>
            </w:r>
          </w:p>
        </w:tc>
        <w:tc>
          <w:tcPr>
            <w:tcW w:w="0" w:type="auto"/>
            <w:vAlign w:val="center"/>
            <w:hideMark/>
          </w:tcPr>
          <w:p w14:paraId="44816AC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FAO, IFASTAT / International Fertilizer Association statistics</w:t>
            </w:r>
          </w:p>
        </w:tc>
        <w:tc>
          <w:tcPr>
            <w:tcW w:w="0" w:type="auto"/>
            <w:vAlign w:val="center"/>
            <w:hideMark/>
          </w:tcPr>
          <w:p w14:paraId="33E9A62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7E7D3846" w14:textId="77777777" w:rsidTr="007A4B90">
        <w:trPr>
          <w:tblCellSpacing w:w="15" w:type="dxa"/>
        </w:trPr>
        <w:tc>
          <w:tcPr>
            <w:tcW w:w="0" w:type="auto"/>
            <w:vAlign w:val="center"/>
            <w:hideMark/>
          </w:tcPr>
          <w:p w14:paraId="3CE72004"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Biogeochemical flows — nitrogen</w:t>
            </w:r>
          </w:p>
        </w:tc>
        <w:tc>
          <w:tcPr>
            <w:tcW w:w="0" w:type="auto"/>
            <w:vAlign w:val="center"/>
            <w:hideMark/>
          </w:tcPr>
          <w:p w14:paraId="09C4123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Reactive nitrogen release</w:t>
            </w:r>
          </w:p>
        </w:tc>
        <w:tc>
          <w:tcPr>
            <w:tcW w:w="0" w:type="auto"/>
            <w:vAlign w:val="center"/>
            <w:hideMark/>
          </w:tcPr>
          <w:p w14:paraId="41FCB7B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 Mt/year</w:t>
            </w:r>
          </w:p>
        </w:tc>
        <w:tc>
          <w:tcPr>
            <w:tcW w:w="0" w:type="auto"/>
            <w:vAlign w:val="center"/>
            <w:hideMark/>
          </w:tcPr>
          <w:p w14:paraId="1721474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62–82 Mt/year</w:t>
            </w:r>
          </w:p>
        </w:tc>
        <w:tc>
          <w:tcPr>
            <w:tcW w:w="0" w:type="auto"/>
            <w:vAlign w:val="center"/>
            <w:hideMark/>
          </w:tcPr>
          <w:p w14:paraId="72B8D13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190 Mt/year</w:t>
            </w:r>
          </w:p>
        </w:tc>
        <w:tc>
          <w:tcPr>
            <w:tcW w:w="0" w:type="auto"/>
            <w:vAlign w:val="center"/>
            <w:hideMark/>
          </w:tcPr>
          <w:p w14:paraId="373F74C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FAO, EDGAR</w:t>
            </w:r>
          </w:p>
        </w:tc>
        <w:tc>
          <w:tcPr>
            <w:tcW w:w="0" w:type="auto"/>
            <w:vAlign w:val="center"/>
            <w:hideMark/>
          </w:tcPr>
          <w:p w14:paraId="186F3CD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46ED5575" w14:textId="77777777" w:rsidTr="007A4B90">
        <w:trPr>
          <w:tblCellSpacing w:w="15" w:type="dxa"/>
        </w:trPr>
        <w:tc>
          <w:tcPr>
            <w:tcW w:w="0" w:type="auto"/>
            <w:vAlign w:val="center"/>
            <w:hideMark/>
          </w:tcPr>
          <w:p w14:paraId="24E4DC87"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Land-system change</w:t>
            </w:r>
          </w:p>
        </w:tc>
        <w:tc>
          <w:tcPr>
            <w:tcW w:w="0" w:type="auto"/>
            <w:vAlign w:val="center"/>
            <w:hideMark/>
          </w:tcPr>
          <w:p w14:paraId="7AECEDB2"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Global forest cover, percentage of original forest</w:t>
            </w:r>
          </w:p>
        </w:tc>
        <w:tc>
          <w:tcPr>
            <w:tcW w:w="0" w:type="auto"/>
            <w:vAlign w:val="center"/>
            <w:hideMark/>
          </w:tcPr>
          <w:p w14:paraId="6E67D0E1"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100%</w:t>
            </w:r>
          </w:p>
        </w:tc>
        <w:tc>
          <w:tcPr>
            <w:tcW w:w="0" w:type="auto"/>
            <w:vAlign w:val="center"/>
            <w:hideMark/>
          </w:tcPr>
          <w:p w14:paraId="1FC5347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75–54%, global weighted range</w:t>
            </w:r>
          </w:p>
        </w:tc>
        <w:tc>
          <w:tcPr>
            <w:tcW w:w="0" w:type="auto"/>
            <w:vAlign w:val="center"/>
            <w:hideMark/>
          </w:tcPr>
          <w:p w14:paraId="6B7A5BEC"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60%</w:t>
            </w:r>
          </w:p>
        </w:tc>
        <w:tc>
          <w:tcPr>
            <w:tcW w:w="0" w:type="auto"/>
            <w:vAlign w:val="center"/>
            <w:hideMark/>
          </w:tcPr>
          <w:p w14:paraId="50254A6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ESA CCI, MODIS, Global Forest Watch</w:t>
            </w:r>
          </w:p>
        </w:tc>
        <w:tc>
          <w:tcPr>
            <w:tcW w:w="0" w:type="auto"/>
            <w:vAlign w:val="center"/>
            <w:hideMark/>
          </w:tcPr>
          <w:p w14:paraId="41A3E0A1"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31251A65" w14:textId="77777777" w:rsidTr="007A4B90">
        <w:trPr>
          <w:tblCellSpacing w:w="15" w:type="dxa"/>
        </w:trPr>
        <w:tc>
          <w:tcPr>
            <w:tcW w:w="0" w:type="auto"/>
            <w:vAlign w:val="center"/>
            <w:hideMark/>
          </w:tcPr>
          <w:p w14:paraId="19F4429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Land-system change</w:t>
            </w:r>
          </w:p>
        </w:tc>
        <w:tc>
          <w:tcPr>
            <w:tcW w:w="0" w:type="auto"/>
            <w:vAlign w:val="center"/>
            <w:hideMark/>
          </w:tcPr>
          <w:p w14:paraId="4AAB99E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Tropical forest cover, percentage of original forest</w:t>
            </w:r>
          </w:p>
        </w:tc>
        <w:tc>
          <w:tcPr>
            <w:tcW w:w="0" w:type="auto"/>
            <w:vAlign w:val="center"/>
            <w:hideMark/>
          </w:tcPr>
          <w:p w14:paraId="343D421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100%</w:t>
            </w:r>
          </w:p>
        </w:tc>
        <w:tc>
          <w:tcPr>
            <w:tcW w:w="0" w:type="auto"/>
            <w:vAlign w:val="center"/>
            <w:hideMark/>
          </w:tcPr>
          <w:p w14:paraId="2D1C2A4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85–60%</w:t>
            </w:r>
          </w:p>
        </w:tc>
        <w:tc>
          <w:tcPr>
            <w:tcW w:w="0" w:type="auto"/>
            <w:vAlign w:val="center"/>
            <w:hideMark/>
          </w:tcPr>
          <w:p w14:paraId="2C8F47D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Americas: 83.9%; Africa: 54.3%; Asia: 37.5%</w:t>
            </w:r>
          </w:p>
        </w:tc>
        <w:tc>
          <w:tcPr>
            <w:tcW w:w="0" w:type="auto"/>
            <w:vAlign w:val="center"/>
            <w:hideMark/>
          </w:tcPr>
          <w:p w14:paraId="0FC4506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FAO FRA, Global Forest Watch</w:t>
            </w:r>
          </w:p>
        </w:tc>
        <w:tc>
          <w:tcPr>
            <w:tcW w:w="0" w:type="auto"/>
            <w:vAlign w:val="center"/>
            <w:hideMark/>
          </w:tcPr>
          <w:p w14:paraId="794D9A4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12061D97" w14:textId="77777777" w:rsidTr="007A4B90">
        <w:trPr>
          <w:tblCellSpacing w:w="15" w:type="dxa"/>
        </w:trPr>
        <w:tc>
          <w:tcPr>
            <w:tcW w:w="0" w:type="auto"/>
            <w:vAlign w:val="center"/>
            <w:hideMark/>
          </w:tcPr>
          <w:p w14:paraId="777264F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Land-system change</w:t>
            </w:r>
          </w:p>
        </w:tc>
        <w:tc>
          <w:tcPr>
            <w:tcW w:w="0" w:type="auto"/>
            <w:vAlign w:val="center"/>
            <w:hideMark/>
          </w:tcPr>
          <w:p w14:paraId="7A9739A1"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Temperate forest cover, percentage of original forest</w:t>
            </w:r>
          </w:p>
        </w:tc>
        <w:tc>
          <w:tcPr>
            <w:tcW w:w="0" w:type="auto"/>
            <w:vAlign w:val="center"/>
            <w:hideMark/>
          </w:tcPr>
          <w:p w14:paraId="168ACBC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100%</w:t>
            </w:r>
          </w:p>
        </w:tc>
        <w:tc>
          <w:tcPr>
            <w:tcW w:w="0" w:type="auto"/>
            <w:vAlign w:val="center"/>
            <w:hideMark/>
          </w:tcPr>
          <w:p w14:paraId="65B94A1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50–30%</w:t>
            </w:r>
          </w:p>
        </w:tc>
        <w:tc>
          <w:tcPr>
            <w:tcW w:w="0" w:type="auto"/>
            <w:vAlign w:val="center"/>
            <w:hideMark/>
          </w:tcPr>
          <w:p w14:paraId="105D4827"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Americas: 51.2%; Europe: 34.2%; Asia: 37.9%</w:t>
            </w:r>
          </w:p>
        </w:tc>
        <w:tc>
          <w:tcPr>
            <w:tcW w:w="0" w:type="auto"/>
            <w:vAlign w:val="center"/>
            <w:hideMark/>
          </w:tcPr>
          <w:p w14:paraId="65A5BF2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FAO FRA, Global Forest Watch</w:t>
            </w:r>
          </w:p>
        </w:tc>
        <w:tc>
          <w:tcPr>
            <w:tcW w:w="0" w:type="auto"/>
            <w:vAlign w:val="center"/>
            <w:hideMark/>
          </w:tcPr>
          <w:p w14:paraId="22A43EB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08FB2376" w14:textId="77777777" w:rsidTr="007A4B90">
        <w:trPr>
          <w:tblCellSpacing w:w="15" w:type="dxa"/>
        </w:trPr>
        <w:tc>
          <w:tcPr>
            <w:tcW w:w="0" w:type="auto"/>
            <w:vAlign w:val="center"/>
            <w:hideMark/>
          </w:tcPr>
          <w:p w14:paraId="0FA9E50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Land-system change</w:t>
            </w:r>
          </w:p>
        </w:tc>
        <w:tc>
          <w:tcPr>
            <w:tcW w:w="0" w:type="auto"/>
            <w:vAlign w:val="center"/>
            <w:hideMark/>
          </w:tcPr>
          <w:p w14:paraId="03C4EA3C"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Boreal forest cover, percentage of original forest</w:t>
            </w:r>
          </w:p>
        </w:tc>
        <w:tc>
          <w:tcPr>
            <w:tcW w:w="0" w:type="auto"/>
            <w:vAlign w:val="center"/>
            <w:hideMark/>
          </w:tcPr>
          <w:p w14:paraId="345AB05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100%</w:t>
            </w:r>
          </w:p>
        </w:tc>
        <w:tc>
          <w:tcPr>
            <w:tcW w:w="0" w:type="auto"/>
            <w:vAlign w:val="center"/>
            <w:hideMark/>
          </w:tcPr>
          <w:p w14:paraId="162C3B2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85–60%</w:t>
            </w:r>
          </w:p>
        </w:tc>
        <w:tc>
          <w:tcPr>
            <w:tcW w:w="0" w:type="auto"/>
            <w:vAlign w:val="center"/>
            <w:hideMark/>
          </w:tcPr>
          <w:p w14:paraId="39E5DB1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Americas: 56.6%; Eurasia: 70.3%</w:t>
            </w:r>
          </w:p>
        </w:tc>
        <w:tc>
          <w:tcPr>
            <w:tcW w:w="0" w:type="auto"/>
            <w:vAlign w:val="center"/>
            <w:hideMark/>
          </w:tcPr>
          <w:p w14:paraId="4213340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FAO FRA, Global Forest Watch</w:t>
            </w:r>
          </w:p>
        </w:tc>
        <w:tc>
          <w:tcPr>
            <w:tcW w:w="0" w:type="auto"/>
            <w:vAlign w:val="center"/>
            <w:hideMark/>
          </w:tcPr>
          <w:p w14:paraId="75C10574"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27176E4B" w14:textId="77777777" w:rsidTr="007A4B90">
        <w:trPr>
          <w:tblCellSpacing w:w="15" w:type="dxa"/>
        </w:trPr>
        <w:tc>
          <w:tcPr>
            <w:tcW w:w="0" w:type="auto"/>
            <w:vAlign w:val="center"/>
            <w:hideMark/>
          </w:tcPr>
          <w:p w14:paraId="258C2422"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Freshwater change — blue water</w:t>
            </w:r>
          </w:p>
        </w:tc>
        <w:tc>
          <w:tcPr>
            <w:tcW w:w="0" w:type="auto"/>
            <w:vAlign w:val="center"/>
            <w:hideMark/>
          </w:tcPr>
          <w:p w14:paraId="0C53040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Human-induced flow disturbance, 95th percentile deviation</w:t>
            </w:r>
          </w:p>
        </w:tc>
        <w:tc>
          <w:tcPr>
            <w:tcW w:w="0" w:type="auto"/>
            <w:vAlign w:val="center"/>
            <w:hideMark/>
          </w:tcPr>
          <w:p w14:paraId="67CDFB3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9.4%</w:t>
            </w:r>
          </w:p>
        </w:tc>
        <w:tc>
          <w:tcPr>
            <w:tcW w:w="0" w:type="auto"/>
            <w:vAlign w:val="center"/>
            <w:hideMark/>
          </w:tcPr>
          <w:p w14:paraId="642B9784"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10.2–50%</w:t>
            </w:r>
          </w:p>
        </w:tc>
        <w:tc>
          <w:tcPr>
            <w:tcW w:w="0" w:type="auto"/>
            <w:vAlign w:val="center"/>
            <w:hideMark/>
          </w:tcPr>
          <w:p w14:paraId="77608CA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18.2%</w:t>
            </w:r>
          </w:p>
        </w:tc>
        <w:tc>
          <w:tcPr>
            <w:tcW w:w="0" w:type="auto"/>
            <w:vAlign w:val="center"/>
            <w:hideMark/>
          </w:tcPr>
          <w:p w14:paraId="4E01AE00" w14:textId="77777777" w:rsidR="00356654" w:rsidRPr="00B479AE" w:rsidRDefault="00356654" w:rsidP="00356654">
            <w:pPr>
              <w:spacing w:line="360" w:lineRule="auto"/>
              <w:rPr>
                <w:rFonts w:ascii="Baskerville Old Face" w:hAnsi="Baskerville Old Face"/>
                <w:i/>
                <w:iCs/>
                <w:sz w:val="18"/>
                <w:szCs w:val="18"/>
              </w:rPr>
            </w:pPr>
            <w:proofErr w:type="spellStart"/>
            <w:r w:rsidRPr="00B479AE">
              <w:rPr>
                <w:rFonts w:ascii="Baskerville Old Face" w:hAnsi="Baskerville Old Face"/>
                <w:i/>
                <w:iCs/>
                <w:sz w:val="18"/>
                <w:szCs w:val="18"/>
              </w:rPr>
              <w:t>WaterGAP</w:t>
            </w:r>
            <w:proofErr w:type="spellEnd"/>
            <w:r w:rsidRPr="00B479AE">
              <w:rPr>
                <w:rFonts w:ascii="Baskerville Old Face" w:hAnsi="Baskerville Old Face"/>
                <w:i/>
                <w:iCs/>
                <w:sz w:val="18"/>
                <w:szCs w:val="18"/>
              </w:rPr>
              <w:t>, PCR-GLOBWB, GRDC</w:t>
            </w:r>
          </w:p>
        </w:tc>
        <w:tc>
          <w:tcPr>
            <w:tcW w:w="0" w:type="auto"/>
            <w:vAlign w:val="center"/>
            <w:hideMark/>
          </w:tcPr>
          <w:p w14:paraId="317D183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w:t>
            </w:r>
          </w:p>
        </w:tc>
      </w:tr>
      <w:tr w:rsidR="00356654" w:rsidRPr="00B479AE" w14:paraId="383D2DE7" w14:textId="77777777" w:rsidTr="007A4B90">
        <w:trPr>
          <w:tblCellSpacing w:w="15" w:type="dxa"/>
        </w:trPr>
        <w:tc>
          <w:tcPr>
            <w:tcW w:w="0" w:type="auto"/>
            <w:vAlign w:val="center"/>
            <w:hideMark/>
          </w:tcPr>
          <w:p w14:paraId="48EF0B7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Freshwater change — green water</w:t>
            </w:r>
          </w:p>
        </w:tc>
        <w:tc>
          <w:tcPr>
            <w:tcW w:w="0" w:type="auto"/>
            <w:vAlign w:val="center"/>
            <w:hideMark/>
          </w:tcPr>
          <w:p w14:paraId="1596998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Soil-moisture deviation from Holocene variability, percentage of ice-free land</w:t>
            </w:r>
          </w:p>
        </w:tc>
        <w:tc>
          <w:tcPr>
            <w:tcW w:w="0" w:type="auto"/>
            <w:vAlign w:val="center"/>
            <w:hideMark/>
          </w:tcPr>
          <w:p w14:paraId="4D8BF78D"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9.8%</w:t>
            </w:r>
          </w:p>
        </w:tc>
        <w:tc>
          <w:tcPr>
            <w:tcW w:w="0" w:type="auto"/>
            <w:vAlign w:val="center"/>
            <w:hideMark/>
          </w:tcPr>
          <w:p w14:paraId="0DA4C89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11.1–50%</w:t>
            </w:r>
          </w:p>
        </w:tc>
        <w:tc>
          <w:tcPr>
            <w:tcW w:w="0" w:type="auto"/>
            <w:vAlign w:val="center"/>
            <w:hideMark/>
          </w:tcPr>
          <w:p w14:paraId="05AF558B"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15.8%</w:t>
            </w:r>
          </w:p>
        </w:tc>
        <w:tc>
          <w:tcPr>
            <w:tcW w:w="0" w:type="auto"/>
            <w:vAlign w:val="center"/>
            <w:hideMark/>
          </w:tcPr>
          <w:p w14:paraId="32717A6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ESA CCI, GLEAM, ERA5</w:t>
            </w:r>
          </w:p>
        </w:tc>
        <w:tc>
          <w:tcPr>
            <w:tcW w:w="0" w:type="auto"/>
            <w:vAlign w:val="center"/>
            <w:hideMark/>
          </w:tcPr>
          <w:p w14:paraId="4672ABF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Monthly</w:t>
            </w:r>
          </w:p>
        </w:tc>
      </w:tr>
      <w:tr w:rsidR="00356654" w:rsidRPr="00B479AE" w14:paraId="3B008DC4" w14:textId="77777777" w:rsidTr="007A4B90">
        <w:trPr>
          <w:tblCellSpacing w:w="15" w:type="dxa"/>
        </w:trPr>
        <w:tc>
          <w:tcPr>
            <w:tcW w:w="0" w:type="auto"/>
            <w:vAlign w:val="center"/>
            <w:hideMark/>
          </w:tcPr>
          <w:p w14:paraId="1E16CFB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lastRenderedPageBreak/>
              <w:t>Atmospheric aerosol loading</w:t>
            </w:r>
          </w:p>
        </w:tc>
        <w:tc>
          <w:tcPr>
            <w:tcW w:w="0" w:type="auto"/>
            <w:vAlign w:val="center"/>
            <w:hideMark/>
          </w:tcPr>
          <w:p w14:paraId="6C2B35F5"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Interhemispheric difference in aerosol optical thickness, AOD</w:t>
            </w:r>
          </w:p>
        </w:tc>
        <w:tc>
          <w:tcPr>
            <w:tcW w:w="0" w:type="auto"/>
            <w:vAlign w:val="center"/>
            <w:hideMark/>
          </w:tcPr>
          <w:p w14:paraId="50C1E4B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0.03</w:t>
            </w:r>
          </w:p>
        </w:tc>
        <w:tc>
          <w:tcPr>
            <w:tcW w:w="0" w:type="auto"/>
            <w:vAlign w:val="center"/>
            <w:hideMark/>
          </w:tcPr>
          <w:p w14:paraId="39707CA0"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0.1–0.25</w:t>
            </w:r>
          </w:p>
        </w:tc>
        <w:tc>
          <w:tcPr>
            <w:tcW w:w="0" w:type="auto"/>
            <w:vAlign w:val="center"/>
            <w:hideMark/>
          </w:tcPr>
          <w:p w14:paraId="2B69E3C9"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0.076</w:t>
            </w:r>
          </w:p>
        </w:tc>
        <w:tc>
          <w:tcPr>
            <w:tcW w:w="0" w:type="auto"/>
            <w:vAlign w:val="center"/>
            <w:hideMark/>
          </w:tcPr>
          <w:p w14:paraId="185471C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MODIS, MISR, Copernicus CAMS</w:t>
            </w:r>
          </w:p>
        </w:tc>
        <w:tc>
          <w:tcPr>
            <w:tcW w:w="0" w:type="auto"/>
            <w:vAlign w:val="center"/>
            <w:hideMark/>
          </w:tcPr>
          <w:p w14:paraId="7A9ED93A"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Monthly</w:t>
            </w:r>
          </w:p>
        </w:tc>
      </w:tr>
      <w:tr w:rsidR="00356654" w:rsidRPr="00B479AE" w14:paraId="7259B727" w14:textId="77777777" w:rsidTr="007A4B90">
        <w:trPr>
          <w:tblCellSpacing w:w="15" w:type="dxa"/>
        </w:trPr>
        <w:tc>
          <w:tcPr>
            <w:tcW w:w="0" w:type="auto"/>
            <w:vAlign w:val="center"/>
            <w:hideMark/>
          </w:tcPr>
          <w:p w14:paraId="1F4B703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b/>
                <w:bCs/>
                <w:i/>
                <w:iCs/>
                <w:sz w:val="18"/>
                <w:szCs w:val="18"/>
              </w:rPr>
              <w:t>Novel entities</w:t>
            </w:r>
          </w:p>
        </w:tc>
        <w:tc>
          <w:tcPr>
            <w:tcW w:w="0" w:type="auto"/>
            <w:vAlign w:val="center"/>
            <w:hideMark/>
          </w:tcPr>
          <w:p w14:paraId="2C1DE4C6"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Qualitative assessment of synthetic chemicals and novel entities released without adequate safety testing</w:t>
            </w:r>
          </w:p>
        </w:tc>
        <w:tc>
          <w:tcPr>
            <w:tcW w:w="0" w:type="auto"/>
            <w:vAlign w:val="center"/>
            <w:hideMark/>
          </w:tcPr>
          <w:p w14:paraId="11DE492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0</w:t>
            </w:r>
          </w:p>
        </w:tc>
        <w:tc>
          <w:tcPr>
            <w:tcW w:w="0" w:type="auto"/>
            <w:vAlign w:val="center"/>
            <w:hideMark/>
          </w:tcPr>
          <w:p w14:paraId="17A888F4"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Threshold not quantitatively defined</w:t>
            </w:r>
          </w:p>
        </w:tc>
        <w:tc>
          <w:tcPr>
            <w:tcW w:w="0" w:type="auto"/>
            <w:vAlign w:val="center"/>
            <w:hideMark/>
          </w:tcPr>
          <w:p w14:paraId="379AA5D3"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Exceeded</w:t>
            </w:r>
          </w:p>
        </w:tc>
        <w:tc>
          <w:tcPr>
            <w:tcW w:w="0" w:type="auto"/>
            <w:vAlign w:val="center"/>
            <w:hideMark/>
          </w:tcPr>
          <w:p w14:paraId="42D8576F"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UNEP, OECD, national chemical registries</w:t>
            </w:r>
          </w:p>
        </w:tc>
        <w:tc>
          <w:tcPr>
            <w:tcW w:w="0" w:type="auto"/>
            <w:vAlign w:val="center"/>
            <w:hideMark/>
          </w:tcPr>
          <w:p w14:paraId="009F179E" w14:textId="77777777" w:rsidR="00356654" w:rsidRPr="00B479AE" w:rsidRDefault="00356654" w:rsidP="00356654">
            <w:pPr>
              <w:spacing w:line="360" w:lineRule="auto"/>
              <w:rPr>
                <w:rFonts w:ascii="Baskerville Old Face" w:hAnsi="Baskerville Old Face"/>
                <w:i/>
                <w:iCs/>
                <w:sz w:val="18"/>
                <w:szCs w:val="18"/>
              </w:rPr>
            </w:pPr>
            <w:r w:rsidRPr="00B479AE">
              <w:rPr>
                <w:rFonts w:ascii="Baskerville Old Face" w:hAnsi="Baskerville Old Face"/>
                <w:i/>
                <w:iCs/>
                <w:sz w:val="18"/>
                <w:szCs w:val="18"/>
              </w:rPr>
              <w:t>Annual review</w:t>
            </w:r>
          </w:p>
        </w:tc>
      </w:tr>
    </w:tbl>
    <w:p w14:paraId="76D43A31"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This table should be maintained as a versioned reference table.</w:t>
      </w:r>
    </w:p>
    <w:p w14:paraId="46C96C40"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Each future release should record:</w:t>
      </w:r>
    </w:p>
    <w:p w14:paraId="384AB63B"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 table version;</w:t>
      </w:r>
      <w:r w:rsidRPr="00B479AE">
        <w:rPr>
          <w:rFonts w:ascii="Baskerville Old Face" w:hAnsi="Baskerville Old Face"/>
          <w:i/>
          <w:iCs/>
        </w:rPr>
        <w:br/>
        <w:t>• data year;</w:t>
      </w:r>
      <w:r w:rsidRPr="00B479AE">
        <w:rPr>
          <w:rFonts w:ascii="Baskerville Old Face" w:hAnsi="Baskerville Old Face"/>
          <w:i/>
          <w:iCs/>
        </w:rPr>
        <w:br/>
        <w:t>• source update;</w:t>
      </w:r>
      <w:r w:rsidRPr="00B479AE">
        <w:rPr>
          <w:rFonts w:ascii="Baskerville Old Face" w:hAnsi="Baskerville Old Face"/>
          <w:i/>
          <w:iCs/>
        </w:rPr>
        <w:br/>
        <w:t>• methodology note;</w:t>
      </w:r>
      <w:r w:rsidRPr="00B479AE">
        <w:rPr>
          <w:rFonts w:ascii="Baskerville Old Face" w:hAnsi="Baskerville Old Face"/>
          <w:i/>
          <w:iCs/>
        </w:rPr>
        <w:br/>
        <w:t>• uncertainty note;</w:t>
      </w:r>
      <w:r w:rsidRPr="00B479AE">
        <w:rPr>
          <w:rFonts w:ascii="Baskerville Old Face" w:hAnsi="Baskerville Old Face"/>
          <w:i/>
          <w:iCs/>
        </w:rPr>
        <w:br/>
        <w:t>• affected PHI domains;</w:t>
      </w:r>
      <w:r w:rsidRPr="00B479AE">
        <w:rPr>
          <w:rFonts w:ascii="Baskerville Old Face" w:hAnsi="Baskerville Old Face"/>
          <w:i/>
          <w:iCs/>
        </w:rPr>
        <w:br/>
        <w:t>• affected MRV priorities;</w:t>
      </w:r>
      <w:r w:rsidRPr="00B479AE">
        <w:rPr>
          <w:rFonts w:ascii="Baskerville Old Face" w:hAnsi="Baskerville Old Face"/>
          <w:i/>
          <w:iCs/>
        </w:rPr>
        <w:br/>
        <w:t>• affected boundary-pressure profiles;</w:t>
      </w:r>
      <w:r w:rsidRPr="00B479AE">
        <w:rPr>
          <w:rFonts w:ascii="Baskerville Old Face" w:hAnsi="Baskerville Old Face"/>
          <w:i/>
          <w:iCs/>
        </w:rPr>
        <w:br/>
        <w:t>• change from prior release.</w:t>
      </w:r>
    </w:p>
    <w:p w14:paraId="253DCD40"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Where updated scientific assessments modify values, thresholds, or interpretations, Prometheus should update the table through the canonical release process.</w:t>
      </w:r>
    </w:p>
    <w:p w14:paraId="4EF7E598"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The table should therefore be understood as:</w:t>
      </w:r>
    </w:p>
    <w:p w14:paraId="172FCDCA"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global context for ecological intelligence;</w:t>
      </w:r>
      <w:r w:rsidRPr="00B479AE">
        <w:rPr>
          <w:rFonts w:ascii="Baskerville Old Face" w:hAnsi="Baskerville Old Face"/>
          <w:i/>
          <w:iCs/>
        </w:rPr>
        <w:br/>
        <w:t>not automatic project-level proof.</w:t>
      </w:r>
    </w:p>
    <w:p w14:paraId="1FF6827F"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A local Prometheus pilot may be inspired by planetary-boundary pressure, but its claims must still be grounded in site-level evidence, bioregional interpretation, MRV methodology, confidence scoring, and review.</w:t>
      </w:r>
    </w:p>
    <w:p w14:paraId="4EF8F9E2"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lastRenderedPageBreak/>
        <w:t>For example:</w:t>
      </w:r>
    </w:p>
    <w:p w14:paraId="40973256"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 climate-boundary pressure may guide carbon, biomass, energy, and resilience indicators;</w:t>
      </w:r>
      <w:r w:rsidRPr="00B479AE">
        <w:rPr>
          <w:rFonts w:ascii="Baskerville Old Face" w:hAnsi="Baskerville Old Face"/>
          <w:i/>
          <w:iCs/>
        </w:rPr>
        <w:br/>
        <w:t>• biosphere-integrity pressure may guide biodiversity, habitat, pollinator, and corridor indicators;</w:t>
      </w:r>
      <w:r w:rsidRPr="00B479AE">
        <w:rPr>
          <w:rFonts w:ascii="Baskerville Old Face" w:hAnsi="Baskerville Old Face"/>
          <w:i/>
          <w:iCs/>
        </w:rPr>
        <w:br/>
        <w:t>• freshwater-boundary pressure may guide infiltration, retention, soil-moisture, irrigation, and watershed indicators;</w:t>
      </w:r>
      <w:r w:rsidRPr="00B479AE">
        <w:rPr>
          <w:rFonts w:ascii="Baskerville Old Face" w:hAnsi="Baskerville Old Face"/>
          <w:i/>
          <w:iCs/>
        </w:rPr>
        <w:br/>
        <w:t>• biogeochemical-flow pressure may guide nutrient cycling, composting, fertilizer-dependency, and runoff indicators;</w:t>
      </w:r>
      <w:r w:rsidRPr="00B479AE">
        <w:rPr>
          <w:rFonts w:ascii="Baskerville Old Face" w:hAnsi="Baskerville Old Face"/>
          <w:i/>
          <w:iCs/>
        </w:rPr>
        <w:br/>
        <w:t>• land-system-change pressure may guide agroforestry, soil cover, canopy structure, and regenerative land-use indicators;</w:t>
      </w:r>
      <w:r w:rsidRPr="00B479AE">
        <w:rPr>
          <w:rFonts w:ascii="Baskerville Old Face" w:hAnsi="Baskerville Old Face"/>
          <w:i/>
          <w:iCs/>
        </w:rPr>
        <w:br/>
        <w:t>• novel-entities pressure may guide material safety, toxic-input reduction, chemical substitution, and contamination-risk review.</w:t>
      </w:r>
    </w:p>
    <w:p w14:paraId="0372E1EA" w14:textId="12F69AAF"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This is how Prometheus connects planetary reality to local evidence</w:t>
      </w:r>
      <w:r w:rsidR="00812032">
        <w:rPr>
          <w:rFonts w:ascii="Baskerville Old Face" w:hAnsi="Baskerville Old Face"/>
          <w:i/>
          <w:iCs/>
        </w:rPr>
        <w:t>:</w:t>
      </w:r>
    </w:p>
    <w:p w14:paraId="69518B39"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The planet gives the warning.</w:t>
      </w:r>
    </w:p>
    <w:p w14:paraId="7856F2E7"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The bioregion gives the context.</w:t>
      </w:r>
    </w:p>
    <w:p w14:paraId="3AB18905"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The field gives the data.</w:t>
      </w:r>
    </w:p>
    <w:p w14:paraId="47E25D75"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MRV gives the verification.</w:t>
      </w:r>
    </w:p>
    <w:p w14:paraId="522826C6"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PHI gives the synthesis.</w:t>
      </w:r>
    </w:p>
    <w:p w14:paraId="69644887" w14:textId="77777777" w:rsidR="00356654" w:rsidRPr="00B479AE" w:rsidRDefault="00356654" w:rsidP="00356654">
      <w:pPr>
        <w:spacing w:line="360" w:lineRule="auto"/>
        <w:rPr>
          <w:rFonts w:ascii="Baskerville Old Face" w:hAnsi="Baskerville Old Face"/>
          <w:i/>
          <w:iCs/>
        </w:rPr>
      </w:pPr>
      <w:r w:rsidRPr="00B479AE">
        <w:rPr>
          <w:rFonts w:ascii="Baskerville Old Face" w:hAnsi="Baskerville Old Face"/>
          <w:i/>
          <w:iCs/>
        </w:rPr>
        <w:t>PRU gives the value discipline.</w:t>
      </w:r>
    </w:p>
    <w:p w14:paraId="7893C3A8"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K.3 Bioregional interpretation</w:t>
      </w:r>
    </w:p>
    <w:p w14:paraId="57C5EB6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should interpret planetary-boundary logic through bioregional context.</w:t>
      </w:r>
    </w:p>
    <w:p w14:paraId="5EE5CE4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bioregion is not only a map.</w:t>
      </w:r>
    </w:p>
    <w:p w14:paraId="4A227DA8" w14:textId="2A5A05EC"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is a living pattern of climate, water, soil, biodiversity, culture, food systems, settlement, and ecological memory.</w:t>
      </w:r>
      <w:r w:rsidR="00812032">
        <w:rPr>
          <w:rFonts w:ascii="Baskerville Old Face" w:hAnsi="Baskerville Old Face"/>
          <w:i/>
          <w:iCs/>
        </w:rPr>
        <w:t xml:space="preserve"> </w:t>
      </w:r>
      <w:r w:rsidRPr="00B479AE">
        <w:rPr>
          <w:rFonts w:ascii="Baskerville Old Face" w:hAnsi="Baskerville Old Face"/>
          <w:i/>
          <w:iCs/>
        </w:rPr>
        <w:t>Bioregional interpretation should consider:</w:t>
      </w:r>
    </w:p>
    <w:p w14:paraId="283B708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climate zone;</w:t>
      </w:r>
      <w:r w:rsidRPr="00B479AE">
        <w:rPr>
          <w:rFonts w:ascii="Baskerville Old Face" w:hAnsi="Baskerville Old Face"/>
          <w:i/>
          <w:iCs/>
        </w:rPr>
        <w:br/>
        <w:t>• rainfall pattern;</w:t>
      </w:r>
      <w:r w:rsidRPr="00B479AE">
        <w:rPr>
          <w:rFonts w:ascii="Baskerville Old Face" w:hAnsi="Baskerville Old Face"/>
          <w:i/>
          <w:iCs/>
        </w:rPr>
        <w:br/>
        <w:t>• drought risk;</w:t>
      </w:r>
      <w:r w:rsidRPr="00B479AE">
        <w:rPr>
          <w:rFonts w:ascii="Baskerville Old Face" w:hAnsi="Baskerville Old Face"/>
          <w:i/>
          <w:iCs/>
        </w:rPr>
        <w:br/>
      </w:r>
      <w:r w:rsidRPr="00B479AE">
        <w:rPr>
          <w:rFonts w:ascii="Baskerville Old Face" w:hAnsi="Baskerville Old Face"/>
          <w:i/>
          <w:iCs/>
        </w:rPr>
        <w:lastRenderedPageBreak/>
        <w:t>• flood risk;</w:t>
      </w:r>
      <w:r w:rsidRPr="00B479AE">
        <w:rPr>
          <w:rFonts w:ascii="Baskerville Old Face" w:hAnsi="Baskerville Old Face"/>
          <w:i/>
          <w:iCs/>
        </w:rPr>
        <w:br/>
        <w:t>• watershed position;</w:t>
      </w:r>
      <w:r w:rsidRPr="00B479AE">
        <w:rPr>
          <w:rFonts w:ascii="Baskerville Old Face" w:hAnsi="Baskerville Old Face"/>
          <w:i/>
          <w:iCs/>
        </w:rPr>
        <w:br/>
        <w:t>• soil type;</w:t>
      </w:r>
      <w:r w:rsidRPr="00B479AE">
        <w:rPr>
          <w:rFonts w:ascii="Baskerville Old Face" w:hAnsi="Baskerville Old Face"/>
          <w:i/>
          <w:iCs/>
        </w:rPr>
        <w:br/>
        <w:t>• erosion risk;</w:t>
      </w:r>
      <w:r w:rsidRPr="00B479AE">
        <w:rPr>
          <w:rFonts w:ascii="Baskerville Old Face" w:hAnsi="Baskerville Old Face"/>
          <w:i/>
          <w:iCs/>
        </w:rPr>
        <w:br/>
        <w:t>• salinity risk;</w:t>
      </w:r>
      <w:r w:rsidRPr="00B479AE">
        <w:rPr>
          <w:rFonts w:ascii="Baskerville Old Face" w:hAnsi="Baskerville Old Face"/>
          <w:i/>
          <w:iCs/>
        </w:rPr>
        <w:br/>
        <w:t>• fire risk;</w:t>
      </w:r>
      <w:r w:rsidRPr="00B479AE">
        <w:rPr>
          <w:rFonts w:ascii="Baskerville Old Face" w:hAnsi="Baskerville Old Face"/>
          <w:i/>
          <w:iCs/>
        </w:rPr>
        <w:br/>
        <w:t>• biodiversity corridors;</w:t>
      </w:r>
      <w:r w:rsidRPr="00B479AE">
        <w:rPr>
          <w:rFonts w:ascii="Baskerville Old Face" w:hAnsi="Baskerville Old Face"/>
          <w:i/>
          <w:iCs/>
        </w:rPr>
        <w:br/>
        <w:t>• land-use history;</w:t>
      </w:r>
      <w:r w:rsidRPr="00B479AE">
        <w:rPr>
          <w:rFonts w:ascii="Baskerville Old Face" w:hAnsi="Baskerville Old Face"/>
          <w:i/>
          <w:iCs/>
        </w:rPr>
        <w:br/>
        <w:t>• agricultural system;</w:t>
      </w:r>
      <w:r w:rsidRPr="00B479AE">
        <w:rPr>
          <w:rFonts w:ascii="Baskerville Old Face" w:hAnsi="Baskerville Old Face"/>
          <w:i/>
          <w:iCs/>
        </w:rPr>
        <w:br/>
        <w:t>• cultural and community context;</w:t>
      </w:r>
      <w:r w:rsidRPr="00B479AE">
        <w:rPr>
          <w:rFonts w:ascii="Baskerville Old Face" w:hAnsi="Baskerville Old Face"/>
          <w:i/>
          <w:iCs/>
        </w:rPr>
        <w:br/>
        <w:t>• food-system dependency;</w:t>
      </w:r>
      <w:r w:rsidRPr="00B479AE">
        <w:rPr>
          <w:rFonts w:ascii="Baskerville Old Face" w:hAnsi="Baskerville Old Face"/>
          <w:i/>
          <w:iCs/>
        </w:rPr>
        <w:br/>
        <w:t>• infrastructure fragility;</w:t>
      </w:r>
      <w:r w:rsidRPr="00B479AE">
        <w:rPr>
          <w:rFonts w:ascii="Baskerville Old Face" w:hAnsi="Baskerville Old Face"/>
          <w:i/>
          <w:iCs/>
        </w:rPr>
        <w:br/>
        <w:t>• governance capacity;</w:t>
      </w:r>
      <w:r w:rsidRPr="00B479AE">
        <w:rPr>
          <w:rFonts w:ascii="Baskerville Old Face" w:hAnsi="Baskerville Old Face"/>
          <w:i/>
          <w:iCs/>
        </w:rPr>
        <w:br/>
        <w:t>• local knowledge.</w:t>
      </w:r>
    </w:p>
    <w:p w14:paraId="0B596E8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allows Prometheus to avoid universal metrics without context.</w:t>
      </w:r>
    </w:p>
    <w:p w14:paraId="71E4EF13" w14:textId="7A6070C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An indicator that matters in Sicily may not matter in the same way in Florida, the Andes, the Sahel, or a future off-world habitat.</w:t>
      </w:r>
      <w:r w:rsidR="001121B9">
        <w:rPr>
          <w:rFonts w:ascii="Baskerville Old Face" w:hAnsi="Baskerville Old Face"/>
          <w:i/>
          <w:iCs/>
        </w:rPr>
        <w:t xml:space="preserve"> </w:t>
      </w:r>
      <w:r w:rsidRPr="00B479AE">
        <w:rPr>
          <w:rFonts w:ascii="Baskerville Old Face" w:hAnsi="Baskerville Old Face"/>
          <w:i/>
          <w:iCs/>
        </w:rPr>
        <w:t>Prometheus therefore reads planetary boundaries through place.</w:t>
      </w:r>
      <w:r w:rsidR="00812032">
        <w:rPr>
          <w:rFonts w:ascii="Baskerville Old Face" w:hAnsi="Baskerville Old Face"/>
          <w:i/>
          <w:iCs/>
        </w:rPr>
        <w:t xml:space="preserve"> </w:t>
      </w:r>
      <w:r w:rsidRPr="00B479AE">
        <w:rPr>
          <w:rFonts w:ascii="Baskerville Old Face" w:hAnsi="Baskerville Old Face"/>
          <w:i/>
          <w:iCs/>
        </w:rPr>
        <w:t>The principle is:</w:t>
      </w:r>
    </w:p>
    <w:p w14:paraId="76B4B013" w14:textId="03BD8058"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planetary science sets the horizon;</w:t>
      </w:r>
      <w:r w:rsidRPr="00B479AE">
        <w:rPr>
          <w:rFonts w:ascii="Baskerville Old Face" w:hAnsi="Baskerville Old Face"/>
          <w:i/>
          <w:iCs/>
        </w:rPr>
        <w:br/>
        <w:t>bioregional reality sets the interpretation;</w:t>
      </w:r>
      <w:r w:rsidRPr="00B479AE">
        <w:rPr>
          <w:rFonts w:ascii="Baskerville Old Face" w:hAnsi="Baskerville Old Face"/>
          <w:i/>
          <w:iCs/>
        </w:rPr>
        <w:br/>
        <w:t>local evidence sets the claim.</w:t>
      </w:r>
      <w:r w:rsidR="002F74D9" w:rsidRPr="00B479AE">
        <w:rPr>
          <w:rFonts w:ascii="Baskerville Old Face" w:hAnsi="Baskerville Old Face"/>
          <w:i/>
          <w:iCs/>
        </w:rPr>
        <w:t xml:space="preserve"> </w:t>
      </w:r>
    </w:p>
    <w:p w14:paraId="230AD7E1" w14:textId="2A8778F7" w:rsidR="002F74D9" w:rsidRPr="00B479AE" w:rsidRDefault="002F74D9" w:rsidP="00C53243">
      <w:pPr>
        <w:spacing w:line="360" w:lineRule="auto"/>
        <w:rPr>
          <w:rFonts w:ascii="Baskerville Old Face" w:hAnsi="Baskerville Old Face"/>
          <w:i/>
          <w:iCs/>
        </w:rPr>
      </w:pPr>
      <w:r w:rsidRPr="00B479AE">
        <w:rPr>
          <w:rFonts w:ascii="Baskerville Old Face" w:hAnsi="Baskerville Old Face"/>
          <w:i/>
          <w:iCs/>
        </w:rPr>
        <w:t>A sustained decline in PHI, even while absolute values remain above critical thresholds, may trigger a yellow protective review signal, prompting proactive governance, MRV, ecological, or operational review before negative trends become harder to reverse.</w:t>
      </w:r>
    </w:p>
    <w:p w14:paraId="3078895B"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K.4 Planetary Health Index logic</w:t>
      </w:r>
    </w:p>
    <w:p w14:paraId="1B3A2AB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may use a Planetary Health Index, or PHI, as an analytical lens.</w:t>
      </w:r>
    </w:p>
    <w:p w14:paraId="2186AE3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should not be treated as a single sovereign number.</w:t>
      </w:r>
    </w:p>
    <w:p w14:paraId="46D5483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should be treated as a composite decision-support framework.</w:t>
      </w:r>
    </w:p>
    <w:p w14:paraId="7F41666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may help organize ecological and systemic indicators across domains such as:</w:t>
      </w:r>
    </w:p>
    <w:p w14:paraId="0B03B07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 soil function;</w:t>
      </w:r>
      <w:r w:rsidRPr="00B479AE">
        <w:rPr>
          <w:rFonts w:ascii="Baskerville Old Face" w:hAnsi="Baskerville Old Face"/>
          <w:i/>
          <w:iCs/>
        </w:rPr>
        <w:br/>
        <w:t>• water cycling;</w:t>
      </w:r>
      <w:r w:rsidRPr="00B479AE">
        <w:rPr>
          <w:rFonts w:ascii="Baskerville Old Face" w:hAnsi="Baskerville Old Face"/>
          <w:i/>
          <w:iCs/>
        </w:rPr>
        <w:br/>
        <w:t>• biodiversity;</w:t>
      </w:r>
      <w:r w:rsidRPr="00B479AE">
        <w:rPr>
          <w:rFonts w:ascii="Baskerville Old Face" w:hAnsi="Baskerville Old Face"/>
          <w:i/>
          <w:iCs/>
        </w:rPr>
        <w:br/>
        <w:t>• carbon dynamics;</w:t>
      </w:r>
      <w:r w:rsidRPr="00B479AE">
        <w:rPr>
          <w:rFonts w:ascii="Baskerville Old Face" w:hAnsi="Baskerville Old Face"/>
          <w:i/>
          <w:iCs/>
        </w:rPr>
        <w:br/>
        <w:t>• productive resilience;</w:t>
      </w:r>
      <w:r w:rsidRPr="00B479AE">
        <w:rPr>
          <w:rFonts w:ascii="Baskerville Old Face" w:hAnsi="Baskerville Old Face"/>
          <w:i/>
          <w:iCs/>
        </w:rPr>
        <w:br/>
        <w:t>• input dependency;</w:t>
      </w:r>
      <w:r w:rsidRPr="00B479AE">
        <w:rPr>
          <w:rFonts w:ascii="Baskerville Old Face" w:hAnsi="Baskerville Old Face"/>
          <w:i/>
          <w:iCs/>
        </w:rPr>
        <w:br/>
        <w:t>• pollution reduction;</w:t>
      </w:r>
      <w:r w:rsidRPr="00B479AE">
        <w:rPr>
          <w:rFonts w:ascii="Baskerville Old Face" w:hAnsi="Baskerville Old Face"/>
          <w:i/>
          <w:iCs/>
        </w:rPr>
        <w:br/>
        <w:t>• human nourishment;</w:t>
      </w:r>
      <w:r w:rsidRPr="00B479AE">
        <w:rPr>
          <w:rFonts w:ascii="Baskerville Old Face" w:hAnsi="Baskerville Old Face"/>
          <w:i/>
          <w:iCs/>
        </w:rPr>
        <w:br/>
        <w:t>• community resilience;</w:t>
      </w:r>
      <w:r w:rsidRPr="00B479AE">
        <w:rPr>
          <w:rFonts w:ascii="Baskerville Old Face" w:hAnsi="Baskerville Old Face"/>
          <w:i/>
          <w:iCs/>
        </w:rPr>
        <w:br/>
        <w:t>• governance maturity;</w:t>
      </w:r>
      <w:r w:rsidRPr="00B479AE">
        <w:rPr>
          <w:rFonts w:ascii="Baskerville Old Face" w:hAnsi="Baskerville Old Face"/>
          <w:i/>
          <w:iCs/>
        </w:rPr>
        <w:br/>
        <w:t>• evidence quality;</w:t>
      </w:r>
      <w:r w:rsidRPr="00B479AE">
        <w:rPr>
          <w:rFonts w:ascii="Baskerville Old Face" w:hAnsi="Baskerville Old Face"/>
          <w:i/>
          <w:iCs/>
        </w:rPr>
        <w:br/>
        <w:t>• continuity resilience.</w:t>
      </w:r>
    </w:p>
    <w:p w14:paraId="27951CF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PHI-style score may support:</w:t>
      </w:r>
    </w:p>
    <w:p w14:paraId="1E8627B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baseline understanding;</w:t>
      </w:r>
      <w:r w:rsidRPr="00B479AE">
        <w:rPr>
          <w:rFonts w:ascii="Baskerville Old Face" w:hAnsi="Baskerville Old Face"/>
          <w:i/>
          <w:iCs/>
        </w:rPr>
        <w:br/>
        <w:t>• pilot comparison;</w:t>
      </w:r>
      <w:r w:rsidRPr="00B479AE">
        <w:rPr>
          <w:rFonts w:ascii="Baskerville Old Face" w:hAnsi="Baskerville Old Face"/>
          <w:i/>
          <w:iCs/>
        </w:rPr>
        <w:br/>
        <w:t>• bioregional diagnosis;</w:t>
      </w:r>
      <w:r w:rsidRPr="00B479AE">
        <w:rPr>
          <w:rFonts w:ascii="Baskerville Old Face" w:hAnsi="Baskerville Old Face"/>
          <w:i/>
          <w:iCs/>
        </w:rPr>
        <w:br/>
        <w:t>• risk communication;</w:t>
      </w:r>
      <w:r w:rsidRPr="00B479AE">
        <w:rPr>
          <w:rFonts w:ascii="Baskerville Old Face" w:hAnsi="Baskerville Old Face"/>
          <w:i/>
          <w:iCs/>
        </w:rPr>
        <w:br/>
        <w:t>• MRV prioritization;</w:t>
      </w:r>
      <w:r w:rsidRPr="00B479AE">
        <w:rPr>
          <w:rFonts w:ascii="Baskerville Old Face" w:hAnsi="Baskerville Old Face"/>
          <w:i/>
          <w:iCs/>
        </w:rPr>
        <w:br/>
        <w:t>• PRU research;</w:t>
      </w:r>
      <w:r w:rsidRPr="00B479AE">
        <w:rPr>
          <w:rFonts w:ascii="Baskerville Old Face" w:hAnsi="Baskerville Old Face"/>
          <w:i/>
          <w:iCs/>
        </w:rPr>
        <w:br/>
        <w:t>• RAP portfolio screening;</w:t>
      </w:r>
      <w:r w:rsidRPr="00B479AE">
        <w:rPr>
          <w:rFonts w:ascii="Baskerville Old Face" w:hAnsi="Baskerville Old Face"/>
          <w:i/>
          <w:iCs/>
        </w:rPr>
        <w:br/>
        <w:t>• institutional diligence;</w:t>
      </w:r>
      <w:r w:rsidRPr="00B479AE">
        <w:rPr>
          <w:rFonts w:ascii="Baskerville Old Face" w:hAnsi="Baskerville Old Face"/>
          <w:i/>
          <w:iCs/>
        </w:rPr>
        <w:br/>
        <w:t>• capital-readiness review.</w:t>
      </w:r>
    </w:p>
    <w:p w14:paraId="1BAEA9D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should not automatically:</w:t>
      </w:r>
    </w:p>
    <w:p w14:paraId="16B586F4"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issue PRU value;</w:t>
      </w:r>
      <w:r w:rsidRPr="00B479AE">
        <w:rPr>
          <w:rFonts w:ascii="Baskerville Old Face" w:hAnsi="Baskerville Old Face"/>
          <w:i/>
          <w:iCs/>
        </w:rPr>
        <w:br/>
        <w:t>• approve RAP inclusion;</w:t>
      </w:r>
      <w:r w:rsidRPr="00B479AE">
        <w:rPr>
          <w:rFonts w:ascii="Baskerville Old Face" w:hAnsi="Baskerville Old Face"/>
          <w:i/>
          <w:iCs/>
        </w:rPr>
        <w:br/>
        <w:t>• trigger token issuance;</w:t>
      </w:r>
      <w:r w:rsidRPr="00B479AE">
        <w:rPr>
          <w:rFonts w:ascii="Baskerville Old Face" w:hAnsi="Baskerville Old Face"/>
          <w:i/>
          <w:iCs/>
        </w:rPr>
        <w:br/>
        <w:t>• determine investor rights;</w:t>
      </w:r>
      <w:r w:rsidRPr="00B479AE">
        <w:rPr>
          <w:rFonts w:ascii="Baskerville Old Face" w:hAnsi="Baskerville Old Face"/>
          <w:i/>
          <w:iCs/>
        </w:rPr>
        <w:br/>
        <w:t>• determine governance authority;</w:t>
      </w:r>
      <w:r w:rsidRPr="00B479AE">
        <w:rPr>
          <w:rFonts w:ascii="Baskerville Old Face" w:hAnsi="Baskerville Old Face"/>
          <w:i/>
          <w:iCs/>
        </w:rPr>
        <w:br/>
        <w:t>• replace MRV;</w:t>
      </w:r>
      <w:r w:rsidRPr="00B479AE">
        <w:rPr>
          <w:rFonts w:ascii="Baskerville Old Face" w:hAnsi="Baskerville Old Face"/>
          <w:i/>
          <w:iCs/>
        </w:rPr>
        <w:br/>
        <w:t>• replace scientific review;</w:t>
      </w:r>
      <w:r w:rsidRPr="00B479AE">
        <w:rPr>
          <w:rFonts w:ascii="Baskerville Old Face" w:hAnsi="Baskerville Old Face"/>
          <w:i/>
          <w:iCs/>
        </w:rPr>
        <w:br/>
        <w:t>• replace local stewardship judgment.</w:t>
      </w:r>
    </w:p>
    <w:p w14:paraId="1E77BB17" w14:textId="3B85D85A"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PHI is a compass.</w:t>
      </w:r>
      <w:r w:rsidR="00693436" w:rsidRPr="00B479AE">
        <w:rPr>
          <w:rFonts w:ascii="Baskerville Old Face" w:hAnsi="Baskerville Old Face"/>
          <w:i/>
          <w:iCs/>
        </w:rPr>
        <w:t xml:space="preserve"> </w:t>
      </w:r>
      <w:r w:rsidRPr="00B479AE">
        <w:rPr>
          <w:rFonts w:ascii="Baskerville Old Face" w:hAnsi="Baskerville Old Face"/>
          <w:i/>
          <w:iCs/>
        </w:rPr>
        <w:t>It is not a court.</w:t>
      </w:r>
    </w:p>
    <w:p w14:paraId="2E002560"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K.5 PHI domain structure</w:t>
      </w:r>
    </w:p>
    <w:p w14:paraId="56A6ADB7" w14:textId="2A27BA04"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Prometheus PHI framework may be organized into domains.</w:t>
      </w:r>
      <w:r w:rsidR="00356654"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5340"/>
        <w:gridCol w:w="2610"/>
      </w:tblGrid>
      <w:tr w:rsidR="00C53243" w:rsidRPr="001121B9" w14:paraId="28ACC21A" w14:textId="77777777" w:rsidTr="00356654">
        <w:trPr>
          <w:tblHeader/>
          <w:tblCellSpacing w:w="15" w:type="dxa"/>
        </w:trPr>
        <w:tc>
          <w:tcPr>
            <w:tcW w:w="0" w:type="auto"/>
            <w:vAlign w:val="center"/>
            <w:hideMark/>
          </w:tcPr>
          <w:p w14:paraId="53631727" w14:textId="77777777" w:rsidR="00C53243" w:rsidRPr="001121B9" w:rsidRDefault="00C53243" w:rsidP="00C53243">
            <w:pPr>
              <w:spacing w:line="360" w:lineRule="auto"/>
              <w:rPr>
                <w:rFonts w:ascii="Baskerville Old Face" w:hAnsi="Baskerville Old Face"/>
                <w:b/>
                <w:bCs/>
                <w:i/>
                <w:iCs/>
                <w:sz w:val="20"/>
                <w:szCs w:val="20"/>
              </w:rPr>
            </w:pPr>
            <w:r w:rsidRPr="001121B9">
              <w:rPr>
                <w:rFonts w:ascii="Baskerville Old Face" w:hAnsi="Baskerville Old Face"/>
                <w:b/>
                <w:bCs/>
                <w:i/>
                <w:iCs/>
                <w:sz w:val="20"/>
                <w:szCs w:val="20"/>
              </w:rPr>
              <w:t>PHI domain</w:t>
            </w:r>
          </w:p>
        </w:tc>
        <w:tc>
          <w:tcPr>
            <w:tcW w:w="0" w:type="auto"/>
            <w:vAlign w:val="center"/>
            <w:hideMark/>
          </w:tcPr>
          <w:p w14:paraId="1B7C0C8F" w14:textId="77777777" w:rsidR="00C53243" w:rsidRPr="001121B9" w:rsidRDefault="00C53243" w:rsidP="00C53243">
            <w:pPr>
              <w:spacing w:line="360" w:lineRule="auto"/>
              <w:rPr>
                <w:rFonts w:ascii="Baskerville Old Face" w:hAnsi="Baskerville Old Face"/>
                <w:b/>
                <w:bCs/>
                <w:i/>
                <w:iCs/>
                <w:sz w:val="20"/>
                <w:szCs w:val="20"/>
              </w:rPr>
            </w:pPr>
            <w:r w:rsidRPr="001121B9">
              <w:rPr>
                <w:rFonts w:ascii="Baskerville Old Face" w:hAnsi="Baskerville Old Face"/>
                <w:b/>
                <w:bCs/>
                <w:i/>
                <w:iCs/>
                <w:sz w:val="20"/>
                <w:szCs w:val="20"/>
              </w:rPr>
              <w:t>Example indicators</w:t>
            </w:r>
          </w:p>
        </w:tc>
        <w:tc>
          <w:tcPr>
            <w:tcW w:w="0" w:type="auto"/>
            <w:vAlign w:val="center"/>
            <w:hideMark/>
          </w:tcPr>
          <w:p w14:paraId="00FA982E" w14:textId="77777777" w:rsidR="00C53243" w:rsidRPr="001121B9" w:rsidRDefault="00C53243" w:rsidP="00C53243">
            <w:pPr>
              <w:spacing w:line="360" w:lineRule="auto"/>
              <w:rPr>
                <w:rFonts w:ascii="Baskerville Old Face" w:hAnsi="Baskerville Old Face"/>
                <w:b/>
                <w:bCs/>
                <w:i/>
                <w:iCs/>
                <w:sz w:val="20"/>
                <w:szCs w:val="20"/>
              </w:rPr>
            </w:pPr>
            <w:r w:rsidRPr="001121B9">
              <w:rPr>
                <w:rFonts w:ascii="Baskerville Old Face" w:hAnsi="Baskerville Old Face"/>
                <w:b/>
                <w:bCs/>
                <w:i/>
                <w:iCs/>
                <w:sz w:val="20"/>
                <w:szCs w:val="20"/>
              </w:rPr>
              <w:t>Use</w:t>
            </w:r>
          </w:p>
        </w:tc>
      </w:tr>
      <w:tr w:rsidR="00C53243" w:rsidRPr="001121B9" w14:paraId="3C47EABB" w14:textId="77777777" w:rsidTr="00356654">
        <w:trPr>
          <w:tblCellSpacing w:w="15" w:type="dxa"/>
        </w:trPr>
        <w:tc>
          <w:tcPr>
            <w:tcW w:w="0" w:type="auto"/>
            <w:vAlign w:val="center"/>
            <w:hideMark/>
          </w:tcPr>
          <w:p w14:paraId="069F2B6D"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Soil vitality</w:t>
            </w:r>
          </w:p>
        </w:tc>
        <w:tc>
          <w:tcPr>
            <w:tcW w:w="0" w:type="auto"/>
            <w:vAlign w:val="center"/>
            <w:hideMark/>
          </w:tcPr>
          <w:p w14:paraId="2351BA9F"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Organic matter, soil carbon, aggregate stability, infiltration, microbial indicators.</w:t>
            </w:r>
          </w:p>
        </w:tc>
        <w:tc>
          <w:tcPr>
            <w:tcW w:w="0" w:type="auto"/>
            <w:vAlign w:val="center"/>
            <w:hideMark/>
          </w:tcPr>
          <w:p w14:paraId="11712292"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Regenerative soil function.</w:t>
            </w:r>
          </w:p>
        </w:tc>
      </w:tr>
      <w:tr w:rsidR="00C53243" w:rsidRPr="001121B9" w14:paraId="34A77363" w14:textId="77777777" w:rsidTr="00356654">
        <w:trPr>
          <w:tblCellSpacing w:w="15" w:type="dxa"/>
        </w:trPr>
        <w:tc>
          <w:tcPr>
            <w:tcW w:w="0" w:type="auto"/>
            <w:vAlign w:val="center"/>
            <w:hideMark/>
          </w:tcPr>
          <w:p w14:paraId="2E04E628"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Water resilience</w:t>
            </w:r>
          </w:p>
        </w:tc>
        <w:tc>
          <w:tcPr>
            <w:tcW w:w="0" w:type="auto"/>
            <w:vAlign w:val="center"/>
            <w:hideMark/>
          </w:tcPr>
          <w:p w14:paraId="0CFE6300"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Infiltration, retention, irrigation reduction, runoff reduction, water quality.</w:t>
            </w:r>
          </w:p>
        </w:tc>
        <w:tc>
          <w:tcPr>
            <w:tcW w:w="0" w:type="auto"/>
            <w:vAlign w:val="center"/>
            <w:hideMark/>
          </w:tcPr>
          <w:p w14:paraId="1628C202"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Hydrological stability.</w:t>
            </w:r>
          </w:p>
        </w:tc>
      </w:tr>
      <w:tr w:rsidR="00C53243" w:rsidRPr="001121B9" w14:paraId="648D7092" w14:textId="77777777" w:rsidTr="00356654">
        <w:trPr>
          <w:tblCellSpacing w:w="15" w:type="dxa"/>
        </w:trPr>
        <w:tc>
          <w:tcPr>
            <w:tcW w:w="0" w:type="auto"/>
            <w:vAlign w:val="center"/>
            <w:hideMark/>
          </w:tcPr>
          <w:p w14:paraId="17025A55"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Biodiversity function</w:t>
            </w:r>
          </w:p>
        </w:tc>
        <w:tc>
          <w:tcPr>
            <w:tcW w:w="0" w:type="auto"/>
            <w:vAlign w:val="center"/>
            <w:hideMark/>
          </w:tcPr>
          <w:p w14:paraId="50503FA7"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Species richness, habitat structure, pollinators, functional diversity.</w:t>
            </w:r>
          </w:p>
        </w:tc>
        <w:tc>
          <w:tcPr>
            <w:tcW w:w="0" w:type="auto"/>
            <w:vAlign w:val="center"/>
            <w:hideMark/>
          </w:tcPr>
          <w:p w14:paraId="31A6BC2A"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Ecological resilience.</w:t>
            </w:r>
          </w:p>
        </w:tc>
      </w:tr>
      <w:tr w:rsidR="00C53243" w:rsidRPr="001121B9" w14:paraId="7988CF86" w14:textId="77777777" w:rsidTr="00356654">
        <w:trPr>
          <w:tblCellSpacing w:w="15" w:type="dxa"/>
        </w:trPr>
        <w:tc>
          <w:tcPr>
            <w:tcW w:w="0" w:type="auto"/>
            <w:vAlign w:val="center"/>
            <w:hideMark/>
          </w:tcPr>
          <w:p w14:paraId="21247EA9"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Carbon and biomass</w:t>
            </w:r>
          </w:p>
        </w:tc>
        <w:tc>
          <w:tcPr>
            <w:tcW w:w="0" w:type="auto"/>
            <w:vAlign w:val="center"/>
            <w:hideMark/>
          </w:tcPr>
          <w:p w14:paraId="101BE945"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Biomass return, perennial cover, carbon storage proxies, energy/input reduction.</w:t>
            </w:r>
          </w:p>
        </w:tc>
        <w:tc>
          <w:tcPr>
            <w:tcW w:w="0" w:type="auto"/>
            <w:vAlign w:val="center"/>
            <w:hideMark/>
          </w:tcPr>
          <w:p w14:paraId="19D0C7AC"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Climate-relevant performance.</w:t>
            </w:r>
          </w:p>
        </w:tc>
      </w:tr>
      <w:tr w:rsidR="00C53243" w:rsidRPr="001121B9" w14:paraId="1ED91E75" w14:textId="77777777" w:rsidTr="00356654">
        <w:trPr>
          <w:tblCellSpacing w:w="15" w:type="dxa"/>
        </w:trPr>
        <w:tc>
          <w:tcPr>
            <w:tcW w:w="0" w:type="auto"/>
            <w:vAlign w:val="center"/>
            <w:hideMark/>
          </w:tcPr>
          <w:p w14:paraId="108E30CF"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Productive resilience</w:t>
            </w:r>
          </w:p>
        </w:tc>
        <w:tc>
          <w:tcPr>
            <w:tcW w:w="0" w:type="auto"/>
            <w:vAlign w:val="center"/>
            <w:hideMark/>
          </w:tcPr>
          <w:p w14:paraId="39F322AE"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Yield diversity, input dependency, seasonal stability, edible biomass.</w:t>
            </w:r>
          </w:p>
        </w:tc>
        <w:tc>
          <w:tcPr>
            <w:tcW w:w="0" w:type="auto"/>
            <w:vAlign w:val="center"/>
            <w:hideMark/>
          </w:tcPr>
          <w:p w14:paraId="3F8650DE"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Food and economic viability.</w:t>
            </w:r>
          </w:p>
        </w:tc>
      </w:tr>
      <w:tr w:rsidR="00C53243" w:rsidRPr="001121B9" w14:paraId="6D0384C8" w14:textId="77777777" w:rsidTr="00356654">
        <w:trPr>
          <w:tblCellSpacing w:w="15" w:type="dxa"/>
        </w:trPr>
        <w:tc>
          <w:tcPr>
            <w:tcW w:w="0" w:type="auto"/>
            <w:vAlign w:val="center"/>
            <w:hideMark/>
          </w:tcPr>
          <w:p w14:paraId="0A721EC3"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Pollution reduction</w:t>
            </w:r>
          </w:p>
        </w:tc>
        <w:tc>
          <w:tcPr>
            <w:tcW w:w="0" w:type="auto"/>
            <w:vAlign w:val="center"/>
            <w:hideMark/>
          </w:tcPr>
          <w:p w14:paraId="5712D16A"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Chemical inputs, waste loops, nutrient leakage, material safety.</w:t>
            </w:r>
          </w:p>
        </w:tc>
        <w:tc>
          <w:tcPr>
            <w:tcW w:w="0" w:type="auto"/>
            <w:vAlign w:val="center"/>
            <w:hideMark/>
          </w:tcPr>
          <w:p w14:paraId="07F8C0A7"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Novel-entity and contamination risk.</w:t>
            </w:r>
          </w:p>
        </w:tc>
      </w:tr>
      <w:tr w:rsidR="00C53243" w:rsidRPr="001121B9" w14:paraId="02A7604E" w14:textId="77777777" w:rsidTr="00356654">
        <w:trPr>
          <w:tblCellSpacing w:w="15" w:type="dxa"/>
        </w:trPr>
        <w:tc>
          <w:tcPr>
            <w:tcW w:w="0" w:type="auto"/>
            <w:vAlign w:val="center"/>
            <w:hideMark/>
          </w:tcPr>
          <w:p w14:paraId="3B09DCC0"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Community resilience</w:t>
            </w:r>
          </w:p>
        </w:tc>
        <w:tc>
          <w:tcPr>
            <w:tcW w:w="0" w:type="auto"/>
            <w:vAlign w:val="center"/>
            <w:hideMark/>
          </w:tcPr>
          <w:p w14:paraId="04668167"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Local participation, stewardship continuity, food sovereignty, skills.</w:t>
            </w:r>
          </w:p>
        </w:tc>
        <w:tc>
          <w:tcPr>
            <w:tcW w:w="0" w:type="auto"/>
            <w:vAlign w:val="center"/>
            <w:hideMark/>
          </w:tcPr>
          <w:p w14:paraId="6B7F031D"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Social-ecological durability.</w:t>
            </w:r>
          </w:p>
        </w:tc>
      </w:tr>
      <w:tr w:rsidR="00C53243" w:rsidRPr="001121B9" w14:paraId="686D0D7C" w14:textId="77777777" w:rsidTr="00356654">
        <w:trPr>
          <w:tblCellSpacing w:w="15" w:type="dxa"/>
        </w:trPr>
        <w:tc>
          <w:tcPr>
            <w:tcW w:w="0" w:type="auto"/>
            <w:vAlign w:val="center"/>
            <w:hideMark/>
          </w:tcPr>
          <w:p w14:paraId="6A26520C"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Governance maturity</w:t>
            </w:r>
          </w:p>
        </w:tc>
        <w:tc>
          <w:tcPr>
            <w:tcW w:w="0" w:type="auto"/>
            <w:vAlign w:val="center"/>
            <w:hideMark/>
          </w:tcPr>
          <w:p w14:paraId="5B267BAA"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Role clarity, decision records, review pathways, conflict handling.</w:t>
            </w:r>
          </w:p>
        </w:tc>
        <w:tc>
          <w:tcPr>
            <w:tcW w:w="0" w:type="auto"/>
            <w:vAlign w:val="center"/>
            <w:hideMark/>
          </w:tcPr>
          <w:p w14:paraId="6E63096A"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Institutional resilience.</w:t>
            </w:r>
          </w:p>
        </w:tc>
      </w:tr>
      <w:tr w:rsidR="00C53243" w:rsidRPr="001121B9" w14:paraId="2191D157" w14:textId="77777777" w:rsidTr="00356654">
        <w:trPr>
          <w:tblCellSpacing w:w="15" w:type="dxa"/>
        </w:trPr>
        <w:tc>
          <w:tcPr>
            <w:tcW w:w="0" w:type="auto"/>
            <w:vAlign w:val="center"/>
            <w:hideMark/>
          </w:tcPr>
          <w:p w14:paraId="3AAB3021"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Evidence quality</w:t>
            </w:r>
          </w:p>
        </w:tc>
        <w:tc>
          <w:tcPr>
            <w:tcW w:w="0" w:type="auto"/>
            <w:vAlign w:val="center"/>
            <w:hideMark/>
          </w:tcPr>
          <w:p w14:paraId="546232E9"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Provenance, confidence, sampling, independent review, admissibility.</w:t>
            </w:r>
          </w:p>
        </w:tc>
        <w:tc>
          <w:tcPr>
            <w:tcW w:w="0" w:type="auto"/>
            <w:vAlign w:val="center"/>
            <w:hideMark/>
          </w:tcPr>
          <w:p w14:paraId="5647F514"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Claim reliability.</w:t>
            </w:r>
          </w:p>
        </w:tc>
      </w:tr>
      <w:tr w:rsidR="00C53243" w:rsidRPr="001121B9" w14:paraId="0885CD92" w14:textId="77777777" w:rsidTr="00356654">
        <w:trPr>
          <w:tblCellSpacing w:w="15" w:type="dxa"/>
        </w:trPr>
        <w:tc>
          <w:tcPr>
            <w:tcW w:w="0" w:type="auto"/>
            <w:vAlign w:val="center"/>
            <w:hideMark/>
          </w:tcPr>
          <w:p w14:paraId="7218BE9C"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b/>
                <w:bCs/>
                <w:i/>
                <w:iCs/>
                <w:sz w:val="20"/>
                <w:szCs w:val="20"/>
              </w:rPr>
              <w:t>Continuity resilience</w:t>
            </w:r>
          </w:p>
        </w:tc>
        <w:tc>
          <w:tcPr>
            <w:tcW w:w="0" w:type="auto"/>
            <w:vAlign w:val="center"/>
            <w:hideMark/>
          </w:tcPr>
          <w:p w14:paraId="3A5555DE"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Canonical records, offline archives, governance memory, recovery pathways.</w:t>
            </w:r>
          </w:p>
        </w:tc>
        <w:tc>
          <w:tcPr>
            <w:tcW w:w="0" w:type="auto"/>
            <w:vAlign w:val="center"/>
            <w:hideMark/>
          </w:tcPr>
          <w:p w14:paraId="76CBEE67" w14:textId="77777777" w:rsidR="00C53243" w:rsidRPr="001121B9" w:rsidRDefault="00C53243" w:rsidP="00C53243">
            <w:pPr>
              <w:spacing w:line="360" w:lineRule="auto"/>
              <w:rPr>
                <w:rFonts w:ascii="Baskerville Old Face" w:hAnsi="Baskerville Old Face"/>
                <w:i/>
                <w:iCs/>
                <w:sz w:val="20"/>
                <w:szCs w:val="20"/>
              </w:rPr>
            </w:pPr>
            <w:r w:rsidRPr="001121B9">
              <w:rPr>
                <w:rFonts w:ascii="Baskerville Old Face" w:hAnsi="Baskerville Old Face"/>
                <w:i/>
                <w:iCs/>
                <w:sz w:val="20"/>
                <w:szCs w:val="20"/>
              </w:rPr>
              <w:t>Long-term system survival.</w:t>
            </w:r>
          </w:p>
        </w:tc>
      </w:tr>
    </w:tbl>
    <w:p w14:paraId="102C201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Domains should be weighted according to methodology, site type, bioregion, pilot maturity, and intended use.</w:t>
      </w:r>
    </w:p>
    <w:p w14:paraId="07D8328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Weights should be documented.</w:t>
      </w:r>
    </w:p>
    <w:p w14:paraId="0C18326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Where weights are experimental, they should be labelled as research-use or pilot-use.</w:t>
      </w:r>
    </w:p>
    <w:p w14:paraId="4C0C16F9"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K.6 PHI evidence maturity</w:t>
      </w:r>
    </w:p>
    <w:p w14:paraId="06DA390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should incorporate evidence maturity.</w:t>
      </w:r>
    </w:p>
    <w:p w14:paraId="7CC9C07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An indicator should not be scored with high confidence merely because it is important.</w:t>
      </w:r>
    </w:p>
    <w:p w14:paraId="62E88A2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should be scored according to evidence strength.</w:t>
      </w:r>
    </w:p>
    <w:p w14:paraId="0E09424E" w14:textId="3FB23496"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PHI record may therefore include:</w:t>
      </w:r>
      <w:r w:rsidR="002D00A3"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5506"/>
      </w:tblGrid>
      <w:tr w:rsidR="00C53243" w:rsidRPr="00B479AE" w14:paraId="4E6E1A1C" w14:textId="77777777" w:rsidTr="00356654">
        <w:trPr>
          <w:tblHeader/>
          <w:tblCellSpacing w:w="15" w:type="dxa"/>
        </w:trPr>
        <w:tc>
          <w:tcPr>
            <w:tcW w:w="0" w:type="auto"/>
            <w:vAlign w:val="center"/>
            <w:hideMark/>
          </w:tcPr>
          <w:p w14:paraId="14416409" w14:textId="77777777" w:rsidR="00C53243" w:rsidRPr="00B479AE" w:rsidRDefault="00C53243" w:rsidP="00C53243">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Evidence level</w:t>
            </w:r>
          </w:p>
        </w:tc>
        <w:tc>
          <w:tcPr>
            <w:tcW w:w="0" w:type="auto"/>
            <w:vAlign w:val="center"/>
            <w:hideMark/>
          </w:tcPr>
          <w:p w14:paraId="2BA75B80" w14:textId="77777777" w:rsidR="00C53243" w:rsidRPr="00B479AE" w:rsidRDefault="00C53243" w:rsidP="00C53243">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C53243" w:rsidRPr="00B479AE" w14:paraId="2B4C3FF4" w14:textId="77777777" w:rsidTr="00356654">
        <w:trPr>
          <w:tblCellSpacing w:w="15" w:type="dxa"/>
        </w:trPr>
        <w:tc>
          <w:tcPr>
            <w:tcW w:w="0" w:type="auto"/>
            <w:vAlign w:val="center"/>
            <w:hideMark/>
          </w:tcPr>
          <w:p w14:paraId="70EC917D"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Narrative / claim</w:t>
            </w:r>
          </w:p>
        </w:tc>
        <w:tc>
          <w:tcPr>
            <w:tcW w:w="0" w:type="auto"/>
            <w:vAlign w:val="center"/>
            <w:hideMark/>
          </w:tcPr>
          <w:p w14:paraId="3E966923"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Meaningful but not yet evidenced.</w:t>
            </w:r>
          </w:p>
        </w:tc>
      </w:tr>
      <w:tr w:rsidR="00C53243" w:rsidRPr="00B479AE" w14:paraId="0C5565DE" w14:textId="77777777" w:rsidTr="00356654">
        <w:trPr>
          <w:tblCellSpacing w:w="15" w:type="dxa"/>
        </w:trPr>
        <w:tc>
          <w:tcPr>
            <w:tcW w:w="0" w:type="auto"/>
            <w:vAlign w:val="center"/>
            <w:hideMark/>
          </w:tcPr>
          <w:p w14:paraId="273E3E1F"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Observation</w:t>
            </w:r>
          </w:p>
        </w:tc>
        <w:tc>
          <w:tcPr>
            <w:tcW w:w="0" w:type="auto"/>
            <w:vAlign w:val="center"/>
            <w:hideMark/>
          </w:tcPr>
          <w:p w14:paraId="19E1F3DF"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Recorded field note, image, measurement, or testimony.</w:t>
            </w:r>
          </w:p>
        </w:tc>
      </w:tr>
      <w:tr w:rsidR="00C53243" w:rsidRPr="00B479AE" w14:paraId="5DA6700E" w14:textId="77777777" w:rsidTr="00356654">
        <w:trPr>
          <w:tblCellSpacing w:w="15" w:type="dxa"/>
        </w:trPr>
        <w:tc>
          <w:tcPr>
            <w:tcW w:w="0" w:type="auto"/>
            <w:vAlign w:val="center"/>
            <w:hideMark/>
          </w:tcPr>
          <w:p w14:paraId="43319D6F"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Evidence</w:t>
            </w:r>
          </w:p>
        </w:tc>
        <w:tc>
          <w:tcPr>
            <w:tcW w:w="0" w:type="auto"/>
            <w:vAlign w:val="center"/>
            <w:hideMark/>
          </w:tcPr>
          <w:p w14:paraId="61719678"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Observation with provenance and method.</w:t>
            </w:r>
          </w:p>
        </w:tc>
      </w:tr>
      <w:tr w:rsidR="00C53243" w:rsidRPr="00B479AE" w14:paraId="7FF84239" w14:textId="77777777" w:rsidTr="00356654">
        <w:trPr>
          <w:tblCellSpacing w:w="15" w:type="dxa"/>
        </w:trPr>
        <w:tc>
          <w:tcPr>
            <w:tcW w:w="0" w:type="auto"/>
            <w:vAlign w:val="center"/>
            <w:hideMark/>
          </w:tcPr>
          <w:p w14:paraId="5525A998"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Validated indicator</w:t>
            </w:r>
          </w:p>
        </w:tc>
        <w:tc>
          <w:tcPr>
            <w:tcW w:w="0" w:type="auto"/>
            <w:vAlign w:val="center"/>
            <w:hideMark/>
          </w:tcPr>
          <w:p w14:paraId="20E80443"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passed quality checks.</w:t>
            </w:r>
          </w:p>
        </w:tc>
      </w:tr>
      <w:tr w:rsidR="00C53243" w:rsidRPr="00B479AE" w14:paraId="6A7FF908" w14:textId="77777777" w:rsidTr="00356654">
        <w:trPr>
          <w:tblCellSpacing w:w="15" w:type="dxa"/>
        </w:trPr>
        <w:tc>
          <w:tcPr>
            <w:tcW w:w="0" w:type="auto"/>
            <w:vAlign w:val="center"/>
            <w:hideMark/>
          </w:tcPr>
          <w:p w14:paraId="72117446"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MRV-admissible</w:t>
            </w:r>
          </w:p>
        </w:tc>
        <w:tc>
          <w:tcPr>
            <w:tcW w:w="0" w:type="auto"/>
            <w:vAlign w:val="center"/>
            <w:hideMark/>
          </w:tcPr>
          <w:p w14:paraId="22A68D1B"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accepted for reporting under scope.</w:t>
            </w:r>
          </w:p>
        </w:tc>
      </w:tr>
      <w:tr w:rsidR="00C53243" w:rsidRPr="00B479AE" w14:paraId="15CC3F0E" w14:textId="77777777" w:rsidTr="00356654">
        <w:trPr>
          <w:tblCellSpacing w:w="15" w:type="dxa"/>
        </w:trPr>
        <w:tc>
          <w:tcPr>
            <w:tcW w:w="0" w:type="auto"/>
            <w:vAlign w:val="center"/>
            <w:hideMark/>
          </w:tcPr>
          <w:p w14:paraId="4A8198E6"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PRU-eligible</w:t>
            </w:r>
          </w:p>
        </w:tc>
        <w:tc>
          <w:tcPr>
            <w:tcW w:w="0" w:type="auto"/>
            <w:vAlign w:val="center"/>
            <w:hideMark/>
          </w:tcPr>
          <w:p w14:paraId="68D38618"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may contribute to PRU analysis under methodology.</w:t>
            </w:r>
          </w:p>
        </w:tc>
      </w:tr>
    </w:tbl>
    <w:p w14:paraId="579BCAF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prevents PHI from becoming decorative scoring.</w:t>
      </w:r>
    </w:p>
    <w:p w14:paraId="0EC709A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low-confidence indicator should remain low confidence even if it is emotionally or strategically important.</w:t>
      </w:r>
    </w:p>
    <w:p w14:paraId="04CA18E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should reward evidence maturity, not rhetorical intensity.</w:t>
      </w:r>
    </w:p>
    <w:p w14:paraId="7E057C4F"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K.7 Composite scoring caution</w:t>
      </w:r>
    </w:p>
    <w:p w14:paraId="337EE51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Composite indices can be useful.</w:t>
      </w:r>
    </w:p>
    <w:p w14:paraId="2626E5D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They can also hide uncertainty.</w:t>
      </w:r>
    </w:p>
    <w:p w14:paraId="3D4C3E1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Prometheus should therefore treat PHI scoring with caution.</w:t>
      </w:r>
    </w:p>
    <w:p w14:paraId="30F637F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Composite PHI outputs should disclose:</w:t>
      </w:r>
    </w:p>
    <w:p w14:paraId="70CEE3F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indicator list;</w:t>
      </w:r>
      <w:r w:rsidRPr="00B479AE">
        <w:rPr>
          <w:rFonts w:ascii="Baskerville Old Face" w:hAnsi="Baskerville Old Face"/>
          <w:i/>
          <w:iCs/>
        </w:rPr>
        <w:br/>
        <w:t>• data source;</w:t>
      </w:r>
      <w:r w:rsidRPr="00B479AE">
        <w:rPr>
          <w:rFonts w:ascii="Baskerville Old Face" w:hAnsi="Baskerville Old Face"/>
          <w:i/>
          <w:iCs/>
        </w:rPr>
        <w:br/>
        <w:t>• methodology version;</w:t>
      </w:r>
      <w:r w:rsidRPr="00B479AE">
        <w:rPr>
          <w:rFonts w:ascii="Baskerville Old Face" w:hAnsi="Baskerville Old Face"/>
          <w:i/>
          <w:iCs/>
        </w:rPr>
        <w:br/>
        <w:t>• weighting logic;</w:t>
      </w:r>
      <w:r w:rsidRPr="00B479AE">
        <w:rPr>
          <w:rFonts w:ascii="Baskerville Old Face" w:hAnsi="Baskerville Old Face"/>
          <w:i/>
          <w:iCs/>
        </w:rPr>
        <w:br/>
        <w:t>• confidence level;</w:t>
      </w:r>
      <w:r w:rsidRPr="00B479AE">
        <w:rPr>
          <w:rFonts w:ascii="Baskerville Old Face" w:hAnsi="Baskerville Old Face"/>
          <w:i/>
          <w:iCs/>
        </w:rPr>
        <w:br/>
        <w:t>• missing data;</w:t>
      </w:r>
      <w:r w:rsidRPr="00B479AE">
        <w:rPr>
          <w:rFonts w:ascii="Baskerville Old Face" w:hAnsi="Baskerville Old Face"/>
          <w:i/>
          <w:iCs/>
        </w:rPr>
        <w:br/>
        <w:t>• uncertainty;</w:t>
      </w:r>
      <w:r w:rsidRPr="00B479AE">
        <w:rPr>
          <w:rFonts w:ascii="Baskerville Old Face" w:hAnsi="Baskerville Old Face"/>
          <w:i/>
          <w:iCs/>
        </w:rPr>
        <w:br/>
        <w:t>• reviewer status;</w:t>
      </w:r>
      <w:r w:rsidRPr="00B479AE">
        <w:rPr>
          <w:rFonts w:ascii="Baskerville Old Face" w:hAnsi="Baskerville Old Face"/>
          <w:i/>
          <w:iCs/>
        </w:rPr>
        <w:br/>
        <w:t>• intended use;</w:t>
      </w:r>
      <w:r w:rsidRPr="00B479AE">
        <w:rPr>
          <w:rFonts w:ascii="Baskerville Old Face" w:hAnsi="Baskerville Old Face"/>
          <w:i/>
          <w:iCs/>
        </w:rPr>
        <w:br/>
        <w:t>• limitations;</w:t>
      </w:r>
      <w:r w:rsidRPr="00B479AE">
        <w:rPr>
          <w:rFonts w:ascii="Baskerville Old Face" w:hAnsi="Baskerville Old Face"/>
          <w:i/>
          <w:iCs/>
        </w:rPr>
        <w:br/>
        <w:t>• update date.</w:t>
      </w:r>
    </w:p>
    <w:p w14:paraId="4C0D3D2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PHI score should never be presented without its evidence profile.</w:t>
      </w:r>
    </w:p>
    <w:p w14:paraId="32EFA55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correct reporting format is not merely:</w:t>
      </w:r>
    </w:p>
    <w:p w14:paraId="2EA789F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 82.</w:t>
      </w:r>
    </w:p>
    <w:p w14:paraId="6C65D1B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correct reporting format is:</w:t>
      </w:r>
    </w:p>
    <w:p w14:paraId="192BC17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 82</w:t>
      </w:r>
      <w:r w:rsidRPr="00B479AE">
        <w:rPr>
          <w:rFonts w:ascii="Baskerville Old Face" w:hAnsi="Baskerville Old Face"/>
          <w:i/>
          <w:iCs/>
        </w:rPr>
        <w:br/>
        <w:t xml:space="preserve">methodology version: </w:t>
      </w:r>
      <w:proofErr w:type="spellStart"/>
      <w:r w:rsidRPr="00B479AE">
        <w:rPr>
          <w:rFonts w:ascii="Baskerville Old Face" w:hAnsi="Baskerville Old Face"/>
          <w:i/>
          <w:iCs/>
        </w:rPr>
        <w:t>vX</w:t>
      </w:r>
      <w:proofErr w:type="spellEnd"/>
      <w:r w:rsidRPr="00B479AE">
        <w:rPr>
          <w:rFonts w:ascii="Baskerville Old Face" w:hAnsi="Baskerville Old Face"/>
          <w:i/>
          <w:iCs/>
        </w:rPr>
        <w:br/>
        <w:t>confidence: moderate</w:t>
      </w:r>
      <w:r w:rsidRPr="00B479AE">
        <w:rPr>
          <w:rFonts w:ascii="Baskerville Old Face" w:hAnsi="Baskerville Old Face"/>
          <w:i/>
          <w:iCs/>
        </w:rPr>
        <w:br/>
        <w:t>missing data: biodiversity lab proxy unavailable</w:t>
      </w:r>
      <w:r w:rsidRPr="00B479AE">
        <w:rPr>
          <w:rFonts w:ascii="Baskerville Old Face" w:hAnsi="Baskerville Old Face"/>
          <w:i/>
          <w:iCs/>
        </w:rPr>
        <w:br/>
        <w:t>review status: internal review</w:t>
      </w:r>
      <w:r w:rsidRPr="00B479AE">
        <w:rPr>
          <w:rFonts w:ascii="Baskerville Old Face" w:hAnsi="Baskerville Old Face"/>
          <w:i/>
          <w:iCs/>
        </w:rPr>
        <w:br/>
        <w:t>use: pilot comparison only.</w:t>
      </w:r>
    </w:p>
    <w:p w14:paraId="3EA98D2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number becomes credible only when its boundary travels with it.</w:t>
      </w:r>
    </w:p>
    <w:p w14:paraId="29319CDA"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K.8 Boundary pressure profile</w:t>
      </w:r>
    </w:p>
    <w:p w14:paraId="6F5B1DA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may create a Boundary Pressure Profile for each project or bioregion.</w:t>
      </w:r>
    </w:p>
    <w:p w14:paraId="158C797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profile maps where a site may reduce or increase pressure in relation to planetary-boundary domains.</w:t>
      </w:r>
    </w:p>
    <w:p w14:paraId="491B905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Possible profile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6284"/>
      </w:tblGrid>
      <w:tr w:rsidR="00C53243" w:rsidRPr="00B479AE" w14:paraId="4DBF95C5" w14:textId="77777777" w:rsidTr="00356654">
        <w:trPr>
          <w:tblHeader/>
          <w:tblCellSpacing w:w="15" w:type="dxa"/>
        </w:trPr>
        <w:tc>
          <w:tcPr>
            <w:tcW w:w="0" w:type="auto"/>
            <w:vAlign w:val="center"/>
            <w:hideMark/>
          </w:tcPr>
          <w:p w14:paraId="417CF421" w14:textId="77777777" w:rsidR="00C53243" w:rsidRPr="00B479AE" w:rsidRDefault="00C53243" w:rsidP="00C53243">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Profile category</w:t>
            </w:r>
          </w:p>
        </w:tc>
        <w:tc>
          <w:tcPr>
            <w:tcW w:w="0" w:type="auto"/>
            <w:vAlign w:val="center"/>
            <w:hideMark/>
          </w:tcPr>
          <w:p w14:paraId="71AE7B5D" w14:textId="77777777" w:rsidR="00C53243" w:rsidRPr="00B479AE" w:rsidRDefault="00C53243" w:rsidP="00C53243">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r>
      <w:tr w:rsidR="00C53243" w:rsidRPr="00B479AE" w14:paraId="5FFD759A" w14:textId="77777777" w:rsidTr="00356654">
        <w:trPr>
          <w:tblCellSpacing w:w="15" w:type="dxa"/>
        </w:trPr>
        <w:tc>
          <w:tcPr>
            <w:tcW w:w="0" w:type="auto"/>
            <w:vAlign w:val="center"/>
            <w:hideMark/>
          </w:tcPr>
          <w:p w14:paraId="49E1917D"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Pressure-reducing</w:t>
            </w:r>
          </w:p>
        </w:tc>
        <w:tc>
          <w:tcPr>
            <w:tcW w:w="0" w:type="auto"/>
            <w:vAlign w:val="center"/>
            <w:hideMark/>
          </w:tcPr>
          <w:p w14:paraId="6D9749F7"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suggests intervention reduces pressure in a boundary domain.</w:t>
            </w:r>
          </w:p>
        </w:tc>
      </w:tr>
      <w:tr w:rsidR="00C53243" w:rsidRPr="00B479AE" w14:paraId="757635D8" w14:textId="77777777" w:rsidTr="00356654">
        <w:trPr>
          <w:tblCellSpacing w:w="15" w:type="dxa"/>
        </w:trPr>
        <w:tc>
          <w:tcPr>
            <w:tcW w:w="0" w:type="auto"/>
            <w:vAlign w:val="center"/>
            <w:hideMark/>
          </w:tcPr>
          <w:p w14:paraId="19956BF1"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Neutral / low relevance</w:t>
            </w:r>
          </w:p>
        </w:tc>
        <w:tc>
          <w:tcPr>
            <w:tcW w:w="0" w:type="auto"/>
            <w:vAlign w:val="center"/>
            <w:hideMark/>
          </w:tcPr>
          <w:p w14:paraId="145AAB9C"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Limited relationship to the boundary domain.</w:t>
            </w:r>
          </w:p>
        </w:tc>
      </w:tr>
      <w:tr w:rsidR="00C53243" w:rsidRPr="00B479AE" w14:paraId="6084F262" w14:textId="77777777" w:rsidTr="00356654">
        <w:trPr>
          <w:tblCellSpacing w:w="15" w:type="dxa"/>
        </w:trPr>
        <w:tc>
          <w:tcPr>
            <w:tcW w:w="0" w:type="auto"/>
            <w:vAlign w:val="center"/>
            <w:hideMark/>
          </w:tcPr>
          <w:p w14:paraId="52FC85D2"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Pressure-uncertain</w:t>
            </w:r>
          </w:p>
        </w:tc>
        <w:tc>
          <w:tcPr>
            <w:tcW w:w="0" w:type="auto"/>
            <w:vAlign w:val="center"/>
            <w:hideMark/>
          </w:tcPr>
          <w:p w14:paraId="3CA6A7ED"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 is insufficient or ambiguous.</w:t>
            </w:r>
          </w:p>
        </w:tc>
      </w:tr>
      <w:tr w:rsidR="00C53243" w:rsidRPr="00B479AE" w14:paraId="64D79B41" w14:textId="77777777" w:rsidTr="00356654">
        <w:trPr>
          <w:tblCellSpacing w:w="15" w:type="dxa"/>
        </w:trPr>
        <w:tc>
          <w:tcPr>
            <w:tcW w:w="0" w:type="auto"/>
            <w:vAlign w:val="center"/>
            <w:hideMark/>
          </w:tcPr>
          <w:p w14:paraId="675377C9"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Pressure-increasing risk</w:t>
            </w:r>
          </w:p>
        </w:tc>
        <w:tc>
          <w:tcPr>
            <w:tcW w:w="0" w:type="auto"/>
            <w:vAlign w:val="center"/>
            <w:hideMark/>
          </w:tcPr>
          <w:p w14:paraId="0827403A"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Potential negative effect requires review or mitigation.</w:t>
            </w:r>
          </w:p>
        </w:tc>
      </w:tr>
      <w:tr w:rsidR="00C53243" w:rsidRPr="00B479AE" w14:paraId="5D5DF931" w14:textId="77777777" w:rsidTr="00356654">
        <w:trPr>
          <w:tblCellSpacing w:w="15" w:type="dxa"/>
        </w:trPr>
        <w:tc>
          <w:tcPr>
            <w:tcW w:w="0" w:type="auto"/>
            <w:vAlign w:val="center"/>
            <w:hideMark/>
          </w:tcPr>
          <w:p w14:paraId="3E6BF091"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High concern</w:t>
            </w:r>
          </w:p>
        </w:tc>
        <w:tc>
          <w:tcPr>
            <w:tcW w:w="0" w:type="auto"/>
            <w:vAlign w:val="center"/>
            <w:hideMark/>
          </w:tcPr>
          <w:p w14:paraId="4DF8D05A"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Serious risk to ecological integrity or public claim reliability.</w:t>
            </w:r>
          </w:p>
        </w:tc>
      </w:tr>
    </w:tbl>
    <w:p w14:paraId="792DA73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Boundary pressure profiles support:</w:t>
      </w:r>
    </w:p>
    <w:p w14:paraId="6775B23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design review;</w:t>
      </w:r>
      <w:r w:rsidRPr="00B479AE">
        <w:rPr>
          <w:rFonts w:ascii="Baskerville Old Face" w:hAnsi="Baskerville Old Face"/>
          <w:i/>
          <w:iCs/>
        </w:rPr>
        <w:br/>
        <w:t>• MRV prioritization;</w:t>
      </w:r>
      <w:r w:rsidRPr="00B479AE">
        <w:rPr>
          <w:rFonts w:ascii="Baskerville Old Face" w:hAnsi="Baskerville Old Face"/>
          <w:i/>
          <w:iCs/>
        </w:rPr>
        <w:br/>
        <w:t>• risk disclosure;</w:t>
      </w:r>
      <w:r w:rsidRPr="00B479AE">
        <w:rPr>
          <w:rFonts w:ascii="Baskerville Old Face" w:hAnsi="Baskerville Old Face"/>
          <w:i/>
          <w:iCs/>
        </w:rPr>
        <w:br/>
        <w:t>• intervention redesign;</w:t>
      </w:r>
      <w:r w:rsidRPr="00B479AE">
        <w:rPr>
          <w:rFonts w:ascii="Baskerville Old Face" w:hAnsi="Baskerville Old Face"/>
          <w:i/>
          <w:iCs/>
        </w:rPr>
        <w:br/>
        <w:t>• PRU analysis;</w:t>
      </w:r>
      <w:r w:rsidRPr="00B479AE">
        <w:rPr>
          <w:rFonts w:ascii="Baskerville Old Face" w:hAnsi="Baskerville Old Face"/>
          <w:i/>
          <w:iCs/>
        </w:rPr>
        <w:br/>
        <w:t>• RAP portfolio screening;</w:t>
      </w:r>
      <w:r w:rsidRPr="00B479AE">
        <w:rPr>
          <w:rFonts w:ascii="Baskerville Old Face" w:hAnsi="Baskerville Old Face"/>
          <w:i/>
          <w:iCs/>
        </w:rPr>
        <w:br/>
        <w:t>• investor diligence;</w:t>
      </w:r>
      <w:r w:rsidRPr="00B479AE">
        <w:rPr>
          <w:rFonts w:ascii="Baskerville Old Face" w:hAnsi="Baskerville Old Face"/>
          <w:i/>
          <w:iCs/>
        </w:rPr>
        <w:br/>
        <w:t>• public communication discipline.</w:t>
      </w:r>
    </w:p>
    <w:p w14:paraId="2942C6EB"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They should not become automatic enforcement.</w:t>
      </w:r>
    </w:p>
    <w:p w14:paraId="01D5DE2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They are ecological intelligence for review.</w:t>
      </w:r>
    </w:p>
    <w:p w14:paraId="4C240CEB" w14:textId="3B0B0C58"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K.9 MRV Review and Verification Network</w:t>
      </w:r>
    </w:p>
    <w:p w14:paraId="1E10710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network may include:</w:t>
      </w:r>
    </w:p>
    <w:p w14:paraId="77CD1BB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soil scientists;</w:t>
      </w:r>
      <w:r w:rsidRPr="00B479AE">
        <w:rPr>
          <w:rFonts w:ascii="Baskerville Old Face" w:hAnsi="Baskerville Old Face"/>
          <w:i/>
          <w:iCs/>
        </w:rPr>
        <w:br/>
        <w:t>• ecologists;</w:t>
      </w:r>
      <w:r w:rsidRPr="00B479AE">
        <w:rPr>
          <w:rFonts w:ascii="Baskerville Old Face" w:hAnsi="Baskerville Old Face"/>
          <w:i/>
          <w:iCs/>
        </w:rPr>
        <w:br/>
        <w:t>• hydrologists;</w:t>
      </w:r>
      <w:r w:rsidRPr="00B479AE">
        <w:rPr>
          <w:rFonts w:ascii="Baskerville Old Face" w:hAnsi="Baskerville Old Face"/>
          <w:i/>
          <w:iCs/>
        </w:rPr>
        <w:br/>
        <w:t>• agroecologists;</w:t>
      </w:r>
      <w:r w:rsidRPr="00B479AE">
        <w:rPr>
          <w:rFonts w:ascii="Baskerville Old Face" w:hAnsi="Baskerville Old Face"/>
          <w:i/>
          <w:iCs/>
        </w:rPr>
        <w:br/>
        <w:t>• biodiversity specialists;</w:t>
      </w:r>
      <w:r w:rsidRPr="00B479AE">
        <w:rPr>
          <w:rFonts w:ascii="Baskerville Old Face" w:hAnsi="Baskerville Old Face"/>
          <w:i/>
          <w:iCs/>
        </w:rPr>
        <w:br/>
        <w:t>• remote-sensing analysts;</w:t>
      </w:r>
      <w:r w:rsidRPr="00B479AE">
        <w:rPr>
          <w:rFonts w:ascii="Baskerville Old Face" w:hAnsi="Baskerville Old Face"/>
          <w:i/>
          <w:iCs/>
        </w:rPr>
        <w:br/>
      </w:r>
      <w:r w:rsidRPr="00B479AE">
        <w:rPr>
          <w:rFonts w:ascii="Baskerville Old Face" w:hAnsi="Baskerville Old Face"/>
          <w:i/>
          <w:iCs/>
        </w:rPr>
        <w:lastRenderedPageBreak/>
        <w:t>• field auditors;</w:t>
      </w:r>
      <w:r w:rsidRPr="00B479AE">
        <w:rPr>
          <w:rFonts w:ascii="Baskerville Old Face" w:hAnsi="Baskerville Old Face"/>
          <w:i/>
          <w:iCs/>
        </w:rPr>
        <w:br/>
        <w:t>• laboratories;</w:t>
      </w:r>
      <w:r w:rsidRPr="00B479AE">
        <w:rPr>
          <w:rFonts w:ascii="Baskerville Old Face" w:hAnsi="Baskerville Old Face"/>
          <w:i/>
          <w:iCs/>
        </w:rPr>
        <w:br/>
        <w:t>• local stewards;</w:t>
      </w:r>
      <w:r w:rsidRPr="00B479AE">
        <w:rPr>
          <w:rFonts w:ascii="Baskerville Old Face" w:hAnsi="Baskerville Old Face"/>
          <w:i/>
          <w:iCs/>
        </w:rPr>
        <w:br/>
        <w:t>• indigenous or traditional ecological knowledge holders where appropriate and consented;</w:t>
      </w:r>
      <w:r w:rsidRPr="00B479AE">
        <w:rPr>
          <w:rFonts w:ascii="Baskerville Old Face" w:hAnsi="Baskerville Old Face"/>
          <w:i/>
          <w:iCs/>
        </w:rPr>
        <w:br/>
        <w:t>• bioregional experts;</w:t>
      </w:r>
      <w:r w:rsidRPr="00B479AE">
        <w:rPr>
          <w:rFonts w:ascii="Baskerville Old Face" w:hAnsi="Baskerville Old Face"/>
          <w:i/>
          <w:iCs/>
        </w:rPr>
        <w:br/>
        <w:t>• methodology reviewers;</w:t>
      </w:r>
      <w:r w:rsidRPr="00B479AE">
        <w:rPr>
          <w:rFonts w:ascii="Baskerville Old Face" w:hAnsi="Baskerville Old Face"/>
          <w:i/>
          <w:iCs/>
        </w:rPr>
        <w:br/>
        <w:t>• legal or reporting reviewers where necessary.</w:t>
      </w:r>
    </w:p>
    <w:p w14:paraId="12AC42B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network does not act as an oracle.</w:t>
      </w:r>
    </w:p>
    <w:p w14:paraId="758787F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reviews evidence.</w:t>
      </w:r>
    </w:p>
    <w:p w14:paraId="6B79199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validates methods.</w:t>
      </w:r>
    </w:p>
    <w:p w14:paraId="1FD80C6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identifies uncertainty.</w:t>
      </w:r>
    </w:p>
    <w:p w14:paraId="3E5F9A3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supports admissibility.</w:t>
      </w:r>
    </w:p>
    <w:p w14:paraId="74ABF39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improves interpretation.</w:t>
      </w:r>
    </w:p>
    <w:p w14:paraId="03ABD56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brings plural intelligence into disciplined review.</w:t>
      </w:r>
    </w:p>
    <w:p w14:paraId="7225734D"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does not need ecological prophecy.</w:t>
      </w:r>
    </w:p>
    <w:p w14:paraId="21C5505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needs accountable ecological verification.</w:t>
      </w:r>
    </w:p>
    <w:p w14:paraId="3B3BF569"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K.10 Integration with MRV</w:t>
      </w:r>
    </w:p>
    <w:p w14:paraId="0642874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and planetary-boundary logic should integrate with MRV through evidence classification.</w:t>
      </w:r>
    </w:p>
    <w:p w14:paraId="414B6E6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Each PHI or boundary-related indicator should reference:</w:t>
      </w:r>
    </w:p>
    <w:p w14:paraId="05D647B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data source;</w:t>
      </w:r>
      <w:r w:rsidRPr="00B479AE">
        <w:rPr>
          <w:rFonts w:ascii="Baskerville Old Face" w:hAnsi="Baskerville Old Face"/>
          <w:i/>
          <w:iCs/>
        </w:rPr>
        <w:br/>
        <w:t>• methodology version;</w:t>
      </w:r>
      <w:r w:rsidRPr="00B479AE">
        <w:rPr>
          <w:rFonts w:ascii="Baskerville Old Face" w:hAnsi="Baskerville Old Face"/>
          <w:i/>
          <w:iCs/>
        </w:rPr>
        <w:br/>
        <w:t>• evidence maturity;</w:t>
      </w:r>
      <w:r w:rsidRPr="00B479AE">
        <w:rPr>
          <w:rFonts w:ascii="Baskerville Old Face" w:hAnsi="Baskerville Old Face"/>
          <w:i/>
          <w:iCs/>
        </w:rPr>
        <w:br/>
        <w:t>• confidence score;</w:t>
      </w:r>
      <w:r w:rsidRPr="00B479AE">
        <w:rPr>
          <w:rFonts w:ascii="Baskerville Old Face" w:hAnsi="Baskerville Old Face"/>
          <w:i/>
          <w:iCs/>
        </w:rPr>
        <w:br/>
        <w:t>• reviewer status;</w:t>
      </w:r>
      <w:r w:rsidRPr="00B479AE">
        <w:rPr>
          <w:rFonts w:ascii="Baskerville Old Face" w:hAnsi="Baskerville Old Face"/>
          <w:i/>
          <w:iCs/>
        </w:rPr>
        <w:br/>
        <w:t>• admissibility status;</w:t>
      </w:r>
      <w:r w:rsidRPr="00B479AE">
        <w:rPr>
          <w:rFonts w:ascii="Baskerville Old Face" w:hAnsi="Baskerville Old Face"/>
          <w:i/>
          <w:iCs/>
        </w:rPr>
        <w:br/>
      </w:r>
      <w:r w:rsidRPr="00B479AE">
        <w:rPr>
          <w:rFonts w:ascii="Baskerville Old Face" w:hAnsi="Baskerville Old Face"/>
          <w:i/>
          <w:iCs/>
        </w:rPr>
        <w:lastRenderedPageBreak/>
        <w:t>• reporting boundary;</w:t>
      </w:r>
      <w:r w:rsidRPr="00B479AE">
        <w:rPr>
          <w:rFonts w:ascii="Baskerville Old Face" w:hAnsi="Baskerville Old Face"/>
          <w:i/>
          <w:iCs/>
        </w:rPr>
        <w:br/>
        <w:t>• update frequency.</w:t>
      </w:r>
    </w:p>
    <w:p w14:paraId="088943F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MRV should determine whether PHI-relevant evidence is:</w:t>
      </w:r>
    </w:p>
    <w:p w14:paraId="15004AF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claim;</w:t>
      </w:r>
      <w:r w:rsidRPr="00B479AE">
        <w:rPr>
          <w:rFonts w:ascii="Baskerville Old Face" w:hAnsi="Baskerville Old Face"/>
          <w:i/>
          <w:iCs/>
        </w:rPr>
        <w:br/>
        <w:t>• observation;</w:t>
      </w:r>
      <w:r w:rsidRPr="00B479AE">
        <w:rPr>
          <w:rFonts w:ascii="Baskerville Old Face" w:hAnsi="Baskerville Old Face"/>
          <w:i/>
          <w:iCs/>
        </w:rPr>
        <w:br/>
        <w:t>• evidence;</w:t>
      </w:r>
      <w:r w:rsidRPr="00B479AE">
        <w:rPr>
          <w:rFonts w:ascii="Baskerville Old Face" w:hAnsi="Baskerville Old Face"/>
          <w:i/>
          <w:iCs/>
        </w:rPr>
        <w:br/>
        <w:t>• validated indicator;</w:t>
      </w:r>
      <w:r w:rsidRPr="00B479AE">
        <w:rPr>
          <w:rFonts w:ascii="Baskerville Old Face" w:hAnsi="Baskerville Old Face"/>
          <w:i/>
          <w:iCs/>
        </w:rPr>
        <w:br/>
        <w:t>• research-use only;</w:t>
      </w:r>
      <w:r w:rsidRPr="00B479AE">
        <w:rPr>
          <w:rFonts w:ascii="Baskerville Old Face" w:hAnsi="Baskerville Old Face"/>
          <w:i/>
          <w:iCs/>
        </w:rPr>
        <w:br/>
        <w:t>• MRV-admissible;</w:t>
      </w:r>
      <w:r w:rsidRPr="00B479AE">
        <w:rPr>
          <w:rFonts w:ascii="Baskerville Old Face" w:hAnsi="Baskerville Old Face"/>
          <w:i/>
          <w:iCs/>
        </w:rPr>
        <w:br/>
        <w:t>• PRU-eligible;</w:t>
      </w:r>
      <w:r w:rsidRPr="00B479AE">
        <w:rPr>
          <w:rFonts w:ascii="Baskerville Old Face" w:hAnsi="Baskerville Old Face"/>
          <w:i/>
          <w:iCs/>
        </w:rPr>
        <w:br/>
        <w:t>• non-admissible.</w:t>
      </w:r>
    </w:p>
    <w:p w14:paraId="4747E9F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keeps PHI from becoming a parallel authority.</w:t>
      </w:r>
    </w:p>
    <w:p w14:paraId="2CE6E66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organizes ecological meaning.</w:t>
      </w:r>
    </w:p>
    <w:p w14:paraId="31227A3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MRV verifies ecological evidence.</w:t>
      </w:r>
    </w:p>
    <w:p w14:paraId="31CDF1E3"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K.11 Integration with PRU</w:t>
      </w:r>
    </w:p>
    <w:p w14:paraId="44C568E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may inform PRU analysis only through approved methodology.</w:t>
      </w:r>
    </w:p>
    <w:p w14:paraId="6456652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Possible PHI-to-PRU relationships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5626"/>
      </w:tblGrid>
      <w:tr w:rsidR="00C53243" w:rsidRPr="00B479AE" w14:paraId="40525F92" w14:textId="77777777" w:rsidTr="00356654">
        <w:trPr>
          <w:tblHeader/>
          <w:tblCellSpacing w:w="15" w:type="dxa"/>
        </w:trPr>
        <w:tc>
          <w:tcPr>
            <w:tcW w:w="0" w:type="auto"/>
            <w:vAlign w:val="center"/>
            <w:hideMark/>
          </w:tcPr>
          <w:p w14:paraId="6173269D" w14:textId="77777777" w:rsidR="00C53243" w:rsidRPr="00B479AE" w:rsidRDefault="00C53243" w:rsidP="00C53243">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PHI role</w:t>
            </w:r>
          </w:p>
        </w:tc>
        <w:tc>
          <w:tcPr>
            <w:tcW w:w="0" w:type="auto"/>
            <w:vAlign w:val="center"/>
            <w:hideMark/>
          </w:tcPr>
          <w:p w14:paraId="199D3DA3" w14:textId="77777777" w:rsidR="00C53243" w:rsidRPr="00B479AE" w:rsidRDefault="00C53243" w:rsidP="00C53243">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PRU implication</w:t>
            </w:r>
          </w:p>
        </w:tc>
      </w:tr>
      <w:tr w:rsidR="00C53243" w:rsidRPr="00B479AE" w14:paraId="2D496F44" w14:textId="77777777" w:rsidTr="00356654">
        <w:trPr>
          <w:tblCellSpacing w:w="15" w:type="dxa"/>
        </w:trPr>
        <w:tc>
          <w:tcPr>
            <w:tcW w:w="0" w:type="auto"/>
            <w:vAlign w:val="center"/>
            <w:hideMark/>
          </w:tcPr>
          <w:p w14:paraId="33293736"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Contextual baseline</w:t>
            </w:r>
          </w:p>
        </w:tc>
        <w:tc>
          <w:tcPr>
            <w:tcW w:w="0" w:type="auto"/>
            <w:vAlign w:val="center"/>
            <w:hideMark/>
          </w:tcPr>
          <w:p w14:paraId="4F37DDEB"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Helps describe initial ecological condition.</w:t>
            </w:r>
          </w:p>
        </w:tc>
      </w:tr>
      <w:tr w:rsidR="00C53243" w:rsidRPr="00B479AE" w14:paraId="085C37C9" w14:textId="77777777" w:rsidTr="00356654">
        <w:trPr>
          <w:tblCellSpacing w:w="15" w:type="dxa"/>
        </w:trPr>
        <w:tc>
          <w:tcPr>
            <w:tcW w:w="0" w:type="auto"/>
            <w:vAlign w:val="center"/>
            <w:hideMark/>
          </w:tcPr>
          <w:p w14:paraId="753E56F2"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Indicator family</w:t>
            </w:r>
          </w:p>
        </w:tc>
        <w:tc>
          <w:tcPr>
            <w:tcW w:w="0" w:type="auto"/>
            <w:vAlign w:val="center"/>
            <w:hideMark/>
          </w:tcPr>
          <w:p w14:paraId="739A7A8C"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Helps select relevant indicators.</w:t>
            </w:r>
          </w:p>
        </w:tc>
      </w:tr>
      <w:tr w:rsidR="00C53243" w:rsidRPr="00B479AE" w14:paraId="25FCAD38" w14:textId="77777777" w:rsidTr="00356654">
        <w:trPr>
          <w:tblCellSpacing w:w="15" w:type="dxa"/>
        </w:trPr>
        <w:tc>
          <w:tcPr>
            <w:tcW w:w="0" w:type="auto"/>
            <w:vAlign w:val="center"/>
            <w:hideMark/>
          </w:tcPr>
          <w:p w14:paraId="54D4D549"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Risk screen</w:t>
            </w:r>
          </w:p>
        </w:tc>
        <w:tc>
          <w:tcPr>
            <w:tcW w:w="0" w:type="auto"/>
            <w:vAlign w:val="center"/>
            <w:hideMark/>
          </w:tcPr>
          <w:p w14:paraId="0407455D"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Flags ecological domains requiring stronger evidence.</w:t>
            </w:r>
          </w:p>
        </w:tc>
      </w:tr>
      <w:tr w:rsidR="00C53243" w:rsidRPr="00B479AE" w14:paraId="0224A5DA" w14:textId="77777777" w:rsidTr="00356654">
        <w:trPr>
          <w:tblCellSpacing w:w="15" w:type="dxa"/>
        </w:trPr>
        <w:tc>
          <w:tcPr>
            <w:tcW w:w="0" w:type="auto"/>
            <w:vAlign w:val="center"/>
            <w:hideMark/>
          </w:tcPr>
          <w:p w14:paraId="698E0C2B"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Confidence input</w:t>
            </w:r>
          </w:p>
        </w:tc>
        <w:tc>
          <w:tcPr>
            <w:tcW w:w="0" w:type="auto"/>
            <w:vAlign w:val="center"/>
            <w:hideMark/>
          </w:tcPr>
          <w:p w14:paraId="0975AAC3"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May support confidence adjustment where methodology allows.</w:t>
            </w:r>
          </w:p>
        </w:tc>
      </w:tr>
      <w:tr w:rsidR="00C53243" w:rsidRPr="00B479AE" w14:paraId="0D279B47" w14:textId="77777777" w:rsidTr="00356654">
        <w:trPr>
          <w:tblCellSpacing w:w="15" w:type="dxa"/>
        </w:trPr>
        <w:tc>
          <w:tcPr>
            <w:tcW w:w="0" w:type="auto"/>
            <w:vAlign w:val="center"/>
            <w:hideMark/>
          </w:tcPr>
          <w:p w14:paraId="52FB59B6"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Performance signal</w:t>
            </w:r>
          </w:p>
        </w:tc>
        <w:tc>
          <w:tcPr>
            <w:tcW w:w="0" w:type="auto"/>
            <w:vAlign w:val="center"/>
            <w:hideMark/>
          </w:tcPr>
          <w:p w14:paraId="0FAD79D5"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May contribute to PRU analysis if MRV-admissible.</w:t>
            </w:r>
          </w:p>
        </w:tc>
      </w:tr>
      <w:tr w:rsidR="00C53243" w:rsidRPr="00B479AE" w14:paraId="6B7A3AF3" w14:textId="77777777" w:rsidTr="00356654">
        <w:trPr>
          <w:tblCellSpacing w:w="15" w:type="dxa"/>
        </w:trPr>
        <w:tc>
          <w:tcPr>
            <w:tcW w:w="0" w:type="auto"/>
            <w:vAlign w:val="center"/>
            <w:hideMark/>
          </w:tcPr>
          <w:p w14:paraId="437C9D6D"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Portfolio screen</w:t>
            </w:r>
          </w:p>
        </w:tc>
        <w:tc>
          <w:tcPr>
            <w:tcW w:w="0" w:type="auto"/>
            <w:vAlign w:val="center"/>
            <w:hideMark/>
          </w:tcPr>
          <w:p w14:paraId="1EB04600" w14:textId="77777777" w:rsidR="00C53243" w:rsidRPr="00B479AE" w:rsidRDefault="00C53243" w:rsidP="00C53243">
            <w:pPr>
              <w:spacing w:line="360" w:lineRule="auto"/>
              <w:rPr>
                <w:rFonts w:ascii="Baskerville Old Face" w:hAnsi="Baskerville Old Face"/>
                <w:i/>
                <w:iCs/>
                <w:sz w:val="22"/>
                <w:szCs w:val="22"/>
              </w:rPr>
            </w:pPr>
            <w:r w:rsidRPr="00B479AE">
              <w:rPr>
                <w:rFonts w:ascii="Baskerville Old Face" w:hAnsi="Baskerville Old Face"/>
                <w:i/>
                <w:iCs/>
                <w:sz w:val="22"/>
                <w:szCs w:val="22"/>
              </w:rPr>
              <w:t>May help compare PRU-relevant units for RAP review.</w:t>
            </w:r>
          </w:p>
        </w:tc>
      </w:tr>
    </w:tbl>
    <w:p w14:paraId="4B346B0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PHI should not directly create PRU value.</w:t>
      </w:r>
    </w:p>
    <w:p w14:paraId="34FA8AA4"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may support PRU only when underlying indicators are evidence-backed, methodology-aligned, and admissible.</w:t>
      </w:r>
    </w:p>
    <w:p w14:paraId="0AA577AB"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PRU rule remains:</w:t>
      </w:r>
    </w:p>
    <w:p w14:paraId="08EC968B" w14:textId="5FEC4421"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verified regenerative performance first;</w:t>
      </w:r>
      <w:r w:rsidRPr="00B479AE">
        <w:rPr>
          <w:rFonts w:ascii="Baskerville Old Face" w:hAnsi="Baskerville Old Face"/>
          <w:i/>
          <w:iCs/>
        </w:rPr>
        <w:br/>
      </w:r>
      <w:r w:rsidR="003A1979" w:rsidRPr="00B479AE">
        <w:rPr>
          <w:rFonts w:ascii="Baskerville Old Face" w:hAnsi="Baskerville Old Face"/>
          <w:i/>
          <w:iCs/>
        </w:rPr>
        <w:t>value-analysis interface</w:t>
      </w:r>
      <w:r w:rsidR="00A15B86" w:rsidRPr="00B479AE">
        <w:rPr>
          <w:rFonts w:ascii="Baskerville Old Face" w:hAnsi="Baskerville Old Face"/>
          <w:i/>
          <w:iCs/>
        </w:rPr>
        <w:t xml:space="preserve"> </w:t>
      </w:r>
      <w:r w:rsidRPr="00B479AE">
        <w:rPr>
          <w:rFonts w:ascii="Baskerville Old Face" w:hAnsi="Baskerville Old Face"/>
          <w:i/>
          <w:iCs/>
        </w:rPr>
        <w:t>second.</w:t>
      </w:r>
    </w:p>
    <w:p w14:paraId="0726506B"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K.12 Integration with RAP</w:t>
      </w:r>
    </w:p>
    <w:p w14:paraId="63E7C22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RAP logic may use PHI and planetary-boundary profiles for portfolio-level assessment.</w:t>
      </w:r>
    </w:p>
    <w:p w14:paraId="4D10559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Possible uses include:</w:t>
      </w:r>
    </w:p>
    <w:p w14:paraId="06B072A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bioregional diversification;</w:t>
      </w:r>
      <w:r w:rsidRPr="00B479AE">
        <w:rPr>
          <w:rFonts w:ascii="Baskerville Old Face" w:hAnsi="Baskerville Old Face"/>
          <w:i/>
          <w:iCs/>
        </w:rPr>
        <w:br/>
        <w:t>• ecological risk mapping;</w:t>
      </w:r>
      <w:r w:rsidRPr="00B479AE">
        <w:rPr>
          <w:rFonts w:ascii="Baskerville Old Face" w:hAnsi="Baskerville Old Face"/>
          <w:i/>
          <w:iCs/>
        </w:rPr>
        <w:br/>
        <w:t>• boundary-pressure diversification;</w:t>
      </w:r>
      <w:r w:rsidRPr="00B479AE">
        <w:rPr>
          <w:rFonts w:ascii="Baskerville Old Face" w:hAnsi="Baskerville Old Face"/>
          <w:i/>
          <w:iCs/>
        </w:rPr>
        <w:br/>
        <w:t>• climate and water-risk screening;</w:t>
      </w:r>
      <w:r w:rsidRPr="00B479AE">
        <w:rPr>
          <w:rFonts w:ascii="Baskerville Old Face" w:hAnsi="Baskerville Old Face"/>
          <w:i/>
          <w:iCs/>
        </w:rPr>
        <w:br/>
        <w:t>• biodiversity exposure;</w:t>
      </w:r>
      <w:r w:rsidRPr="00B479AE">
        <w:rPr>
          <w:rFonts w:ascii="Baskerville Old Face" w:hAnsi="Baskerville Old Face"/>
          <w:i/>
          <w:iCs/>
        </w:rPr>
        <w:br/>
        <w:t>• evidence-quality comparison;</w:t>
      </w:r>
      <w:r w:rsidRPr="00B479AE">
        <w:rPr>
          <w:rFonts w:ascii="Baskerville Old Face" w:hAnsi="Baskerville Old Face"/>
          <w:i/>
          <w:iCs/>
        </w:rPr>
        <w:br/>
        <w:t>• governance maturity screening;</w:t>
      </w:r>
      <w:r w:rsidRPr="00B479AE">
        <w:rPr>
          <w:rFonts w:ascii="Baskerville Old Face" w:hAnsi="Baskerville Old Face"/>
          <w:i/>
          <w:iCs/>
        </w:rPr>
        <w:br/>
        <w:t>• resilience weighting;</w:t>
      </w:r>
      <w:r w:rsidRPr="00B479AE">
        <w:rPr>
          <w:rFonts w:ascii="Baskerville Old Face" w:hAnsi="Baskerville Old Face"/>
          <w:i/>
          <w:iCs/>
        </w:rPr>
        <w:br/>
        <w:t>• portfolio stress testing.</w:t>
      </w:r>
    </w:p>
    <w:p w14:paraId="3A2A25C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RAP should not aggregate weak claims into strong portfolio language.</w:t>
      </w:r>
    </w:p>
    <w:p w14:paraId="7DF7882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portfolio of weak evidence does not become strong evidence by being grouped.</w:t>
      </w:r>
    </w:p>
    <w:p w14:paraId="1C2FF42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RAP maturity depends on the maturity of underlying units.</w:t>
      </w:r>
    </w:p>
    <w:p w14:paraId="76B53814" w14:textId="77777777" w:rsidR="00C53243" w:rsidRPr="005907F1" w:rsidRDefault="00C53243" w:rsidP="00C53243">
      <w:pPr>
        <w:spacing w:line="360" w:lineRule="auto"/>
        <w:rPr>
          <w:rFonts w:ascii="Baskerville Old Face" w:hAnsi="Baskerville Old Face"/>
          <w:i/>
          <w:iCs/>
          <w:lang w:val="it-IT"/>
        </w:rPr>
      </w:pPr>
      <w:r w:rsidRPr="005907F1">
        <w:rPr>
          <w:rFonts w:ascii="Baskerville Old Face" w:hAnsi="Baskerville Old Face"/>
          <w:i/>
          <w:iCs/>
          <w:lang w:val="it-IT"/>
        </w:rPr>
        <w:t xml:space="preserve">PHI </w:t>
      </w:r>
      <w:proofErr w:type="spellStart"/>
      <w:r w:rsidRPr="005907F1">
        <w:rPr>
          <w:rFonts w:ascii="Baskerville Old Face" w:hAnsi="Baskerville Old Face"/>
          <w:i/>
          <w:iCs/>
          <w:lang w:val="it-IT"/>
        </w:rPr>
        <w:t>may</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improve</w:t>
      </w:r>
      <w:proofErr w:type="spellEnd"/>
      <w:r w:rsidRPr="005907F1">
        <w:rPr>
          <w:rFonts w:ascii="Baskerville Old Face" w:hAnsi="Baskerville Old Face"/>
          <w:i/>
          <w:iCs/>
          <w:lang w:val="it-IT"/>
        </w:rPr>
        <w:t xml:space="preserve"> portfolio intelligence.</w:t>
      </w:r>
    </w:p>
    <w:p w14:paraId="213549E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may not launder uncertainty.</w:t>
      </w:r>
    </w:p>
    <w:p w14:paraId="6D0EB39F"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K.13 Integration with Ravel risk-signaling</w:t>
      </w:r>
    </w:p>
    <w:p w14:paraId="680DD00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and boundary-pressure profiles may support the Ravel Risk-Signaling Model.</w:t>
      </w:r>
    </w:p>
    <w:p w14:paraId="74F25A5B"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They may provide risk signals such as:</w:t>
      </w:r>
    </w:p>
    <w:p w14:paraId="10814FA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ecological stress increasing;</w:t>
      </w:r>
      <w:r w:rsidRPr="00B479AE">
        <w:rPr>
          <w:rFonts w:ascii="Baskerville Old Face" w:hAnsi="Baskerville Old Face"/>
          <w:i/>
          <w:iCs/>
        </w:rPr>
        <w:br/>
        <w:t>• water vulnerability rising;</w:t>
      </w:r>
      <w:r w:rsidRPr="00B479AE">
        <w:rPr>
          <w:rFonts w:ascii="Baskerville Old Face" w:hAnsi="Baskerville Old Face"/>
          <w:i/>
          <w:iCs/>
        </w:rPr>
        <w:br/>
        <w:t>• biodiversity evidence weak;</w:t>
      </w:r>
      <w:r w:rsidRPr="00B479AE">
        <w:rPr>
          <w:rFonts w:ascii="Baskerville Old Face" w:hAnsi="Baskerville Old Face"/>
          <w:i/>
          <w:iCs/>
        </w:rPr>
        <w:br/>
        <w:t>• soil indicators improving slowly;</w:t>
      </w:r>
      <w:r w:rsidRPr="00B479AE">
        <w:rPr>
          <w:rFonts w:ascii="Baskerville Old Face" w:hAnsi="Baskerville Old Face"/>
          <w:i/>
          <w:iCs/>
        </w:rPr>
        <w:br/>
        <w:t>• climate risk exposure high;</w:t>
      </w:r>
      <w:r w:rsidRPr="00B479AE">
        <w:rPr>
          <w:rFonts w:ascii="Baskerville Old Face" w:hAnsi="Baskerville Old Face"/>
          <w:i/>
          <w:iCs/>
        </w:rPr>
        <w:br/>
        <w:t>• public claims exceeding boundary evidence;</w:t>
      </w:r>
      <w:r w:rsidRPr="00B479AE">
        <w:rPr>
          <w:rFonts w:ascii="Baskerville Old Face" w:hAnsi="Baskerville Old Face"/>
          <w:i/>
          <w:iCs/>
        </w:rPr>
        <w:br/>
        <w:t>• portfolio concentrated in high-stress bioregions;</w:t>
      </w:r>
      <w:r w:rsidRPr="00B479AE">
        <w:rPr>
          <w:rFonts w:ascii="Baskerville Old Face" w:hAnsi="Baskerville Old Face"/>
          <w:i/>
          <w:iCs/>
        </w:rPr>
        <w:br/>
        <w:t>• governance underprepared for ecological complexity.</w:t>
      </w:r>
    </w:p>
    <w:p w14:paraId="4BD926B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Ravel may use these signals for review routing.</w:t>
      </w:r>
    </w:p>
    <w:p w14:paraId="64AEEFAD"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Ravel should not use PHI as automatic enforcement.</w:t>
      </w:r>
    </w:p>
    <w:p w14:paraId="262DBEB4"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correct relationship is:</w:t>
      </w:r>
    </w:p>
    <w:p w14:paraId="43F9C6B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PHI informs ecological risk;</w:t>
      </w:r>
      <w:r w:rsidRPr="00B479AE">
        <w:rPr>
          <w:rFonts w:ascii="Baskerville Old Face" w:hAnsi="Baskerville Old Face"/>
          <w:i/>
          <w:iCs/>
        </w:rPr>
        <w:br/>
        <w:t>Ravel routes systemic risk;</w:t>
      </w:r>
      <w:r w:rsidRPr="00B479AE">
        <w:rPr>
          <w:rFonts w:ascii="Baskerville Old Face" w:hAnsi="Baskerville Old Face"/>
          <w:i/>
          <w:iCs/>
        </w:rPr>
        <w:br/>
        <w:t>governance reviews;</w:t>
      </w:r>
      <w:r w:rsidRPr="00B479AE">
        <w:rPr>
          <w:rFonts w:ascii="Baskerville Old Face" w:hAnsi="Baskerville Old Face"/>
          <w:i/>
          <w:iCs/>
        </w:rPr>
        <w:br/>
        <w:t>MRV verifies;</w:t>
      </w:r>
      <w:r w:rsidRPr="00B479AE">
        <w:rPr>
          <w:rFonts w:ascii="Baskerville Old Face" w:hAnsi="Baskerville Old Face"/>
          <w:i/>
          <w:iCs/>
        </w:rPr>
        <w:br/>
        <w:t>legal structures consequences where needed.</w:t>
      </w:r>
    </w:p>
    <w:p w14:paraId="7E758033"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K.14 Planetary Boundaries and capital readiness</w:t>
      </w:r>
    </w:p>
    <w:p w14:paraId="7CC42FA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Planetary-boundary logic may strengthen capital readiness when used correctly.</w:t>
      </w:r>
    </w:p>
    <w:p w14:paraId="0D6598CD"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Capital partners increasingly need to understand ecological risk, transition risk, climate resilience, natural capital dependency, physical risk, and environmental </w:t>
      </w:r>
      <w:proofErr w:type="gramStart"/>
      <w:r w:rsidRPr="00B479AE">
        <w:rPr>
          <w:rFonts w:ascii="Baskerville Old Face" w:hAnsi="Baskerville Old Face"/>
          <w:i/>
          <w:iCs/>
        </w:rPr>
        <w:t>claims</w:t>
      </w:r>
      <w:proofErr w:type="gramEnd"/>
      <w:r w:rsidRPr="00B479AE">
        <w:rPr>
          <w:rFonts w:ascii="Baskerville Old Face" w:hAnsi="Baskerville Old Face"/>
          <w:i/>
          <w:iCs/>
        </w:rPr>
        <w:t xml:space="preserve"> reliability.</w:t>
      </w:r>
    </w:p>
    <w:p w14:paraId="0DA3B6A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may use boundary-aware reporting to show:</w:t>
      </w:r>
    </w:p>
    <w:p w14:paraId="5CA4129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how a site reduces ecological pressure;</w:t>
      </w:r>
      <w:r w:rsidRPr="00B479AE">
        <w:rPr>
          <w:rFonts w:ascii="Baskerville Old Face" w:hAnsi="Baskerville Old Face"/>
          <w:i/>
          <w:iCs/>
        </w:rPr>
        <w:br/>
        <w:t>• where risks remain;</w:t>
      </w:r>
      <w:r w:rsidRPr="00B479AE">
        <w:rPr>
          <w:rFonts w:ascii="Baskerville Old Face" w:hAnsi="Baskerville Old Face"/>
          <w:i/>
          <w:iCs/>
        </w:rPr>
        <w:br/>
        <w:t>• which indicators are verified;</w:t>
      </w:r>
      <w:r w:rsidRPr="00B479AE">
        <w:rPr>
          <w:rFonts w:ascii="Baskerville Old Face" w:hAnsi="Baskerville Old Face"/>
          <w:i/>
          <w:iCs/>
        </w:rPr>
        <w:br/>
        <w:t>• which indicators are emerging;</w:t>
      </w:r>
      <w:r w:rsidRPr="00B479AE">
        <w:rPr>
          <w:rFonts w:ascii="Baskerville Old Face" w:hAnsi="Baskerville Old Face"/>
          <w:i/>
          <w:iCs/>
        </w:rPr>
        <w:br/>
        <w:t>• where further investment improves resilience;</w:t>
      </w:r>
      <w:r w:rsidRPr="00B479AE">
        <w:rPr>
          <w:rFonts w:ascii="Baskerville Old Face" w:hAnsi="Baskerville Old Face"/>
          <w:i/>
          <w:iCs/>
        </w:rPr>
        <w:br/>
      </w:r>
      <w:r w:rsidRPr="00B479AE">
        <w:rPr>
          <w:rFonts w:ascii="Baskerville Old Face" w:hAnsi="Baskerville Old Face"/>
          <w:i/>
          <w:iCs/>
        </w:rPr>
        <w:lastRenderedPageBreak/>
        <w:t>• how regenerative intervention affects long-term productive capacity;</w:t>
      </w:r>
      <w:r w:rsidRPr="00B479AE">
        <w:rPr>
          <w:rFonts w:ascii="Baskerville Old Face" w:hAnsi="Baskerville Old Face"/>
          <w:i/>
          <w:iCs/>
        </w:rPr>
        <w:br/>
        <w:t>• how PRU-relevant performance may become more robust over time.</w:t>
      </w:r>
    </w:p>
    <w:p w14:paraId="1D6B165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makes capital more intelligent.</w:t>
      </w:r>
    </w:p>
    <w:p w14:paraId="30449A0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also makes claims more disciplined.</w:t>
      </w:r>
    </w:p>
    <w:p w14:paraId="52D63F5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capital-facing boundary report should distinguish:</w:t>
      </w:r>
    </w:p>
    <w:p w14:paraId="0048879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verified indicators;</w:t>
      </w:r>
      <w:r w:rsidRPr="00B479AE">
        <w:rPr>
          <w:rFonts w:ascii="Baskerville Old Face" w:hAnsi="Baskerville Old Face"/>
          <w:i/>
          <w:iCs/>
        </w:rPr>
        <w:br/>
        <w:t>• preliminary signals;</w:t>
      </w:r>
      <w:r w:rsidRPr="00B479AE">
        <w:rPr>
          <w:rFonts w:ascii="Baskerville Old Face" w:hAnsi="Baskerville Old Face"/>
          <w:i/>
          <w:iCs/>
        </w:rPr>
        <w:br/>
        <w:t>• risk assumptions;</w:t>
      </w:r>
      <w:r w:rsidRPr="00B479AE">
        <w:rPr>
          <w:rFonts w:ascii="Baskerville Old Face" w:hAnsi="Baskerville Old Face"/>
          <w:i/>
          <w:iCs/>
        </w:rPr>
        <w:br/>
        <w:t>• methodology limitations;</w:t>
      </w:r>
      <w:r w:rsidRPr="00B479AE">
        <w:rPr>
          <w:rFonts w:ascii="Baskerville Old Face" w:hAnsi="Baskerville Old Face"/>
          <w:i/>
          <w:iCs/>
        </w:rPr>
        <w:br/>
        <w:t>• scenario analysis;</w:t>
      </w:r>
      <w:r w:rsidRPr="00B479AE">
        <w:rPr>
          <w:rFonts w:ascii="Baskerville Old Face" w:hAnsi="Baskerville Old Face"/>
          <w:i/>
          <w:iCs/>
        </w:rPr>
        <w:br/>
        <w:t>• non-admissible claims;</w:t>
      </w:r>
      <w:r w:rsidRPr="00B479AE">
        <w:rPr>
          <w:rFonts w:ascii="Baskerville Old Face" w:hAnsi="Baskerville Old Face"/>
          <w:i/>
          <w:iCs/>
        </w:rPr>
        <w:br/>
        <w:t>• future research pathways.</w:t>
      </w:r>
    </w:p>
    <w:p w14:paraId="7986219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Planetary language should increase diligence, not inflate valuation.</w:t>
      </w:r>
    </w:p>
    <w:p w14:paraId="4B7D6017"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K.15 Local knowledge and cultural context</w:t>
      </w:r>
    </w:p>
    <w:p w14:paraId="23DC405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Planetary-boundary analysis should not erase local knowledge.</w:t>
      </w:r>
    </w:p>
    <w:p w14:paraId="539D890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Local communities, farmers, stewards, indigenous knowledge holders, elders, field workers, and bioregional practitioners may understand patterns invisible to remote systems.</w:t>
      </w:r>
    </w:p>
    <w:p w14:paraId="5D9F6EB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should include local knowledge where:</w:t>
      </w:r>
    </w:p>
    <w:p w14:paraId="48676F1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consent is obtained;</w:t>
      </w:r>
      <w:r w:rsidRPr="00B479AE">
        <w:rPr>
          <w:rFonts w:ascii="Baskerville Old Face" w:hAnsi="Baskerville Old Face"/>
          <w:i/>
          <w:iCs/>
        </w:rPr>
        <w:br/>
        <w:t>• cultural context is respected;</w:t>
      </w:r>
      <w:r w:rsidRPr="00B479AE">
        <w:rPr>
          <w:rFonts w:ascii="Baskerville Old Face" w:hAnsi="Baskerville Old Face"/>
          <w:i/>
          <w:iCs/>
        </w:rPr>
        <w:br/>
        <w:t>• attribution is handled properly;</w:t>
      </w:r>
      <w:r w:rsidRPr="00B479AE">
        <w:rPr>
          <w:rFonts w:ascii="Baskerville Old Face" w:hAnsi="Baskerville Old Face"/>
          <w:i/>
          <w:iCs/>
        </w:rPr>
        <w:br/>
        <w:t>• data sovereignty is considered;</w:t>
      </w:r>
      <w:r w:rsidRPr="00B479AE">
        <w:rPr>
          <w:rFonts w:ascii="Baskerville Old Face" w:hAnsi="Baskerville Old Face"/>
          <w:i/>
          <w:iCs/>
        </w:rPr>
        <w:br/>
        <w:t>• extractive knowledge capture is avoided;</w:t>
      </w:r>
      <w:r w:rsidRPr="00B479AE">
        <w:rPr>
          <w:rFonts w:ascii="Baskerville Old Face" w:hAnsi="Baskerville Old Face"/>
          <w:i/>
          <w:iCs/>
        </w:rPr>
        <w:br/>
        <w:t>• evidence classification remains clear.</w:t>
      </w:r>
    </w:p>
    <w:p w14:paraId="431ECFC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Local knowledge may guide:</w:t>
      </w:r>
    </w:p>
    <w:p w14:paraId="1015E52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indicator selection;</w:t>
      </w:r>
      <w:r w:rsidRPr="00B479AE">
        <w:rPr>
          <w:rFonts w:ascii="Baskerville Old Face" w:hAnsi="Baskerville Old Face"/>
          <w:i/>
          <w:iCs/>
        </w:rPr>
        <w:br/>
        <w:t>• seasonal interpretation;</w:t>
      </w:r>
      <w:r w:rsidRPr="00B479AE">
        <w:rPr>
          <w:rFonts w:ascii="Baskerville Old Face" w:hAnsi="Baskerville Old Face"/>
          <w:i/>
          <w:iCs/>
        </w:rPr>
        <w:br/>
      </w:r>
      <w:r w:rsidRPr="00B479AE">
        <w:rPr>
          <w:rFonts w:ascii="Baskerville Old Face" w:hAnsi="Baskerville Old Face"/>
          <w:i/>
          <w:iCs/>
        </w:rPr>
        <w:lastRenderedPageBreak/>
        <w:t>• water behavior;</w:t>
      </w:r>
      <w:r w:rsidRPr="00B479AE">
        <w:rPr>
          <w:rFonts w:ascii="Baskerville Old Face" w:hAnsi="Baskerville Old Face"/>
          <w:i/>
          <w:iCs/>
        </w:rPr>
        <w:br/>
        <w:t>• species presence;</w:t>
      </w:r>
      <w:r w:rsidRPr="00B479AE">
        <w:rPr>
          <w:rFonts w:ascii="Baskerville Old Face" w:hAnsi="Baskerville Old Face"/>
          <w:i/>
          <w:iCs/>
        </w:rPr>
        <w:br/>
        <w:t>• land-use history;</w:t>
      </w:r>
      <w:r w:rsidRPr="00B479AE">
        <w:rPr>
          <w:rFonts w:ascii="Baskerville Old Face" w:hAnsi="Baskerville Old Face"/>
          <w:i/>
          <w:iCs/>
        </w:rPr>
        <w:br/>
        <w:t>• restoration design;</w:t>
      </w:r>
      <w:r w:rsidRPr="00B479AE">
        <w:rPr>
          <w:rFonts w:ascii="Baskerville Old Face" w:hAnsi="Baskerville Old Face"/>
          <w:i/>
          <w:iCs/>
        </w:rPr>
        <w:br/>
        <w:t>• risk interpretation;</w:t>
      </w:r>
      <w:r w:rsidRPr="00B479AE">
        <w:rPr>
          <w:rFonts w:ascii="Baskerville Old Face" w:hAnsi="Baskerville Old Face"/>
          <w:i/>
          <w:iCs/>
        </w:rPr>
        <w:br/>
        <w:t>• stewardship practice.</w:t>
      </w:r>
    </w:p>
    <w:p w14:paraId="3303E2A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Local knowledge is not automatically MRV-admissible.</w:t>
      </w:r>
    </w:p>
    <w:p w14:paraId="371BEFD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is also not inferior.</w:t>
      </w:r>
    </w:p>
    <w:p w14:paraId="45CC377C"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becomes part of the evidence pathway when structured, consented, contextualized, and reviewed.</w:t>
      </w:r>
    </w:p>
    <w:p w14:paraId="3C8967FF"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K.16 Network-independent planetary continuity</w:t>
      </w:r>
    </w:p>
    <w:p w14:paraId="7E677EEB"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Planetary-boundary and PHI knowledge should be preserved in network-independent forms.</w:t>
      </w:r>
    </w:p>
    <w:p w14:paraId="637D030B"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Prometheus continuity archive may include:</w:t>
      </w:r>
    </w:p>
    <w:p w14:paraId="4DEA98A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local ecological baselines;</w:t>
      </w:r>
      <w:r w:rsidRPr="00B479AE">
        <w:rPr>
          <w:rFonts w:ascii="Baskerville Old Face" w:hAnsi="Baskerville Old Face"/>
          <w:i/>
          <w:iCs/>
        </w:rPr>
        <w:br/>
        <w:t>• bioregional maps;</w:t>
      </w:r>
      <w:r w:rsidRPr="00B479AE">
        <w:rPr>
          <w:rFonts w:ascii="Baskerville Old Face" w:hAnsi="Baskerville Old Face"/>
          <w:i/>
          <w:iCs/>
        </w:rPr>
        <w:br/>
        <w:t>• seed and species lists;</w:t>
      </w:r>
      <w:r w:rsidRPr="00B479AE">
        <w:rPr>
          <w:rFonts w:ascii="Baskerville Old Face" w:hAnsi="Baskerville Old Face"/>
          <w:i/>
          <w:iCs/>
        </w:rPr>
        <w:br/>
        <w:t>• soil and water records;</w:t>
      </w:r>
      <w:r w:rsidRPr="00B479AE">
        <w:rPr>
          <w:rFonts w:ascii="Baskerville Old Face" w:hAnsi="Baskerville Old Face"/>
          <w:i/>
          <w:iCs/>
        </w:rPr>
        <w:br/>
        <w:t>• climate-risk notes;</w:t>
      </w:r>
      <w:r w:rsidRPr="00B479AE">
        <w:rPr>
          <w:rFonts w:ascii="Baskerville Old Face" w:hAnsi="Baskerville Old Face"/>
          <w:i/>
          <w:iCs/>
        </w:rPr>
        <w:br/>
        <w:t>• agroecological designs;</w:t>
      </w:r>
      <w:r w:rsidRPr="00B479AE">
        <w:rPr>
          <w:rFonts w:ascii="Baskerville Old Face" w:hAnsi="Baskerville Old Face"/>
          <w:i/>
          <w:iCs/>
        </w:rPr>
        <w:br/>
        <w:t>• syntropic succession plans;</w:t>
      </w:r>
      <w:r w:rsidRPr="00B479AE">
        <w:rPr>
          <w:rFonts w:ascii="Baskerville Old Face" w:hAnsi="Baskerville Old Face"/>
          <w:i/>
          <w:iCs/>
        </w:rPr>
        <w:br/>
        <w:t>• restoration protocols;</w:t>
      </w:r>
      <w:r w:rsidRPr="00B479AE">
        <w:rPr>
          <w:rFonts w:ascii="Baskerville Old Face" w:hAnsi="Baskerville Old Face"/>
          <w:i/>
          <w:iCs/>
        </w:rPr>
        <w:br/>
        <w:t>• MRV methods;</w:t>
      </w:r>
      <w:r w:rsidRPr="00B479AE">
        <w:rPr>
          <w:rFonts w:ascii="Baskerville Old Face" w:hAnsi="Baskerville Old Face"/>
          <w:i/>
          <w:iCs/>
        </w:rPr>
        <w:br/>
        <w:t>• PHI domain definitions;</w:t>
      </w:r>
      <w:r w:rsidRPr="00B479AE">
        <w:rPr>
          <w:rFonts w:ascii="Baskerville Old Face" w:hAnsi="Baskerville Old Face"/>
          <w:i/>
          <w:iCs/>
        </w:rPr>
        <w:br/>
        <w:t>• planetary-boundary educational materials;</w:t>
      </w:r>
      <w:r w:rsidRPr="00B479AE">
        <w:rPr>
          <w:rFonts w:ascii="Baskerville Old Face" w:hAnsi="Baskerville Old Face"/>
          <w:i/>
          <w:iCs/>
        </w:rPr>
        <w:br/>
        <w:t>• local-language stewardship manuals;</w:t>
      </w:r>
      <w:r w:rsidRPr="00B479AE">
        <w:rPr>
          <w:rFonts w:ascii="Baskerville Old Face" w:hAnsi="Baskerville Old Face"/>
          <w:i/>
          <w:iCs/>
        </w:rPr>
        <w:br/>
        <w:t>• printed field protocols;</w:t>
      </w:r>
      <w:r w:rsidRPr="00B479AE">
        <w:rPr>
          <w:rFonts w:ascii="Baskerville Old Face" w:hAnsi="Baskerville Old Face"/>
          <w:i/>
          <w:iCs/>
        </w:rPr>
        <w:br/>
        <w:t>• offline datasets;</w:t>
      </w:r>
      <w:r w:rsidRPr="00B479AE">
        <w:rPr>
          <w:rFonts w:ascii="Baskerville Old Face" w:hAnsi="Baskerville Old Face"/>
          <w:i/>
          <w:iCs/>
        </w:rPr>
        <w:br/>
        <w:t>• institutional archive copies.</w:t>
      </w:r>
    </w:p>
    <w:p w14:paraId="3BEE5E5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If the network fails, ecological memory must remain.</w:t>
      </w:r>
    </w:p>
    <w:p w14:paraId="42A4E64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community should be able to continue stewardship with:</w:t>
      </w:r>
    </w:p>
    <w:p w14:paraId="4B22E2A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paper maps;</w:t>
      </w:r>
      <w:r w:rsidRPr="00B479AE">
        <w:rPr>
          <w:rFonts w:ascii="Baskerville Old Face" w:hAnsi="Baskerville Old Face"/>
          <w:i/>
          <w:iCs/>
        </w:rPr>
        <w:br/>
        <w:t>field notebooks;</w:t>
      </w:r>
      <w:r w:rsidRPr="00B479AE">
        <w:rPr>
          <w:rFonts w:ascii="Baskerville Old Face" w:hAnsi="Baskerville Old Face"/>
          <w:i/>
          <w:iCs/>
        </w:rPr>
        <w:br/>
        <w:t>seed archives;</w:t>
      </w:r>
      <w:r w:rsidRPr="00B479AE">
        <w:rPr>
          <w:rFonts w:ascii="Baskerville Old Face" w:hAnsi="Baskerville Old Face"/>
          <w:i/>
          <w:iCs/>
        </w:rPr>
        <w:br/>
        <w:t>soil knowledge;</w:t>
      </w:r>
      <w:r w:rsidRPr="00B479AE">
        <w:rPr>
          <w:rFonts w:ascii="Baskerville Old Face" w:hAnsi="Baskerville Old Face"/>
          <w:i/>
          <w:iCs/>
        </w:rPr>
        <w:br/>
        <w:t>water knowledge;</w:t>
      </w:r>
      <w:r w:rsidRPr="00B479AE">
        <w:rPr>
          <w:rFonts w:ascii="Baskerville Old Face" w:hAnsi="Baskerville Old Face"/>
          <w:i/>
          <w:iCs/>
        </w:rPr>
        <w:br/>
        <w:t>local governance memory;</w:t>
      </w:r>
      <w:r w:rsidRPr="00B479AE">
        <w:rPr>
          <w:rFonts w:ascii="Baskerville Old Face" w:hAnsi="Baskerville Old Face"/>
          <w:i/>
          <w:iCs/>
        </w:rPr>
        <w:br/>
        <w:t>offline MRV forms;</w:t>
      </w:r>
      <w:r w:rsidRPr="00B479AE">
        <w:rPr>
          <w:rFonts w:ascii="Baskerville Old Face" w:hAnsi="Baskerville Old Face"/>
          <w:i/>
          <w:iCs/>
        </w:rPr>
        <w:br/>
        <w:t>and a verified canonical package.</w:t>
      </w:r>
    </w:p>
    <w:p w14:paraId="145DBE4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survives when ecological intelligence can still be practiced without a dashboard.</w:t>
      </w:r>
    </w:p>
    <w:p w14:paraId="5169A6DA"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K.17 Suggested PHI record schema</w:t>
      </w:r>
    </w:p>
    <w:p w14:paraId="5D32CD3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A simplified PHI record may include:</w:t>
      </w:r>
    </w:p>
    <w:p w14:paraId="00F69C0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w:t>
      </w:r>
    </w:p>
    <w:p w14:paraId="0FCCA07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phi</w:t>
      </w:r>
      <w:proofErr w:type="gramEnd"/>
      <w:r w:rsidRPr="00B479AE">
        <w:rPr>
          <w:rFonts w:ascii="Baskerville Old Face" w:hAnsi="Baskerville Old Face"/>
          <w:i/>
          <w:iCs/>
        </w:rPr>
        <w:t>_record_id</w:t>
      </w:r>
      <w:proofErr w:type="spellEnd"/>
      <w:r w:rsidRPr="00B479AE">
        <w:rPr>
          <w:rFonts w:ascii="Baskerville Old Face" w:hAnsi="Baskerville Old Face"/>
          <w:i/>
          <w:iCs/>
        </w:rPr>
        <w:t>": "phi_record_0001",</w:t>
      </w:r>
    </w:p>
    <w:p w14:paraId="3834F2F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site</w:t>
      </w:r>
      <w:proofErr w:type="gramEnd"/>
      <w:r w:rsidRPr="00B479AE">
        <w:rPr>
          <w:rFonts w:ascii="Baskerville Old Face" w:hAnsi="Baskerville Old Face"/>
          <w:i/>
          <w:iCs/>
        </w:rPr>
        <w:t>_id</w:t>
      </w:r>
      <w:proofErr w:type="spellEnd"/>
      <w:r w:rsidRPr="00B479AE">
        <w:rPr>
          <w:rFonts w:ascii="Baskerville Old Face" w:hAnsi="Baskerville Old Face"/>
          <w:i/>
          <w:iCs/>
        </w:rPr>
        <w:t>": "</w:t>
      </w:r>
      <w:proofErr w:type="spellStart"/>
      <w:r w:rsidRPr="00B479AE">
        <w:rPr>
          <w:rFonts w:ascii="Baskerville Old Face" w:hAnsi="Baskerville Old Face"/>
          <w:i/>
          <w:iCs/>
        </w:rPr>
        <w:t>ohe_or_project_reference</w:t>
      </w:r>
      <w:proofErr w:type="spellEnd"/>
      <w:r w:rsidRPr="00B479AE">
        <w:rPr>
          <w:rFonts w:ascii="Baskerville Old Face" w:hAnsi="Baskerville Old Face"/>
          <w:i/>
          <w:iCs/>
        </w:rPr>
        <w:t>",</w:t>
      </w:r>
    </w:p>
    <w:p w14:paraId="6259A4C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"bioregion": "</w:t>
      </w:r>
      <w:proofErr w:type="spellStart"/>
      <w:r w:rsidRPr="00B479AE">
        <w:rPr>
          <w:rFonts w:ascii="Baskerville Old Face" w:hAnsi="Baskerville Old Face"/>
          <w:i/>
          <w:iCs/>
        </w:rPr>
        <w:t>bioregional_reference</w:t>
      </w:r>
      <w:proofErr w:type="spellEnd"/>
      <w:r w:rsidRPr="00B479AE">
        <w:rPr>
          <w:rFonts w:ascii="Baskerville Old Face" w:hAnsi="Baskerville Old Face"/>
          <w:i/>
          <w:iCs/>
        </w:rPr>
        <w:t>",</w:t>
      </w:r>
    </w:p>
    <w:p w14:paraId="2412C9D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methodology</w:t>
      </w:r>
      <w:proofErr w:type="gramEnd"/>
      <w:r w:rsidRPr="00B479AE">
        <w:rPr>
          <w:rFonts w:ascii="Baskerville Old Face" w:hAnsi="Baskerville Old Face"/>
          <w:i/>
          <w:iCs/>
        </w:rPr>
        <w:t>_version</w:t>
      </w:r>
      <w:proofErr w:type="spellEnd"/>
      <w:r w:rsidRPr="00B479AE">
        <w:rPr>
          <w:rFonts w:ascii="Baskerville Old Face" w:hAnsi="Baskerville Old Face"/>
          <w:i/>
          <w:iCs/>
        </w:rPr>
        <w:t>": "phi_method_v1.0",</w:t>
      </w:r>
    </w:p>
    <w:p w14:paraId="7FD5563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assessment</w:t>
      </w:r>
      <w:proofErr w:type="gramEnd"/>
      <w:r w:rsidRPr="00B479AE">
        <w:rPr>
          <w:rFonts w:ascii="Baskerville Old Face" w:hAnsi="Baskerville Old Face"/>
          <w:i/>
          <w:iCs/>
        </w:rPr>
        <w:t>_date</w:t>
      </w:r>
      <w:proofErr w:type="spellEnd"/>
      <w:r w:rsidRPr="00B479AE">
        <w:rPr>
          <w:rFonts w:ascii="Baskerville Old Face" w:hAnsi="Baskerville Old Face"/>
          <w:i/>
          <w:iCs/>
        </w:rPr>
        <w:t>": "2026-01-01",</w:t>
      </w:r>
    </w:p>
    <w:p w14:paraId="3659E03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"domains": [</w:t>
      </w:r>
    </w:p>
    <w:p w14:paraId="30FB5C3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
    <w:p w14:paraId="360EB48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"domain": "</w:t>
      </w:r>
      <w:proofErr w:type="spellStart"/>
      <w:r w:rsidRPr="00B479AE">
        <w:rPr>
          <w:rFonts w:ascii="Baskerville Old Face" w:hAnsi="Baskerville Old Face"/>
          <w:i/>
          <w:iCs/>
        </w:rPr>
        <w:t>soil_vitality</w:t>
      </w:r>
      <w:proofErr w:type="spellEnd"/>
      <w:r w:rsidRPr="00B479AE">
        <w:rPr>
          <w:rFonts w:ascii="Baskerville Old Face" w:hAnsi="Baskerville Old Face"/>
          <w:i/>
          <w:iCs/>
        </w:rPr>
        <w:t>",</w:t>
      </w:r>
    </w:p>
    <w:p w14:paraId="6D3172FD"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"indicator": "</w:t>
      </w:r>
      <w:proofErr w:type="spellStart"/>
      <w:r w:rsidRPr="00B479AE">
        <w:rPr>
          <w:rFonts w:ascii="Baskerville Old Face" w:hAnsi="Baskerville Old Face"/>
          <w:i/>
          <w:iCs/>
        </w:rPr>
        <w:t>soil_organic_matter</w:t>
      </w:r>
      <w:proofErr w:type="spellEnd"/>
      <w:r w:rsidRPr="00B479AE">
        <w:rPr>
          <w:rFonts w:ascii="Baskerville Old Face" w:hAnsi="Baskerville Old Face"/>
          <w:i/>
          <w:iCs/>
        </w:rPr>
        <w:t>",</w:t>
      </w:r>
    </w:p>
    <w:p w14:paraId="1D15581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"value": 3.2,</w:t>
      </w:r>
    </w:p>
    <w:p w14:paraId="56E1075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"unit": "%",</w:t>
      </w:r>
    </w:p>
    <w:p w14:paraId="11E3ECDA"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evidence</w:t>
      </w:r>
      <w:proofErr w:type="gramEnd"/>
      <w:r w:rsidRPr="00B479AE">
        <w:rPr>
          <w:rFonts w:ascii="Baskerville Old Face" w:hAnsi="Baskerville Old Face"/>
          <w:i/>
          <w:iCs/>
        </w:rPr>
        <w:t>_status</w:t>
      </w:r>
      <w:proofErr w:type="spellEnd"/>
      <w:r w:rsidRPr="00B479AE">
        <w:rPr>
          <w:rFonts w:ascii="Baskerville Old Face" w:hAnsi="Baskerville Old Face"/>
          <w:i/>
          <w:iCs/>
        </w:rPr>
        <w:t>": "evidence",</w:t>
      </w:r>
    </w:p>
    <w:p w14:paraId="700222E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 xml:space="preserve">      "confidence": 0.76,</w:t>
      </w:r>
    </w:p>
    <w:p w14:paraId="1D023BE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review</w:t>
      </w:r>
      <w:proofErr w:type="gramEnd"/>
      <w:r w:rsidRPr="00B479AE">
        <w:rPr>
          <w:rFonts w:ascii="Baskerville Old Face" w:hAnsi="Baskerville Old Face"/>
          <w:i/>
          <w:iCs/>
        </w:rPr>
        <w:t>_status</w:t>
      </w:r>
      <w:proofErr w:type="spellEnd"/>
      <w:r w:rsidRPr="00B479AE">
        <w:rPr>
          <w:rFonts w:ascii="Baskerville Old Face" w:hAnsi="Baskerville Old Face"/>
          <w:i/>
          <w:iCs/>
        </w:rPr>
        <w:t>": "</w:t>
      </w:r>
      <w:proofErr w:type="spellStart"/>
      <w:r w:rsidRPr="00B479AE">
        <w:rPr>
          <w:rFonts w:ascii="Baskerville Old Face" w:hAnsi="Baskerville Old Face"/>
          <w:i/>
          <w:iCs/>
        </w:rPr>
        <w:t>internal_review</w:t>
      </w:r>
      <w:proofErr w:type="spellEnd"/>
      <w:r w:rsidRPr="00B479AE">
        <w:rPr>
          <w:rFonts w:ascii="Baskerville Old Face" w:hAnsi="Baskerville Old Face"/>
          <w:i/>
          <w:iCs/>
        </w:rPr>
        <w:t>",</w:t>
      </w:r>
    </w:p>
    <w:p w14:paraId="79C1F9E4"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data</w:t>
      </w:r>
      <w:proofErr w:type="gramEnd"/>
      <w:r w:rsidRPr="00B479AE">
        <w:rPr>
          <w:rFonts w:ascii="Baskerville Old Face" w:hAnsi="Baskerville Old Face"/>
          <w:i/>
          <w:iCs/>
        </w:rPr>
        <w:t>_reference</w:t>
      </w:r>
      <w:proofErr w:type="spellEnd"/>
      <w:r w:rsidRPr="00B479AE">
        <w:rPr>
          <w:rFonts w:ascii="Baskerville Old Face" w:hAnsi="Baskerville Old Face"/>
          <w:i/>
          <w:iCs/>
        </w:rPr>
        <w:t>": "</w:t>
      </w:r>
      <w:proofErr w:type="spellStart"/>
      <w:r w:rsidRPr="00B479AE">
        <w:rPr>
          <w:rFonts w:ascii="Baskerville Old Face" w:hAnsi="Baskerville Old Face"/>
          <w:i/>
          <w:iCs/>
        </w:rPr>
        <w:t>mrv_record_hash</w:t>
      </w:r>
      <w:proofErr w:type="spellEnd"/>
      <w:r w:rsidRPr="00B479AE">
        <w:rPr>
          <w:rFonts w:ascii="Baskerville Old Face" w:hAnsi="Baskerville Old Face"/>
          <w:i/>
          <w:iCs/>
        </w:rPr>
        <w:t>"</w:t>
      </w:r>
    </w:p>
    <w:p w14:paraId="219C9744"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
    <w:p w14:paraId="0F63D3DD"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
    <w:p w14:paraId="03C375B1"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boundary</w:t>
      </w:r>
      <w:proofErr w:type="gramEnd"/>
      <w:r w:rsidRPr="00B479AE">
        <w:rPr>
          <w:rFonts w:ascii="Baskerville Old Face" w:hAnsi="Baskerville Old Face"/>
          <w:i/>
          <w:iCs/>
        </w:rPr>
        <w:t>_pressure_profile</w:t>
      </w:r>
      <w:proofErr w:type="spellEnd"/>
      <w:r w:rsidRPr="00B479AE">
        <w:rPr>
          <w:rFonts w:ascii="Baskerville Old Face" w:hAnsi="Baskerville Old Face"/>
          <w:i/>
          <w:iCs/>
        </w:rPr>
        <w:t>": {</w:t>
      </w:r>
    </w:p>
    <w:p w14:paraId="7C86C7D0"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climate</w:t>
      </w:r>
      <w:proofErr w:type="gramEnd"/>
      <w:r w:rsidRPr="00B479AE">
        <w:rPr>
          <w:rFonts w:ascii="Baskerville Old Face" w:hAnsi="Baskerville Old Face"/>
          <w:i/>
          <w:iCs/>
        </w:rPr>
        <w:t>_change</w:t>
      </w:r>
      <w:proofErr w:type="spellEnd"/>
      <w:r w:rsidRPr="00B479AE">
        <w:rPr>
          <w:rFonts w:ascii="Baskerville Old Face" w:hAnsi="Baskerville Old Face"/>
          <w:i/>
          <w:iCs/>
        </w:rPr>
        <w:t>": "</w:t>
      </w:r>
      <w:proofErr w:type="spellStart"/>
      <w:r w:rsidRPr="00B479AE">
        <w:rPr>
          <w:rFonts w:ascii="Baskerville Old Face" w:hAnsi="Baskerville Old Face"/>
          <w:i/>
          <w:iCs/>
        </w:rPr>
        <w:t>pressure_reducing</w:t>
      </w:r>
      <w:proofErr w:type="spellEnd"/>
      <w:r w:rsidRPr="00B479AE">
        <w:rPr>
          <w:rFonts w:ascii="Baskerville Old Face" w:hAnsi="Baskerville Old Face"/>
          <w:i/>
          <w:iCs/>
        </w:rPr>
        <w:t>",</w:t>
      </w:r>
    </w:p>
    <w:p w14:paraId="59AC5F7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biosphere</w:t>
      </w:r>
      <w:proofErr w:type="gramEnd"/>
      <w:r w:rsidRPr="00B479AE">
        <w:rPr>
          <w:rFonts w:ascii="Baskerville Old Face" w:hAnsi="Baskerville Old Face"/>
          <w:i/>
          <w:iCs/>
        </w:rPr>
        <w:t>_integrity</w:t>
      </w:r>
      <w:proofErr w:type="spellEnd"/>
      <w:r w:rsidRPr="00B479AE">
        <w:rPr>
          <w:rFonts w:ascii="Baskerville Old Face" w:hAnsi="Baskerville Old Face"/>
          <w:i/>
          <w:iCs/>
        </w:rPr>
        <w:t>": "</w:t>
      </w:r>
      <w:proofErr w:type="spellStart"/>
      <w:r w:rsidRPr="00B479AE">
        <w:rPr>
          <w:rFonts w:ascii="Baskerville Old Face" w:hAnsi="Baskerville Old Face"/>
          <w:i/>
          <w:iCs/>
        </w:rPr>
        <w:t>pressure_uncertain</w:t>
      </w:r>
      <w:proofErr w:type="spellEnd"/>
      <w:r w:rsidRPr="00B479AE">
        <w:rPr>
          <w:rFonts w:ascii="Baskerville Old Face" w:hAnsi="Baskerville Old Face"/>
          <w:i/>
          <w:iCs/>
        </w:rPr>
        <w:t>",</w:t>
      </w:r>
    </w:p>
    <w:p w14:paraId="44D71718"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freshwater</w:t>
      </w:r>
      <w:proofErr w:type="gramEnd"/>
      <w:r w:rsidRPr="00B479AE">
        <w:rPr>
          <w:rFonts w:ascii="Baskerville Old Face" w:hAnsi="Baskerville Old Face"/>
          <w:i/>
          <w:iCs/>
        </w:rPr>
        <w:t>_change</w:t>
      </w:r>
      <w:proofErr w:type="spellEnd"/>
      <w:r w:rsidRPr="00B479AE">
        <w:rPr>
          <w:rFonts w:ascii="Baskerville Old Face" w:hAnsi="Baskerville Old Face"/>
          <w:i/>
          <w:iCs/>
        </w:rPr>
        <w:t>": "</w:t>
      </w:r>
      <w:proofErr w:type="spellStart"/>
      <w:r w:rsidRPr="00B479AE">
        <w:rPr>
          <w:rFonts w:ascii="Baskerville Old Face" w:hAnsi="Baskerville Old Face"/>
          <w:i/>
          <w:iCs/>
        </w:rPr>
        <w:t>pressure_reducing</w:t>
      </w:r>
      <w:proofErr w:type="spellEnd"/>
      <w:r w:rsidRPr="00B479AE">
        <w:rPr>
          <w:rFonts w:ascii="Baskerville Old Face" w:hAnsi="Baskerville Old Face"/>
          <w:i/>
          <w:iCs/>
        </w:rPr>
        <w:t>"</w:t>
      </w:r>
    </w:p>
    <w:p w14:paraId="0A9DDCC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
    <w:p w14:paraId="652B3E5E"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"limitations": [</w:t>
      </w:r>
    </w:p>
    <w:p w14:paraId="47047CF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"Biodiversity survey incomplete"</w:t>
      </w:r>
    </w:p>
    <w:p w14:paraId="123A908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
    <w:p w14:paraId="6BC8715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permitted</w:t>
      </w:r>
      <w:proofErr w:type="gramEnd"/>
      <w:r w:rsidRPr="00B479AE">
        <w:rPr>
          <w:rFonts w:ascii="Baskerville Old Face" w:hAnsi="Baskerville Old Face"/>
          <w:i/>
          <w:iCs/>
        </w:rPr>
        <w:t>_use</w:t>
      </w:r>
      <w:proofErr w:type="spellEnd"/>
      <w:r w:rsidRPr="00B479AE">
        <w:rPr>
          <w:rFonts w:ascii="Baskerville Old Face" w:hAnsi="Baskerville Old Face"/>
          <w:i/>
          <w:iCs/>
        </w:rPr>
        <w:t>": "</w:t>
      </w:r>
      <w:proofErr w:type="spellStart"/>
      <w:r w:rsidRPr="00B479AE">
        <w:rPr>
          <w:rFonts w:ascii="Baskerville Old Face" w:hAnsi="Baskerville Old Face"/>
          <w:i/>
          <w:iCs/>
        </w:rPr>
        <w:t>pilot_comparison_only</w:t>
      </w:r>
      <w:proofErr w:type="spellEnd"/>
      <w:r w:rsidRPr="00B479AE">
        <w:rPr>
          <w:rFonts w:ascii="Baskerville Old Face" w:hAnsi="Baskerville Old Face"/>
          <w:i/>
          <w:iCs/>
        </w:rPr>
        <w:t>",</w:t>
      </w:r>
    </w:p>
    <w:p w14:paraId="03B1546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pru</w:t>
      </w:r>
      <w:proofErr w:type="gramEnd"/>
      <w:r w:rsidRPr="00B479AE">
        <w:rPr>
          <w:rFonts w:ascii="Baskerville Old Face" w:hAnsi="Baskerville Old Face"/>
          <w:i/>
          <w:iCs/>
        </w:rPr>
        <w:t>_relevance</w:t>
      </w:r>
      <w:proofErr w:type="spellEnd"/>
      <w:r w:rsidRPr="00B479AE">
        <w:rPr>
          <w:rFonts w:ascii="Baskerville Old Face" w:hAnsi="Baskerville Old Face"/>
          <w:i/>
          <w:iCs/>
        </w:rPr>
        <w:t>": "</w:t>
      </w:r>
      <w:proofErr w:type="spellStart"/>
      <w:r w:rsidRPr="00B479AE">
        <w:rPr>
          <w:rFonts w:ascii="Baskerville Old Face" w:hAnsi="Baskerville Old Face"/>
          <w:i/>
          <w:iCs/>
        </w:rPr>
        <w:t>not_yet_pru_eligible</w:t>
      </w:r>
      <w:proofErr w:type="spellEnd"/>
      <w:r w:rsidRPr="00B479AE">
        <w:rPr>
          <w:rFonts w:ascii="Baskerville Old Face" w:hAnsi="Baskerville Old Face"/>
          <w:i/>
          <w:iCs/>
        </w:rPr>
        <w:t>"</w:t>
      </w:r>
    </w:p>
    <w:p w14:paraId="44FFAAA4"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w:t>
      </w:r>
    </w:p>
    <w:p w14:paraId="1F422A66"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This schema is illustrative.</w:t>
      </w:r>
    </w:p>
    <w:p w14:paraId="4861563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operative schema should be versioned, tested, and aligned with the MRV methodology.</w:t>
      </w:r>
    </w:p>
    <w:p w14:paraId="63BBC31A" w14:textId="77777777" w:rsidR="00C53243" w:rsidRPr="00B479AE" w:rsidRDefault="00C53243" w:rsidP="00C53243">
      <w:pPr>
        <w:spacing w:line="360" w:lineRule="auto"/>
        <w:rPr>
          <w:rFonts w:ascii="Baskerville Old Face" w:hAnsi="Baskerville Old Face"/>
          <w:b/>
          <w:bCs/>
          <w:i/>
          <w:iCs/>
        </w:rPr>
      </w:pPr>
      <w:r w:rsidRPr="00B479AE">
        <w:rPr>
          <w:rFonts w:ascii="Baskerville Old Face" w:hAnsi="Baskerville Old Face"/>
          <w:b/>
          <w:bCs/>
          <w:i/>
          <w:iCs/>
        </w:rPr>
        <w:t>K.18 Final planetary-boundary principle</w:t>
      </w:r>
    </w:p>
    <w:p w14:paraId="3538B45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uses planetary-boundary logic to remember scale.</w:t>
      </w:r>
    </w:p>
    <w:p w14:paraId="5B6AEC55"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uses bioregional interpretation to remember place.</w:t>
      </w:r>
    </w:p>
    <w:p w14:paraId="2FF94F5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uses PHI to organize ecological intelligence.</w:t>
      </w:r>
    </w:p>
    <w:p w14:paraId="0A65D45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lastRenderedPageBreak/>
        <w:t>It uses MRV to verify evidence.</w:t>
      </w:r>
    </w:p>
    <w:p w14:paraId="7F8FBA4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uses PRU to translate verified regeneration into value logic.</w:t>
      </w:r>
    </w:p>
    <w:p w14:paraId="47E98012"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uses RAP to aggregate only what is mature enough to be aggregated.</w:t>
      </w:r>
    </w:p>
    <w:p w14:paraId="63E30363"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It uses governance to keep these layers distinct.</w:t>
      </w:r>
    </w:p>
    <w:p w14:paraId="1705C66F"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final principle is:</w:t>
      </w:r>
    </w:p>
    <w:p w14:paraId="539A3F27"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the planet gives context;</w:t>
      </w:r>
      <w:r w:rsidRPr="00B479AE">
        <w:rPr>
          <w:rFonts w:ascii="Baskerville Old Face" w:hAnsi="Baskerville Old Face"/>
          <w:i/>
          <w:iCs/>
        </w:rPr>
        <w:br/>
        <w:t>the bioregion gives meaning;</w:t>
      </w:r>
      <w:r w:rsidRPr="00B479AE">
        <w:rPr>
          <w:rFonts w:ascii="Baskerville Old Face" w:hAnsi="Baskerville Old Face"/>
          <w:i/>
          <w:iCs/>
        </w:rPr>
        <w:br/>
        <w:t>the field gives evidence;</w:t>
      </w:r>
      <w:r w:rsidRPr="00B479AE">
        <w:rPr>
          <w:rFonts w:ascii="Baskerville Old Face" w:hAnsi="Baskerville Old Face"/>
          <w:i/>
          <w:iCs/>
        </w:rPr>
        <w:br/>
        <w:t>MRV gives verification;</w:t>
      </w:r>
      <w:r w:rsidRPr="00B479AE">
        <w:rPr>
          <w:rFonts w:ascii="Baskerville Old Face" w:hAnsi="Baskerville Old Face"/>
          <w:i/>
          <w:iCs/>
        </w:rPr>
        <w:br/>
        <w:t>PRU gives value discipline;</w:t>
      </w:r>
      <w:r w:rsidRPr="00B479AE">
        <w:rPr>
          <w:rFonts w:ascii="Baskerville Old Face" w:hAnsi="Baskerville Old Face"/>
          <w:i/>
          <w:iCs/>
        </w:rPr>
        <w:br/>
        <w:t>capital follows what life has made real.</w:t>
      </w:r>
    </w:p>
    <w:p w14:paraId="5F75A929" w14:textId="77777777" w:rsidR="00C53243" w:rsidRPr="00B479AE" w:rsidRDefault="00C53243" w:rsidP="00C53243">
      <w:pPr>
        <w:spacing w:line="360" w:lineRule="auto"/>
        <w:rPr>
          <w:rFonts w:ascii="Baskerville Old Face" w:hAnsi="Baskerville Old Face"/>
          <w:i/>
          <w:iCs/>
        </w:rPr>
      </w:pPr>
      <w:r w:rsidRPr="00B479AE">
        <w:rPr>
          <w:rFonts w:ascii="Baskerville Old Face" w:hAnsi="Baskerville Old Face"/>
          <w:i/>
          <w:iCs/>
        </w:rPr>
        <w:t>Prometheus is planetary in awareness, bioregional in interpretation, local in evidence, and constitutional in fidelity.</w:t>
      </w:r>
    </w:p>
    <w:p w14:paraId="1CC2B9FF" w14:textId="77777777" w:rsidR="004E7C51" w:rsidRPr="00EF369E" w:rsidRDefault="004E7C51" w:rsidP="00EF369E">
      <w:pPr>
        <w:pStyle w:val="Titolo1"/>
        <w:rPr>
          <w:rFonts w:ascii="Baskerville Old Face" w:hAnsi="Baskerville Old Face"/>
          <w:b/>
          <w:bCs/>
          <w:i/>
          <w:iCs/>
          <w:sz w:val="24"/>
          <w:szCs w:val="24"/>
          <w:lang w:val="it-IT"/>
        </w:rPr>
      </w:pPr>
      <w:proofErr w:type="spellStart"/>
      <w:r w:rsidRPr="00EF369E">
        <w:rPr>
          <w:rFonts w:ascii="Baskerville Old Face" w:hAnsi="Baskerville Old Face"/>
          <w:b/>
          <w:bCs/>
          <w:i/>
          <w:iCs/>
          <w:sz w:val="24"/>
          <w:szCs w:val="24"/>
          <w:lang w:val="it-IT"/>
        </w:rPr>
        <w:t>Appendix</w:t>
      </w:r>
      <w:proofErr w:type="spellEnd"/>
      <w:r w:rsidRPr="00EF369E">
        <w:rPr>
          <w:rFonts w:ascii="Baskerville Old Face" w:hAnsi="Baskerville Old Face"/>
          <w:b/>
          <w:bCs/>
          <w:i/>
          <w:iCs/>
          <w:sz w:val="24"/>
          <w:szCs w:val="24"/>
          <w:lang w:val="it-IT"/>
        </w:rPr>
        <w:t xml:space="preserve"> L: Integration </w:t>
      </w:r>
      <w:proofErr w:type="spellStart"/>
      <w:r w:rsidRPr="00EF369E">
        <w:rPr>
          <w:rFonts w:ascii="Baskerville Old Face" w:hAnsi="Baskerville Old Face"/>
          <w:b/>
          <w:bCs/>
          <w:i/>
          <w:iCs/>
          <w:sz w:val="24"/>
          <w:szCs w:val="24"/>
          <w:lang w:val="it-IT"/>
        </w:rPr>
        <w:t>Zome</w:t>
      </w:r>
      <w:proofErr w:type="spellEnd"/>
      <w:r w:rsidRPr="00EF369E">
        <w:rPr>
          <w:rFonts w:ascii="Baskerville Old Face" w:hAnsi="Baskerville Old Face"/>
          <w:b/>
          <w:bCs/>
          <w:i/>
          <w:iCs/>
          <w:sz w:val="24"/>
          <w:szCs w:val="24"/>
          <w:lang w:val="it-IT"/>
        </w:rPr>
        <w:t xml:space="preserve"> API </w:t>
      </w:r>
      <w:proofErr w:type="spellStart"/>
      <w:r w:rsidRPr="00EF369E">
        <w:rPr>
          <w:rFonts w:ascii="Baskerville Old Face" w:hAnsi="Baskerville Old Face"/>
          <w:b/>
          <w:bCs/>
          <w:i/>
          <w:iCs/>
          <w:sz w:val="24"/>
          <w:szCs w:val="24"/>
          <w:lang w:val="it-IT"/>
        </w:rPr>
        <w:t>Documentation</w:t>
      </w:r>
      <w:proofErr w:type="spellEnd"/>
    </w:p>
    <w:p w14:paraId="756639B6"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L.1 Overview</w:t>
      </w:r>
    </w:p>
    <w:p w14:paraId="6DC0DF4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is the controlled interface layer through which external systems, dashboards, applications, data services, institutional tools, MRV pipelines, and partner systems may interact with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ecosystem.</w:t>
      </w:r>
    </w:p>
    <w:p w14:paraId="1B433AE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Its purpose is not to create unrestricted external access.</w:t>
      </w:r>
    </w:p>
    <w:p w14:paraId="7D37971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Its purpose is to provide structured, authenticated, review-bound, and constitutionally constrained integration pathways for data ingestion, evidence retrieval, query execution, operational reporting, governance interaction, and future interoperability.</w:t>
      </w:r>
    </w:p>
    <w:p w14:paraId="58AC522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should preserve the following principles:</w:t>
      </w:r>
    </w:p>
    <w:p w14:paraId="65D790B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source-layer fidelity;</w:t>
      </w:r>
    </w:p>
    <w:p w14:paraId="19D8407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agent sovereignty;</w:t>
      </w:r>
    </w:p>
    <w:p w14:paraId="182E93C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 privacy and purpose limitation;</w:t>
      </w:r>
    </w:p>
    <w:p w14:paraId="4DE77AF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syntropic sovereignty header validation;</w:t>
      </w:r>
    </w:p>
    <w:p w14:paraId="4464B7A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MRV provenance;</w:t>
      </w:r>
    </w:p>
    <w:p w14:paraId="66E794A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no-double-counting discipline;</w:t>
      </w:r>
    </w:p>
    <w:p w14:paraId="5D3DDF7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public-claim boundaries;</w:t>
      </w:r>
    </w:p>
    <w:p w14:paraId="29B1F50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token-boundary separation;</w:t>
      </w:r>
    </w:p>
    <w:p w14:paraId="2B11D48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legal and jurisdictional review where relevant;</w:t>
      </w:r>
    </w:p>
    <w:p w14:paraId="66120CD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agent-centric operation;</w:t>
      </w:r>
    </w:p>
    <w:p w14:paraId="5D84565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review before protected-domain action.</w:t>
      </w:r>
    </w:p>
    <w:p w14:paraId="38F25D6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is designed to be protocol-flexible.</w:t>
      </w:r>
    </w:p>
    <w:p w14:paraId="44F6A2B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It may support REST, </w:t>
      </w:r>
      <w:proofErr w:type="spellStart"/>
      <w:r w:rsidRPr="00B479AE">
        <w:rPr>
          <w:rFonts w:ascii="Baskerville Old Face" w:hAnsi="Baskerville Old Face"/>
          <w:i/>
          <w:iCs/>
        </w:rPr>
        <w:t>GraphQL</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gRPC</w:t>
      </w:r>
      <w:proofErr w:type="spellEnd"/>
      <w:r w:rsidRPr="00B479AE">
        <w:rPr>
          <w:rFonts w:ascii="Baskerville Old Face" w:hAnsi="Baskerville Old Face"/>
          <w:i/>
          <w:iCs/>
        </w:rPr>
        <w:t>, webhooks, signed agent calls, internal bridge calls, and future integration methods where appropriate.</w:t>
      </w:r>
    </w:p>
    <w:p w14:paraId="44CD464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However, protocol flexibility does not mean authority flexibility.</w:t>
      </w:r>
    </w:p>
    <w:p w14:paraId="120F19E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All external requests remain subject to defined authentication, authorization, validation, rate limiting, logging, constitutional constraints, and protected-domain review.</w:t>
      </w:r>
    </w:p>
    <w:p w14:paraId="68612DD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should be understood as a gateway to reviewable interoperability, not as a gateway to automatic rights, token issuance, financial execution, certification, PRU value creation, or legal status.</w:t>
      </w:r>
    </w:p>
    <w:p w14:paraId="7327C400" w14:textId="3B3E2B83"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architecture may support the following API paradigms: </w:t>
      </w:r>
    </w:p>
    <w:p w14:paraId="4775973A" w14:textId="77777777" w:rsidR="004E7C51" w:rsidRPr="00B479AE" w:rsidRDefault="004E7C51" w:rsidP="004E7C51">
      <w:pPr>
        <w:tabs>
          <w:tab w:val="left" w:pos="2685"/>
        </w:tabs>
        <w:spacing w:line="360" w:lineRule="auto"/>
        <w:rPr>
          <w:rFonts w:ascii="Baskerville Old Face" w:hAnsi="Baskerville Old Face"/>
          <w:i/>
          <w:iCs/>
        </w:rPr>
      </w:pPr>
    </w:p>
    <w:p w14:paraId="39560CEE" w14:textId="77777777" w:rsidR="004E7C51" w:rsidRPr="00B479AE" w:rsidRDefault="004E7C51" w:rsidP="004E7C51">
      <w:pPr>
        <w:tabs>
          <w:tab w:val="left" w:pos="2685"/>
        </w:tabs>
        <w:spacing w:line="360" w:lineRule="auto"/>
        <w:rPr>
          <w:rFonts w:ascii="Baskerville Old Face" w:hAnsi="Baskerville Old Face"/>
          <w:i/>
          <w:iCs/>
        </w:rPr>
      </w:pPr>
    </w:p>
    <w:p w14:paraId="2CD031C3" w14:textId="77777777" w:rsidR="004E7C51" w:rsidRPr="00B479AE" w:rsidRDefault="004E7C51" w:rsidP="004E7C51">
      <w:pPr>
        <w:tabs>
          <w:tab w:val="left" w:pos="2685"/>
        </w:tabs>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3057"/>
        <w:gridCol w:w="2658"/>
        <w:gridCol w:w="2656"/>
      </w:tblGrid>
      <w:tr w:rsidR="004E7C51" w:rsidRPr="00B479AE" w14:paraId="376703FA" w14:textId="77777777" w:rsidTr="004E7C51">
        <w:trPr>
          <w:tblHeader/>
          <w:tblCellSpacing w:w="15" w:type="dxa"/>
        </w:trPr>
        <w:tc>
          <w:tcPr>
            <w:tcW w:w="0" w:type="auto"/>
            <w:vAlign w:val="center"/>
            <w:hideMark/>
          </w:tcPr>
          <w:p w14:paraId="579737B9"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Protocol</w:t>
            </w:r>
          </w:p>
        </w:tc>
        <w:tc>
          <w:tcPr>
            <w:tcW w:w="0" w:type="auto"/>
            <w:vAlign w:val="center"/>
            <w:hideMark/>
          </w:tcPr>
          <w:p w14:paraId="5F419AA2"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Primary use case</w:t>
            </w:r>
          </w:p>
        </w:tc>
        <w:tc>
          <w:tcPr>
            <w:tcW w:w="0" w:type="auto"/>
            <w:vAlign w:val="center"/>
            <w:hideMark/>
          </w:tcPr>
          <w:p w14:paraId="72D61E4D"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Advantages</w:t>
            </w:r>
          </w:p>
        </w:tc>
        <w:tc>
          <w:tcPr>
            <w:tcW w:w="0" w:type="auto"/>
            <w:vAlign w:val="center"/>
            <w:hideMark/>
          </w:tcPr>
          <w:p w14:paraId="1B556DEE"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Boundary</w:t>
            </w:r>
          </w:p>
        </w:tc>
      </w:tr>
      <w:tr w:rsidR="004E7C51" w:rsidRPr="00B479AE" w14:paraId="41A84AEA" w14:textId="77777777" w:rsidTr="004E7C51">
        <w:trPr>
          <w:tblCellSpacing w:w="15" w:type="dxa"/>
        </w:trPr>
        <w:tc>
          <w:tcPr>
            <w:tcW w:w="0" w:type="auto"/>
            <w:vAlign w:val="center"/>
            <w:hideMark/>
          </w:tcPr>
          <w:p w14:paraId="0610505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REST</w:t>
            </w:r>
          </w:p>
        </w:tc>
        <w:tc>
          <w:tcPr>
            <w:tcW w:w="0" w:type="auto"/>
            <w:vAlign w:val="center"/>
            <w:hideMark/>
          </w:tcPr>
          <w:p w14:paraId="3AE7984A"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Simple data retrieval, public reports, webhook integrations, legacy-system connectivity, operational status endpoints</w:t>
            </w:r>
          </w:p>
        </w:tc>
        <w:tc>
          <w:tcPr>
            <w:tcW w:w="0" w:type="auto"/>
            <w:vAlign w:val="center"/>
            <w:hideMark/>
          </w:tcPr>
          <w:p w14:paraId="61CA1191"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Universal compatibility, stateless operation, cacheable responses, broad developer familiarity</w:t>
            </w:r>
          </w:p>
        </w:tc>
        <w:tc>
          <w:tcPr>
            <w:tcW w:w="0" w:type="auto"/>
            <w:vAlign w:val="center"/>
            <w:hideMark/>
          </w:tcPr>
          <w:p w14:paraId="2010DAD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Suitable for low-risk and clearly bounded access; not sufficient by itself for protected-domain actions</w:t>
            </w:r>
          </w:p>
        </w:tc>
      </w:tr>
      <w:tr w:rsidR="004E7C51" w:rsidRPr="00B479AE" w14:paraId="0237B621" w14:textId="77777777" w:rsidTr="004E7C51">
        <w:trPr>
          <w:tblCellSpacing w:w="15" w:type="dxa"/>
        </w:trPr>
        <w:tc>
          <w:tcPr>
            <w:tcW w:w="0" w:type="auto"/>
            <w:vAlign w:val="center"/>
            <w:hideMark/>
          </w:tcPr>
          <w:p w14:paraId="704EC08E" w14:textId="77777777" w:rsidR="004E7C51" w:rsidRPr="00B479AE" w:rsidRDefault="004E7C51" w:rsidP="004E7C51">
            <w:pPr>
              <w:tabs>
                <w:tab w:val="left" w:pos="2685"/>
              </w:tabs>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GraphQL</w:t>
            </w:r>
            <w:proofErr w:type="spellEnd"/>
          </w:p>
        </w:tc>
        <w:tc>
          <w:tcPr>
            <w:tcW w:w="0" w:type="auto"/>
            <w:vAlign w:val="center"/>
            <w:hideMark/>
          </w:tcPr>
          <w:p w14:paraId="183E07B7"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Complex queries, dashboards, filtered reporting, internal tools, visualization interfaces</w:t>
            </w:r>
          </w:p>
        </w:tc>
        <w:tc>
          <w:tcPr>
            <w:tcW w:w="0" w:type="auto"/>
            <w:vAlign w:val="center"/>
            <w:hideMark/>
          </w:tcPr>
          <w:p w14:paraId="1EBAC256"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Efficient data fetching, typed schemas, flexible aggregation, subscription support</w:t>
            </w:r>
          </w:p>
        </w:tc>
        <w:tc>
          <w:tcPr>
            <w:tcW w:w="0" w:type="auto"/>
            <w:vAlign w:val="center"/>
            <w:hideMark/>
          </w:tcPr>
          <w:p w14:paraId="7DBE225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Query scope must respect permissions, privacy, disclosure classification, and public-claim boundaries</w:t>
            </w:r>
          </w:p>
        </w:tc>
      </w:tr>
      <w:tr w:rsidR="004E7C51" w:rsidRPr="00B479AE" w14:paraId="71AE6263" w14:textId="77777777" w:rsidTr="004E7C51">
        <w:trPr>
          <w:tblCellSpacing w:w="15" w:type="dxa"/>
        </w:trPr>
        <w:tc>
          <w:tcPr>
            <w:tcW w:w="0" w:type="auto"/>
            <w:vAlign w:val="center"/>
            <w:hideMark/>
          </w:tcPr>
          <w:p w14:paraId="2E52B9BA" w14:textId="77777777" w:rsidR="004E7C51" w:rsidRPr="00B479AE" w:rsidRDefault="004E7C51" w:rsidP="004E7C51">
            <w:pPr>
              <w:tabs>
                <w:tab w:val="left" w:pos="2685"/>
              </w:tabs>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gRPC</w:t>
            </w:r>
            <w:proofErr w:type="spellEnd"/>
          </w:p>
        </w:tc>
        <w:tc>
          <w:tcPr>
            <w:tcW w:w="0" w:type="auto"/>
            <w:vAlign w:val="center"/>
            <w:hideMark/>
          </w:tcPr>
          <w:p w14:paraId="36ABCEB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High-throughput data exchange, inter-service communication, sensor ingestion, internal bridge communication</w:t>
            </w:r>
          </w:p>
        </w:tc>
        <w:tc>
          <w:tcPr>
            <w:tcW w:w="0" w:type="auto"/>
            <w:vAlign w:val="center"/>
            <w:hideMark/>
          </w:tcPr>
          <w:p w14:paraId="78263185"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Streaming support, strong typing, high performance, suitable for infrastructure-level integration</w:t>
            </w:r>
          </w:p>
        </w:tc>
        <w:tc>
          <w:tcPr>
            <w:tcW w:w="0" w:type="auto"/>
            <w:vAlign w:val="center"/>
            <w:hideMark/>
          </w:tcPr>
          <w:p w14:paraId="6C46C2D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Best used for authenticated infrastructure services and not as a public authority layer</w:t>
            </w:r>
          </w:p>
        </w:tc>
      </w:tr>
      <w:tr w:rsidR="004E7C51" w:rsidRPr="00B479AE" w14:paraId="0F7561DA" w14:textId="77777777" w:rsidTr="004E7C51">
        <w:trPr>
          <w:tblCellSpacing w:w="15" w:type="dxa"/>
        </w:trPr>
        <w:tc>
          <w:tcPr>
            <w:tcW w:w="0" w:type="auto"/>
            <w:vAlign w:val="center"/>
            <w:hideMark/>
          </w:tcPr>
          <w:p w14:paraId="4A01628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Signed </w:t>
            </w:r>
            <w:proofErr w:type="spellStart"/>
            <w:r w:rsidRPr="00B479AE">
              <w:rPr>
                <w:rFonts w:ascii="Baskerville Old Face" w:hAnsi="Baskerville Old Face"/>
                <w:i/>
                <w:iCs/>
                <w:sz w:val="22"/>
                <w:szCs w:val="22"/>
              </w:rPr>
              <w:t>Holochain</w:t>
            </w:r>
            <w:proofErr w:type="spellEnd"/>
            <w:r w:rsidRPr="00B479AE">
              <w:rPr>
                <w:rFonts w:ascii="Baskerville Old Face" w:hAnsi="Baskerville Old Face"/>
                <w:i/>
                <w:iCs/>
                <w:sz w:val="22"/>
                <w:szCs w:val="22"/>
              </w:rPr>
              <w:t xml:space="preserve"> calls</w:t>
            </w:r>
          </w:p>
        </w:tc>
        <w:tc>
          <w:tcPr>
            <w:tcW w:w="0" w:type="auto"/>
            <w:vAlign w:val="center"/>
            <w:hideMark/>
          </w:tcPr>
          <w:p w14:paraId="322DCAE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Agent-centric operations, source-chain actions, DHT-published records, governance-relevant events</w:t>
            </w:r>
          </w:p>
        </w:tc>
        <w:tc>
          <w:tcPr>
            <w:tcW w:w="0" w:type="auto"/>
            <w:vAlign w:val="center"/>
            <w:hideMark/>
          </w:tcPr>
          <w:p w14:paraId="21CDF56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Cryptographic identity, agent sovereignty, contextual validation, source-chain integrity</w:t>
            </w:r>
          </w:p>
        </w:tc>
        <w:tc>
          <w:tcPr>
            <w:tcW w:w="0" w:type="auto"/>
            <w:vAlign w:val="center"/>
            <w:hideMark/>
          </w:tcPr>
          <w:p w14:paraId="754C696D"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Required for actions that affect agent records, governance records, MRV evidence, or protected status</w:t>
            </w:r>
          </w:p>
        </w:tc>
      </w:tr>
      <w:tr w:rsidR="004E7C51" w:rsidRPr="00B479AE" w14:paraId="57DFD7AF" w14:textId="77777777" w:rsidTr="004E7C51">
        <w:trPr>
          <w:tblCellSpacing w:w="15" w:type="dxa"/>
        </w:trPr>
        <w:tc>
          <w:tcPr>
            <w:tcW w:w="0" w:type="auto"/>
            <w:vAlign w:val="center"/>
            <w:hideMark/>
          </w:tcPr>
          <w:p w14:paraId="2537A75D"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Webhooks</w:t>
            </w:r>
          </w:p>
        </w:tc>
        <w:tc>
          <w:tcPr>
            <w:tcW w:w="0" w:type="auto"/>
            <w:vAlign w:val="center"/>
            <w:hideMark/>
          </w:tcPr>
          <w:p w14:paraId="631C52F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Asynchronous notifications for external systems, dashboards, partners, auditors, and operational monitors</w:t>
            </w:r>
          </w:p>
        </w:tc>
        <w:tc>
          <w:tcPr>
            <w:tcW w:w="0" w:type="auto"/>
            <w:vAlign w:val="center"/>
            <w:hideMark/>
          </w:tcPr>
          <w:p w14:paraId="50A849DD"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Event-driven integration, near-real-time updates, system interoperability</w:t>
            </w:r>
          </w:p>
        </w:tc>
        <w:tc>
          <w:tcPr>
            <w:tcW w:w="0" w:type="auto"/>
            <w:vAlign w:val="center"/>
            <w:hideMark/>
          </w:tcPr>
          <w:p w14:paraId="63268597"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Webhooks notify; they do not authorize protected-domain action by themselves</w:t>
            </w:r>
          </w:p>
        </w:tc>
      </w:tr>
    </w:tbl>
    <w:p w14:paraId="416228A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All API and integration pathways should validate syntropic sovereignty header requirements where applicable.</w:t>
      </w:r>
    </w:p>
    <w:p w14:paraId="6DBE142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 syntropic sovereignty header ensures that requests, records, responses, and data packets remain connected to the constitutional principles of Prometheus, including non-commodification of life, agent sovereignty, source-layer constraints, evidence discipline, and the spiral of abundance.</w:t>
      </w:r>
    </w:p>
    <w:p w14:paraId="30176685"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L.2 Authentication and Authorization</w:t>
      </w:r>
    </w:p>
    <w:p w14:paraId="0CC4D41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All non-public API requests should be authenticated and authorized.</w:t>
      </w:r>
    </w:p>
    <w:p w14:paraId="760811D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Authentication identifies the caller.</w:t>
      </w:r>
    </w:p>
    <w:p w14:paraId="2EA0A55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Authorization determines what the caller is permitted to do.</w:t>
      </w:r>
    </w:p>
    <w:p w14:paraId="63F3E4C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Prometheus should treat authentication and authorization as separate controls.</w:t>
      </w:r>
    </w:p>
    <w:p w14:paraId="1E9C8EE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 valid identity does not automatically create permission.</w:t>
      </w:r>
    </w:p>
    <w:p w14:paraId="7722B08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 valid API key does not automatically create governance authority.</w:t>
      </w:r>
    </w:p>
    <w:p w14:paraId="08DBBE0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 valid partner credential does not automatically create public-claim authority.</w:t>
      </w:r>
    </w:p>
    <w:p w14:paraId="7116045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 valid investor-data-room credential does not automatically create investor entitlement.</w:t>
      </w:r>
    </w:p>
    <w:p w14:paraId="74B213E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 valid system token does not automatically authorize protected-domain actions.</w:t>
      </w:r>
    </w:p>
    <w:p w14:paraId="6EB1DCFB"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L.2.1 Authentication Methods</w:t>
      </w:r>
    </w:p>
    <w:p w14:paraId="38776A3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may support multiple authentication methods, each appropriate for different risk levels and use cases.</w:t>
      </w:r>
    </w:p>
    <w:p w14:paraId="48F62BBC" w14:textId="77777777" w:rsidR="004E7C51" w:rsidRPr="00B479AE" w:rsidRDefault="004E7C51" w:rsidP="004E7C51">
      <w:pPr>
        <w:tabs>
          <w:tab w:val="left" w:pos="2685"/>
        </w:tabs>
        <w:spacing w:line="360" w:lineRule="auto"/>
        <w:rPr>
          <w:rFonts w:ascii="Baskerville Old Face" w:hAnsi="Baskerville Old Face"/>
          <w:i/>
          <w:iCs/>
        </w:rPr>
      </w:pPr>
    </w:p>
    <w:p w14:paraId="2E50E574" w14:textId="77777777" w:rsidR="004E7C51" w:rsidRPr="00B479AE" w:rsidRDefault="004E7C51" w:rsidP="004E7C51">
      <w:pPr>
        <w:tabs>
          <w:tab w:val="left" w:pos="2685"/>
        </w:tabs>
        <w:spacing w:line="360" w:lineRule="auto"/>
        <w:rPr>
          <w:rFonts w:ascii="Baskerville Old Face" w:hAnsi="Baskerville Old Face"/>
          <w:i/>
          <w:iCs/>
        </w:rPr>
      </w:pPr>
    </w:p>
    <w:p w14:paraId="62487914" w14:textId="77777777" w:rsidR="004E7C51" w:rsidRPr="00B479AE" w:rsidRDefault="004E7C51" w:rsidP="004E7C51">
      <w:pPr>
        <w:tabs>
          <w:tab w:val="left" w:pos="2685"/>
        </w:tabs>
        <w:spacing w:line="360" w:lineRule="auto"/>
        <w:rPr>
          <w:rFonts w:ascii="Baskerville Old Face" w:hAnsi="Baskerville Old Face"/>
          <w:i/>
          <w:iCs/>
        </w:rPr>
      </w:pPr>
    </w:p>
    <w:p w14:paraId="41E4FE33" w14:textId="77777777" w:rsidR="004E7C51" w:rsidRPr="00B479AE" w:rsidRDefault="004E7C51" w:rsidP="004E7C51">
      <w:pPr>
        <w:tabs>
          <w:tab w:val="left" w:pos="2685"/>
        </w:tabs>
        <w:spacing w:line="360" w:lineRule="auto"/>
        <w:rPr>
          <w:rFonts w:ascii="Baskerville Old Face" w:hAnsi="Baskerville Old Face"/>
          <w:i/>
          <w:iCs/>
        </w:rPr>
      </w:pPr>
    </w:p>
    <w:p w14:paraId="49056DAB" w14:textId="77777777" w:rsidR="004E7C51" w:rsidRPr="00B479AE" w:rsidRDefault="004E7C51" w:rsidP="004E7C51">
      <w:pPr>
        <w:tabs>
          <w:tab w:val="left" w:pos="2685"/>
        </w:tabs>
        <w:spacing w:line="360" w:lineRule="auto"/>
        <w:rPr>
          <w:rFonts w:ascii="Baskerville Old Face" w:hAnsi="Baskerville Old Face"/>
          <w:i/>
          <w:iCs/>
        </w:rPr>
      </w:pPr>
    </w:p>
    <w:p w14:paraId="56C94574" w14:textId="77777777" w:rsidR="004E7C51" w:rsidRPr="00B479AE" w:rsidRDefault="004E7C51" w:rsidP="004E7C51">
      <w:pPr>
        <w:tabs>
          <w:tab w:val="left" w:pos="2685"/>
        </w:tabs>
        <w:spacing w:line="360" w:lineRule="auto"/>
        <w:rPr>
          <w:rFonts w:ascii="Baskerville Old Face" w:hAnsi="Baskerville Old Face"/>
          <w:i/>
          <w:iCs/>
        </w:rPr>
      </w:pPr>
    </w:p>
    <w:p w14:paraId="2AA876AF" w14:textId="77777777" w:rsidR="004E7C51" w:rsidRPr="00B479AE" w:rsidRDefault="004E7C51" w:rsidP="004E7C51">
      <w:pPr>
        <w:tabs>
          <w:tab w:val="left" w:pos="2685"/>
        </w:tabs>
        <w:spacing w:line="360" w:lineRule="auto"/>
        <w:rPr>
          <w:rFonts w:ascii="Baskerville Old Face" w:hAnsi="Baskerville Old Face"/>
          <w:i/>
          <w:iCs/>
        </w:rPr>
      </w:pPr>
    </w:p>
    <w:p w14:paraId="2816CB24" w14:textId="77777777" w:rsidR="004E7C51" w:rsidRPr="00B479AE" w:rsidRDefault="004E7C51" w:rsidP="004E7C51">
      <w:pPr>
        <w:tabs>
          <w:tab w:val="left" w:pos="2685"/>
        </w:tabs>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2554"/>
        <w:gridCol w:w="2801"/>
        <w:gridCol w:w="2774"/>
      </w:tblGrid>
      <w:tr w:rsidR="004E7C51" w:rsidRPr="00B479AE" w14:paraId="51A8F7F2" w14:textId="77777777" w:rsidTr="004E7C51">
        <w:trPr>
          <w:tblHeader/>
          <w:tblCellSpacing w:w="15" w:type="dxa"/>
        </w:trPr>
        <w:tc>
          <w:tcPr>
            <w:tcW w:w="0" w:type="auto"/>
            <w:vAlign w:val="center"/>
            <w:hideMark/>
          </w:tcPr>
          <w:p w14:paraId="5832A283"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Method</w:t>
            </w:r>
          </w:p>
        </w:tc>
        <w:tc>
          <w:tcPr>
            <w:tcW w:w="0" w:type="auto"/>
            <w:vAlign w:val="center"/>
            <w:hideMark/>
          </w:tcPr>
          <w:p w14:paraId="29914FF6"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46B55813"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Appropriate use case</w:t>
            </w:r>
          </w:p>
        </w:tc>
        <w:tc>
          <w:tcPr>
            <w:tcW w:w="0" w:type="auto"/>
            <w:vAlign w:val="center"/>
            <w:hideMark/>
          </w:tcPr>
          <w:p w14:paraId="3600A439"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Boundary</w:t>
            </w:r>
          </w:p>
        </w:tc>
      </w:tr>
      <w:tr w:rsidR="004E7C51" w:rsidRPr="00B479AE" w14:paraId="4546C75D" w14:textId="77777777" w:rsidTr="004E7C51">
        <w:trPr>
          <w:tblCellSpacing w:w="15" w:type="dxa"/>
        </w:trPr>
        <w:tc>
          <w:tcPr>
            <w:tcW w:w="0" w:type="auto"/>
            <w:vAlign w:val="center"/>
            <w:hideMark/>
          </w:tcPr>
          <w:p w14:paraId="5A3CE591"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API key</w:t>
            </w:r>
          </w:p>
        </w:tc>
        <w:tc>
          <w:tcPr>
            <w:tcW w:w="0" w:type="auto"/>
            <w:vAlign w:val="center"/>
            <w:hideMark/>
          </w:tcPr>
          <w:p w14:paraId="6D3FBFA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Simple token-based authentication for low-risk access</w:t>
            </w:r>
          </w:p>
        </w:tc>
        <w:tc>
          <w:tcPr>
            <w:tcW w:w="0" w:type="auto"/>
            <w:vAlign w:val="center"/>
            <w:hideMark/>
          </w:tcPr>
          <w:p w14:paraId="41A8F4B6"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Public reports, dashboard queries, non-sensitive aggregated data, system health endpoints</w:t>
            </w:r>
          </w:p>
        </w:tc>
        <w:tc>
          <w:tcPr>
            <w:tcW w:w="0" w:type="auto"/>
            <w:vAlign w:val="center"/>
            <w:hideMark/>
          </w:tcPr>
          <w:p w14:paraId="09C0D20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Should not authorize protected-domain actions, private data access, governance decisions, or financial workflows</w:t>
            </w:r>
          </w:p>
        </w:tc>
      </w:tr>
      <w:tr w:rsidR="004E7C51" w:rsidRPr="00B479AE" w14:paraId="2C63585C" w14:textId="77777777" w:rsidTr="004E7C51">
        <w:trPr>
          <w:tblCellSpacing w:w="15" w:type="dxa"/>
        </w:trPr>
        <w:tc>
          <w:tcPr>
            <w:tcW w:w="0" w:type="auto"/>
            <w:vAlign w:val="center"/>
            <w:hideMark/>
          </w:tcPr>
          <w:p w14:paraId="475B0CA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JWT</w:t>
            </w:r>
          </w:p>
        </w:tc>
        <w:tc>
          <w:tcPr>
            <w:tcW w:w="0" w:type="auto"/>
            <w:vAlign w:val="center"/>
            <w:hideMark/>
          </w:tcPr>
          <w:p w14:paraId="0B025D82"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Time-limited signed token containing agent identity, session context, role claims, and permissions</w:t>
            </w:r>
          </w:p>
        </w:tc>
        <w:tc>
          <w:tcPr>
            <w:tcW w:w="0" w:type="auto"/>
            <w:vAlign w:val="center"/>
            <w:hideMark/>
          </w:tcPr>
          <w:p w14:paraId="74CA0616"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User-authenticated requests, partner portals, dashboard access, limited governance interaction</w:t>
            </w:r>
          </w:p>
        </w:tc>
        <w:tc>
          <w:tcPr>
            <w:tcW w:w="0" w:type="auto"/>
            <w:vAlign w:val="center"/>
            <w:hideMark/>
          </w:tcPr>
          <w:p w14:paraId="05586D3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Role claims must be verified against canonical governance or access records</w:t>
            </w:r>
          </w:p>
        </w:tc>
      </w:tr>
      <w:tr w:rsidR="004E7C51" w:rsidRPr="00B479AE" w14:paraId="3AC6AC1D" w14:textId="77777777" w:rsidTr="004E7C51">
        <w:trPr>
          <w:tblCellSpacing w:w="15" w:type="dxa"/>
        </w:trPr>
        <w:tc>
          <w:tcPr>
            <w:tcW w:w="0" w:type="auto"/>
            <w:vAlign w:val="center"/>
            <w:hideMark/>
          </w:tcPr>
          <w:p w14:paraId="7A4198C9" w14:textId="77777777" w:rsidR="004E7C51" w:rsidRPr="00B479AE" w:rsidRDefault="004E7C51" w:rsidP="004E7C51">
            <w:pPr>
              <w:tabs>
                <w:tab w:val="left" w:pos="2685"/>
              </w:tabs>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Holochain</w:t>
            </w:r>
            <w:proofErr w:type="spellEnd"/>
            <w:r w:rsidRPr="00B479AE">
              <w:rPr>
                <w:rFonts w:ascii="Baskerville Old Face" w:hAnsi="Baskerville Old Face"/>
                <w:i/>
                <w:iCs/>
                <w:sz w:val="22"/>
                <w:szCs w:val="22"/>
              </w:rPr>
              <w:t xml:space="preserve"> agent signature</w:t>
            </w:r>
          </w:p>
        </w:tc>
        <w:tc>
          <w:tcPr>
            <w:tcW w:w="0" w:type="auto"/>
            <w:vAlign w:val="center"/>
            <w:hideMark/>
          </w:tcPr>
          <w:p w14:paraId="418F4F4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Cryptographic signature using an agent key, verified through </w:t>
            </w:r>
            <w:proofErr w:type="spellStart"/>
            <w:r w:rsidRPr="00B479AE">
              <w:rPr>
                <w:rFonts w:ascii="Baskerville Old Face" w:hAnsi="Baskerville Old Face"/>
                <w:i/>
                <w:iCs/>
                <w:sz w:val="22"/>
                <w:szCs w:val="22"/>
              </w:rPr>
              <w:t>Holochain</w:t>
            </w:r>
            <w:proofErr w:type="spellEnd"/>
            <w:r w:rsidRPr="00B479AE">
              <w:rPr>
                <w:rFonts w:ascii="Baskerville Old Face" w:hAnsi="Baskerville Old Face"/>
                <w:i/>
                <w:iCs/>
                <w:sz w:val="22"/>
                <w:szCs w:val="22"/>
              </w:rPr>
              <w:t>-compatible identity logic</w:t>
            </w:r>
          </w:p>
        </w:tc>
        <w:tc>
          <w:tcPr>
            <w:tcW w:w="0" w:type="auto"/>
            <w:vAlign w:val="center"/>
            <w:hideMark/>
          </w:tcPr>
          <w:p w14:paraId="31E1452A"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Agent-owned records, source-chain actions, MRV submissions, governance-relevant events, high-security operations</w:t>
            </w:r>
          </w:p>
        </w:tc>
        <w:tc>
          <w:tcPr>
            <w:tcW w:w="0" w:type="auto"/>
            <w:vAlign w:val="center"/>
            <w:hideMark/>
          </w:tcPr>
          <w:p w14:paraId="2A272517"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Preferred for agent-centric actions and protected record creation</w:t>
            </w:r>
          </w:p>
        </w:tc>
      </w:tr>
      <w:tr w:rsidR="004E7C51" w:rsidRPr="00B479AE" w14:paraId="7778A783" w14:textId="77777777" w:rsidTr="004E7C51">
        <w:trPr>
          <w:tblCellSpacing w:w="15" w:type="dxa"/>
        </w:trPr>
        <w:tc>
          <w:tcPr>
            <w:tcW w:w="0" w:type="auto"/>
            <w:vAlign w:val="center"/>
            <w:hideMark/>
          </w:tcPr>
          <w:p w14:paraId="72C59652"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OAuth 2.0 / OpenID Connect</w:t>
            </w:r>
          </w:p>
        </w:tc>
        <w:tc>
          <w:tcPr>
            <w:tcW w:w="0" w:type="auto"/>
            <w:vAlign w:val="center"/>
            <w:hideMark/>
          </w:tcPr>
          <w:p w14:paraId="2124B410"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Delegated authentication through trusted identity providers</w:t>
            </w:r>
          </w:p>
        </w:tc>
        <w:tc>
          <w:tcPr>
            <w:tcW w:w="0" w:type="auto"/>
            <w:vAlign w:val="center"/>
            <w:hideMark/>
          </w:tcPr>
          <w:p w14:paraId="181C8F6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Enterprise SSO, institutional partners, public-sector systems, research platforms</w:t>
            </w:r>
          </w:p>
        </w:tc>
        <w:tc>
          <w:tcPr>
            <w:tcW w:w="0" w:type="auto"/>
            <w:vAlign w:val="center"/>
            <w:hideMark/>
          </w:tcPr>
          <w:p w14:paraId="1AB6F24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External identity does not replace Prometheus authorization rules</w:t>
            </w:r>
          </w:p>
        </w:tc>
      </w:tr>
      <w:tr w:rsidR="004E7C51" w:rsidRPr="00B479AE" w14:paraId="195A625A" w14:textId="77777777" w:rsidTr="004E7C51">
        <w:trPr>
          <w:tblCellSpacing w:w="15" w:type="dxa"/>
        </w:trPr>
        <w:tc>
          <w:tcPr>
            <w:tcW w:w="0" w:type="auto"/>
            <w:vAlign w:val="center"/>
            <w:hideMark/>
          </w:tcPr>
          <w:p w14:paraId="6ABF4F1D" w14:textId="77777777" w:rsidR="004E7C51" w:rsidRPr="00B479AE" w:rsidRDefault="004E7C51" w:rsidP="004E7C51">
            <w:pPr>
              <w:tabs>
                <w:tab w:val="left" w:pos="2685"/>
              </w:tabs>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mTLS</w:t>
            </w:r>
            <w:proofErr w:type="spellEnd"/>
            <w:r w:rsidRPr="00B479AE">
              <w:rPr>
                <w:rFonts w:ascii="Baskerville Old Face" w:hAnsi="Baskerville Old Face"/>
                <w:i/>
                <w:iCs/>
                <w:sz w:val="22"/>
                <w:szCs w:val="22"/>
              </w:rPr>
              <w:t xml:space="preserve"> / service credentials</w:t>
            </w:r>
          </w:p>
        </w:tc>
        <w:tc>
          <w:tcPr>
            <w:tcW w:w="0" w:type="auto"/>
            <w:vAlign w:val="center"/>
            <w:hideMark/>
          </w:tcPr>
          <w:p w14:paraId="484AF58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Mutual authentication between infrastructure services</w:t>
            </w:r>
          </w:p>
        </w:tc>
        <w:tc>
          <w:tcPr>
            <w:tcW w:w="0" w:type="auto"/>
            <w:vAlign w:val="center"/>
            <w:hideMark/>
          </w:tcPr>
          <w:p w14:paraId="7EBB499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Bridge services, internal infrastructure, sensor gateways, secure backend services</w:t>
            </w:r>
          </w:p>
        </w:tc>
        <w:tc>
          <w:tcPr>
            <w:tcW w:w="0" w:type="auto"/>
            <w:vAlign w:val="center"/>
            <w:hideMark/>
          </w:tcPr>
          <w:p w14:paraId="7203DDA1"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Should be restricted to known infrastructure contexts and monitored carefully</w:t>
            </w:r>
          </w:p>
        </w:tc>
      </w:tr>
      <w:tr w:rsidR="004E7C51" w:rsidRPr="00B479AE" w14:paraId="52770468" w14:textId="77777777" w:rsidTr="004E7C51">
        <w:trPr>
          <w:tblCellSpacing w:w="15" w:type="dxa"/>
        </w:trPr>
        <w:tc>
          <w:tcPr>
            <w:tcW w:w="0" w:type="auto"/>
            <w:vAlign w:val="center"/>
            <w:hideMark/>
          </w:tcPr>
          <w:p w14:paraId="3B7BC9B9"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Multi-signature authorization</w:t>
            </w:r>
          </w:p>
        </w:tc>
        <w:tc>
          <w:tcPr>
            <w:tcW w:w="0" w:type="auto"/>
            <w:vAlign w:val="center"/>
            <w:hideMark/>
          </w:tcPr>
          <w:p w14:paraId="16F68C6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Multiple authorized signatures required for high-risk actions</w:t>
            </w:r>
          </w:p>
        </w:tc>
        <w:tc>
          <w:tcPr>
            <w:tcW w:w="0" w:type="auto"/>
            <w:vAlign w:val="center"/>
            <w:hideMark/>
          </w:tcPr>
          <w:p w14:paraId="0B764A15"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Canonical releases, protected-domain changes, emergency procedures, registry actions</w:t>
            </w:r>
          </w:p>
        </w:tc>
        <w:tc>
          <w:tcPr>
            <w:tcW w:w="0" w:type="auto"/>
            <w:vAlign w:val="center"/>
            <w:hideMark/>
          </w:tcPr>
          <w:p w14:paraId="5404AD3E"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Should be used for constitutional, registry, release, or high-impact governance operations</w:t>
            </w:r>
          </w:p>
        </w:tc>
      </w:tr>
    </w:tbl>
    <w:p w14:paraId="3AF0DE4D"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L.2.2 Authorization Levels</w:t>
      </w:r>
    </w:p>
    <w:p w14:paraId="458D059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Authorization levels should be defined according to action scope, risk, data sensitivity, and protected-domain relevance.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7"/>
        <w:gridCol w:w="3053"/>
        <w:gridCol w:w="2137"/>
        <w:gridCol w:w="2981"/>
      </w:tblGrid>
      <w:tr w:rsidR="004E7C51" w:rsidRPr="00B479AE" w14:paraId="792427E1" w14:textId="77777777" w:rsidTr="004E7C51">
        <w:trPr>
          <w:tblHeader/>
          <w:tblCellSpacing w:w="15" w:type="dxa"/>
        </w:trPr>
        <w:tc>
          <w:tcPr>
            <w:tcW w:w="0" w:type="auto"/>
            <w:vAlign w:val="center"/>
            <w:hideMark/>
          </w:tcPr>
          <w:p w14:paraId="4E1D497A"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lastRenderedPageBreak/>
              <w:t>Level</w:t>
            </w:r>
          </w:p>
        </w:tc>
        <w:tc>
          <w:tcPr>
            <w:tcW w:w="0" w:type="auto"/>
            <w:vAlign w:val="center"/>
            <w:hideMark/>
          </w:tcPr>
          <w:p w14:paraId="5498A74F"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Permitted scope</w:t>
            </w:r>
          </w:p>
        </w:tc>
        <w:tc>
          <w:tcPr>
            <w:tcW w:w="0" w:type="auto"/>
            <w:vAlign w:val="center"/>
            <w:hideMark/>
          </w:tcPr>
          <w:p w14:paraId="7F57614E"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Required authentication</w:t>
            </w:r>
          </w:p>
        </w:tc>
        <w:tc>
          <w:tcPr>
            <w:tcW w:w="0" w:type="auto"/>
            <w:vAlign w:val="center"/>
            <w:hideMark/>
          </w:tcPr>
          <w:p w14:paraId="563CE4D8"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Boundary</w:t>
            </w:r>
          </w:p>
        </w:tc>
      </w:tr>
      <w:tr w:rsidR="004E7C51" w:rsidRPr="00B479AE" w14:paraId="71569628" w14:textId="77777777" w:rsidTr="004E7C51">
        <w:trPr>
          <w:tblCellSpacing w:w="15" w:type="dxa"/>
        </w:trPr>
        <w:tc>
          <w:tcPr>
            <w:tcW w:w="0" w:type="auto"/>
            <w:vAlign w:val="center"/>
            <w:hideMark/>
          </w:tcPr>
          <w:p w14:paraId="7B1AD4C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Public</w:t>
            </w:r>
          </w:p>
        </w:tc>
        <w:tc>
          <w:tcPr>
            <w:tcW w:w="0" w:type="auto"/>
            <w:vAlign w:val="center"/>
            <w:hideMark/>
          </w:tcPr>
          <w:p w14:paraId="4F61C1D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Read-only access to approved public, non-sensitive, aggregated, or already published information</w:t>
            </w:r>
          </w:p>
        </w:tc>
        <w:tc>
          <w:tcPr>
            <w:tcW w:w="0" w:type="auto"/>
            <w:vAlign w:val="center"/>
            <w:hideMark/>
          </w:tcPr>
          <w:p w14:paraId="74553B9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None or API key</w:t>
            </w:r>
          </w:p>
        </w:tc>
        <w:tc>
          <w:tcPr>
            <w:tcW w:w="0" w:type="auto"/>
            <w:vAlign w:val="center"/>
            <w:hideMark/>
          </w:tcPr>
          <w:p w14:paraId="04DB6FA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Public access must not expose private data, protected records, non-public methodology, or investor-review materials</w:t>
            </w:r>
          </w:p>
        </w:tc>
      </w:tr>
      <w:tr w:rsidR="004E7C51" w:rsidRPr="00B479AE" w14:paraId="7901E53C" w14:textId="77777777" w:rsidTr="004E7C51">
        <w:trPr>
          <w:tblCellSpacing w:w="15" w:type="dxa"/>
        </w:trPr>
        <w:tc>
          <w:tcPr>
            <w:tcW w:w="0" w:type="auto"/>
            <w:vAlign w:val="center"/>
            <w:hideMark/>
          </w:tcPr>
          <w:p w14:paraId="21CB637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Authenticated agent</w:t>
            </w:r>
          </w:p>
        </w:tc>
        <w:tc>
          <w:tcPr>
            <w:tcW w:w="0" w:type="auto"/>
            <w:vAlign w:val="center"/>
            <w:hideMark/>
          </w:tcPr>
          <w:p w14:paraId="12B455B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Read/write access to the agent’s own permitted data and scoped participation records</w:t>
            </w:r>
          </w:p>
        </w:tc>
        <w:tc>
          <w:tcPr>
            <w:tcW w:w="0" w:type="auto"/>
            <w:vAlign w:val="center"/>
            <w:hideMark/>
          </w:tcPr>
          <w:p w14:paraId="2B48A31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JWT or </w:t>
            </w: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agent signature</w:t>
            </w:r>
          </w:p>
        </w:tc>
        <w:tc>
          <w:tcPr>
            <w:tcW w:w="0" w:type="auto"/>
            <w:vAlign w:val="center"/>
            <w:hideMark/>
          </w:tcPr>
          <w:p w14:paraId="1CA4CAB9"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Agent access does not authorize changes to other agents, governance outcomes, MRV admissibility, or public claims</w:t>
            </w:r>
          </w:p>
        </w:tc>
      </w:tr>
      <w:tr w:rsidR="004E7C51" w:rsidRPr="00B479AE" w14:paraId="45518BCD" w14:textId="77777777" w:rsidTr="004E7C51">
        <w:trPr>
          <w:tblCellSpacing w:w="15" w:type="dxa"/>
        </w:trPr>
        <w:tc>
          <w:tcPr>
            <w:tcW w:w="0" w:type="auto"/>
            <w:vAlign w:val="center"/>
            <w:hideMark/>
          </w:tcPr>
          <w:p w14:paraId="58C41A5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Project operator</w:t>
            </w:r>
          </w:p>
        </w:tc>
        <w:tc>
          <w:tcPr>
            <w:tcW w:w="0" w:type="auto"/>
            <w:vAlign w:val="center"/>
            <w:hideMark/>
          </w:tcPr>
          <w:p w14:paraId="7632887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Operational records, site data, evidence uploads, task updates, internal reporting within assigned project scope</w:t>
            </w:r>
          </w:p>
        </w:tc>
        <w:tc>
          <w:tcPr>
            <w:tcW w:w="0" w:type="auto"/>
            <w:vAlign w:val="center"/>
            <w:hideMark/>
          </w:tcPr>
          <w:p w14:paraId="0BA929E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JWT plus role verification, or </w:t>
            </w: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w:t>
            </w:r>
          </w:p>
        </w:tc>
        <w:tc>
          <w:tcPr>
            <w:tcW w:w="0" w:type="auto"/>
            <w:vAlign w:val="center"/>
            <w:hideMark/>
          </w:tcPr>
          <w:p w14:paraId="73BA18A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Operator access remains project-bounded and review-bound</w:t>
            </w:r>
          </w:p>
        </w:tc>
      </w:tr>
      <w:tr w:rsidR="004E7C51" w:rsidRPr="00B479AE" w14:paraId="39A0E94F" w14:textId="77777777" w:rsidTr="004E7C51">
        <w:trPr>
          <w:tblCellSpacing w:w="15" w:type="dxa"/>
        </w:trPr>
        <w:tc>
          <w:tcPr>
            <w:tcW w:w="0" w:type="auto"/>
            <w:vAlign w:val="center"/>
            <w:hideMark/>
          </w:tcPr>
          <w:p w14:paraId="646D012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MRV submitter</w:t>
            </w:r>
          </w:p>
        </w:tc>
        <w:tc>
          <w:tcPr>
            <w:tcW w:w="0" w:type="auto"/>
            <w:vAlign w:val="center"/>
            <w:hideMark/>
          </w:tcPr>
          <w:p w14:paraId="44D117AB"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Submission of sensor, laboratory, field, satellite, audit, or operational evidence</w:t>
            </w:r>
          </w:p>
        </w:tc>
        <w:tc>
          <w:tcPr>
            <w:tcW w:w="0" w:type="auto"/>
            <w:vAlign w:val="center"/>
            <w:hideMark/>
          </w:tcPr>
          <w:p w14:paraId="2485DC4E"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 project credential, or approved service credential</w:t>
            </w:r>
          </w:p>
        </w:tc>
        <w:tc>
          <w:tcPr>
            <w:tcW w:w="0" w:type="auto"/>
            <w:vAlign w:val="center"/>
            <w:hideMark/>
          </w:tcPr>
          <w:p w14:paraId="3E61665E"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Submission is not verification; evidence remains under review until validated</w:t>
            </w:r>
          </w:p>
        </w:tc>
      </w:tr>
      <w:tr w:rsidR="004E7C51" w:rsidRPr="00B479AE" w14:paraId="30EC0BD0" w14:textId="77777777" w:rsidTr="004E7C51">
        <w:trPr>
          <w:tblCellSpacing w:w="15" w:type="dxa"/>
        </w:trPr>
        <w:tc>
          <w:tcPr>
            <w:tcW w:w="0" w:type="auto"/>
            <w:vAlign w:val="center"/>
            <w:hideMark/>
          </w:tcPr>
          <w:p w14:paraId="6D234846"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MRV reviewer / validator</w:t>
            </w:r>
          </w:p>
        </w:tc>
        <w:tc>
          <w:tcPr>
            <w:tcW w:w="0" w:type="auto"/>
            <w:vAlign w:val="center"/>
            <w:hideMark/>
          </w:tcPr>
          <w:p w14:paraId="7D9897B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Review, validation, anomaly flagging, confidence scoring, and evidence-quality assessment</w:t>
            </w:r>
          </w:p>
        </w:tc>
        <w:tc>
          <w:tcPr>
            <w:tcW w:w="0" w:type="auto"/>
            <w:vAlign w:val="center"/>
            <w:hideMark/>
          </w:tcPr>
          <w:p w14:paraId="620061A7"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 plus role authorization</w:t>
            </w:r>
          </w:p>
        </w:tc>
        <w:tc>
          <w:tcPr>
            <w:tcW w:w="0" w:type="auto"/>
            <w:vAlign w:val="center"/>
            <w:hideMark/>
          </w:tcPr>
          <w:p w14:paraId="43AF235A"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Review may inform admissibility but does not by itself create financial rights</w:t>
            </w:r>
          </w:p>
        </w:tc>
      </w:tr>
      <w:tr w:rsidR="004E7C51" w:rsidRPr="00B479AE" w14:paraId="7CC315FC" w14:textId="77777777" w:rsidTr="004E7C51">
        <w:trPr>
          <w:tblCellSpacing w:w="15" w:type="dxa"/>
        </w:trPr>
        <w:tc>
          <w:tcPr>
            <w:tcW w:w="0" w:type="auto"/>
            <w:vAlign w:val="center"/>
            <w:hideMark/>
          </w:tcPr>
          <w:p w14:paraId="6A8DF56A"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Circle delegate</w:t>
            </w:r>
          </w:p>
        </w:tc>
        <w:tc>
          <w:tcPr>
            <w:tcW w:w="0" w:type="auto"/>
            <w:vAlign w:val="center"/>
            <w:hideMark/>
          </w:tcPr>
          <w:p w14:paraId="630CCEF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Governance proposals, circle records, consent records, review participation, delegated communications</w:t>
            </w:r>
          </w:p>
        </w:tc>
        <w:tc>
          <w:tcPr>
            <w:tcW w:w="0" w:type="auto"/>
            <w:vAlign w:val="center"/>
            <w:hideMark/>
          </w:tcPr>
          <w:p w14:paraId="7D6C529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JWT or </w:t>
            </w: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 plus governance role verification</w:t>
            </w:r>
          </w:p>
        </w:tc>
        <w:tc>
          <w:tcPr>
            <w:tcW w:w="0" w:type="auto"/>
            <w:vAlign w:val="center"/>
            <w:hideMark/>
          </w:tcPr>
          <w:p w14:paraId="3FAA210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Delegate authority is limited by circle scope and source-layer constraints</w:t>
            </w:r>
          </w:p>
        </w:tc>
      </w:tr>
      <w:tr w:rsidR="004E7C51" w:rsidRPr="00B479AE" w14:paraId="77A1845D" w14:textId="77777777" w:rsidTr="004E7C51">
        <w:trPr>
          <w:tblCellSpacing w:w="15" w:type="dxa"/>
        </w:trPr>
        <w:tc>
          <w:tcPr>
            <w:tcW w:w="0" w:type="auto"/>
            <w:vAlign w:val="center"/>
            <w:hideMark/>
          </w:tcPr>
          <w:p w14:paraId="632F671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Protocol steward</w:t>
            </w:r>
          </w:p>
        </w:tc>
        <w:tc>
          <w:tcPr>
            <w:tcW w:w="0" w:type="auto"/>
            <w:vAlign w:val="center"/>
            <w:hideMark/>
          </w:tcPr>
          <w:p w14:paraId="2C92079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Methodology review, release alignment, protected terminology, registry status review, compatibility assessment</w:t>
            </w:r>
          </w:p>
        </w:tc>
        <w:tc>
          <w:tcPr>
            <w:tcW w:w="0" w:type="auto"/>
            <w:vAlign w:val="center"/>
            <w:hideMark/>
          </w:tcPr>
          <w:p w14:paraId="7938F9F9"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 plus steward authorization</w:t>
            </w:r>
          </w:p>
        </w:tc>
        <w:tc>
          <w:tcPr>
            <w:tcW w:w="0" w:type="auto"/>
            <w:vAlign w:val="center"/>
            <w:hideMark/>
          </w:tcPr>
          <w:p w14:paraId="19DABD6B"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Stewardship supports coherence; it does not create unilateral sovereign authority</w:t>
            </w:r>
          </w:p>
        </w:tc>
      </w:tr>
      <w:tr w:rsidR="004E7C51" w:rsidRPr="00B479AE" w14:paraId="351257AB" w14:textId="77777777" w:rsidTr="004E7C51">
        <w:trPr>
          <w:tblCellSpacing w:w="15" w:type="dxa"/>
        </w:trPr>
        <w:tc>
          <w:tcPr>
            <w:tcW w:w="0" w:type="auto"/>
            <w:vAlign w:val="center"/>
            <w:hideMark/>
          </w:tcPr>
          <w:p w14:paraId="0A5FE37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Canonical registry authority</w:t>
            </w:r>
          </w:p>
        </w:tc>
        <w:tc>
          <w:tcPr>
            <w:tcW w:w="0" w:type="auto"/>
            <w:vAlign w:val="center"/>
            <w:hideMark/>
          </w:tcPr>
          <w:p w14:paraId="1BA6137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Registry entries, release records, fork classifications, compatibility status, public verification metadata</w:t>
            </w:r>
          </w:p>
        </w:tc>
        <w:tc>
          <w:tcPr>
            <w:tcW w:w="0" w:type="auto"/>
            <w:vAlign w:val="center"/>
            <w:hideMark/>
          </w:tcPr>
          <w:p w14:paraId="4D467249"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Multi-signature authorization</w:t>
            </w:r>
          </w:p>
        </w:tc>
        <w:tc>
          <w:tcPr>
            <w:tcW w:w="0" w:type="auto"/>
            <w:vAlign w:val="center"/>
            <w:hideMark/>
          </w:tcPr>
          <w:p w14:paraId="229B262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Registry changes require strong controls, logs, and release governance</w:t>
            </w:r>
          </w:p>
        </w:tc>
      </w:tr>
      <w:tr w:rsidR="004E7C51" w:rsidRPr="00B479AE" w14:paraId="51EB47E2" w14:textId="77777777" w:rsidTr="004E7C51">
        <w:trPr>
          <w:tblCellSpacing w:w="15" w:type="dxa"/>
        </w:trPr>
        <w:tc>
          <w:tcPr>
            <w:tcW w:w="0" w:type="auto"/>
            <w:vAlign w:val="center"/>
            <w:hideMark/>
          </w:tcPr>
          <w:p w14:paraId="1BB9FDE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Institutional / data-room user</w:t>
            </w:r>
          </w:p>
        </w:tc>
        <w:tc>
          <w:tcPr>
            <w:tcW w:w="0" w:type="auto"/>
            <w:vAlign w:val="center"/>
            <w:hideMark/>
          </w:tcPr>
          <w:p w14:paraId="494D9AD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Controlled access to investor-review, partner-review, audit, research, or diligence materials</w:t>
            </w:r>
          </w:p>
        </w:tc>
        <w:tc>
          <w:tcPr>
            <w:tcW w:w="0" w:type="auto"/>
            <w:vAlign w:val="center"/>
            <w:hideMark/>
          </w:tcPr>
          <w:p w14:paraId="413B39B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Contractual access credential plus identity verification</w:t>
            </w:r>
          </w:p>
        </w:tc>
        <w:tc>
          <w:tcPr>
            <w:tcW w:w="0" w:type="auto"/>
            <w:vAlign w:val="center"/>
            <w:hideMark/>
          </w:tcPr>
          <w:p w14:paraId="182155F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Data-room access does not create investment entitlement, endorsement, or offering status</w:t>
            </w:r>
          </w:p>
        </w:tc>
      </w:tr>
      <w:tr w:rsidR="004E7C51" w:rsidRPr="00B479AE" w14:paraId="750C9E5D" w14:textId="77777777" w:rsidTr="004E7C51">
        <w:trPr>
          <w:tblCellSpacing w:w="15" w:type="dxa"/>
        </w:trPr>
        <w:tc>
          <w:tcPr>
            <w:tcW w:w="0" w:type="auto"/>
            <w:vAlign w:val="center"/>
            <w:hideMark/>
          </w:tcPr>
          <w:p w14:paraId="4A31859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Emergency / quarantine authority</w:t>
            </w:r>
          </w:p>
        </w:tc>
        <w:tc>
          <w:tcPr>
            <w:tcW w:w="0" w:type="auto"/>
            <w:vAlign w:val="center"/>
            <w:hideMark/>
          </w:tcPr>
          <w:p w14:paraId="68DDC4B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Temporary suspension, quarantine, compromised-key response, fake-release notice, or critical incident response</w:t>
            </w:r>
          </w:p>
        </w:tc>
        <w:tc>
          <w:tcPr>
            <w:tcW w:w="0" w:type="auto"/>
            <w:vAlign w:val="center"/>
            <w:hideMark/>
          </w:tcPr>
          <w:p w14:paraId="1ECFC346"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Multi-signature and documented emergency procedure</w:t>
            </w:r>
          </w:p>
        </w:tc>
        <w:tc>
          <w:tcPr>
            <w:tcW w:w="0" w:type="auto"/>
            <w:vAlign w:val="center"/>
            <w:hideMark/>
          </w:tcPr>
          <w:p w14:paraId="23830968"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Emergency actions require post-action review and audit trail</w:t>
            </w:r>
          </w:p>
        </w:tc>
      </w:tr>
    </w:tbl>
    <w:p w14:paraId="4C4254FA" w14:textId="77777777" w:rsidR="004E7C51" w:rsidRPr="00B479AE" w:rsidRDefault="004E7C51" w:rsidP="004E7C51">
      <w:pPr>
        <w:tabs>
          <w:tab w:val="left" w:pos="2685"/>
        </w:tabs>
        <w:spacing w:line="360" w:lineRule="auto"/>
        <w:rPr>
          <w:rFonts w:ascii="Baskerville Old Face" w:hAnsi="Baskerville Old Face"/>
          <w:b/>
          <w:bCs/>
          <w:i/>
          <w:iCs/>
        </w:rPr>
      </w:pPr>
    </w:p>
    <w:p w14:paraId="00244FD9" w14:textId="3869C1F3"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L.2.3 API Key Management</w:t>
      </w:r>
    </w:p>
    <w:p w14:paraId="0C17E74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API keys should be issued only through authorized governance, operations, or registry procedures.</w:t>
      </w:r>
    </w:p>
    <w:p w14:paraId="0C0FCE5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API keys may be scoped by:</w:t>
      </w:r>
    </w:p>
    <w:p w14:paraId="556C592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endpoint;</w:t>
      </w:r>
    </w:p>
    <w:p w14:paraId="38A62C6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project;</w:t>
      </w:r>
    </w:p>
    <w:p w14:paraId="5A01630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role;</w:t>
      </w:r>
    </w:p>
    <w:p w14:paraId="0241AD1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organization;</w:t>
      </w:r>
    </w:p>
    <w:p w14:paraId="2C99E3C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IP range;</w:t>
      </w:r>
    </w:p>
    <w:p w14:paraId="26C451B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rate-limit tier;</w:t>
      </w:r>
    </w:p>
    <w:p w14:paraId="5480A79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expiration date;</w:t>
      </w:r>
    </w:p>
    <w:p w14:paraId="66A9FCD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data classification;</w:t>
      </w:r>
    </w:p>
    <w:p w14:paraId="225655D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permitted environment;</w:t>
      </w:r>
    </w:p>
    <w:p w14:paraId="6527213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read/write boundary.</w:t>
      </w:r>
    </w:p>
    <w:p w14:paraId="093D32EB" w14:textId="5323D090"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API keys should be hashed before storage. Plaintext keys should be displayed only once at creation.</w:t>
      </w:r>
    </w:p>
    <w:p w14:paraId="0BD722C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Keys should be rotated periodically.</w:t>
      </w:r>
    </w:p>
    <w:p w14:paraId="56280FEA" w14:textId="7C8DF934"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Keys should be revoked immediately if compromised, unused, misused, transferred without authorization, or associated with misleading public claims. API key possession should not be treated as constitutional authority.</w:t>
      </w:r>
    </w:p>
    <w:p w14:paraId="59F7718D"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L.3 REST API Endpoints</w:t>
      </w:r>
    </w:p>
    <w:p w14:paraId="04CC1D7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 REST API may support simple data retrieval, operational submissions, dashboard access, health checks, and integration with legacy systems.</w:t>
      </w:r>
    </w:p>
    <w:p w14:paraId="25943A8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The following endpoint structure is conceptual and should be treated as implementation guidance, not as final public API commitment until the canonical technical release confirms base URLs, authentication, schemas, and deployment environments.</w:t>
      </w:r>
    </w:p>
    <w:p w14:paraId="68E77DE7" w14:textId="6D119899" w:rsidR="004E7C51" w:rsidRPr="005907F1" w:rsidRDefault="004E7C51" w:rsidP="004E7C51">
      <w:pPr>
        <w:tabs>
          <w:tab w:val="left" w:pos="2685"/>
        </w:tabs>
        <w:spacing w:line="360" w:lineRule="auto"/>
        <w:rPr>
          <w:rFonts w:ascii="Baskerville Old Face" w:hAnsi="Baskerville Old Face"/>
          <w:i/>
          <w:iCs/>
          <w:lang w:val="it-IT"/>
        </w:rPr>
      </w:pPr>
      <w:r w:rsidRPr="005907F1">
        <w:rPr>
          <w:rFonts w:ascii="Baskerville Old Face" w:hAnsi="Baskerville Old Face"/>
          <w:i/>
          <w:iCs/>
          <w:lang w:val="it-IT"/>
        </w:rPr>
        <w:t xml:space="preserve">Base URL: </w:t>
      </w:r>
      <w:hyperlink r:id="rId24" w:history="1">
        <w:r w:rsidRPr="005907F1">
          <w:rPr>
            <w:rStyle w:val="Collegamentoipertestuale"/>
            <w:rFonts w:ascii="Baskerville Old Face" w:hAnsi="Baskerville Old Face"/>
            <w:i/>
            <w:iCs/>
            <w:lang w:val="it-IT"/>
          </w:rPr>
          <w:t>https://api.heart-intelligence.earth/v1</w:t>
        </w:r>
      </w:hyperlink>
    </w:p>
    <w:p w14:paraId="13D5EF4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If this endpoint is not yet live, it should be treated as a planned or reserved endpoint rather than an operational production service.</w:t>
      </w:r>
    </w:p>
    <w:p w14:paraId="1149EB1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All endpoints should return JSON responses unless otherwise specified.</w:t>
      </w:r>
    </w:p>
    <w:p w14:paraId="5BCB7DF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Requests should include the required authentication headers.</w:t>
      </w:r>
    </w:p>
    <w:p w14:paraId="28ACF6BA"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Protected-domain actions should be routed to review and should not execute automatically merely because an API request is syntactically valid.</w:t>
      </w:r>
    </w:p>
    <w:p w14:paraId="0E8210AB"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L.3.1 Agent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651"/>
        <w:gridCol w:w="2565"/>
        <w:gridCol w:w="1515"/>
        <w:gridCol w:w="750"/>
        <w:gridCol w:w="2334"/>
      </w:tblGrid>
      <w:tr w:rsidR="004E7C51" w:rsidRPr="00B479AE" w14:paraId="51D2B504" w14:textId="77777777" w:rsidTr="004E7C51">
        <w:trPr>
          <w:tblHeader/>
          <w:tblCellSpacing w:w="15" w:type="dxa"/>
        </w:trPr>
        <w:tc>
          <w:tcPr>
            <w:tcW w:w="0" w:type="auto"/>
            <w:vAlign w:val="center"/>
            <w:hideMark/>
          </w:tcPr>
          <w:p w14:paraId="2EC63475"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Endpoint</w:t>
            </w:r>
          </w:p>
        </w:tc>
        <w:tc>
          <w:tcPr>
            <w:tcW w:w="0" w:type="auto"/>
            <w:vAlign w:val="center"/>
            <w:hideMark/>
          </w:tcPr>
          <w:p w14:paraId="04D73929"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Method</w:t>
            </w:r>
          </w:p>
        </w:tc>
        <w:tc>
          <w:tcPr>
            <w:tcW w:w="0" w:type="auto"/>
            <w:vAlign w:val="center"/>
            <w:hideMark/>
          </w:tcPr>
          <w:p w14:paraId="4FB88667"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Description</w:t>
            </w:r>
          </w:p>
        </w:tc>
        <w:tc>
          <w:tcPr>
            <w:tcW w:w="0" w:type="auto"/>
            <w:vAlign w:val="center"/>
            <w:hideMark/>
          </w:tcPr>
          <w:p w14:paraId="7508F335"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Authentication</w:t>
            </w:r>
          </w:p>
        </w:tc>
        <w:tc>
          <w:tcPr>
            <w:tcW w:w="0" w:type="auto"/>
            <w:vAlign w:val="center"/>
            <w:hideMark/>
          </w:tcPr>
          <w:p w14:paraId="736737A1"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Rate limit</w:t>
            </w:r>
          </w:p>
        </w:tc>
        <w:tc>
          <w:tcPr>
            <w:tcW w:w="0" w:type="auto"/>
            <w:vAlign w:val="center"/>
            <w:hideMark/>
          </w:tcPr>
          <w:p w14:paraId="59CE1399"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Boundary</w:t>
            </w:r>
          </w:p>
        </w:tc>
      </w:tr>
      <w:tr w:rsidR="004E7C51" w:rsidRPr="00B479AE" w14:paraId="51B5AB63" w14:textId="77777777" w:rsidTr="004E7C51">
        <w:trPr>
          <w:tblCellSpacing w:w="15" w:type="dxa"/>
        </w:trPr>
        <w:tc>
          <w:tcPr>
            <w:tcW w:w="0" w:type="auto"/>
            <w:vAlign w:val="center"/>
            <w:hideMark/>
          </w:tcPr>
          <w:p w14:paraId="1B772B8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/agent/register</w:t>
            </w:r>
          </w:p>
        </w:tc>
        <w:tc>
          <w:tcPr>
            <w:tcW w:w="0" w:type="auto"/>
            <w:vAlign w:val="center"/>
            <w:hideMark/>
          </w:tcPr>
          <w:p w14:paraId="45CDA20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POST</w:t>
            </w:r>
          </w:p>
        </w:tc>
        <w:tc>
          <w:tcPr>
            <w:tcW w:w="0" w:type="auto"/>
            <w:vAlign w:val="center"/>
            <w:hideMark/>
          </w:tcPr>
          <w:p w14:paraId="7CCE958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Register a new agent profile or initiate agent identity creation</w:t>
            </w:r>
          </w:p>
        </w:tc>
        <w:tc>
          <w:tcPr>
            <w:tcW w:w="0" w:type="auto"/>
            <w:vAlign w:val="center"/>
            <w:hideMark/>
          </w:tcPr>
          <w:p w14:paraId="1C4C3158"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API key or invitation credential</w:t>
            </w:r>
          </w:p>
        </w:tc>
        <w:tc>
          <w:tcPr>
            <w:tcW w:w="0" w:type="auto"/>
            <w:vAlign w:val="center"/>
            <w:hideMark/>
          </w:tcPr>
          <w:p w14:paraId="320DBED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10/hour</w:t>
            </w:r>
          </w:p>
        </w:tc>
        <w:tc>
          <w:tcPr>
            <w:tcW w:w="0" w:type="auto"/>
            <w:vAlign w:val="center"/>
            <w:hideMark/>
          </w:tcPr>
          <w:p w14:paraId="545EBE4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Registration does not create governance authority or PRU eligibility</w:t>
            </w:r>
          </w:p>
        </w:tc>
      </w:tr>
      <w:tr w:rsidR="004E7C51" w:rsidRPr="00B479AE" w14:paraId="65AF9D74" w14:textId="77777777" w:rsidTr="004E7C51">
        <w:trPr>
          <w:tblCellSpacing w:w="15" w:type="dxa"/>
        </w:trPr>
        <w:tc>
          <w:tcPr>
            <w:tcW w:w="0" w:type="auto"/>
            <w:vAlign w:val="center"/>
            <w:hideMark/>
          </w:tcPr>
          <w:p w14:paraId="417CE4C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/agent/{id}</w:t>
            </w:r>
          </w:p>
        </w:tc>
        <w:tc>
          <w:tcPr>
            <w:tcW w:w="0" w:type="auto"/>
            <w:vAlign w:val="center"/>
            <w:hideMark/>
          </w:tcPr>
          <w:p w14:paraId="6F60C09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GET</w:t>
            </w:r>
          </w:p>
        </w:tc>
        <w:tc>
          <w:tcPr>
            <w:tcW w:w="0" w:type="auto"/>
            <w:vAlign w:val="center"/>
            <w:hideMark/>
          </w:tcPr>
          <w:p w14:paraId="6DCA349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Retrieve permitted agent profile information</w:t>
            </w:r>
          </w:p>
        </w:tc>
        <w:tc>
          <w:tcPr>
            <w:tcW w:w="0" w:type="auto"/>
            <w:vAlign w:val="center"/>
            <w:hideMark/>
          </w:tcPr>
          <w:p w14:paraId="0150013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JWT or </w:t>
            </w: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w:t>
            </w:r>
          </w:p>
        </w:tc>
        <w:tc>
          <w:tcPr>
            <w:tcW w:w="0" w:type="auto"/>
            <w:vAlign w:val="center"/>
            <w:hideMark/>
          </w:tcPr>
          <w:p w14:paraId="754A45CE"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100/hour</w:t>
            </w:r>
          </w:p>
        </w:tc>
        <w:tc>
          <w:tcPr>
            <w:tcW w:w="0" w:type="auto"/>
            <w:vAlign w:val="center"/>
            <w:hideMark/>
          </w:tcPr>
          <w:p w14:paraId="3D64F8F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Access limited by privacy and role permissions</w:t>
            </w:r>
          </w:p>
        </w:tc>
      </w:tr>
      <w:tr w:rsidR="004E7C51" w:rsidRPr="00B479AE" w14:paraId="592502D0" w14:textId="77777777" w:rsidTr="004E7C51">
        <w:trPr>
          <w:tblCellSpacing w:w="15" w:type="dxa"/>
        </w:trPr>
        <w:tc>
          <w:tcPr>
            <w:tcW w:w="0" w:type="auto"/>
            <w:vAlign w:val="center"/>
            <w:hideMark/>
          </w:tcPr>
          <w:p w14:paraId="1D384BC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/agent/{id}/status</w:t>
            </w:r>
          </w:p>
        </w:tc>
        <w:tc>
          <w:tcPr>
            <w:tcW w:w="0" w:type="auto"/>
            <w:vAlign w:val="center"/>
            <w:hideMark/>
          </w:tcPr>
          <w:p w14:paraId="13C0B71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GET</w:t>
            </w:r>
          </w:p>
        </w:tc>
        <w:tc>
          <w:tcPr>
            <w:tcW w:w="0" w:type="auto"/>
            <w:vAlign w:val="center"/>
            <w:hideMark/>
          </w:tcPr>
          <w:p w14:paraId="633CA8F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Retrieve agent operational status within permitted scope</w:t>
            </w:r>
          </w:p>
        </w:tc>
        <w:tc>
          <w:tcPr>
            <w:tcW w:w="0" w:type="auto"/>
            <w:vAlign w:val="center"/>
            <w:hideMark/>
          </w:tcPr>
          <w:p w14:paraId="292C2EF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JWT or </w:t>
            </w:r>
            <w:proofErr w:type="spellStart"/>
            <w:r w:rsidRPr="00B479AE">
              <w:rPr>
                <w:rFonts w:ascii="Baskerville Old Face" w:hAnsi="Baskerville Old Face"/>
                <w:i/>
                <w:iCs/>
                <w:sz w:val="18"/>
                <w:szCs w:val="18"/>
              </w:rPr>
              <w:t>Holochain</w:t>
            </w:r>
            <w:proofErr w:type="spellEnd"/>
            <w:r w:rsidRPr="00B479AE">
              <w:rPr>
                <w:rFonts w:ascii="Baskerville Old Face" w:hAnsi="Baskerville Old Face"/>
                <w:i/>
                <w:iCs/>
                <w:sz w:val="18"/>
                <w:szCs w:val="18"/>
              </w:rPr>
              <w:t xml:space="preserve"> signature</w:t>
            </w:r>
          </w:p>
        </w:tc>
        <w:tc>
          <w:tcPr>
            <w:tcW w:w="0" w:type="auto"/>
            <w:vAlign w:val="center"/>
            <w:hideMark/>
          </w:tcPr>
          <w:p w14:paraId="1F122B3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100/hour</w:t>
            </w:r>
          </w:p>
        </w:tc>
        <w:tc>
          <w:tcPr>
            <w:tcW w:w="0" w:type="auto"/>
            <w:vAlign w:val="center"/>
            <w:hideMark/>
          </w:tcPr>
          <w:p w14:paraId="170FEDD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Status is contextual and not human ranking</w:t>
            </w:r>
          </w:p>
        </w:tc>
      </w:tr>
      <w:tr w:rsidR="004E7C51" w:rsidRPr="00B479AE" w14:paraId="56D31F74" w14:textId="77777777" w:rsidTr="004E7C51">
        <w:trPr>
          <w:tblCellSpacing w:w="15" w:type="dxa"/>
        </w:trPr>
        <w:tc>
          <w:tcPr>
            <w:tcW w:w="0" w:type="auto"/>
            <w:vAlign w:val="center"/>
            <w:hideMark/>
          </w:tcPr>
          <w:p w14:paraId="7BE9C2F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/agent/{id}/reputation-context</w:t>
            </w:r>
          </w:p>
        </w:tc>
        <w:tc>
          <w:tcPr>
            <w:tcW w:w="0" w:type="auto"/>
            <w:vAlign w:val="center"/>
            <w:hideMark/>
          </w:tcPr>
          <w:p w14:paraId="51EA9DE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GET</w:t>
            </w:r>
          </w:p>
        </w:tc>
        <w:tc>
          <w:tcPr>
            <w:tcW w:w="0" w:type="auto"/>
            <w:vAlign w:val="center"/>
            <w:hideMark/>
          </w:tcPr>
          <w:p w14:paraId="30B7BAA6"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Retrieve permitted reputation context</w:t>
            </w:r>
          </w:p>
        </w:tc>
        <w:tc>
          <w:tcPr>
            <w:tcW w:w="0" w:type="auto"/>
            <w:vAlign w:val="center"/>
            <w:hideMark/>
          </w:tcPr>
          <w:p w14:paraId="13803A1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JWT plus role authorization</w:t>
            </w:r>
          </w:p>
        </w:tc>
        <w:tc>
          <w:tcPr>
            <w:tcW w:w="0" w:type="auto"/>
            <w:vAlign w:val="center"/>
            <w:hideMark/>
          </w:tcPr>
          <w:p w14:paraId="39413848"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100/hour</w:t>
            </w:r>
          </w:p>
        </w:tc>
        <w:tc>
          <w:tcPr>
            <w:tcW w:w="0" w:type="auto"/>
            <w:vAlign w:val="center"/>
            <w:hideMark/>
          </w:tcPr>
          <w:p w14:paraId="1618F74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Reputation is an integrity signal, not human worth or automatic authority</w:t>
            </w:r>
          </w:p>
        </w:tc>
      </w:tr>
      <w:tr w:rsidR="004E7C51" w:rsidRPr="00B479AE" w14:paraId="6CCBB1E6" w14:textId="77777777" w:rsidTr="004E7C51">
        <w:trPr>
          <w:tblCellSpacing w:w="15" w:type="dxa"/>
        </w:trPr>
        <w:tc>
          <w:tcPr>
            <w:tcW w:w="0" w:type="auto"/>
            <w:vAlign w:val="center"/>
            <w:hideMark/>
          </w:tcPr>
          <w:p w14:paraId="7C6A9BF9"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/agent/{id}/coherence</w:t>
            </w:r>
          </w:p>
        </w:tc>
        <w:tc>
          <w:tcPr>
            <w:tcW w:w="0" w:type="auto"/>
            <w:vAlign w:val="center"/>
            <w:hideMark/>
          </w:tcPr>
          <w:p w14:paraId="20EEA2C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GET</w:t>
            </w:r>
          </w:p>
        </w:tc>
        <w:tc>
          <w:tcPr>
            <w:tcW w:w="0" w:type="auto"/>
            <w:vAlign w:val="center"/>
            <w:hideMark/>
          </w:tcPr>
          <w:p w14:paraId="7DE8A2B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Retrieve voluntary, aggregated, privacy-preserving coherence context where enabled</w:t>
            </w:r>
          </w:p>
        </w:tc>
        <w:tc>
          <w:tcPr>
            <w:tcW w:w="0" w:type="auto"/>
            <w:vAlign w:val="center"/>
            <w:hideMark/>
          </w:tcPr>
          <w:p w14:paraId="60B6ECD8"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JWT plus explicit consent</w:t>
            </w:r>
          </w:p>
        </w:tc>
        <w:tc>
          <w:tcPr>
            <w:tcW w:w="0" w:type="auto"/>
            <w:vAlign w:val="center"/>
            <w:hideMark/>
          </w:tcPr>
          <w:p w14:paraId="64A8F44E"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100/hour</w:t>
            </w:r>
          </w:p>
        </w:tc>
        <w:tc>
          <w:tcPr>
            <w:tcW w:w="0" w:type="auto"/>
            <w:vAlign w:val="center"/>
            <w:hideMark/>
          </w:tcPr>
          <w:p w14:paraId="40B14C5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HSI-related data remains voluntary, private, and non-financial</w:t>
            </w:r>
          </w:p>
        </w:tc>
      </w:tr>
    </w:tbl>
    <w:p w14:paraId="32AB52BC" w14:textId="77777777" w:rsidR="00E83E5E" w:rsidRPr="00B479AE" w:rsidRDefault="00E83E5E" w:rsidP="004E7C51">
      <w:pPr>
        <w:tabs>
          <w:tab w:val="left" w:pos="2685"/>
        </w:tabs>
        <w:spacing w:line="360" w:lineRule="auto"/>
        <w:rPr>
          <w:rFonts w:ascii="Baskerville Old Face" w:hAnsi="Baskerville Old Face"/>
          <w:b/>
          <w:bCs/>
          <w:i/>
          <w:iCs/>
        </w:rPr>
      </w:pPr>
    </w:p>
    <w:p w14:paraId="7D785399" w14:textId="77777777" w:rsidR="00E83E5E" w:rsidRPr="00B479AE" w:rsidRDefault="00E83E5E" w:rsidP="004E7C51">
      <w:pPr>
        <w:tabs>
          <w:tab w:val="left" w:pos="2685"/>
        </w:tabs>
        <w:spacing w:line="360" w:lineRule="auto"/>
        <w:rPr>
          <w:rFonts w:ascii="Baskerville Old Face" w:hAnsi="Baskerville Old Face"/>
          <w:b/>
          <w:bCs/>
          <w:i/>
          <w:iCs/>
        </w:rPr>
      </w:pPr>
    </w:p>
    <w:p w14:paraId="5D74B924" w14:textId="7191B276"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L.3.2 MRV and Evidence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778"/>
        <w:gridCol w:w="2143"/>
        <w:gridCol w:w="1899"/>
        <w:gridCol w:w="996"/>
        <w:gridCol w:w="1813"/>
      </w:tblGrid>
      <w:tr w:rsidR="004E7C51" w:rsidRPr="00B479AE" w14:paraId="0DBE7C3E" w14:textId="77777777" w:rsidTr="00E83E5E">
        <w:trPr>
          <w:tblHeader/>
          <w:tblCellSpacing w:w="15" w:type="dxa"/>
        </w:trPr>
        <w:tc>
          <w:tcPr>
            <w:tcW w:w="0" w:type="auto"/>
            <w:vAlign w:val="center"/>
            <w:hideMark/>
          </w:tcPr>
          <w:p w14:paraId="61EF8C31"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Endpoint</w:t>
            </w:r>
          </w:p>
        </w:tc>
        <w:tc>
          <w:tcPr>
            <w:tcW w:w="0" w:type="auto"/>
            <w:vAlign w:val="center"/>
            <w:hideMark/>
          </w:tcPr>
          <w:p w14:paraId="3DE22624"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Method</w:t>
            </w:r>
          </w:p>
        </w:tc>
        <w:tc>
          <w:tcPr>
            <w:tcW w:w="0" w:type="auto"/>
            <w:vAlign w:val="center"/>
            <w:hideMark/>
          </w:tcPr>
          <w:p w14:paraId="27DE13F6"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0DB098E4"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Authentication</w:t>
            </w:r>
          </w:p>
        </w:tc>
        <w:tc>
          <w:tcPr>
            <w:tcW w:w="0" w:type="auto"/>
            <w:vAlign w:val="center"/>
            <w:hideMark/>
          </w:tcPr>
          <w:p w14:paraId="4AE6121C"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Rate limit</w:t>
            </w:r>
          </w:p>
        </w:tc>
        <w:tc>
          <w:tcPr>
            <w:tcW w:w="0" w:type="auto"/>
            <w:vAlign w:val="center"/>
            <w:hideMark/>
          </w:tcPr>
          <w:p w14:paraId="7751873F"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Boundary</w:t>
            </w:r>
          </w:p>
        </w:tc>
      </w:tr>
      <w:tr w:rsidR="004E7C51" w:rsidRPr="00B479AE" w14:paraId="0E8F8E4C" w14:textId="77777777" w:rsidTr="00E83E5E">
        <w:trPr>
          <w:tblCellSpacing w:w="15" w:type="dxa"/>
        </w:trPr>
        <w:tc>
          <w:tcPr>
            <w:tcW w:w="0" w:type="auto"/>
            <w:vAlign w:val="center"/>
            <w:hideMark/>
          </w:tcPr>
          <w:p w14:paraId="5FB10FD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t>
            </w:r>
            <w:proofErr w:type="spellStart"/>
            <w:r w:rsidRPr="00B479AE">
              <w:rPr>
                <w:rFonts w:ascii="Baskerville Old Face" w:hAnsi="Baskerville Old Face"/>
                <w:i/>
                <w:iCs/>
                <w:sz w:val="22"/>
                <w:szCs w:val="22"/>
              </w:rPr>
              <w:t>mrv</w:t>
            </w:r>
            <w:proofErr w:type="spellEnd"/>
            <w:r w:rsidRPr="00B479AE">
              <w:rPr>
                <w:rFonts w:ascii="Baskerville Old Face" w:hAnsi="Baskerville Old Face"/>
                <w:i/>
                <w:iCs/>
                <w:sz w:val="22"/>
                <w:szCs w:val="22"/>
              </w:rPr>
              <w:t>/submit</w:t>
            </w:r>
          </w:p>
        </w:tc>
        <w:tc>
          <w:tcPr>
            <w:tcW w:w="0" w:type="auto"/>
            <w:vAlign w:val="center"/>
            <w:hideMark/>
          </w:tcPr>
          <w:p w14:paraId="26B9A996"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POST</w:t>
            </w:r>
          </w:p>
        </w:tc>
        <w:tc>
          <w:tcPr>
            <w:tcW w:w="0" w:type="auto"/>
            <w:vAlign w:val="center"/>
            <w:hideMark/>
          </w:tcPr>
          <w:p w14:paraId="3BABAA59"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Submit MRV-related evidence, including sensor, field, laboratory, satellite, audit, or operational data</w:t>
            </w:r>
          </w:p>
        </w:tc>
        <w:tc>
          <w:tcPr>
            <w:tcW w:w="0" w:type="auto"/>
            <w:vAlign w:val="center"/>
            <w:hideMark/>
          </w:tcPr>
          <w:p w14:paraId="43B2DD6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JWT plus </w:t>
            </w:r>
            <w:proofErr w:type="spellStart"/>
            <w:r w:rsidRPr="00B479AE">
              <w:rPr>
                <w:rFonts w:ascii="Baskerville Old Face" w:hAnsi="Baskerville Old Face"/>
                <w:i/>
                <w:iCs/>
                <w:sz w:val="22"/>
                <w:szCs w:val="22"/>
              </w:rPr>
              <w:t>Holochain</w:t>
            </w:r>
            <w:proofErr w:type="spellEnd"/>
            <w:r w:rsidRPr="00B479AE">
              <w:rPr>
                <w:rFonts w:ascii="Baskerville Old Face" w:hAnsi="Baskerville Old Face"/>
                <w:i/>
                <w:iCs/>
                <w:sz w:val="22"/>
                <w:szCs w:val="22"/>
              </w:rPr>
              <w:t xml:space="preserve"> signature or approved service credential</w:t>
            </w:r>
          </w:p>
        </w:tc>
        <w:tc>
          <w:tcPr>
            <w:tcW w:w="0" w:type="auto"/>
            <w:vAlign w:val="center"/>
            <w:hideMark/>
          </w:tcPr>
          <w:p w14:paraId="3FE5177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1000/day</w:t>
            </w:r>
          </w:p>
        </w:tc>
        <w:tc>
          <w:tcPr>
            <w:tcW w:w="0" w:type="auto"/>
            <w:vAlign w:val="center"/>
            <w:hideMark/>
          </w:tcPr>
          <w:p w14:paraId="52C299B5"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Submission does not create verification or admissibility</w:t>
            </w:r>
          </w:p>
        </w:tc>
      </w:tr>
      <w:tr w:rsidR="004E7C51" w:rsidRPr="00B479AE" w14:paraId="5079142E" w14:textId="77777777" w:rsidTr="00E83E5E">
        <w:trPr>
          <w:tblCellSpacing w:w="15" w:type="dxa"/>
        </w:trPr>
        <w:tc>
          <w:tcPr>
            <w:tcW w:w="0" w:type="auto"/>
            <w:vAlign w:val="center"/>
            <w:hideMark/>
          </w:tcPr>
          <w:p w14:paraId="3452AF69"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t>
            </w:r>
            <w:proofErr w:type="spellStart"/>
            <w:r w:rsidRPr="00B479AE">
              <w:rPr>
                <w:rFonts w:ascii="Baskerville Old Face" w:hAnsi="Baskerville Old Face"/>
                <w:i/>
                <w:iCs/>
                <w:sz w:val="22"/>
                <w:szCs w:val="22"/>
              </w:rPr>
              <w:t>mrv</w:t>
            </w:r>
            <w:proofErr w:type="spellEnd"/>
            <w:r w:rsidRPr="00B479AE">
              <w:rPr>
                <w:rFonts w:ascii="Baskerville Old Face" w:hAnsi="Baskerville Old Face"/>
                <w:i/>
                <w:iCs/>
                <w:sz w:val="22"/>
                <w:szCs w:val="22"/>
              </w:rPr>
              <w:t>/{id}</w:t>
            </w:r>
          </w:p>
        </w:tc>
        <w:tc>
          <w:tcPr>
            <w:tcW w:w="0" w:type="auto"/>
            <w:vAlign w:val="center"/>
            <w:hideMark/>
          </w:tcPr>
          <w:p w14:paraId="632012A7"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GET</w:t>
            </w:r>
          </w:p>
        </w:tc>
        <w:tc>
          <w:tcPr>
            <w:tcW w:w="0" w:type="auto"/>
            <w:vAlign w:val="center"/>
            <w:hideMark/>
          </w:tcPr>
          <w:p w14:paraId="607883C2"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Retrieve permitted MRV event details</w:t>
            </w:r>
          </w:p>
        </w:tc>
        <w:tc>
          <w:tcPr>
            <w:tcW w:w="0" w:type="auto"/>
            <w:vAlign w:val="center"/>
            <w:hideMark/>
          </w:tcPr>
          <w:p w14:paraId="0A638352"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API key, JWT, or role credential depending on classification</w:t>
            </w:r>
          </w:p>
        </w:tc>
        <w:tc>
          <w:tcPr>
            <w:tcW w:w="0" w:type="auto"/>
            <w:vAlign w:val="center"/>
            <w:hideMark/>
          </w:tcPr>
          <w:p w14:paraId="26B18C19"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1000/hour</w:t>
            </w:r>
          </w:p>
        </w:tc>
        <w:tc>
          <w:tcPr>
            <w:tcW w:w="0" w:type="auto"/>
            <w:vAlign w:val="center"/>
            <w:hideMark/>
          </w:tcPr>
          <w:p w14:paraId="0458747A"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Access depends on disclosure status and data sensitivity</w:t>
            </w:r>
          </w:p>
        </w:tc>
      </w:tr>
      <w:tr w:rsidR="004E7C51" w:rsidRPr="00B479AE" w14:paraId="74320A0E" w14:textId="77777777" w:rsidTr="00E83E5E">
        <w:trPr>
          <w:tblCellSpacing w:w="15" w:type="dxa"/>
        </w:trPr>
        <w:tc>
          <w:tcPr>
            <w:tcW w:w="0" w:type="auto"/>
            <w:vAlign w:val="center"/>
            <w:hideMark/>
          </w:tcPr>
          <w:p w14:paraId="50081AD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t>
            </w:r>
            <w:proofErr w:type="spellStart"/>
            <w:proofErr w:type="gramStart"/>
            <w:r w:rsidRPr="00B479AE">
              <w:rPr>
                <w:rFonts w:ascii="Baskerville Old Face" w:hAnsi="Baskerville Old Face"/>
                <w:i/>
                <w:iCs/>
                <w:sz w:val="22"/>
                <w:szCs w:val="22"/>
              </w:rPr>
              <w:t>mrv</w:t>
            </w:r>
            <w:proofErr w:type="spellEnd"/>
            <w:proofErr w:type="gramEnd"/>
            <w:r w:rsidRPr="00B479AE">
              <w:rPr>
                <w:rFonts w:ascii="Baskerville Old Face" w:hAnsi="Baskerville Old Face"/>
                <w:i/>
                <w:iCs/>
                <w:sz w:val="22"/>
                <w:szCs w:val="22"/>
              </w:rPr>
              <w:t>/project/{id}</w:t>
            </w:r>
          </w:p>
        </w:tc>
        <w:tc>
          <w:tcPr>
            <w:tcW w:w="0" w:type="auto"/>
            <w:vAlign w:val="center"/>
            <w:hideMark/>
          </w:tcPr>
          <w:p w14:paraId="61FA02FE"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GET</w:t>
            </w:r>
          </w:p>
        </w:tc>
        <w:tc>
          <w:tcPr>
            <w:tcW w:w="0" w:type="auto"/>
            <w:vAlign w:val="center"/>
            <w:hideMark/>
          </w:tcPr>
          <w:p w14:paraId="4F51AB2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Retrieve permitted MRV data for a project</w:t>
            </w:r>
          </w:p>
        </w:tc>
        <w:tc>
          <w:tcPr>
            <w:tcW w:w="0" w:type="auto"/>
            <w:vAlign w:val="center"/>
            <w:hideMark/>
          </w:tcPr>
          <w:p w14:paraId="0B1FF20E"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API key, JWT, or data-room credential</w:t>
            </w:r>
          </w:p>
        </w:tc>
        <w:tc>
          <w:tcPr>
            <w:tcW w:w="0" w:type="auto"/>
            <w:vAlign w:val="center"/>
            <w:hideMark/>
          </w:tcPr>
          <w:p w14:paraId="6395B25D"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1000/hour</w:t>
            </w:r>
          </w:p>
        </w:tc>
        <w:tc>
          <w:tcPr>
            <w:tcW w:w="0" w:type="auto"/>
            <w:vAlign w:val="center"/>
            <w:hideMark/>
          </w:tcPr>
          <w:p w14:paraId="00E88B3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Investor-review data requires controlled access</w:t>
            </w:r>
          </w:p>
        </w:tc>
      </w:tr>
      <w:tr w:rsidR="004E7C51" w:rsidRPr="00B479AE" w14:paraId="3C3D7DF5" w14:textId="77777777" w:rsidTr="00E83E5E">
        <w:trPr>
          <w:tblCellSpacing w:w="15" w:type="dxa"/>
        </w:trPr>
        <w:tc>
          <w:tcPr>
            <w:tcW w:w="0" w:type="auto"/>
            <w:vAlign w:val="center"/>
            <w:hideMark/>
          </w:tcPr>
          <w:p w14:paraId="3EB8C10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t>
            </w:r>
            <w:proofErr w:type="spellStart"/>
            <w:proofErr w:type="gramStart"/>
            <w:r w:rsidRPr="00B479AE">
              <w:rPr>
                <w:rFonts w:ascii="Baskerville Old Face" w:hAnsi="Baskerville Old Face"/>
                <w:i/>
                <w:iCs/>
                <w:sz w:val="22"/>
                <w:szCs w:val="22"/>
              </w:rPr>
              <w:t>mrv</w:t>
            </w:r>
            <w:proofErr w:type="spellEnd"/>
            <w:proofErr w:type="gramEnd"/>
            <w:r w:rsidRPr="00B479AE">
              <w:rPr>
                <w:rFonts w:ascii="Baskerville Old Face" w:hAnsi="Baskerville Old Face"/>
                <w:i/>
                <w:iCs/>
                <w:sz w:val="22"/>
                <w:szCs w:val="22"/>
              </w:rPr>
              <w:t>/verify/{id}</w:t>
            </w:r>
          </w:p>
        </w:tc>
        <w:tc>
          <w:tcPr>
            <w:tcW w:w="0" w:type="auto"/>
            <w:vAlign w:val="center"/>
            <w:hideMark/>
          </w:tcPr>
          <w:p w14:paraId="50D3392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POST</w:t>
            </w:r>
          </w:p>
        </w:tc>
        <w:tc>
          <w:tcPr>
            <w:tcW w:w="0" w:type="auto"/>
            <w:vAlign w:val="center"/>
            <w:hideMark/>
          </w:tcPr>
          <w:p w14:paraId="5243C1A4"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Request or perform review of a pending MRV event</w:t>
            </w:r>
          </w:p>
        </w:tc>
        <w:tc>
          <w:tcPr>
            <w:tcW w:w="0" w:type="auto"/>
            <w:vAlign w:val="center"/>
            <w:hideMark/>
          </w:tcPr>
          <w:p w14:paraId="0C6886D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MRV reviewer / validator authorization</w:t>
            </w:r>
          </w:p>
        </w:tc>
        <w:tc>
          <w:tcPr>
            <w:tcW w:w="0" w:type="auto"/>
            <w:vAlign w:val="center"/>
            <w:hideMark/>
          </w:tcPr>
          <w:p w14:paraId="210902C1"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100/hour</w:t>
            </w:r>
          </w:p>
        </w:tc>
        <w:tc>
          <w:tcPr>
            <w:tcW w:w="0" w:type="auto"/>
            <w:vAlign w:val="center"/>
            <w:hideMark/>
          </w:tcPr>
          <w:p w14:paraId="71BB5F22"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Verification remains methodology-bound and review-bound</w:t>
            </w:r>
          </w:p>
        </w:tc>
      </w:tr>
      <w:tr w:rsidR="004E7C51" w:rsidRPr="00B479AE" w14:paraId="01CEF195" w14:textId="77777777" w:rsidTr="00E83E5E">
        <w:trPr>
          <w:tblCellSpacing w:w="15" w:type="dxa"/>
        </w:trPr>
        <w:tc>
          <w:tcPr>
            <w:tcW w:w="0" w:type="auto"/>
            <w:vAlign w:val="center"/>
            <w:hideMark/>
          </w:tcPr>
          <w:p w14:paraId="1E15FB5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t>
            </w:r>
            <w:proofErr w:type="spellStart"/>
            <w:r w:rsidRPr="00B479AE">
              <w:rPr>
                <w:rFonts w:ascii="Baskerville Old Face" w:hAnsi="Baskerville Old Face"/>
                <w:i/>
                <w:iCs/>
                <w:sz w:val="22"/>
                <w:szCs w:val="22"/>
              </w:rPr>
              <w:t>mrv</w:t>
            </w:r>
            <w:proofErr w:type="spellEnd"/>
            <w:r w:rsidRPr="00B479AE">
              <w:rPr>
                <w:rFonts w:ascii="Baskerville Old Face" w:hAnsi="Baskerville Old Face"/>
                <w:i/>
                <w:iCs/>
                <w:sz w:val="22"/>
                <w:szCs w:val="22"/>
              </w:rPr>
              <w:t>/{id}/admissibility</w:t>
            </w:r>
          </w:p>
        </w:tc>
        <w:tc>
          <w:tcPr>
            <w:tcW w:w="0" w:type="auto"/>
            <w:vAlign w:val="center"/>
            <w:hideMark/>
          </w:tcPr>
          <w:p w14:paraId="4C58228E"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POST</w:t>
            </w:r>
          </w:p>
        </w:tc>
        <w:tc>
          <w:tcPr>
            <w:tcW w:w="0" w:type="auto"/>
            <w:vAlign w:val="center"/>
            <w:hideMark/>
          </w:tcPr>
          <w:p w14:paraId="6C327547"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 xml:space="preserve">Route evidence </w:t>
            </w:r>
            <w:proofErr w:type="gramStart"/>
            <w:r w:rsidRPr="00B479AE">
              <w:rPr>
                <w:rFonts w:ascii="Baskerville Old Face" w:hAnsi="Baskerville Old Face"/>
                <w:i/>
                <w:iCs/>
                <w:sz w:val="22"/>
                <w:szCs w:val="22"/>
              </w:rPr>
              <w:t>bundle</w:t>
            </w:r>
            <w:proofErr w:type="gramEnd"/>
            <w:r w:rsidRPr="00B479AE">
              <w:rPr>
                <w:rFonts w:ascii="Baskerville Old Face" w:hAnsi="Baskerville Old Face"/>
                <w:i/>
                <w:iCs/>
                <w:sz w:val="22"/>
                <w:szCs w:val="22"/>
              </w:rPr>
              <w:t xml:space="preserve"> to admissibility review</w:t>
            </w:r>
          </w:p>
        </w:tc>
        <w:tc>
          <w:tcPr>
            <w:tcW w:w="0" w:type="auto"/>
            <w:vAlign w:val="center"/>
            <w:hideMark/>
          </w:tcPr>
          <w:p w14:paraId="66CA20D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MRV reviewer, protocol steward, or governance role</w:t>
            </w:r>
          </w:p>
        </w:tc>
        <w:tc>
          <w:tcPr>
            <w:tcW w:w="0" w:type="auto"/>
            <w:vAlign w:val="center"/>
            <w:hideMark/>
          </w:tcPr>
          <w:p w14:paraId="735C036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50/hour</w:t>
            </w:r>
          </w:p>
        </w:tc>
        <w:tc>
          <w:tcPr>
            <w:tcW w:w="0" w:type="auto"/>
            <w:vAlign w:val="center"/>
            <w:hideMark/>
          </w:tcPr>
          <w:p w14:paraId="2BFC1C1B"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Admissibility does not create legal rights by itself</w:t>
            </w:r>
          </w:p>
        </w:tc>
      </w:tr>
      <w:tr w:rsidR="004E7C51" w:rsidRPr="00B479AE" w14:paraId="209BB8F2" w14:textId="77777777" w:rsidTr="00E83E5E">
        <w:trPr>
          <w:tblCellSpacing w:w="15" w:type="dxa"/>
        </w:trPr>
        <w:tc>
          <w:tcPr>
            <w:tcW w:w="0" w:type="auto"/>
            <w:vAlign w:val="center"/>
            <w:hideMark/>
          </w:tcPr>
          <w:p w14:paraId="7B16965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w:t>
            </w:r>
            <w:proofErr w:type="spellStart"/>
            <w:r w:rsidRPr="00B479AE">
              <w:rPr>
                <w:rFonts w:ascii="Baskerville Old Face" w:hAnsi="Baskerville Old Face"/>
                <w:i/>
                <w:iCs/>
                <w:sz w:val="22"/>
                <w:szCs w:val="22"/>
              </w:rPr>
              <w:t>mrv</w:t>
            </w:r>
            <w:proofErr w:type="spellEnd"/>
            <w:r w:rsidRPr="00B479AE">
              <w:rPr>
                <w:rFonts w:ascii="Baskerville Old Face" w:hAnsi="Baskerville Old Face"/>
                <w:i/>
                <w:iCs/>
                <w:sz w:val="22"/>
                <w:szCs w:val="22"/>
              </w:rPr>
              <w:t>/{id}/correct</w:t>
            </w:r>
          </w:p>
        </w:tc>
        <w:tc>
          <w:tcPr>
            <w:tcW w:w="0" w:type="auto"/>
            <w:vAlign w:val="center"/>
            <w:hideMark/>
          </w:tcPr>
          <w:p w14:paraId="2C91ED03"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POST</w:t>
            </w:r>
          </w:p>
        </w:tc>
        <w:tc>
          <w:tcPr>
            <w:tcW w:w="0" w:type="auto"/>
            <w:vAlign w:val="center"/>
            <w:hideMark/>
          </w:tcPr>
          <w:p w14:paraId="753E440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Submit correction, challenge, or updated evidence</w:t>
            </w:r>
          </w:p>
        </w:tc>
        <w:tc>
          <w:tcPr>
            <w:tcW w:w="0" w:type="auto"/>
            <w:vAlign w:val="center"/>
            <w:hideMark/>
          </w:tcPr>
          <w:p w14:paraId="70C5E796"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Authorized agent or reviewer</w:t>
            </w:r>
          </w:p>
        </w:tc>
        <w:tc>
          <w:tcPr>
            <w:tcW w:w="0" w:type="auto"/>
            <w:vAlign w:val="center"/>
            <w:hideMark/>
          </w:tcPr>
          <w:p w14:paraId="7352544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100/hour</w:t>
            </w:r>
          </w:p>
        </w:tc>
        <w:tc>
          <w:tcPr>
            <w:tcW w:w="0" w:type="auto"/>
            <w:vAlign w:val="center"/>
            <w:hideMark/>
          </w:tcPr>
          <w:p w14:paraId="38794D6A"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Corrections require provenance and audit trail</w:t>
            </w:r>
          </w:p>
        </w:tc>
      </w:tr>
    </w:tbl>
    <w:p w14:paraId="5BD64786" w14:textId="77777777" w:rsidR="00E83E5E" w:rsidRPr="00B479AE" w:rsidRDefault="00E83E5E" w:rsidP="004E7C51">
      <w:pPr>
        <w:tabs>
          <w:tab w:val="left" w:pos="2685"/>
        </w:tabs>
        <w:spacing w:line="360" w:lineRule="auto"/>
        <w:rPr>
          <w:rFonts w:ascii="Baskerville Old Face" w:hAnsi="Baskerville Old Face"/>
          <w:b/>
          <w:bCs/>
          <w:i/>
          <w:iCs/>
        </w:rPr>
      </w:pPr>
    </w:p>
    <w:p w14:paraId="237AEDCE" w14:textId="77777777" w:rsidR="00E83E5E" w:rsidRPr="00B479AE" w:rsidRDefault="00E83E5E" w:rsidP="004E7C51">
      <w:pPr>
        <w:tabs>
          <w:tab w:val="left" w:pos="2685"/>
        </w:tabs>
        <w:spacing w:line="360" w:lineRule="auto"/>
        <w:rPr>
          <w:rFonts w:ascii="Baskerville Old Face" w:hAnsi="Baskerville Old Face"/>
          <w:b/>
          <w:bCs/>
          <w:i/>
          <w:iCs/>
        </w:rPr>
      </w:pPr>
    </w:p>
    <w:p w14:paraId="639CB0A2" w14:textId="77777777" w:rsidR="00E83E5E" w:rsidRPr="00B479AE" w:rsidRDefault="00E83E5E" w:rsidP="004E7C51">
      <w:pPr>
        <w:tabs>
          <w:tab w:val="left" w:pos="2685"/>
        </w:tabs>
        <w:spacing w:line="360" w:lineRule="auto"/>
        <w:rPr>
          <w:rFonts w:ascii="Baskerville Old Face" w:hAnsi="Baskerville Old Face"/>
          <w:b/>
          <w:bCs/>
          <w:i/>
          <w:iCs/>
        </w:rPr>
      </w:pPr>
    </w:p>
    <w:p w14:paraId="1112E2CD" w14:textId="3E01BC2C"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L.3.3 PRU and Value-Analysis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6"/>
        <w:gridCol w:w="714"/>
        <w:gridCol w:w="1879"/>
        <w:gridCol w:w="1934"/>
        <w:gridCol w:w="821"/>
        <w:gridCol w:w="2204"/>
      </w:tblGrid>
      <w:tr w:rsidR="004E7C51" w:rsidRPr="00B479AE" w14:paraId="3556FFB2" w14:textId="77777777" w:rsidTr="00E83E5E">
        <w:trPr>
          <w:tblHeader/>
          <w:tblCellSpacing w:w="15" w:type="dxa"/>
        </w:trPr>
        <w:tc>
          <w:tcPr>
            <w:tcW w:w="0" w:type="auto"/>
            <w:vAlign w:val="center"/>
            <w:hideMark/>
          </w:tcPr>
          <w:p w14:paraId="1C937F8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Endpoint</w:t>
            </w:r>
          </w:p>
        </w:tc>
        <w:tc>
          <w:tcPr>
            <w:tcW w:w="0" w:type="auto"/>
            <w:vAlign w:val="center"/>
            <w:hideMark/>
          </w:tcPr>
          <w:p w14:paraId="618F581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Method</w:t>
            </w:r>
          </w:p>
        </w:tc>
        <w:tc>
          <w:tcPr>
            <w:tcW w:w="0" w:type="auto"/>
            <w:vAlign w:val="center"/>
            <w:hideMark/>
          </w:tcPr>
          <w:p w14:paraId="53328D1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555ABFE8"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Authentication</w:t>
            </w:r>
          </w:p>
        </w:tc>
        <w:tc>
          <w:tcPr>
            <w:tcW w:w="0" w:type="auto"/>
            <w:vAlign w:val="center"/>
            <w:hideMark/>
          </w:tcPr>
          <w:p w14:paraId="1581155B"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Rate limit</w:t>
            </w:r>
          </w:p>
        </w:tc>
        <w:tc>
          <w:tcPr>
            <w:tcW w:w="0" w:type="auto"/>
            <w:vAlign w:val="center"/>
            <w:hideMark/>
          </w:tcPr>
          <w:p w14:paraId="141CF105"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64E62D52" w14:textId="77777777" w:rsidTr="00E83E5E">
        <w:trPr>
          <w:tblCellSpacing w:w="15" w:type="dxa"/>
        </w:trPr>
        <w:tc>
          <w:tcPr>
            <w:tcW w:w="0" w:type="auto"/>
            <w:vAlign w:val="center"/>
            <w:hideMark/>
          </w:tcPr>
          <w:p w14:paraId="659C0FF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spellStart"/>
            <w:proofErr w:type="gramStart"/>
            <w:r w:rsidRPr="00B479AE">
              <w:rPr>
                <w:rFonts w:ascii="Baskerville Old Face" w:hAnsi="Baskerville Old Face"/>
                <w:i/>
                <w:iCs/>
                <w:sz w:val="20"/>
                <w:szCs w:val="20"/>
              </w:rPr>
              <w:t>pru</w:t>
            </w:r>
            <w:proofErr w:type="spellEnd"/>
            <w:proofErr w:type="gramEnd"/>
            <w:r w:rsidRPr="00B479AE">
              <w:rPr>
                <w:rFonts w:ascii="Baskerville Old Face" w:hAnsi="Baskerville Old Face"/>
                <w:i/>
                <w:iCs/>
                <w:sz w:val="20"/>
                <w:szCs w:val="20"/>
              </w:rPr>
              <w:t>/project/{id}/analysis</w:t>
            </w:r>
          </w:p>
        </w:tc>
        <w:tc>
          <w:tcPr>
            <w:tcW w:w="0" w:type="auto"/>
            <w:vAlign w:val="center"/>
            <w:hideMark/>
          </w:tcPr>
          <w:p w14:paraId="2F1CD7A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0089537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permitted PRU value-analysis status for a project</w:t>
            </w:r>
          </w:p>
        </w:tc>
        <w:tc>
          <w:tcPr>
            <w:tcW w:w="0" w:type="auto"/>
            <w:vAlign w:val="center"/>
            <w:hideMark/>
          </w:tcPr>
          <w:p w14:paraId="2F52FDF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Authorized agent, reviewer, or data-room credential</w:t>
            </w:r>
          </w:p>
        </w:tc>
        <w:tc>
          <w:tcPr>
            <w:tcW w:w="0" w:type="auto"/>
            <w:vAlign w:val="center"/>
            <w:hideMark/>
          </w:tcPr>
          <w:p w14:paraId="1DE6373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23E009D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PRU analysis is not market price, security rating, or investor entitlement</w:t>
            </w:r>
          </w:p>
        </w:tc>
      </w:tr>
      <w:tr w:rsidR="004E7C51" w:rsidRPr="00B479AE" w14:paraId="04E762F2" w14:textId="77777777" w:rsidTr="00E83E5E">
        <w:trPr>
          <w:tblCellSpacing w:w="15" w:type="dxa"/>
        </w:trPr>
        <w:tc>
          <w:tcPr>
            <w:tcW w:w="0" w:type="auto"/>
            <w:vAlign w:val="center"/>
            <w:hideMark/>
          </w:tcPr>
          <w:p w14:paraId="6D658B6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spellStart"/>
            <w:proofErr w:type="gramStart"/>
            <w:r w:rsidRPr="00B479AE">
              <w:rPr>
                <w:rFonts w:ascii="Baskerville Old Face" w:hAnsi="Baskerville Old Face"/>
                <w:i/>
                <w:iCs/>
                <w:sz w:val="20"/>
                <w:szCs w:val="20"/>
              </w:rPr>
              <w:t>pru</w:t>
            </w:r>
            <w:proofErr w:type="spellEnd"/>
            <w:proofErr w:type="gramEnd"/>
            <w:r w:rsidRPr="00B479AE">
              <w:rPr>
                <w:rFonts w:ascii="Baskerville Old Face" w:hAnsi="Baskerville Old Face"/>
                <w:i/>
                <w:iCs/>
                <w:sz w:val="20"/>
                <w:szCs w:val="20"/>
              </w:rPr>
              <w:t>/project/{id}/maturity</w:t>
            </w:r>
          </w:p>
        </w:tc>
        <w:tc>
          <w:tcPr>
            <w:tcW w:w="0" w:type="auto"/>
            <w:vAlign w:val="center"/>
            <w:hideMark/>
          </w:tcPr>
          <w:p w14:paraId="6BA2B4A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5BF965C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PRU maturity-classification status</w:t>
            </w:r>
          </w:p>
        </w:tc>
        <w:tc>
          <w:tcPr>
            <w:tcW w:w="0" w:type="auto"/>
            <w:vAlign w:val="center"/>
            <w:hideMark/>
          </w:tcPr>
          <w:p w14:paraId="09C2478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Authorized agent, reviewer, or data-room credential</w:t>
            </w:r>
          </w:p>
        </w:tc>
        <w:tc>
          <w:tcPr>
            <w:tcW w:w="0" w:type="auto"/>
            <w:vAlign w:val="center"/>
            <w:hideMark/>
          </w:tcPr>
          <w:p w14:paraId="7D3FD84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1558A61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Maturity class supports diligence and does not replace underwriting</w:t>
            </w:r>
          </w:p>
        </w:tc>
      </w:tr>
      <w:tr w:rsidR="004E7C51" w:rsidRPr="00B479AE" w14:paraId="273E4F03" w14:textId="77777777" w:rsidTr="00E83E5E">
        <w:trPr>
          <w:tblCellSpacing w:w="15" w:type="dxa"/>
        </w:trPr>
        <w:tc>
          <w:tcPr>
            <w:tcW w:w="0" w:type="auto"/>
            <w:vAlign w:val="center"/>
            <w:hideMark/>
          </w:tcPr>
          <w:p w14:paraId="3BCB9B0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spellStart"/>
            <w:proofErr w:type="gramStart"/>
            <w:r w:rsidRPr="00B479AE">
              <w:rPr>
                <w:rFonts w:ascii="Baskerville Old Face" w:hAnsi="Baskerville Old Face"/>
                <w:i/>
                <w:iCs/>
                <w:sz w:val="20"/>
                <w:szCs w:val="20"/>
              </w:rPr>
              <w:t>pru</w:t>
            </w:r>
            <w:proofErr w:type="spellEnd"/>
            <w:proofErr w:type="gramEnd"/>
            <w:r w:rsidRPr="00B479AE">
              <w:rPr>
                <w:rFonts w:ascii="Baskerville Old Face" w:hAnsi="Baskerville Old Face"/>
                <w:i/>
                <w:iCs/>
                <w:sz w:val="20"/>
                <w:szCs w:val="20"/>
              </w:rPr>
              <w:t>/project/{id}/review</w:t>
            </w:r>
          </w:p>
        </w:tc>
        <w:tc>
          <w:tcPr>
            <w:tcW w:w="0" w:type="auto"/>
            <w:vAlign w:val="center"/>
            <w:hideMark/>
          </w:tcPr>
          <w:p w14:paraId="0D084A5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1217E44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Submit PRU-related evidence bundle for review</w:t>
            </w:r>
          </w:p>
        </w:tc>
        <w:tc>
          <w:tcPr>
            <w:tcW w:w="0" w:type="auto"/>
            <w:vAlign w:val="center"/>
            <w:hideMark/>
          </w:tcPr>
          <w:p w14:paraId="399D9CB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MRV reviewer, protocol steward, or governance role</w:t>
            </w:r>
          </w:p>
        </w:tc>
        <w:tc>
          <w:tcPr>
            <w:tcW w:w="0" w:type="auto"/>
            <w:vAlign w:val="center"/>
            <w:hideMark/>
          </w:tcPr>
          <w:p w14:paraId="6E91C3F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50/hour</w:t>
            </w:r>
          </w:p>
        </w:tc>
        <w:tc>
          <w:tcPr>
            <w:tcW w:w="0" w:type="auto"/>
            <w:vAlign w:val="center"/>
            <w:hideMark/>
          </w:tcPr>
          <w:p w14:paraId="6916B58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Review may result in admissible, non-admissible, or review-required status</w:t>
            </w:r>
          </w:p>
        </w:tc>
      </w:tr>
      <w:tr w:rsidR="004E7C51" w:rsidRPr="00B479AE" w14:paraId="52E0995C" w14:textId="77777777" w:rsidTr="00E83E5E">
        <w:trPr>
          <w:tblCellSpacing w:w="15" w:type="dxa"/>
        </w:trPr>
        <w:tc>
          <w:tcPr>
            <w:tcW w:w="0" w:type="auto"/>
            <w:vAlign w:val="center"/>
            <w:hideMark/>
          </w:tcPr>
          <w:p w14:paraId="1C69F99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spellStart"/>
            <w:proofErr w:type="gramStart"/>
            <w:r w:rsidRPr="00B479AE">
              <w:rPr>
                <w:rFonts w:ascii="Baskerville Old Face" w:hAnsi="Baskerville Old Face"/>
                <w:i/>
                <w:iCs/>
                <w:sz w:val="20"/>
                <w:szCs w:val="20"/>
              </w:rPr>
              <w:t>pru</w:t>
            </w:r>
            <w:proofErr w:type="spellEnd"/>
            <w:proofErr w:type="gramEnd"/>
            <w:r w:rsidRPr="00B479AE">
              <w:rPr>
                <w:rFonts w:ascii="Baskerville Old Face" w:hAnsi="Baskerville Old Face"/>
                <w:i/>
                <w:iCs/>
                <w:sz w:val="20"/>
                <w:szCs w:val="20"/>
              </w:rPr>
              <w:t>/project/{id}/report</w:t>
            </w:r>
          </w:p>
        </w:tc>
        <w:tc>
          <w:tcPr>
            <w:tcW w:w="0" w:type="auto"/>
            <w:vAlign w:val="center"/>
            <w:hideMark/>
          </w:tcPr>
          <w:p w14:paraId="2897CA2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62320C0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permitted PRU analysis report</w:t>
            </w:r>
          </w:p>
        </w:tc>
        <w:tc>
          <w:tcPr>
            <w:tcW w:w="0" w:type="auto"/>
            <w:vAlign w:val="center"/>
            <w:hideMark/>
          </w:tcPr>
          <w:p w14:paraId="35048A0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Data-room credential or authorized role</w:t>
            </w:r>
          </w:p>
        </w:tc>
        <w:tc>
          <w:tcPr>
            <w:tcW w:w="0" w:type="auto"/>
            <w:vAlign w:val="center"/>
            <w:hideMark/>
          </w:tcPr>
          <w:p w14:paraId="0A2F7FA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50/hour</w:t>
            </w:r>
          </w:p>
        </w:tc>
        <w:tc>
          <w:tcPr>
            <w:tcW w:w="0" w:type="auto"/>
            <w:vAlign w:val="center"/>
            <w:hideMark/>
          </w:tcPr>
          <w:p w14:paraId="5B40754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Report classification determines permitted language and use</w:t>
            </w:r>
          </w:p>
        </w:tc>
      </w:tr>
    </w:tbl>
    <w:p w14:paraId="330E91C9" w14:textId="77777777" w:rsidR="00E83E5E" w:rsidRPr="00B479AE" w:rsidRDefault="00E83E5E" w:rsidP="004E7C51">
      <w:pPr>
        <w:tabs>
          <w:tab w:val="left" w:pos="2685"/>
        </w:tabs>
        <w:spacing w:line="360" w:lineRule="auto"/>
        <w:rPr>
          <w:rFonts w:ascii="Baskerville Old Face" w:hAnsi="Baskerville Old Face"/>
          <w:b/>
          <w:bCs/>
          <w:i/>
          <w:iCs/>
        </w:rPr>
      </w:pPr>
    </w:p>
    <w:p w14:paraId="60F71C04" w14:textId="77777777" w:rsidR="00E83E5E" w:rsidRPr="00B479AE" w:rsidRDefault="00E83E5E" w:rsidP="004E7C51">
      <w:pPr>
        <w:tabs>
          <w:tab w:val="left" w:pos="2685"/>
        </w:tabs>
        <w:spacing w:line="360" w:lineRule="auto"/>
        <w:rPr>
          <w:rFonts w:ascii="Baskerville Old Face" w:hAnsi="Baskerville Old Face"/>
          <w:b/>
          <w:bCs/>
          <w:i/>
          <w:iCs/>
        </w:rPr>
      </w:pPr>
    </w:p>
    <w:p w14:paraId="64B7E6AA" w14:textId="77777777" w:rsidR="00E83E5E" w:rsidRPr="00B479AE" w:rsidRDefault="00E83E5E" w:rsidP="004E7C51">
      <w:pPr>
        <w:tabs>
          <w:tab w:val="left" w:pos="2685"/>
        </w:tabs>
        <w:spacing w:line="360" w:lineRule="auto"/>
        <w:rPr>
          <w:rFonts w:ascii="Baskerville Old Face" w:hAnsi="Baskerville Old Face"/>
          <w:b/>
          <w:bCs/>
          <w:i/>
          <w:iCs/>
        </w:rPr>
      </w:pPr>
    </w:p>
    <w:p w14:paraId="1F4548B6" w14:textId="77777777" w:rsidR="00E83E5E" w:rsidRPr="00B479AE" w:rsidRDefault="00E83E5E" w:rsidP="004E7C51">
      <w:pPr>
        <w:tabs>
          <w:tab w:val="left" w:pos="2685"/>
        </w:tabs>
        <w:spacing w:line="360" w:lineRule="auto"/>
        <w:rPr>
          <w:rFonts w:ascii="Baskerville Old Face" w:hAnsi="Baskerville Old Face"/>
          <w:b/>
          <w:bCs/>
          <w:i/>
          <w:iCs/>
        </w:rPr>
      </w:pPr>
    </w:p>
    <w:p w14:paraId="558DFA79" w14:textId="77777777" w:rsidR="00E83E5E" w:rsidRPr="00B479AE" w:rsidRDefault="00E83E5E" w:rsidP="004E7C51">
      <w:pPr>
        <w:tabs>
          <w:tab w:val="left" w:pos="2685"/>
        </w:tabs>
        <w:spacing w:line="360" w:lineRule="auto"/>
        <w:rPr>
          <w:rFonts w:ascii="Baskerville Old Face" w:hAnsi="Baskerville Old Face"/>
          <w:b/>
          <w:bCs/>
          <w:i/>
          <w:iCs/>
        </w:rPr>
      </w:pPr>
    </w:p>
    <w:p w14:paraId="13F60E8F" w14:textId="77777777" w:rsidR="00E83E5E" w:rsidRPr="00B479AE" w:rsidRDefault="00E83E5E" w:rsidP="004E7C51">
      <w:pPr>
        <w:tabs>
          <w:tab w:val="left" w:pos="2685"/>
        </w:tabs>
        <w:spacing w:line="360" w:lineRule="auto"/>
        <w:rPr>
          <w:rFonts w:ascii="Baskerville Old Face" w:hAnsi="Baskerville Old Face"/>
          <w:b/>
          <w:bCs/>
          <w:i/>
          <w:iCs/>
        </w:rPr>
      </w:pPr>
    </w:p>
    <w:p w14:paraId="4EED16E3" w14:textId="77777777" w:rsidR="00E83E5E" w:rsidRPr="00B479AE" w:rsidRDefault="00E83E5E" w:rsidP="004E7C51">
      <w:pPr>
        <w:tabs>
          <w:tab w:val="left" w:pos="2685"/>
        </w:tabs>
        <w:spacing w:line="360" w:lineRule="auto"/>
        <w:rPr>
          <w:rFonts w:ascii="Baskerville Old Face" w:hAnsi="Baskerville Old Face"/>
          <w:b/>
          <w:bCs/>
          <w:i/>
          <w:iCs/>
        </w:rPr>
      </w:pPr>
    </w:p>
    <w:p w14:paraId="5E8B0A92" w14:textId="77777777" w:rsidR="00E83E5E" w:rsidRPr="00B479AE" w:rsidRDefault="00E83E5E" w:rsidP="004E7C51">
      <w:pPr>
        <w:tabs>
          <w:tab w:val="left" w:pos="2685"/>
        </w:tabs>
        <w:spacing w:line="360" w:lineRule="auto"/>
        <w:rPr>
          <w:rFonts w:ascii="Baskerville Old Face" w:hAnsi="Baskerville Old Face"/>
          <w:b/>
          <w:bCs/>
          <w:i/>
          <w:iCs/>
        </w:rPr>
      </w:pPr>
    </w:p>
    <w:p w14:paraId="792550AE" w14:textId="77777777" w:rsidR="00E83E5E" w:rsidRPr="00B479AE" w:rsidRDefault="00E83E5E" w:rsidP="004E7C51">
      <w:pPr>
        <w:tabs>
          <w:tab w:val="left" w:pos="2685"/>
        </w:tabs>
        <w:spacing w:line="360" w:lineRule="auto"/>
        <w:rPr>
          <w:rFonts w:ascii="Baskerville Old Face" w:hAnsi="Baskerville Old Face"/>
          <w:b/>
          <w:bCs/>
          <w:i/>
          <w:iCs/>
        </w:rPr>
      </w:pPr>
    </w:p>
    <w:p w14:paraId="1C7FCDA8" w14:textId="77777777" w:rsidR="00E83E5E" w:rsidRPr="00B479AE" w:rsidRDefault="00E83E5E" w:rsidP="004E7C51">
      <w:pPr>
        <w:tabs>
          <w:tab w:val="left" w:pos="2685"/>
        </w:tabs>
        <w:spacing w:line="360" w:lineRule="auto"/>
        <w:rPr>
          <w:rFonts w:ascii="Baskerville Old Face" w:hAnsi="Baskerville Old Face"/>
          <w:b/>
          <w:bCs/>
          <w:i/>
          <w:iCs/>
        </w:rPr>
      </w:pPr>
    </w:p>
    <w:p w14:paraId="0D683378" w14:textId="27950F7C"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L.3.4 Governance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8"/>
        <w:gridCol w:w="714"/>
        <w:gridCol w:w="2023"/>
        <w:gridCol w:w="2000"/>
        <w:gridCol w:w="822"/>
        <w:gridCol w:w="1941"/>
      </w:tblGrid>
      <w:tr w:rsidR="004E7C51" w:rsidRPr="00B479AE" w14:paraId="3C0F1431" w14:textId="77777777" w:rsidTr="00E83E5E">
        <w:trPr>
          <w:tblHeader/>
          <w:tblCellSpacing w:w="15" w:type="dxa"/>
        </w:trPr>
        <w:tc>
          <w:tcPr>
            <w:tcW w:w="0" w:type="auto"/>
            <w:vAlign w:val="center"/>
            <w:hideMark/>
          </w:tcPr>
          <w:p w14:paraId="718B3C49"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Endpoint</w:t>
            </w:r>
          </w:p>
        </w:tc>
        <w:tc>
          <w:tcPr>
            <w:tcW w:w="0" w:type="auto"/>
            <w:vAlign w:val="center"/>
            <w:hideMark/>
          </w:tcPr>
          <w:p w14:paraId="0594B77B"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Method</w:t>
            </w:r>
          </w:p>
        </w:tc>
        <w:tc>
          <w:tcPr>
            <w:tcW w:w="0" w:type="auto"/>
            <w:vAlign w:val="center"/>
            <w:hideMark/>
          </w:tcPr>
          <w:p w14:paraId="354FA00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4ABA3AA7"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Authentication</w:t>
            </w:r>
          </w:p>
        </w:tc>
        <w:tc>
          <w:tcPr>
            <w:tcW w:w="0" w:type="auto"/>
            <w:vAlign w:val="center"/>
            <w:hideMark/>
          </w:tcPr>
          <w:p w14:paraId="6568EEE9"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Rate limit</w:t>
            </w:r>
          </w:p>
        </w:tc>
        <w:tc>
          <w:tcPr>
            <w:tcW w:w="0" w:type="auto"/>
            <w:vAlign w:val="center"/>
            <w:hideMark/>
          </w:tcPr>
          <w:p w14:paraId="05A23D1C"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08399756" w14:textId="77777777" w:rsidTr="00E83E5E">
        <w:trPr>
          <w:tblCellSpacing w:w="15" w:type="dxa"/>
        </w:trPr>
        <w:tc>
          <w:tcPr>
            <w:tcW w:w="0" w:type="auto"/>
            <w:vAlign w:val="center"/>
            <w:hideMark/>
          </w:tcPr>
          <w:p w14:paraId="29867E6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/governance/circles</w:t>
            </w:r>
          </w:p>
        </w:tc>
        <w:tc>
          <w:tcPr>
            <w:tcW w:w="0" w:type="auto"/>
            <w:vAlign w:val="center"/>
            <w:hideMark/>
          </w:tcPr>
          <w:p w14:paraId="27AC371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14CB63D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List permitted governance circles</w:t>
            </w:r>
          </w:p>
        </w:tc>
        <w:tc>
          <w:tcPr>
            <w:tcW w:w="0" w:type="auto"/>
            <w:vAlign w:val="center"/>
            <w:hideMark/>
          </w:tcPr>
          <w:p w14:paraId="59C24F8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or JWT depending on visibility</w:t>
            </w:r>
          </w:p>
        </w:tc>
        <w:tc>
          <w:tcPr>
            <w:tcW w:w="0" w:type="auto"/>
            <w:vAlign w:val="center"/>
            <w:hideMark/>
          </w:tcPr>
          <w:p w14:paraId="0E71C3C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3D6FE1E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Visibility depends on governance disclosure rules</w:t>
            </w:r>
          </w:p>
        </w:tc>
      </w:tr>
      <w:tr w:rsidR="004E7C51" w:rsidRPr="00B479AE" w14:paraId="44E503A9" w14:textId="77777777" w:rsidTr="00E83E5E">
        <w:trPr>
          <w:tblCellSpacing w:w="15" w:type="dxa"/>
        </w:trPr>
        <w:tc>
          <w:tcPr>
            <w:tcW w:w="0" w:type="auto"/>
            <w:vAlign w:val="center"/>
            <w:hideMark/>
          </w:tcPr>
          <w:p w14:paraId="246F77D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/governance/proposals</w:t>
            </w:r>
          </w:p>
        </w:tc>
        <w:tc>
          <w:tcPr>
            <w:tcW w:w="0" w:type="auto"/>
            <w:vAlign w:val="center"/>
            <w:hideMark/>
          </w:tcPr>
          <w:p w14:paraId="635626E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7B1F996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List active proposals within permitted scope</w:t>
            </w:r>
          </w:p>
        </w:tc>
        <w:tc>
          <w:tcPr>
            <w:tcW w:w="0" w:type="auto"/>
            <w:vAlign w:val="center"/>
            <w:hideMark/>
          </w:tcPr>
          <w:p w14:paraId="064BE4D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or JWT</w:t>
            </w:r>
          </w:p>
        </w:tc>
        <w:tc>
          <w:tcPr>
            <w:tcW w:w="0" w:type="auto"/>
            <w:vAlign w:val="center"/>
            <w:hideMark/>
          </w:tcPr>
          <w:p w14:paraId="28962A5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23E28A6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Proposal visibility may be public, circle-limited, or restricted</w:t>
            </w:r>
          </w:p>
        </w:tc>
      </w:tr>
      <w:tr w:rsidR="004E7C51" w:rsidRPr="00B479AE" w14:paraId="1352456A" w14:textId="77777777" w:rsidTr="00E83E5E">
        <w:trPr>
          <w:tblCellSpacing w:w="15" w:type="dxa"/>
        </w:trPr>
        <w:tc>
          <w:tcPr>
            <w:tcW w:w="0" w:type="auto"/>
            <w:vAlign w:val="center"/>
            <w:hideMark/>
          </w:tcPr>
          <w:p w14:paraId="20CA4D9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gramStart"/>
            <w:r w:rsidRPr="00B479AE">
              <w:rPr>
                <w:rFonts w:ascii="Baskerville Old Face" w:hAnsi="Baskerville Old Face"/>
                <w:i/>
                <w:iCs/>
                <w:sz w:val="20"/>
                <w:szCs w:val="20"/>
              </w:rPr>
              <w:t>governance</w:t>
            </w:r>
            <w:proofErr w:type="gramEnd"/>
            <w:r w:rsidRPr="00B479AE">
              <w:rPr>
                <w:rFonts w:ascii="Baskerville Old Face" w:hAnsi="Baskerville Old Face"/>
                <w:i/>
                <w:iCs/>
                <w:sz w:val="20"/>
                <w:szCs w:val="20"/>
              </w:rPr>
              <w:t>/proposal/{id}</w:t>
            </w:r>
          </w:p>
        </w:tc>
        <w:tc>
          <w:tcPr>
            <w:tcW w:w="0" w:type="auto"/>
            <w:vAlign w:val="center"/>
            <w:hideMark/>
          </w:tcPr>
          <w:p w14:paraId="0C0FD34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562A205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proposal details</w:t>
            </w:r>
          </w:p>
        </w:tc>
        <w:tc>
          <w:tcPr>
            <w:tcW w:w="0" w:type="auto"/>
            <w:vAlign w:val="center"/>
            <w:hideMark/>
          </w:tcPr>
          <w:p w14:paraId="29269A1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or JWT depending on visibility</w:t>
            </w:r>
          </w:p>
        </w:tc>
        <w:tc>
          <w:tcPr>
            <w:tcW w:w="0" w:type="auto"/>
            <w:vAlign w:val="center"/>
            <w:hideMark/>
          </w:tcPr>
          <w:p w14:paraId="48F350C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396FDBD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Protected-domain proposals may require restricted access</w:t>
            </w:r>
          </w:p>
        </w:tc>
      </w:tr>
      <w:tr w:rsidR="004E7C51" w:rsidRPr="00B479AE" w14:paraId="72B4BD77" w14:textId="77777777" w:rsidTr="00E83E5E">
        <w:trPr>
          <w:tblCellSpacing w:w="15" w:type="dxa"/>
        </w:trPr>
        <w:tc>
          <w:tcPr>
            <w:tcW w:w="0" w:type="auto"/>
            <w:vAlign w:val="center"/>
            <w:hideMark/>
          </w:tcPr>
          <w:p w14:paraId="563DB9B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/governance/proposal</w:t>
            </w:r>
          </w:p>
        </w:tc>
        <w:tc>
          <w:tcPr>
            <w:tcW w:w="0" w:type="auto"/>
            <w:vAlign w:val="center"/>
            <w:hideMark/>
          </w:tcPr>
          <w:p w14:paraId="190A82E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434C1D6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Submit new proposal</w:t>
            </w:r>
          </w:p>
        </w:tc>
        <w:tc>
          <w:tcPr>
            <w:tcW w:w="0" w:type="auto"/>
            <w:vAlign w:val="center"/>
            <w:hideMark/>
          </w:tcPr>
          <w:p w14:paraId="5A10B13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JWT plus role verification or </w:t>
            </w:r>
            <w:proofErr w:type="spellStart"/>
            <w:r w:rsidRPr="00B479AE">
              <w:rPr>
                <w:rFonts w:ascii="Baskerville Old Face" w:hAnsi="Baskerville Old Face"/>
                <w:i/>
                <w:iCs/>
                <w:sz w:val="20"/>
                <w:szCs w:val="20"/>
              </w:rPr>
              <w:t>Holochain</w:t>
            </w:r>
            <w:proofErr w:type="spellEnd"/>
            <w:r w:rsidRPr="00B479AE">
              <w:rPr>
                <w:rFonts w:ascii="Baskerville Old Face" w:hAnsi="Baskerville Old Face"/>
                <w:i/>
                <w:iCs/>
                <w:sz w:val="20"/>
                <w:szCs w:val="20"/>
              </w:rPr>
              <w:t xml:space="preserve"> signature</w:t>
            </w:r>
          </w:p>
        </w:tc>
        <w:tc>
          <w:tcPr>
            <w:tcW w:w="0" w:type="auto"/>
            <w:vAlign w:val="center"/>
            <w:hideMark/>
          </w:tcPr>
          <w:p w14:paraId="4D6B58A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10/hour</w:t>
            </w:r>
          </w:p>
        </w:tc>
        <w:tc>
          <w:tcPr>
            <w:tcW w:w="0" w:type="auto"/>
            <w:vAlign w:val="center"/>
            <w:hideMark/>
          </w:tcPr>
          <w:p w14:paraId="2A35F2E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Submission does not guarantee adoption</w:t>
            </w:r>
          </w:p>
        </w:tc>
      </w:tr>
      <w:tr w:rsidR="004E7C51" w:rsidRPr="00B479AE" w14:paraId="41ECC9E7" w14:textId="77777777" w:rsidTr="00E83E5E">
        <w:trPr>
          <w:tblCellSpacing w:w="15" w:type="dxa"/>
        </w:trPr>
        <w:tc>
          <w:tcPr>
            <w:tcW w:w="0" w:type="auto"/>
            <w:vAlign w:val="center"/>
            <w:hideMark/>
          </w:tcPr>
          <w:p w14:paraId="1AD582D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/governance/consent</w:t>
            </w:r>
          </w:p>
        </w:tc>
        <w:tc>
          <w:tcPr>
            <w:tcW w:w="0" w:type="auto"/>
            <w:vAlign w:val="center"/>
            <w:hideMark/>
          </w:tcPr>
          <w:p w14:paraId="0C09D28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6FDDEC5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Record consent, stand-aside, objection, or review position</w:t>
            </w:r>
          </w:p>
        </w:tc>
        <w:tc>
          <w:tcPr>
            <w:tcW w:w="0" w:type="auto"/>
            <w:vAlign w:val="center"/>
            <w:hideMark/>
          </w:tcPr>
          <w:p w14:paraId="2FBFBB84" w14:textId="77777777" w:rsidR="004E7C51" w:rsidRPr="00B479AE" w:rsidRDefault="004E7C51" w:rsidP="004E7C51">
            <w:pPr>
              <w:tabs>
                <w:tab w:val="left" w:pos="2685"/>
              </w:tabs>
              <w:spacing w:line="360" w:lineRule="auto"/>
              <w:rPr>
                <w:rFonts w:ascii="Baskerville Old Face" w:hAnsi="Baskerville Old Face"/>
                <w:i/>
                <w:iCs/>
                <w:sz w:val="20"/>
                <w:szCs w:val="20"/>
              </w:rPr>
            </w:pPr>
            <w:proofErr w:type="spellStart"/>
            <w:r w:rsidRPr="00B479AE">
              <w:rPr>
                <w:rFonts w:ascii="Baskerville Old Face" w:hAnsi="Baskerville Old Face"/>
                <w:i/>
                <w:iCs/>
                <w:sz w:val="20"/>
                <w:szCs w:val="20"/>
              </w:rPr>
              <w:t>Holochain</w:t>
            </w:r>
            <w:proofErr w:type="spellEnd"/>
            <w:r w:rsidRPr="00B479AE">
              <w:rPr>
                <w:rFonts w:ascii="Baskerville Old Face" w:hAnsi="Baskerville Old Face"/>
                <w:i/>
                <w:iCs/>
                <w:sz w:val="20"/>
                <w:szCs w:val="20"/>
              </w:rPr>
              <w:t xml:space="preserve"> signature or verified governance credential</w:t>
            </w:r>
          </w:p>
        </w:tc>
        <w:tc>
          <w:tcPr>
            <w:tcW w:w="0" w:type="auto"/>
            <w:vAlign w:val="center"/>
            <w:hideMark/>
          </w:tcPr>
          <w:p w14:paraId="6989739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59237FD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Consent process remains subject to circle rules</w:t>
            </w:r>
          </w:p>
        </w:tc>
      </w:tr>
      <w:tr w:rsidR="004E7C51" w:rsidRPr="00B479AE" w14:paraId="47620E63" w14:textId="77777777" w:rsidTr="00E83E5E">
        <w:trPr>
          <w:tblCellSpacing w:w="15" w:type="dxa"/>
        </w:trPr>
        <w:tc>
          <w:tcPr>
            <w:tcW w:w="0" w:type="auto"/>
            <w:vAlign w:val="center"/>
            <w:hideMark/>
          </w:tcPr>
          <w:p w14:paraId="340A787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/governance/review-route</w:t>
            </w:r>
          </w:p>
        </w:tc>
        <w:tc>
          <w:tcPr>
            <w:tcW w:w="0" w:type="auto"/>
            <w:vAlign w:val="center"/>
            <w:hideMark/>
          </w:tcPr>
          <w:p w14:paraId="10BD178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413C276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Route protected-domain question to appropriate review pathway</w:t>
            </w:r>
          </w:p>
        </w:tc>
        <w:tc>
          <w:tcPr>
            <w:tcW w:w="0" w:type="auto"/>
            <w:vAlign w:val="center"/>
            <w:hideMark/>
          </w:tcPr>
          <w:p w14:paraId="3BC15FD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Authorized governance role</w:t>
            </w:r>
          </w:p>
        </w:tc>
        <w:tc>
          <w:tcPr>
            <w:tcW w:w="0" w:type="auto"/>
            <w:vAlign w:val="center"/>
            <w:hideMark/>
          </w:tcPr>
          <w:p w14:paraId="0486430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50/hour</w:t>
            </w:r>
          </w:p>
        </w:tc>
        <w:tc>
          <w:tcPr>
            <w:tcW w:w="0" w:type="auto"/>
            <w:vAlign w:val="center"/>
            <w:hideMark/>
          </w:tcPr>
          <w:p w14:paraId="2DC706F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Routing is decision support, not final authority</w:t>
            </w:r>
          </w:p>
        </w:tc>
      </w:tr>
    </w:tbl>
    <w:p w14:paraId="4CB140EF" w14:textId="77777777" w:rsidR="00E83E5E" w:rsidRPr="00B479AE" w:rsidRDefault="00E83E5E" w:rsidP="004E7C51">
      <w:pPr>
        <w:tabs>
          <w:tab w:val="left" w:pos="2685"/>
        </w:tabs>
        <w:spacing w:line="360" w:lineRule="auto"/>
        <w:rPr>
          <w:rFonts w:ascii="Baskerville Old Face" w:hAnsi="Baskerville Old Face"/>
          <w:b/>
          <w:bCs/>
          <w:i/>
          <w:iCs/>
        </w:rPr>
      </w:pPr>
    </w:p>
    <w:p w14:paraId="06A3E2A5" w14:textId="77777777" w:rsidR="00E83E5E" w:rsidRPr="00B479AE" w:rsidRDefault="00E83E5E" w:rsidP="004E7C51">
      <w:pPr>
        <w:tabs>
          <w:tab w:val="left" w:pos="2685"/>
        </w:tabs>
        <w:spacing w:line="360" w:lineRule="auto"/>
        <w:rPr>
          <w:rFonts w:ascii="Baskerville Old Face" w:hAnsi="Baskerville Old Face"/>
          <w:b/>
          <w:bCs/>
          <w:i/>
          <w:iCs/>
        </w:rPr>
      </w:pPr>
    </w:p>
    <w:p w14:paraId="56253FAA" w14:textId="77777777" w:rsidR="00E83E5E" w:rsidRPr="00B479AE" w:rsidRDefault="00E83E5E" w:rsidP="004E7C51">
      <w:pPr>
        <w:tabs>
          <w:tab w:val="left" w:pos="2685"/>
        </w:tabs>
        <w:spacing w:line="360" w:lineRule="auto"/>
        <w:rPr>
          <w:rFonts w:ascii="Baskerville Old Face" w:hAnsi="Baskerville Old Face"/>
          <w:b/>
          <w:bCs/>
          <w:i/>
          <w:iCs/>
        </w:rPr>
      </w:pPr>
    </w:p>
    <w:p w14:paraId="50172FBB" w14:textId="77777777" w:rsidR="00E83E5E" w:rsidRPr="00B479AE" w:rsidRDefault="00E83E5E" w:rsidP="004E7C51">
      <w:pPr>
        <w:tabs>
          <w:tab w:val="left" w:pos="2685"/>
        </w:tabs>
        <w:spacing w:line="360" w:lineRule="auto"/>
        <w:rPr>
          <w:rFonts w:ascii="Baskerville Old Face" w:hAnsi="Baskerville Old Face"/>
          <w:b/>
          <w:bCs/>
          <w:i/>
          <w:iCs/>
        </w:rPr>
      </w:pPr>
    </w:p>
    <w:p w14:paraId="1C0CDBB5" w14:textId="77777777" w:rsidR="00E83E5E" w:rsidRPr="00B479AE" w:rsidRDefault="00E83E5E" w:rsidP="004E7C51">
      <w:pPr>
        <w:tabs>
          <w:tab w:val="left" w:pos="2685"/>
        </w:tabs>
        <w:spacing w:line="360" w:lineRule="auto"/>
        <w:rPr>
          <w:rFonts w:ascii="Baskerville Old Face" w:hAnsi="Baskerville Old Face"/>
          <w:b/>
          <w:bCs/>
          <w:i/>
          <w:iCs/>
        </w:rPr>
      </w:pPr>
    </w:p>
    <w:p w14:paraId="4B417C1F" w14:textId="77777777" w:rsidR="00E83E5E" w:rsidRPr="00B479AE" w:rsidRDefault="00E83E5E" w:rsidP="004E7C51">
      <w:pPr>
        <w:tabs>
          <w:tab w:val="left" w:pos="2685"/>
        </w:tabs>
        <w:spacing w:line="360" w:lineRule="auto"/>
        <w:rPr>
          <w:rFonts w:ascii="Baskerville Old Face" w:hAnsi="Baskerville Old Face"/>
          <w:b/>
          <w:bCs/>
          <w:i/>
          <w:iCs/>
        </w:rPr>
      </w:pPr>
    </w:p>
    <w:p w14:paraId="7D5029B3" w14:textId="77777777" w:rsidR="00E83E5E" w:rsidRPr="00B479AE" w:rsidRDefault="00E83E5E" w:rsidP="004E7C51">
      <w:pPr>
        <w:tabs>
          <w:tab w:val="left" w:pos="2685"/>
        </w:tabs>
        <w:spacing w:line="360" w:lineRule="auto"/>
        <w:rPr>
          <w:rFonts w:ascii="Baskerville Old Face" w:hAnsi="Baskerville Old Face"/>
          <w:b/>
          <w:bCs/>
          <w:i/>
          <w:iCs/>
        </w:rPr>
      </w:pPr>
    </w:p>
    <w:p w14:paraId="17CEC6B5" w14:textId="2A43924C"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L.3.5 Integrity, Warrant, and Quarantine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714"/>
        <w:gridCol w:w="1980"/>
        <w:gridCol w:w="1995"/>
        <w:gridCol w:w="820"/>
        <w:gridCol w:w="1710"/>
      </w:tblGrid>
      <w:tr w:rsidR="004E7C51" w:rsidRPr="00B479AE" w14:paraId="109A52F6" w14:textId="77777777" w:rsidTr="00E83E5E">
        <w:trPr>
          <w:tblHeader/>
          <w:tblCellSpacing w:w="15" w:type="dxa"/>
        </w:trPr>
        <w:tc>
          <w:tcPr>
            <w:tcW w:w="0" w:type="auto"/>
            <w:vAlign w:val="center"/>
            <w:hideMark/>
          </w:tcPr>
          <w:p w14:paraId="72A9BFF4"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Endpoint</w:t>
            </w:r>
          </w:p>
        </w:tc>
        <w:tc>
          <w:tcPr>
            <w:tcW w:w="0" w:type="auto"/>
            <w:vAlign w:val="center"/>
            <w:hideMark/>
          </w:tcPr>
          <w:p w14:paraId="7535E84D"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Method</w:t>
            </w:r>
          </w:p>
        </w:tc>
        <w:tc>
          <w:tcPr>
            <w:tcW w:w="0" w:type="auto"/>
            <w:vAlign w:val="center"/>
            <w:hideMark/>
          </w:tcPr>
          <w:p w14:paraId="301DCB2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0206A641"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Authentication</w:t>
            </w:r>
          </w:p>
        </w:tc>
        <w:tc>
          <w:tcPr>
            <w:tcW w:w="0" w:type="auto"/>
            <w:vAlign w:val="center"/>
            <w:hideMark/>
          </w:tcPr>
          <w:p w14:paraId="5424C95A"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Rate limit</w:t>
            </w:r>
          </w:p>
        </w:tc>
        <w:tc>
          <w:tcPr>
            <w:tcW w:w="0" w:type="auto"/>
            <w:vAlign w:val="center"/>
            <w:hideMark/>
          </w:tcPr>
          <w:p w14:paraId="224D7550"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76C7B7D5" w14:textId="77777777" w:rsidTr="00E83E5E">
        <w:trPr>
          <w:tblCellSpacing w:w="15" w:type="dxa"/>
        </w:trPr>
        <w:tc>
          <w:tcPr>
            <w:tcW w:w="0" w:type="auto"/>
            <w:vAlign w:val="center"/>
            <w:hideMark/>
          </w:tcPr>
          <w:p w14:paraId="0B6D532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/integrity/warrants</w:t>
            </w:r>
          </w:p>
        </w:tc>
        <w:tc>
          <w:tcPr>
            <w:tcW w:w="0" w:type="auto"/>
            <w:vAlign w:val="center"/>
            <w:hideMark/>
          </w:tcPr>
          <w:p w14:paraId="7C1ACF7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2B95BDB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List warrants or adverse integrity records within permitted scope</w:t>
            </w:r>
          </w:p>
        </w:tc>
        <w:tc>
          <w:tcPr>
            <w:tcW w:w="0" w:type="auto"/>
            <w:vAlign w:val="center"/>
            <w:hideMark/>
          </w:tcPr>
          <w:p w14:paraId="2A9C7D1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JWT, or governance credential depending on visibility</w:t>
            </w:r>
          </w:p>
        </w:tc>
        <w:tc>
          <w:tcPr>
            <w:tcW w:w="0" w:type="auto"/>
            <w:vAlign w:val="center"/>
            <w:hideMark/>
          </w:tcPr>
          <w:p w14:paraId="507779C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1287976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Visibility must respect due process and data sensitivity</w:t>
            </w:r>
          </w:p>
        </w:tc>
      </w:tr>
      <w:tr w:rsidR="004E7C51" w:rsidRPr="00B479AE" w14:paraId="11575C13" w14:textId="77777777" w:rsidTr="00E83E5E">
        <w:trPr>
          <w:tblCellSpacing w:w="15" w:type="dxa"/>
        </w:trPr>
        <w:tc>
          <w:tcPr>
            <w:tcW w:w="0" w:type="auto"/>
            <w:vAlign w:val="center"/>
            <w:hideMark/>
          </w:tcPr>
          <w:p w14:paraId="66E464C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/integrity/warrants</w:t>
            </w:r>
          </w:p>
        </w:tc>
        <w:tc>
          <w:tcPr>
            <w:tcW w:w="0" w:type="auto"/>
            <w:vAlign w:val="center"/>
            <w:hideMark/>
          </w:tcPr>
          <w:p w14:paraId="62FB36F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5A790B5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Issue a warrant or adverse integrity record</w:t>
            </w:r>
          </w:p>
        </w:tc>
        <w:tc>
          <w:tcPr>
            <w:tcW w:w="0" w:type="auto"/>
            <w:vAlign w:val="center"/>
            <w:hideMark/>
          </w:tcPr>
          <w:p w14:paraId="70B5898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Authorized reviewer, validator, or governance role</w:t>
            </w:r>
          </w:p>
        </w:tc>
        <w:tc>
          <w:tcPr>
            <w:tcW w:w="0" w:type="auto"/>
            <w:vAlign w:val="center"/>
            <w:hideMark/>
          </w:tcPr>
          <w:p w14:paraId="7F6A20B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10/hour</w:t>
            </w:r>
          </w:p>
        </w:tc>
        <w:tc>
          <w:tcPr>
            <w:tcW w:w="0" w:type="auto"/>
            <w:vAlign w:val="center"/>
            <w:hideMark/>
          </w:tcPr>
          <w:p w14:paraId="2574EA9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Issuance triggers review; it is not guilt by declaration</w:t>
            </w:r>
          </w:p>
        </w:tc>
      </w:tr>
      <w:tr w:rsidR="004E7C51" w:rsidRPr="00B479AE" w14:paraId="7FCF6249" w14:textId="77777777" w:rsidTr="00E83E5E">
        <w:trPr>
          <w:tblCellSpacing w:w="15" w:type="dxa"/>
        </w:trPr>
        <w:tc>
          <w:tcPr>
            <w:tcW w:w="0" w:type="auto"/>
            <w:vAlign w:val="center"/>
            <w:hideMark/>
          </w:tcPr>
          <w:p w14:paraId="5F73FC7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gramStart"/>
            <w:r w:rsidRPr="00B479AE">
              <w:rPr>
                <w:rFonts w:ascii="Baskerville Old Face" w:hAnsi="Baskerville Old Face"/>
                <w:i/>
                <w:iCs/>
                <w:sz w:val="20"/>
                <w:szCs w:val="20"/>
              </w:rPr>
              <w:t>integrity</w:t>
            </w:r>
            <w:proofErr w:type="gramEnd"/>
            <w:r w:rsidRPr="00B479AE">
              <w:rPr>
                <w:rFonts w:ascii="Baskerville Old Face" w:hAnsi="Baskerville Old Face"/>
                <w:i/>
                <w:iCs/>
                <w:sz w:val="20"/>
                <w:szCs w:val="20"/>
              </w:rPr>
              <w:t>/warrants/{id}/appeal</w:t>
            </w:r>
          </w:p>
        </w:tc>
        <w:tc>
          <w:tcPr>
            <w:tcW w:w="0" w:type="auto"/>
            <w:vAlign w:val="center"/>
            <w:hideMark/>
          </w:tcPr>
          <w:p w14:paraId="7FAA8BC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4CC1EE0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Appeal a warrant or adverse determination</w:t>
            </w:r>
          </w:p>
        </w:tc>
        <w:tc>
          <w:tcPr>
            <w:tcW w:w="0" w:type="auto"/>
            <w:vAlign w:val="center"/>
            <w:hideMark/>
          </w:tcPr>
          <w:p w14:paraId="46D518A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Affected agent or authorized representative</w:t>
            </w:r>
          </w:p>
        </w:tc>
        <w:tc>
          <w:tcPr>
            <w:tcW w:w="0" w:type="auto"/>
            <w:vAlign w:val="center"/>
            <w:hideMark/>
          </w:tcPr>
          <w:p w14:paraId="781F622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5/hour</w:t>
            </w:r>
          </w:p>
        </w:tc>
        <w:tc>
          <w:tcPr>
            <w:tcW w:w="0" w:type="auto"/>
            <w:vAlign w:val="center"/>
            <w:hideMark/>
          </w:tcPr>
          <w:p w14:paraId="670682A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Appeal pathway must be recorded</w:t>
            </w:r>
          </w:p>
        </w:tc>
      </w:tr>
      <w:tr w:rsidR="004E7C51" w:rsidRPr="00B479AE" w14:paraId="36C49467" w14:textId="77777777" w:rsidTr="00E83E5E">
        <w:trPr>
          <w:tblCellSpacing w:w="15" w:type="dxa"/>
        </w:trPr>
        <w:tc>
          <w:tcPr>
            <w:tcW w:w="0" w:type="auto"/>
            <w:vAlign w:val="center"/>
            <w:hideMark/>
          </w:tcPr>
          <w:p w14:paraId="51FA830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gramStart"/>
            <w:r w:rsidRPr="00B479AE">
              <w:rPr>
                <w:rFonts w:ascii="Baskerville Old Face" w:hAnsi="Baskerville Old Face"/>
                <w:i/>
                <w:iCs/>
                <w:sz w:val="20"/>
                <w:szCs w:val="20"/>
              </w:rPr>
              <w:t>integrity</w:t>
            </w:r>
            <w:proofErr w:type="gramEnd"/>
            <w:r w:rsidRPr="00B479AE">
              <w:rPr>
                <w:rFonts w:ascii="Baskerville Old Face" w:hAnsi="Baskerville Old Face"/>
                <w:i/>
                <w:iCs/>
                <w:sz w:val="20"/>
                <w:szCs w:val="20"/>
              </w:rPr>
              <w:t>/quarantine/{id}</w:t>
            </w:r>
          </w:p>
        </w:tc>
        <w:tc>
          <w:tcPr>
            <w:tcW w:w="0" w:type="auto"/>
            <w:vAlign w:val="center"/>
            <w:hideMark/>
          </w:tcPr>
          <w:p w14:paraId="12809A3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6AA8726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quarantine of a record, claim, fork, release, or integration</w:t>
            </w:r>
          </w:p>
        </w:tc>
        <w:tc>
          <w:tcPr>
            <w:tcW w:w="0" w:type="auto"/>
            <w:vAlign w:val="center"/>
            <w:hideMark/>
          </w:tcPr>
          <w:p w14:paraId="5B39345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Protected-domain authority or emergency role</w:t>
            </w:r>
          </w:p>
        </w:tc>
        <w:tc>
          <w:tcPr>
            <w:tcW w:w="0" w:type="auto"/>
            <w:vAlign w:val="center"/>
            <w:hideMark/>
          </w:tcPr>
          <w:p w14:paraId="3C9957B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10/hour</w:t>
            </w:r>
          </w:p>
        </w:tc>
        <w:tc>
          <w:tcPr>
            <w:tcW w:w="0" w:type="auto"/>
            <w:vAlign w:val="center"/>
            <w:hideMark/>
          </w:tcPr>
          <w:p w14:paraId="61C752E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Quarantine requires scope, rationale, duration, and review</w:t>
            </w:r>
          </w:p>
        </w:tc>
      </w:tr>
      <w:tr w:rsidR="004E7C51" w:rsidRPr="00B479AE" w14:paraId="43DE7E81" w14:textId="77777777" w:rsidTr="00E83E5E">
        <w:trPr>
          <w:tblCellSpacing w:w="15" w:type="dxa"/>
        </w:trPr>
        <w:tc>
          <w:tcPr>
            <w:tcW w:w="0" w:type="auto"/>
            <w:vAlign w:val="center"/>
            <w:hideMark/>
          </w:tcPr>
          <w:p w14:paraId="2E7E128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/integrity/corrections</w:t>
            </w:r>
          </w:p>
        </w:tc>
        <w:tc>
          <w:tcPr>
            <w:tcW w:w="0" w:type="auto"/>
            <w:vAlign w:val="center"/>
            <w:hideMark/>
          </w:tcPr>
          <w:p w14:paraId="3598A59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3C15A40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Submit correction notice or misleading-use notice</w:t>
            </w:r>
          </w:p>
        </w:tc>
        <w:tc>
          <w:tcPr>
            <w:tcW w:w="0" w:type="auto"/>
            <w:vAlign w:val="center"/>
            <w:hideMark/>
          </w:tcPr>
          <w:p w14:paraId="2542FC1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Authorized role</w:t>
            </w:r>
          </w:p>
        </w:tc>
        <w:tc>
          <w:tcPr>
            <w:tcW w:w="0" w:type="auto"/>
            <w:vAlign w:val="center"/>
            <w:hideMark/>
          </w:tcPr>
          <w:p w14:paraId="15CD936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20/hour</w:t>
            </w:r>
          </w:p>
        </w:tc>
        <w:tc>
          <w:tcPr>
            <w:tcW w:w="0" w:type="auto"/>
            <w:vAlign w:val="center"/>
            <w:hideMark/>
          </w:tcPr>
          <w:p w14:paraId="0A9CFE9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correction requires claim-control review</w:t>
            </w:r>
          </w:p>
        </w:tc>
      </w:tr>
    </w:tbl>
    <w:p w14:paraId="751553DD" w14:textId="77777777" w:rsidR="00406066" w:rsidRPr="00B479AE" w:rsidRDefault="00406066" w:rsidP="004E7C51">
      <w:pPr>
        <w:tabs>
          <w:tab w:val="left" w:pos="2685"/>
        </w:tabs>
        <w:spacing w:line="360" w:lineRule="auto"/>
        <w:rPr>
          <w:rFonts w:ascii="Baskerville Old Face" w:hAnsi="Baskerville Old Face"/>
          <w:b/>
          <w:bCs/>
          <w:i/>
          <w:iCs/>
        </w:rPr>
      </w:pPr>
    </w:p>
    <w:p w14:paraId="69711F93" w14:textId="77777777" w:rsidR="00406066" w:rsidRPr="00B479AE" w:rsidRDefault="00406066" w:rsidP="004E7C51">
      <w:pPr>
        <w:tabs>
          <w:tab w:val="left" w:pos="2685"/>
        </w:tabs>
        <w:spacing w:line="360" w:lineRule="auto"/>
        <w:rPr>
          <w:rFonts w:ascii="Baskerville Old Face" w:hAnsi="Baskerville Old Face"/>
          <w:b/>
          <w:bCs/>
          <w:i/>
          <w:iCs/>
        </w:rPr>
      </w:pPr>
    </w:p>
    <w:p w14:paraId="17851A87" w14:textId="77777777" w:rsidR="00406066" w:rsidRPr="00B479AE" w:rsidRDefault="00406066" w:rsidP="004E7C51">
      <w:pPr>
        <w:tabs>
          <w:tab w:val="left" w:pos="2685"/>
        </w:tabs>
        <w:spacing w:line="360" w:lineRule="auto"/>
        <w:rPr>
          <w:rFonts w:ascii="Baskerville Old Face" w:hAnsi="Baskerville Old Face"/>
          <w:b/>
          <w:bCs/>
          <w:i/>
          <w:iCs/>
        </w:rPr>
      </w:pPr>
    </w:p>
    <w:p w14:paraId="7D7764F5" w14:textId="77777777" w:rsidR="00406066" w:rsidRPr="00B479AE" w:rsidRDefault="00406066" w:rsidP="004E7C51">
      <w:pPr>
        <w:tabs>
          <w:tab w:val="left" w:pos="2685"/>
        </w:tabs>
        <w:spacing w:line="360" w:lineRule="auto"/>
        <w:rPr>
          <w:rFonts w:ascii="Baskerville Old Face" w:hAnsi="Baskerville Old Face"/>
          <w:b/>
          <w:bCs/>
          <w:i/>
          <w:iCs/>
        </w:rPr>
      </w:pPr>
    </w:p>
    <w:p w14:paraId="1E3680BA" w14:textId="77777777" w:rsidR="00406066" w:rsidRPr="00B479AE" w:rsidRDefault="00406066" w:rsidP="004E7C51">
      <w:pPr>
        <w:tabs>
          <w:tab w:val="left" w:pos="2685"/>
        </w:tabs>
        <w:spacing w:line="360" w:lineRule="auto"/>
        <w:rPr>
          <w:rFonts w:ascii="Baskerville Old Face" w:hAnsi="Baskerville Old Face"/>
          <w:b/>
          <w:bCs/>
          <w:i/>
          <w:iCs/>
        </w:rPr>
      </w:pPr>
    </w:p>
    <w:p w14:paraId="78916F5C" w14:textId="77777777" w:rsidR="00406066" w:rsidRPr="00B479AE" w:rsidRDefault="00406066" w:rsidP="004E7C51">
      <w:pPr>
        <w:tabs>
          <w:tab w:val="left" w:pos="2685"/>
        </w:tabs>
        <w:spacing w:line="360" w:lineRule="auto"/>
        <w:rPr>
          <w:rFonts w:ascii="Baskerville Old Face" w:hAnsi="Baskerville Old Face"/>
          <w:b/>
          <w:bCs/>
          <w:i/>
          <w:iCs/>
        </w:rPr>
      </w:pPr>
    </w:p>
    <w:p w14:paraId="4471FEFC" w14:textId="77777777" w:rsidR="00406066" w:rsidRPr="00B479AE" w:rsidRDefault="00406066" w:rsidP="004E7C51">
      <w:pPr>
        <w:tabs>
          <w:tab w:val="left" w:pos="2685"/>
        </w:tabs>
        <w:spacing w:line="360" w:lineRule="auto"/>
        <w:rPr>
          <w:rFonts w:ascii="Baskerville Old Face" w:hAnsi="Baskerville Old Face"/>
          <w:b/>
          <w:bCs/>
          <w:i/>
          <w:iCs/>
        </w:rPr>
      </w:pPr>
    </w:p>
    <w:p w14:paraId="652CBD28" w14:textId="77777777" w:rsidR="00406066" w:rsidRPr="00B479AE" w:rsidRDefault="00406066" w:rsidP="004E7C51">
      <w:pPr>
        <w:tabs>
          <w:tab w:val="left" w:pos="2685"/>
        </w:tabs>
        <w:spacing w:line="360" w:lineRule="auto"/>
        <w:rPr>
          <w:rFonts w:ascii="Baskerville Old Face" w:hAnsi="Baskerville Old Face"/>
          <w:b/>
          <w:bCs/>
          <w:i/>
          <w:iCs/>
        </w:rPr>
      </w:pPr>
    </w:p>
    <w:p w14:paraId="49A7EA70" w14:textId="644FD1B3"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L.3.6 Registry and Release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3"/>
        <w:gridCol w:w="714"/>
        <w:gridCol w:w="2517"/>
        <w:gridCol w:w="1888"/>
        <w:gridCol w:w="913"/>
        <w:gridCol w:w="1873"/>
      </w:tblGrid>
      <w:tr w:rsidR="004E7C51" w:rsidRPr="00B479AE" w14:paraId="3BD741B5" w14:textId="77777777" w:rsidTr="00406066">
        <w:trPr>
          <w:tblHeader/>
          <w:tblCellSpacing w:w="15" w:type="dxa"/>
        </w:trPr>
        <w:tc>
          <w:tcPr>
            <w:tcW w:w="0" w:type="auto"/>
            <w:vAlign w:val="center"/>
            <w:hideMark/>
          </w:tcPr>
          <w:p w14:paraId="49D9A0C8"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Endpoint</w:t>
            </w:r>
          </w:p>
        </w:tc>
        <w:tc>
          <w:tcPr>
            <w:tcW w:w="0" w:type="auto"/>
            <w:vAlign w:val="center"/>
            <w:hideMark/>
          </w:tcPr>
          <w:p w14:paraId="3CF9E72E"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Method</w:t>
            </w:r>
          </w:p>
        </w:tc>
        <w:tc>
          <w:tcPr>
            <w:tcW w:w="0" w:type="auto"/>
            <w:vAlign w:val="center"/>
            <w:hideMark/>
          </w:tcPr>
          <w:p w14:paraId="5A26B756"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1A54401A"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Authentication</w:t>
            </w:r>
          </w:p>
        </w:tc>
        <w:tc>
          <w:tcPr>
            <w:tcW w:w="0" w:type="auto"/>
            <w:vAlign w:val="center"/>
            <w:hideMark/>
          </w:tcPr>
          <w:p w14:paraId="2D2BE177"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Rate limit</w:t>
            </w:r>
          </w:p>
        </w:tc>
        <w:tc>
          <w:tcPr>
            <w:tcW w:w="0" w:type="auto"/>
            <w:vAlign w:val="center"/>
            <w:hideMark/>
          </w:tcPr>
          <w:p w14:paraId="077558AB"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3A9ED800" w14:textId="77777777" w:rsidTr="00406066">
        <w:trPr>
          <w:tblCellSpacing w:w="15" w:type="dxa"/>
        </w:trPr>
        <w:tc>
          <w:tcPr>
            <w:tcW w:w="0" w:type="auto"/>
            <w:vAlign w:val="center"/>
            <w:hideMark/>
          </w:tcPr>
          <w:p w14:paraId="4C008F5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/registry/releases</w:t>
            </w:r>
          </w:p>
        </w:tc>
        <w:tc>
          <w:tcPr>
            <w:tcW w:w="0" w:type="auto"/>
            <w:vAlign w:val="center"/>
            <w:hideMark/>
          </w:tcPr>
          <w:p w14:paraId="4C87436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7C32E2D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canonical release records</w:t>
            </w:r>
          </w:p>
        </w:tc>
        <w:tc>
          <w:tcPr>
            <w:tcW w:w="0" w:type="auto"/>
            <w:vAlign w:val="center"/>
            <w:hideMark/>
          </w:tcPr>
          <w:p w14:paraId="473488E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or API key</w:t>
            </w:r>
          </w:p>
        </w:tc>
        <w:tc>
          <w:tcPr>
            <w:tcW w:w="0" w:type="auto"/>
            <w:vAlign w:val="center"/>
            <w:hideMark/>
          </w:tcPr>
          <w:p w14:paraId="4574CE1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1000/hour</w:t>
            </w:r>
          </w:p>
        </w:tc>
        <w:tc>
          <w:tcPr>
            <w:tcW w:w="0" w:type="auto"/>
            <w:vAlign w:val="center"/>
            <w:hideMark/>
          </w:tcPr>
          <w:p w14:paraId="2D1285A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Registry visibility does not authorize modification</w:t>
            </w:r>
          </w:p>
        </w:tc>
      </w:tr>
      <w:tr w:rsidR="004E7C51" w:rsidRPr="00B479AE" w14:paraId="15E11D94" w14:textId="77777777" w:rsidTr="00406066">
        <w:trPr>
          <w:tblCellSpacing w:w="15" w:type="dxa"/>
        </w:trPr>
        <w:tc>
          <w:tcPr>
            <w:tcW w:w="0" w:type="auto"/>
            <w:vAlign w:val="center"/>
            <w:hideMark/>
          </w:tcPr>
          <w:p w14:paraId="7AD13A8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gramStart"/>
            <w:r w:rsidRPr="00B479AE">
              <w:rPr>
                <w:rFonts w:ascii="Baskerville Old Face" w:hAnsi="Baskerville Old Face"/>
                <w:i/>
                <w:iCs/>
                <w:sz w:val="20"/>
                <w:szCs w:val="20"/>
              </w:rPr>
              <w:t>registry</w:t>
            </w:r>
            <w:proofErr w:type="gramEnd"/>
            <w:r w:rsidRPr="00B479AE">
              <w:rPr>
                <w:rFonts w:ascii="Baskerville Old Face" w:hAnsi="Baskerville Old Face"/>
                <w:i/>
                <w:iCs/>
                <w:sz w:val="20"/>
                <w:szCs w:val="20"/>
              </w:rPr>
              <w:t>/releases/{id}</w:t>
            </w:r>
          </w:p>
        </w:tc>
        <w:tc>
          <w:tcPr>
            <w:tcW w:w="0" w:type="auto"/>
            <w:vAlign w:val="center"/>
            <w:hideMark/>
          </w:tcPr>
          <w:p w14:paraId="47BF7EF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1877E5C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release manifest, hash references, signatures, and verification metadata</w:t>
            </w:r>
          </w:p>
        </w:tc>
        <w:tc>
          <w:tcPr>
            <w:tcW w:w="0" w:type="auto"/>
            <w:vAlign w:val="center"/>
            <w:hideMark/>
          </w:tcPr>
          <w:p w14:paraId="4AB63D9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or API key</w:t>
            </w:r>
          </w:p>
        </w:tc>
        <w:tc>
          <w:tcPr>
            <w:tcW w:w="0" w:type="auto"/>
            <w:vAlign w:val="center"/>
            <w:hideMark/>
          </w:tcPr>
          <w:p w14:paraId="4C66665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1000/hour</w:t>
            </w:r>
          </w:p>
        </w:tc>
        <w:tc>
          <w:tcPr>
            <w:tcW w:w="0" w:type="auto"/>
            <w:vAlign w:val="center"/>
            <w:hideMark/>
          </w:tcPr>
          <w:p w14:paraId="0F71A55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verification endpoint</w:t>
            </w:r>
          </w:p>
        </w:tc>
      </w:tr>
      <w:tr w:rsidR="004E7C51" w:rsidRPr="00B479AE" w14:paraId="3454E514" w14:textId="77777777" w:rsidTr="00406066">
        <w:trPr>
          <w:tblCellSpacing w:w="15" w:type="dxa"/>
        </w:trPr>
        <w:tc>
          <w:tcPr>
            <w:tcW w:w="0" w:type="auto"/>
            <w:vAlign w:val="center"/>
            <w:hideMark/>
          </w:tcPr>
          <w:p w14:paraId="78386CD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gramStart"/>
            <w:r w:rsidRPr="00B479AE">
              <w:rPr>
                <w:rFonts w:ascii="Baskerville Old Face" w:hAnsi="Baskerville Old Face"/>
                <w:i/>
                <w:iCs/>
                <w:sz w:val="20"/>
                <w:szCs w:val="20"/>
              </w:rPr>
              <w:t>registry</w:t>
            </w:r>
            <w:proofErr w:type="gramEnd"/>
            <w:r w:rsidRPr="00B479AE">
              <w:rPr>
                <w:rFonts w:ascii="Baskerville Old Face" w:hAnsi="Baskerville Old Face"/>
                <w:i/>
                <w:iCs/>
                <w:sz w:val="20"/>
                <w:szCs w:val="20"/>
              </w:rPr>
              <w:t>/forks/{id}</w:t>
            </w:r>
          </w:p>
        </w:tc>
        <w:tc>
          <w:tcPr>
            <w:tcW w:w="0" w:type="auto"/>
            <w:vAlign w:val="center"/>
            <w:hideMark/>
          </w:tcPr>
          <w:p w14:paraId="27B539A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6E7237C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fork status or compatibility classification</w:t>
            </w:r>
          </w:p>
        </w:tc>
        <w:tc>
          <w:tcPr>
            <w:tcW w:w="0" w:type="auto"/>
            <w:vAlign w:val="center"/>
            <w:hideMark/>
          </w:tcPr>
          <w:p w14:paraId="2ED395C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or API key</w:t>
            </w:r>
          </w:p>
        </w:tc>
        <w:tc>
          <w:tcPr>
            <w:tcW w:w="0" w:type="auto"/>
            <w:vAlign w:val="center"/>
            <w:hideMark/>
          </w:tcPr>
          <w:p w14:paraId="0625D92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1000/hour</w:t>
            </w:r>
          </w:p>
        </w:tc>
        <w:tc>
          <w:tcPr>
            <w:tcW w:w="0" w:type="auto"/>
            <w:vAlign w:val="center"/>
            <w:hideMark/>
          </w:tcPr>
          <w:p w14:paraId="75074E5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Fork status must be registry-defined</w:t>
            </w:r>
          </w:p>
        </w:tc>
      </w:tr>
      <w:tr w:rsidR="004E7C51" w:rsidRPr="00B479AE" w14:paraId="40CA3A7F" w14:textId="77777777" w:rsidTr="00406066">
        <w:trPr>
          <w:tblCellSpacing w:w="15" w:type="dxa"/>
        </w:trPr>
        <w:tc>
          <w:tcPr>
            <w:tcW w:w="0" w:type="auto"/>
            <w:vAlign w:val="center"/>
            <w:hideMark/>
          </w:tcPr>
          <w:p w14:paraId="37E4EDC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/registry/release</w:t>
            </w:r>
          </w:p>
        </w:tc>
        <w:tc>
          <w:tcPr>
            <w:tcW w:w="0" w:type="auto"/>
            <w:vAlign w:val="center"/>
            <w:hideMark/>
          </w:tcPr>
          <w:p w14:paraId="6482F05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0E4C106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Submit or update canonical release metadata</w:t>
            </w:r>
          </w:p>
        </w:tc>
        <w:tc>
          <w:tcPr>
            <w:tcW w:w="0" w:type="auto"/>
            <w:vAlign w:val="center"/>
            <w:hideMark/>
          </w:tcPr>
          <w:p w14:paraId="171E197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Multi-signature registry authority</w:t>
            </w:r>
          </w:p>
        </w:tc>
        <w:tc>
          <w:tcPr>
            <w:tcW w:w="0" w:type="auto"/>
            <w:vAlign w:val="center"/>
            <w:hideMark/>
          </w:tcPr>
          <w:p w14:paraId="78C46A4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Restricted</w:t>
            </w:r>
          </w:p>
        </w:tc>
        <w:tc>
          <w:tcPr>
            <w:tcW w:w="0" w:type="auto"/>
            <w:vAlign w:val="center"/>
            <w:hideMark/>
          </w:tcPr>
          <w:p w14:paraId="222D595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Protected action</w:t>
            </w:r>
          </w:p>
        </w:tc>
      </w:tr>
      <w:tr w:rsidR="004E7C51" w:rsidRPr="00B479AE" w14:paraId="0CBF5801" w14:textId="77777777" w:rsidTr="00406066">
        <w:trPr>
          <w:tblCellSpacing w:w="15" w:type="dxa"/>
        </w:trPr>
        <w:tc>
          <w:tcPr>
            <w:tcW w:w="0" w:type="auto"/>
            <w:vAlign w:val="center"/>
            <w:hideMark/>
          </w:tcPr>
          <w:p w14:paraId="293301B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/registry/fork-status</w:t>
            </w:r>
          </w:p>
        </w:tc>
        <w:tc>
          <w:tcPr>
            <w:tcW w:w="0" w:type="auto"/>
            <w:vAlign w:val="center"/>
            <w:hideMark/>
          </w:tcPr>
          <w:p w14:paraId="24D497D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POST</w:t>
            </w:r>
          </w:p>
        </w:tc>
        <w:tc>
          <w:tcPr>
            <w:tcW w:w="0" w:type="auto"/>
            <w:vAlign w:val="center"/>
            <w:hideMark/>
          </w:tcPr>
          <w:p w14:paraId="0AD1602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Submit fork classification or compatibility update</w:t>
            </w:r>
          </w:p>
        </w:tc>
        <w:tc>
          <w:tcPr>
            <w:tcW w:w="0" w:type="auto"/>
            <w:vAlign w:val="center"/>
            <w:hideMark/>
          </w:tcPr>
          <w:p w14:paraId="1D62A49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Registry authority or protocol steward review</w:t>
            </w:r>
          </w:p>
        </w:tc>
        <w:tc>
          <w:tcPr>
            <w:tcW w:w="0" w:type="auto"/>
            <w:vAlign w:val="center"/>
            <w:hideMark/>
          </w:tcPr>
          <w:p w14:paraId="6C51085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Restricted</w:t>
            </w:r>
          </w:p>
        </w:tc>
        <w:tc>
          <w:tcPr>
            <w:tcW w:w="0" w:type="auto"/>
            <w:vAlign w:val="center"/>
            <w:hideMark/>
          </w:tcPr>
          <w:p w14:paraId="7BB93F5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Requires review and audit trail</w:t>
            </w:r>
          </w:p>
        </w:tc>
      </w:tr>
    </w:tbl>
    <w:p w14:paraId="239FD3CA"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L.3.7 System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6"/>
        <w:gridCol w:w="714"/>
        <w:gridCol w:w="2390"/>
        <w:gridCol w:w="1638"/>
        <w:gridCol w:w="1011"/>
        <w:gridCol w:w="1859"/>
      </w:tblGrid>
      <w:tr w:rsidR="004E7C51" w:rsidRPr="00B479AE" w14:paraId="11E54D0C" w14:textId="77777777" w:rsidTr="00406066">
        <w:trPr>
          <w:tblHeader/>
          <w:tblCellSpacing w:w="15" w:type="dxa"/>
        </w:trPr>
        <w:tc>
          <w:tcPr>
            <w:tcW w:w="0" w:type="auto"/>
            <w:vAlign w:val="center"/>
            <w:hideMark/>
          </w:tcPr>
          <w:p w14:paraId="458CB36A"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Endpoint</w:t>
            </w:r>
          </w:p>
        </w:tc>
        <w:tc>
          <w:tcPr>
            <w:tcW w:w="0" w:type="auto"/>
            <w:vAlign w:val="center"/>
            <w:hideMark/>
          </w:tcPr>
          <w:p w14:paraId="41CBCAD7"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Method</w:t>
            </w:r>
          </w:p>
        </w:tc>
        <w:tc>
          <w:tcPr>
            <w:tcW w:w="0" w:type="auto"/>
            <w:vAlign w:val="center"/>
            <w:hideMark/>
          </w:tcPr>
          <w:p w14:paraId="4231721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7DF1FFD1"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Authentication</w:t>
            </w:r>
          </w:p>
        </w:tc>
        <w:tc>
          <w:tcPr>
            <w:tcW w:w="0" w:type="auto"/>
            <w:vAlign w:val="center"/>
            <w:hideMark/>
          </w:tcPr>
          <w:p w14:paraId="47EFE89D"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Rate limit</w:t>
            </w:r>
          </w:p>
        </w:tc>
        <w:tc>
          <w:tcPr>
            <w:tcW w:w="0" w:type="auto"/>
            <w:vAlign w:val="center"/>
            <w:hideMark/>
          </w:tcPr>
          <w:p w14:paraId="59BBBA4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7A2A0E2C" w14:textId="77777777" w:rsidTr="00406066">
        <w:trPr>
          <w:tblCellSpacing w:w="15" w:type="dxa"/>
        </w:trPr>
        <w:tc>
          <w:tcPr>
            <w:tcW w:w="0" w:type="auto"/>
            <w:vAlign w:val="center"/>
            <w:hideMark/>
          </w:tcPr>
          <w:p w14:paraId="24C97B6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/system/health</w:t>
            </w:r>
          </w:p>
        </w:tc>
        <w:tc>
          <w:tcPr>
            <w:tcW w:w="0" w:type="auto"/>
            <w:vAlign w:val="center"/>
            <w:hideMark/>
          </w:tcPr>
          <w:p w14:paraId="608F370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713E7B2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System health check</w:t>
            </w:r>
          </w:p>
        </w:tc>
        <w:tc>
          <w:tcPr>
            <w:tcW w:w="0" w:type="auto"/>
            <w:vAlign w:val="center"/>
            <w:hideMark/>
          </w:tcPr>
          <w:p w14:paraId="05086EA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None</w:t>
            </w:r>
          </w:p>
        </w:tc>
        <w:tc>
          <w:tcPr>
            <w:tcW w:w="0" w:type="auto"/>
            <w:vAlign w:val="center"/>
            <w:hideMark/>
          </w:tcPr>
          <w:p w14:paraId="2F8AAA1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10000/hour</w:t>
            </w:r>
          </w:p>
        </w:tc>
        <w:tc>
          <w:tcPr>
            <w:tcW w:w="0" w:type="auto"/>
            <w:vAlign w:val="center"/>
            <w:hideMark/>
          </w:tcPr>
          <w:p w14:paraId="75AC9DA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Operational status only</w:t>
            </w:r>
          </w:p>
        </w:tc>
      </w:tr>
      <w:tr w:rsidR="004E7C51" w:rsidRPr="00B479AE" w14:paraId="09484DD1" w14:textId="77777777" w:rsidTr="00406066">
        <w:trPr>
          <w:tblCellSpacing w:w="15" w:type="dxa"/>
        </w:trPr>
        <w:tc>
          <w:tcPr>
            <w:tcW w:w="0" w:type="auto"/>
            <w:vAlign w:val="center"/>
            <w:hideMark/>
          </w:tcPr>
          <w:p w14:paraId="3A6EB8D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/system/metrics</w:t>
            </w:r>
          </w:p>
        </w:tc>
        <w:tc>
          <w:tcPr>
            <w:tcW w:w="0" w:type="auto"/>
            <w:vAlign w:val="center"/>
            <w:hideMark/>
          </w:tcPr>
          <w:p w14:paraId="44B566D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7E365CE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System performance metrics</w:t>
            </w:r>
          </w:p>
        </w:tc>
        <w:tc>
          <w:tcPr>
            <w:tcW w:w="0" w:type="auto"/>
            <w:vAlign w:val="center"/>
            <w:hideMark/>
          </w:tcPr>
          <w:p w14:paraId="0697093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or admin credential</w:t>
            </w:r>
          </w:p>
        </w:tc>
        <w:tc>
          <w:tcPr>
            <w:tcW w:w="0" w:type="auto"/>
            <w:vAlign w:val="center"/>
            <w:hideMark/>
          </w:tcPr>
          <w:p w14:paraId="6B499A8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01BB4B6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or internal classification required</w:t>
            </w:r>
          </w:p>
        </w:tc>
      </w:tr>
      <w:tr w:rsidR="004E7C51" w:rsidRPr="00B479AE" w14:paraId="0545FBF4" w14:textId="77777777" w:rsidTr="00406066">
        <w:trPr>
          <w:tblCellSpacing w:w="15" w:type="dxa"/>
        </w:trPr>
        <w:tc>
          <w:tcPr>
            <w:tcW w:w="0" w:type="auto"/>
            <w:vAlign w:val="center"/>
            <w:hideMark/>
          </w:tcPr>
          <w:p w14:paraId="35DE028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w:t>
            </w:r>
            <w:proofErr w:type="gramStart"/>
            <w:r w:rsidRPr="00B479AE">
              <w:rPr>
                <w:rFonts w:ascii="Baskerville Old Face" w:hAnsi="Baskerville Old Face"/>
                <w:i/>
                <w:iCs/>
                <w:sz w:val="20"/>
                <w:szCs w:val="20"/>
              </w:rPr>
              <w:t>system</w:t>
            </w:r>
            <w:proofErr w:type="gramEnd"/>
            <w:r w:rsidRPr="00B479AE">
              <w:rPr>
                <w:rFonts w:ascii="Baskerville Old Face" w:hAnsi="Baskerville Old Face"/>
                <w:i/>
                <w:iCs/>
                <w:sz w:val="20"/>
                <w:szCs w:val="20"/>
              </w:rPr>
              <w:t>/status/{</w:t>
            </w:r>
            <w:proofErr w:type="spellStart"/>
            <w:r w:rsidRPr="00B479AE">
              <w:rPr>
                <w:rFonts w:ascii="Baskerville Old Face" w:hAnsi="Baskerville Old Face"/>
                <w:i/>
                <w:iCs/>
                <w:sz w:val="20"/>
                <w:szCs w:val="20"/>
              </w:rPr>
              <w:t>agent_id</w:t>
            </w:r>
            <w:proofErr w:type="spellEnd"/>
            <w:r w:rsidRPr="00B479AE">
              <w:rPr>
                <w:rFonts w:ascii="Baskerville Old Face" w:hAnsi="Baskerville Old Face"/>
                <w:i/>
                <w:iCs/>
                <w:sz w:val="20"/>
                <w:szCs w:val="20"/>
              </w:rPr>
              <w:t>}</w:t>
            </w:r>
          </w:p>
        </w:tc>
        <w:tc>
          <w:tcPr>
            <w:tcW w:w="0" w:type="auto"/>
            <w:vAlign w:val="center"/>
            <w:hideMark/>
          </w:tcPr>
          <w:p w14:paraId="2113B6F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0C5F330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scoped system status for an agent or service</w:t>
            </w:r>
          </w:p>
        </w:tc>
        <w:tc>
          <w:tcPr>
            <w:tcW w:w="0" w:type="auto"/>
            <w:vAlign w:val="center"/>
            <w:hideMark/>
          </w:tcPr>
          <w:p w14:paraId="3B35020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JWT or service credential</w:t>
            </w:r>
          </w:p>
        </w:tc>
        <w:tc>
          <w:tcPr>
            <w:tcW w:w="0" w:type="auto"/>
            <w:vAlign w:val="center"/>
            <w:hideMark/>
          </w:tcPr>
          <w:p w14:paraId="7B9AF39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100/hour</w:t>
            </w:r>
          </w:p>
        </w:tc>
        <w:tc>
          <w:tcPr>
            <w:tcW w:w="0" w:type="auto"/>
            <w:vAlign w:val="center"/>
            <w:hideMark/>
          </w:tcPr>
          <w:p w14:paraId="02800B8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Status data remains scope-limited</w:t>
            </w:r>
          </w:p>
        </w:tc>
      </w:tr>
      <w:tr w:rsidR="004E7C51" w:rsidRPr="00B479AE" w14:paraId="753D1761" w14:textId="77777777" w:rsidTr="00406066">
        <w:trPr>
          <w:tblCellSpacing w:w="15" w:type="dxa"/>
        </w:trPr>
        <w:tc>
          <w:tcPr>
            <w:tcW w:w="0" w:type="auto"/>
            <w:vAlign w:val="center"/>
            <w:hideMark/>
          </w:tcPr>
          <w:p w14:paraId="68DF79E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/system/version</w:t>
            </w:r>
          </w:p>
        </w:tc>
        <w:tc>
          <w:tcPr>
            <w:tcW w:w="0" w:type="auto"/>
            <w:vAlign w:val="center"/>
            <w:hideMark/>
          </w:tcPr>
          <w:p w14:paraId="6055C2C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551ED5C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Retrieve API, </w:t>
            </w:r>
            <w:proofErr w:type="spellStart"/>
            <w:r w:rsidRPr="00B479AE">
              <w:rPr>
                <w:rFonts w:ascii="Baskerville Old Face" w:hAnsi="Baskerville Old Face"/>
                <w:i/>
                <w:iCs/>
                <w:sz w:val="20"/>
                <w:szCs w:val="20"/>
              </w:rPr>
              <w:t>zome</w:t>
            </w:r>
            <w:proofErr w:type="spellEnd"/>
            <w:r w:rsidRPr="00B479AE">
              <w:rPr>
                <w:rFonts w:ascii="Baskerville Old Face" w:hAnsi="Baskerville Old Face"/>
                <w:i/>
                <w:iCs/>
                <w:sz w:val="20"/>
                <w:szCs w:val="20"/>
              </w:rPr>
              <w:t>, bridge, and release version references</w:t>
            </w:r>
          </w:p>
        </w:tc>
        <w:tc>
          <w:tcPr>
            <w:tcW w:w="0" w:type="auto"/>
            <w:vAlign w:val="center"/>
            <w:hideMark/>
          </w:tcPr>
          <w:p w14:paraId="1AFB88E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or API key</w:t>
            </w:r>
          </w:p>
        </w:tc>
        <w:tc>
          <w:tcPr>
            <w:tcW w:w="0" w:type="auto"/>
            <w:vAlign w:val="center"/>
            <w:hideMark/>
          </w:tcPr>
          <w:p w14:paraId="3EBF274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1000/hour</w:t>
            </w:r>
          </w:p>
        </w:tc>
        <w:tc>
          <w:tcPr>
            <w:tcW w:w="0" w:type="auto"/>
            <w:vAlign w:val="center"/>
            <w:hideMark/>
          </w:tcPr>
          <w:p w14:paraId="4652E58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Version endpoint supports traceability</w:t>
            </w:r>
          </w:p>
        </w:tc>
      </w:tr>
      <w:tr w:rsidR="004E7C51" w:rsidRPr="00B479AE" w14:paraId="02BA3BA6" w14:textId="77777777" w:rsidTr="00406066">
        <w:trPr>
          <w:tblCellSpacing w:w="15" w:type="dxa"/>
        </w:trPr>
        <w:tc>
          <w:tcPr>
            <w:tcW w:w="0" w:type="auto"/>
            <w:vAlign w:val="center"/>
            <w:hideMark/>
          </w:tcPr>
          <w:p w14:paraId="43B6D72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/system/verification</w:t>
            </w:r>
          </w:p>
        </w:tc>
        <w:tc>
          <w:tcPr>
            <w:tcW w:w="0" w:type="auto"/>
            <w:vAlign w:val="center"/>
            <w:hideMark/>
          </w:tcPr>
          <w:p w14:paraId="5869CBC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GET</w:t>
            </w:r>
          </w:p>
        </w:tc>
        <w:tc>
          <w:tcPr>
            <w:tcW w:w="0" w:type="auto"/>
            <w:vAlign w:val="center"/>
            <w:hideMark/>
          </w:tcPr>
          <w:p w14:paraId="6DBADFB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Retrieve public verification instructions</w:t>
            </w:r>
          </w:p>
        </w:tc>
        <w:tc>
          <w:tcPr>
            <w:tcW w:w="0" w:type="auto"/>
            <w:vAlign w:val="center"/>
            <w:hideMark/>
          </w:tcPr>
          <w:p w14:paraId="352459B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w:t>
            </w:r>
          </w:p>
        </w:tc>
        <w:tc>
          <w:tcPr>
            <w:tcW w:w="0" w:type="auto"/>
            <w:vAlign w:val="center"/>
            <w:hideMark/>
          </w:tcPr>
          <w:p w14:paraId="4E91FE1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1000/hour</w:t>
            </w:r>
          </w:p>
        </w:tc>
        <w:tc>
          <w:tcPr>
            <w:tcW w:w="0" w:type="auto"/>
            <w:vAlign w:val="center"/>
            <w:hideMark/>
          </w:tcPr>
          <w:p w14:paraId="51CEB9C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Instructional endpoint only</w:t>
            </w:r>
          </w:p>
        </w:tc>
      </w:tr>
    </w:tbl>
    <w:p w14:paraId="3D8F0ACC"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 xml:space="preserve">L.4 </w:t>
      </w:r>
      <w:proofErr w:type="spellStart"/>
      <w:r w:rsidRPr="00B479AE">
        <w:rPr>
          <w:rFonts w:ascii="Baskerville Old Face" w:hAnsi="Baskerville Old Face"/>
          <w:b/>
          <w:bCs/>
          <w:i/>
          <w:iCs/>
        </w:rPr>
        <w:t>GraphQL</w:t>
      </w:r>
      <w:proofErr w:type="spellEnd"/>
      <w:r w:rsidRPr="00B479AE">
        <w:rPr>
          <w:rFonts w:ascii="Baskerville Old Face" w:hAnsi="Baskerville Old Face"/>
          <w:b/>
          <w:bCs/>
          <w:i/>
          <w:iCs/>
        </w:rPr>
        <w:t xml:space="preserve"> API</w:t>
      </w:r>
    </w:p>
    <w:p w14:paraId="339E167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GraphQL</w:t>
      </w:r>
      <w:proofErr w:type="spellEnd"/>
      <w:r w:rsidRPr="00B479AE">
        <w:rPr>
          <w:rFonts w:ascii="Baskerville Old Face" w:hAnsi="Baskerville Old Face"/>
          <w:i/>
          <w:iCs/>
        </w:rPr>
        <w:t xml:space="preserve"> API provides a flexible interface for complex queries, dashboards, institutional reports, and real-time subscriptions.</w:t>
      </w:r>
    </w:p>
    <w:p w14:paraId="52D1BD3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should be used carefully because flexible query systems can expose more information than intended if authorization boundaries are weak.</w:t>
      </w:r>
    </w:p>
    <w:p w14:paraId="53548780"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GraphQL</w:t>
      </w:r>
      <w:proofErr w:type="spellEnd"/>
      <w:r w:rsidRPr="00B479AE">
        <w:rPr>
          <w:rFonts w:ascii="Baskerville Old Face" w:hAnsi="Baskerville Old Face"/>
          <w:i/>
          <w:iCs/>
        </w:rPr>
        <w:t xml:space="preserve"> access should therefore enforce:</w:t>
      </w:r>
    </w:p>
    <w:p w14:paraId="6CDF0CE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field-level authorization;</w:t>
      </w:r>
    </w:p>
    <w:p w14:paraId="43FE8D6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query-depth limits;</w:t>
      </w:r>
    </w:p>
    <w:p w14:paraId="1783649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rate limits;</w:t>
      </w:r>
    </w:p>
    <w:p w14:paraId="26B6A2D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data classification rules;</w:t>
      </w:r>
    </w:p>
    <w:p w14:paraId="4792BFF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privacy filters;</w:t>
      </w:r>
    </w:p>
    <w:p w14:paraId="63DC469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public-claim boundaries;</w:t>
      </w:r>
    </w:p>
    <w:p w14:paraId="148D0E7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investor-review classification;</w:t>
      </w:r>
    </w:p>
    <w:p w14:paraId="0270852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project-level access control;</w:t>
      </w:r>
    </w:p>
    <w:p w14:paraId="31B1238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audit logging.</w:t>
      </w:r>
    </w:p>
    <w:p w14:paraId="73ACBD45"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 xml:space="preserve">L.4.1 </w:t>
      </w:r>
      <w:proofErr w:type="spellStart"/>
      <w:r w:rsidRPr="00B479AE">
        <w:rPr>
          <w:rFonts w:ascii="Baskerville Old Face" w:hAnsi="Baskerville Old Face"/>
          <w:b/>
          <w:bCs/>
          <w:i/>
          <w:iCs/>
        </w:rPr>
        <w:t>GraphQL</w:t>
      </w:r>
      <w:proofErr w:type="spellEnd"/>
      <w:r w:rsidRPr="00B479AE">
        <w:rPr>
          <w:rFonts w:ascii="Baskerville Old Face" w:hAnsi="Baskerville Old Face"/>
          <w:b/>
          <w:bCs/>
          <w:i/>
          <w:iCs/>
        </w:rPr>
        <w:t xml:space="preserve"> Endpoint</w:t>
      </w:r>
    </w:p>
    <w:p w14:paraId="44E5FEFF" w14:textId="77777777" w:rsidR="004E7C51" w:rsidRPr="00B479AE" w:rsidRDefault="004E7C51" w:rsidP="004E7C51">
      <w:pPr>
        <w:tabs>
          <w:tab w:val="left" w:pos="2685"/>
        </w:tabs>
        <w:spacing w:line="360" w:lineRule="auto"/>
        <w:rPr>
          <w:rFonts w:ascii="Baskerville Old Face" w:hAnsi="Baskerville Old Face"/>
          <w:i/>
          <w:iCs/>
        </w:rPr>
      </w:pPr>
      <w:hyperlink r:id="rId25" w:history="1">
        <w:r w:rsidRPr="00B479AE">
          <w:rPr>
            <w:rStyle w:val="Collegamentoipertestuale"/>
            <w:rFonts w:ascii="Baskerville Old Face" w:hAnsi="Baskerville Old Face"/>
            <w:i/>
            <w:iCs/>
          </w:rPr>
          <w:t>https://api.heart-intelligence.earth/graphql</w:t>
        </w:r>
      </w:hyperlink>
    </w:p>
    <w:p w14:paraId="46744B1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If this endpoint is not yet live, it should be treated as a planned or reserved endpoint pending canonical deployment.</w:t>
      </w:r>
    </w:p>
    <w:p w14:paraId="76716BA6"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L.4.2 Example Queries</w:t>
      </w:r>
    </w:p>
    <w:p w14:paraId="783BA54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 following examples illustrate possible query structures.</w:t>
      </w:r>
    </w:p>
    <w:p w14:paraId="23409D3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They are conceptual examples and should not be treated as final public schema commitments until confirmed in the technical documentation package.</w:t>
      </w:r>
    </w:p>
    <w:p w14:paraId="00DCFE2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Example: agent profile with reputation context and recent contributions.</w:t>
      </w:r>
    </w:p>
    <w:p w14:paraId="390F2BEF"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graphql</w:t>
      </w:r>
      <w:proofErr w:type="spellEnd"/>
      <w:r w:rsidRPr="00B479AE">
        <w:rPr>
          <w:rFonts w:ascii="Baskerville Old Face" w:hAnsi="Baskerville Old Face"/>
          <w:i/>
          <w:iCs/>
        </w:rPr>
        <w:br/>
        <w:t xml:space="preserve">query </w:t>
      </w:r>
      <w:proofErr w:type="spellStart"/>
      <w:proofErr w:type="gramStart"/>
      <w:r w:rsidRPr="00B479AE">
        <w:rPr>
          <w:rFonts w:ascii="Baskerville Old Face" w:hAnsi="Baskerville Old Face"/>
          <w:i/>
          <w:iCs/>
        </w:rPr>
        <w:t>GetAgentProfile</w:t>
      </w:r>
      <w:proofErr w:type="spellEnd"/>
      <w:r w:rsidRPr="00B479AE">
        <w:rPr>
          <w:rFonts w:ascii="Baskerville Old Face" w:hAnsi="Baskerville Old Face"/>
          <w:i/>
          <w:iCs/>
        </w:rPr>
        <w:t>(</w:t>
      </w:r>
      <w:proofErr w:type="gramEnd"/>
      <w:r w:rsidRPr="00B479AE">
        <w:rPr>
          <w:rFonts w:ascii="Baskerville Old Face" w:hAnsi="Baskerville Old Face"/>
          <w:i/>
          <w:iCs/>
        </w:rPr>
        <w:t>$id: ID!) {</w:t>
      </w:r>
      <w:r w:rsidRPr="00B479AE">
        <w:rPr>
          <w:rFonts w:ascii="Baskerville Old Face" w:hAnsi="Baskerville Old Face"/>
          <w:i/>
          <w:iCs/>
        </w:rPr>
        <w:br/>
      </w:r>
      <w:proofErr w:type="gramStart"/>
      <w:r w:rsidRPr="00B479AE">
        <w:rPr>
          <w:rFonts w:ascii="Baskerville Old Face" w:hAnsi="Baskerville Old Face"/>
          <w:i/>
          <w:iCs/>
        </w:rPr>
        <w:t>agent(</w:t>
      </w:r>
      <w:proofErr w:type="gramEnd"/>
      <w:r w:rsidRPr="00B479AE">
        <w:rPr>
          <w:rFonts w:ascii="Baskerville Old Face" w:hAnsi="Baskerville Old Face"/>
          <w:i/>
          <w:iCs/>
        </w:rPr>
        <w:t>id: $id) {</w:t>
      </w:r>
      <w:r w:rsidRPr="00B479AE">
        <w:rPr>
          <w:rFonts w:ascii="Baskerville Old Face" w:hAnsi="Baskerville Old Face"/>
          <w:i/>
          <w:iCs/>
        </w:rPr>
        <w:br/>
        <w:t>id</w:t>
      </w:r>
      <w:r w:rsidRPr="00B479AE">
        <w:rPr>
          <w:rFonts w:ascii="Baskerville Old Face" w:hAnsi="Baskerville Old Face"/>
          <w:i/>
          <w:iCs/>
        </w:rPr>
        <w:br/>
        <w:t>profile {</w:t>
      </w:r>
      <w:r w:rsidRPr="00B479AE">
        <w:rPr>
          <w:rFonts w:ascii="Baskerville Old Face" w:hAnsi="Baskerville Old Face"/>
          <w:i/>
          <w:iCs/>
        </w:rPr>
        <w:br/>
        <w:t>name</w:t>
      </w:r>
      <w:r w:rsidRPr="00B479AE">
        <w:rPr>
          <w:rFonts w:ascii="Baskerville Old Face" w:hAnsi="Baskerville Old Face"/>
          <w:i/>
          <w:iCs/>
        </w:rPr>
        <w:br/>
        <w:t>bio</w:t>
      </w:r>
      <w:r w:rsidRPr="00B479AE">
        <w:rPr>
          <w:rFonts w:ascii="Baskerville Old Face" w:hAnsi="Baskerville Old Face"/>
          <w:i/>
          <w:iCs/>
        </w:rPr>
        <w:br/>
      </w:r>
      <w:proofErr w:type="spellStart"/>
      <w:r w:rsidRPr="00B479AE">
        <w:rPr>
          <w:rFonts w:ascii="Baskerville Old Face" w:hAnsi="Baskerville Old Face"/>
          <w:i/>
          <w:iCs/>
        </w:rPr>
        <w:t>joinedAt</w:t>
      </w:r>
      <w:proofErr w:type="spellEnd"/>
      <w:r w:rsidRPr="00B479AE">
        <w:rPr>
          <w:rFonts w:ascii="Baskerville Old Face" w:hAnsi="Baskerville Old Face"/>
          <w:i/>
          <w:iCs/>
        </w:rPr>
        <w:br/>
        <w:t>}</w:t>
      </w:r>
      <w:r w:rsidRPr="00B479AE">
        <w:rPr>
          <w:rFonts w:ascii="Baskerville Old Face" w:hAnsi="Baskerville Old Face"/>
          <w:i/>
          <w:iCs/>
        </w:rPr>
        <w:br/>
      </w:r>
      <w:proofErr w:type="spellStart"/>
      <w:r w:rsidRPr="00B479AE">
        <w:rPr>
          <w:rFonts w:ascii="Baskerville Old Face" w:hAnsi="Baskerville Old Face"/>
          <w:i/>
          <w:iCs/>
        </w:rPr>
        <w:t>reputationContext</w:t>
      </w:r>
      <w:proofErr w:type="spellEnd"/>
      <w:r w:rsidRPr="00B479AE">
        <w:rPr>
          <w:rFonts w:ascii="Baskerville Old Face" w:hAnsi="Baskerville Old Face"/>
          <w:i/>
          <w:iCs/>
        </w:rPr>
        <w:t xml:space="preserve"> {</w:t>
      </w:r>
      <w:r w:rsidRPr="00B479AE">
        <w:rPr>
          <w:rFonts w:ascii="Baskerville Old Face" w:hAnsi="Baskerville Old Face"/>
          <w:i/>
          <w:iCs/>
        </w:rPr>
        <w:br/>
        <w:t>overall</w:t>
      </w:r>
      <w:r w:rsidRPr="00B479AE">
        <w:rPr>
          <w:rFonts w:ascii="Baskerville Old Face" w:hAnsi="Baskerville Old Face"/>
          <w:i/>
          <w:iCs/>
        </w:rPr>
        <w:br/>
        <w:t>components {</w:t>
      </w:r>
      <w:r w:rsidRPr="00B479AE">
        <w:rPr>
          <w:rFonts w:ascii="Baskerville Old Face" w:hAnsi="Baskerville Old Face"/>
          <w:i/>
          <w:iCs/>
        </w:rPr>
        <w:br/>
        <w:t>contribution</w:t>
      </w:r>
      <w:r w:rsidRPr="00B479AE">
        <w:rPr>
          <w:rFonts w:ascii="Baskerville Old Face" w:hAnsi="Baskerville Old Face"/>
          <w:i/>
          <w:iCs/>
        </w:rPr>
        <w:br/>
        <w:t>reliability</w:t>
      </w:r>
      <w:r w:rsidRPr="00B479AE">
        <w:rPr>
          <w:rFonts w:ascii="Baskerville Old Face" w:hAnsi="Baskerville Old Face"/>
          <w:i/>
          <w:iCs/>
        </w:rPr>
        <w:br/>
      </w:r>
      <w:proofErr w:type="spellStart"/>
      <w:r w:rsidRPr="00B479AE">
        <w:rPr>
          <w:rFonts w:ascii="Baskerville Old Face" w:hAnsi="Baskerville Old Face"/>
          <w:i/>
          <w:iCs/>
        </w:rPr>
        <w:t>governanceParticipation</w:t>
      </w:r>
      <w:proofErr w:type="spellEnd"/>
      <w:r w:rsidRPr="00B479AE">
        <w:rPr>
          <w:rFonts w:ascii="Baskerville Old Face" w:hAnsi="Baskerville Old Face"/>
          <w:i/>
          <w:iCs/>
        </w:rPr>
        <w:br/>
      </w:r>
      <w:proofErr w:type="spellStart"/>
      <w:r w:rsidRPr="00B479AE">
        <w:rPr>
          <w:rFonts w:ascii="Baskerville Old Face" w:hAnsi="Baskerville Old Face"/>
          <w:i/>
          <w:iCs/>
        </w:rPr>
        <w:t>validationAccuracy</w:t>
      </w:r>
      <w:proofErr w:type="spellEnd"/>
      <w:r w:rsidRPr="00B479AE">
        <w:rPr>
          <w:rFonts w:ascii="Baskerville Old Face" w:hAnsi="Baskerville Old Face"/>
          <w:i/>
          <w:iCs/>
        </w:rPr>
        <w:br/>
        <w:t>}</w:t>
      </w:r>
      <w:r w:rsidRPr="00B479AE">
        <w:rPr>
          <w:rFonts w:ascii="Baskerville Old Face" w:hAnsi="Baskerville Old Face"/>
          <w:i/>
          <w:iCs/>
        </w:rPr>
        <w:br/>
        <w:t>boundary</w:t>
      </w:r>
      <w:r w:rsidRPr="00B479AE">
        <w:rPr>
          <w:rFonts w:ascii="Baskerville Old Face" w:hAnsi="Baskerville Old Face"/>
          <w:i/>
          <w:iCs/>
        </w:rPr>
        <w:br/>
        <w:t>}</w:t>
      </w:r>
      <w:r w:rsidRPr="00B479AE">
        <w:rPr>
          <w:rFonts w:ascii="Baskerville Old Face" w:hAnsi="Baskerville Old Face"/>
          <w:i/>
          <w:iCs/>
        </w:rPr>
        <w:br/>
      </w:r>
      <w:proofErr w:type="spellStart"/>
      <w:proofErr w:type="gramStart"/>
      <w:r w:rsidRPr="00B479AE">
        <w:rPr>
          <w:rFonts w:ascii="Baskerville Old Face" w:hAnsi="Baskerville Old Face"/>
          <w:i/>
          <w:iCs/>
        </w:rPr>
        <w:t>recentContributions</w:t>
      </w:r>
      <w:proofErr w:type="spellEnd"/>
      <w:r w:rsidRPr="00B479AE">
        <w:rPr>
          <w:rFonts w:ascii="Baskerville Old Face" w:hAnsi="Baskerville Old Face"/>
          <w:i/>
          <w:iCs/>
        </w:rPr>
        <w:t>(</w:t>
      </w:r>
      <w:proofErr w:type="gramEnd"/>
      <w:r w:rsidRPr="00B479AE">
        <w:rPr>
          <w:rFonts w:ascii="Baskerville Old Face" w:hAnsi="Baskerville Old Face"/>
          <w:i/>
          <w:iCs/>
        </w:rPr>
        <w:t>limit: 5) {</w:t>
      </w:r>
      <w:r w:rsidRPr="00B479AE">
        <w:rPr>
          <w:rFonts w:ascii="Baskerville Old Face" w:hAnsi="Baskerville Old Face"/>
          <w:i/>
          <w:iCs/>
        </w:rPr>
        <w:br/>
        <w:t>type</w:t>
      </w:r>
      <w:r w:rsidRPr="00B479AE">
        <w:rPr>
          <w:rFonts w:ascii="Baskerville Old Face" w:hAnsi="Baskerville Old Face"/>
          <w:i/>
          <w:iCs/>
        </w:rPr>
        <w:br/>
        <w:t>description</w:t>
      </w:r>
      <w:r w:rsidRPr="00B479AE">
        <w:rPr>
          <w:rFonts w:ascii="Baskerville Old Face" w:hAnsi="Baskerville Old Face"/>
          <w:i/>
          <w:iCs/>
        </w:rPr>
        <w:br/>
        <w:t>timestamp</w:t>
      </w:r>
      <w:r w:rsidRPr="00B479AE">
        <w:rPr>
          <w:rFonts w:ascii="Baskerville Old Face" w:hAnsi="Baskerville Old Face"/>
          <w:i/>
          <w:iCs/>
        </w:rPr>
        <w:br/>
      </w:r>
      <w:proofErr w:type="spellStart"/>
      <w:r w:rsidRPr="00B479AE">
        <w:rPr>
          <w:rFonts w:ascii="Baskerville Old Face" w:hAnsi="Baskerville Old Face"/>
          <w:i/>
          <w:iCs/>
        </w:rPr>
        <w:t>evidenceStatus</w:t>
      </w:r>
      <w:proofErr w:type="spellEnd"/>
      <w:r w:rsidRPr="00B479AE">
        <w:rPr>
          <w:rFonts w:ascii="Baskerville Old Face" w:hAnsi="Baskerville Old Face"/>
          <w:i/>
          <w:iCs/>
        </w:rPr>
        <w:br/>
        <w:t>}</w:t>
      </w:r>
      <w:r w:rsidRPr="00B479AE">
        <w:rPr>
          <w:rFonts w:ascii="Baskerville Old Face" w:hAnsi="Baskerville Old Face"/>
          <w:i/>
          <w:iCs/>
        </w:rPr>
        <w:br/>
        <w:t>}</w:t>
      </w:r>
      <w:r w:rsidRPr="00B479AE">
        <w:rPr>
          <w:rFonts w:ascii="Baskerville Old Face" w:hAnsi="Baskerville Old Face"/>
          <w:i/>
          <w:iCs/>
        </w:rPr>
        <w:br/>
        <w:t>}</w:t>
      </w:r>
    </w:p>
    <w:p w14:paraId="16153CC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Example: bioregional dashboard with aggregated metrics.</w:t>
      </w:r>
    </w:p>
    <w:p w14:paraId="47C97223"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graphql</w:t>
      </w:r>
      <w:proofErr w:type="spellEnd"/>
      <w:r w:rsidRPr="00B479AE">
        <w:rPr>
          <w:rFonts w:ascii="Baskerville Old Face" w:hAnsi="Baskerville Old Face"/>
          <w:i/>
          <w:iCs/>
        </w:rPr>
        <w:br/>
        <w:t xml:space="preserve">query </w:t>
      </w:r>
      <w:proofErr w:type="spellStart"/>
      <w:proofErr w:type="gramStart"/>
      <w:r w:rsidRPr="00B479AE">
        <w:rPr>
          <w:rFonts w:ascii="Baskerville Old Face" w:hAnsi="Baskerville Old Face"/>
          <w:i/>
          <w:iCs/>
        </w:rPr>
        <w:t>BioregionalDashboard</w:t>
      </w:r>
      <w:proofErr w:type="spellEnd"/>
      <w:r w:rsidRPr="00B479AE">
        <w:rPr>
          <w:rFonts w:ascii="Baskerville Old Face" w:hAnsi="Baskerville Old Face"/>
          <w:i/>
          <w:iCs/>
        </w:rPr>
        <w:t>(</w:t>
      </w:r>
      <w:proofErr w:type="gramEnd"/>
      <w:r w:rsidRPr="00B479AE">
        <w:rPr>
          <w:rFonts w:ascii="Baskerville Old Face" w:hAnsi="Baskerville Old Face"/>
          <w:i/>
          <w:iCs/>
        </w:rPr>
        <w:t>$</w:t>
      </w:r>
      <w:proofErr w:type="spellStart"/>
      <w:r w:rsidRPr="00B479AE">
        <w:rPr>
          <w:rFonts w:ascii="Baskerville Old Face" w:hAnsi="Baskerville Old Face"/>
          <w:i/>
          <w:iCs/>
        </w:rPr>
        <w:t>bioregionId</w:t>
      </w:r>
      <w:proofErr w:type="spellEnd"/>
      <w:r w:rsidRPr="00B479AE">
        <w:rPr>
          <w:rFonts w:ascii="Baskerville Old Face" w:hAnsi="Baskerville Old Face"/>
          <w:i/>
          <w:iCs/>
        </w:rPr>
        <w:t xml:space="preserve">: </w:t>
      </w:r>
      <w:proofErr w:type="gramStart"/>
      <w:r w:rsidRPr="00B479AE">
        <w:rPr>
          <w:rFonts w:ascii="Baskerville Old Face" w:hAnsi="Baskerville Old Face"/>
          <w:i/>
          <w:iCs/>
        </w:rPr>
        <w:t>ID!,</w:t>
      </w:r>
      <w:proofErr w:type="gramEnd"/>
      <w:r w:rsidRPr="00B479AE">
        <w:rPr>
          <w:rFonts w:ascii="Baskerville Old Face" w:hAnsi="Baskerville Old Face"/>
          <w:i/>
          <w:iCs/>
        </w:rPr>
        <w:t xml:space="preserve"> $</w:t>
      </w:r>
      <w:proofErr w:type="spellStart"/>
      <w:r w:rsidRPr="00B479AE">
        <w:rPr>
          <w:rFonts w:ascii="Baskerville Old Face" w:hAnsi="Baskerville Old Face"/>
          <w:i/>
          <w:iCs/>
        </w:rPr>
        <w:t>timeRange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TimeRange</w:t>
      </w:r>
      <w:proofErr w:type="spellEnd"/>
      <w:r w:rsidRPr="00B479AE">
        <w:rPr>
          <w:rFonts w:ascii="Baskerville Old Face" w:hAnsi="Baskerville Old Face"/>
          <w:i/>
          <w:iCs/>
        </w:rPr>
        <w:t>!) {</w:t>
      </w:r>
      <w:r w:rsidRPr="00B479AE">
        <w:rPr>
          <w:rFonts w:ascii="Baskerville Old Face" w:hAnsi="Baskerville Old Face"/>
          <w:i/>
          <w:iCs/>
        </w:rPr>
        <w:br/>
      </w:r>
      <w:proofErr w:type="gramStart"/>
      <w:r w:rsidRPr="00B479AE">
        <w:rPr>
          <w:rFonts w:ascii="Baskerville Old Face" w:hAnsi="Baskerville Old Face"/>
          <w:i/>
          <w:iCs/>
        </w:rPr>
        <w:t>bioregion(</w:t>
      </w:r>
      <w:proofErr w:type="gramEnd"/>
      <w:r w:rsidRPr="00B479AE">
        <w:rPr>
          <w:rFonts w:ascii="Baskerville Old Face" w:hAnsi="Baskerville Old Face"/>
          <w:i/>
          <w:iCs/>
        </w:rPr>
        <w:t>id: $</w:t>
      </w:r>
      <w:proofErr w:type="spellStart"/>
      <w:r w:rsidRPr="00B479AE">
        <w:rPr>
          <w:rFonts w:ascii="Baskerville Old Face" w:hAnsi="Baskerville Old Face"/>
          <w:i/>
          <w:iCs/>
        </w:rPr>
        <w:t>bioregionId</w:t>
      </w:r>
      <w:proofErr w:type="spellEnd"/>
      <w:r w:rsidRPr="00B479AE">
        <w:rPr>
          <w:rFonts w:ascii="Baskerville Old Face" w:hAnsi="Baskerville Old Face"/>
          <w:i/>
          <w:iCs/>
        </w:rPr>
        <w:t>) {</w:t>
      </w:r>
      <w:r w:rsidRPr="00B479AE">
        <w:rPr>
          <w:rFonts w:ascii="Baskerville Old Face" w:hAnsi="Baskerville Old Face"/>
          <w:i/>
          <w:iCs/>
        </w:rPr>
        <w:br/>
      </w:r>
      <w:r w:rsidRPr="00B479AE">
        <w:rPr>
          <w:rFonts w:ascii="Baskerville Old Face" w:hAnsi="Baskerville Old Face"/>
          <w:i/>
          <w:iCs/>
        </w:rPr>
        <w:lastRenderedPageBreak/>
        <w:t>name</w:t>
      </w:r>
      <w:r w:rsidRPr="00B479AE">
        <w:rPr>
          <w:rFonts w:ascii="Baskerville Old Face" w:hAnsi="Baskerville Old Face"/>
          <w:i/>
          <w:iCs/>
        </w:rPr>
        <w:br/>
        <w:t>boundaries {</w:t>
      </w:r>
      <w:r w:rsidRPr="00B479AE">
        <w:rPr>
          <w:rFonts w:ascii="Baskerville Old Face" w:hAnsi="Baskerville Old Face"/>
          <w:i/>
          <w:iCs/>
        </w:rPr>
        <w:br/>
        <w:t>climate</w:t>
      </w:r>
      <w:r w:rsidRPr="00B479AE">
        <w:rPr>
          <w:rFonts w:ascii="Baskerville Old Face" w:hAnsi="Baskerville Old Face"/>
          <w:i/>
          <w:iCs/>
        </w:rPr>
        <w:br/>
        <w:t>water</w:t>
      </w:r>
      <w:r w:rsidRPr="00B479AE">
        <w:rPr>
          <w:rFonts w:ascii="Baskerville Old Face" w:hAnsi="Baskerville Old Face"/>
          <w:i/>
          <w:iCs/>
        </w:rPr>
        <w:br/>
        <w:t>biodiversity</w:t>
      </w:r>
      <w:r w:rsidRPr="00B479AE">
        <w:rPr>
          <w:rFonts w:ascii="Baskerville Old Face" w:hAnsi="Baskerville Old Face"/>
          <w:i/>
          <w:iCs/>
        </w:rPr>
        <w:br/>
        <w:t>soil</w:t>
      </w:r>
      <w:r w:rsidRPr="00B479AE">
        <w:rPr>
          <w:rFonts w:ascii="Baskerville Old Face" w:hAnsi="Baskerville Old Face"/>
          <w:i/>
          <w:iCs/>
        </w:rPr>
        <w:br/>
        <w:t>}</w:t>
      </w:r>
      <w:r w:rsidRPr="00B479AE">
        <w:rPr>
          <w:rFonts w:ascii="Baskerville Old Face" w:hAnsi="Baskerville Old Face"/>
          <w:i/>
          <w:iCs/>
        </w:rPr>
        <w:br/>
      </w:r>
      <w:proofErr w:type="gramStart"/>
      <w:r w:rsidRPr="00B479AE">
        <w:rPr>
          <w:rFonts w:ascii="Baskerville Old Face" w:hAnsi="Baskerville Old Face"/>
          <w:i/>
          <w:iCs/>
        </w:rPr>
        <w:t>metrics(</w:t>
      </w:r>
      <w:proofErr w:type="spellStart"/>
      <w:proofErr w:type="gramEnd"/>
      <w:r w:rsidRPr="00B479AE">
        <w:rPr>
          <w:rFonts w:ascii="Baskerville Old Face" w:hAnsi="Baskerville Old Face"/>
          <w:i/>
          <w:iCs/>
        </w:rPr>
        <w:t>timeRange</w:t>
      </w:r>
      <w:proofErr w:type="spellEnd"/>
      <w:r w:rsidRPr="00B479AE">
        <w:rPr>
          <w:rFonts w:ascii="Baskerville Old Face" w:hAnsi="Baskerville Old Face"/>
          <w:i/>
          <w:iCs/>
        </w:rPr>
        <w:t>: $</w:t>
      </w:r>
      <w:proofErr w:type="spellStart"/>
      <w:r w:rsidRPr="00B479AE">
        <w:rPr>
          <w:rFonts w:ascii="Baskerville Old Face" w:hAnsi="Baskerville Old Face"/>
          <w:i/>
          <w:iCs/>
        </w:rPr>
        <w:t>timeRange</w:t>
      </w:r>
      <w:proofErr w:type="spellEnd"/>
      <w:r w:rsidRPr="00B479AE">
        <w:rPr>
          <w:rFonts w:ascii="Baskerville Old Face" w:hAnsi="Baskerville Old Face"/>
          <w:i/>
          <w:iCs/>
        </w:rPr>
        <w:t>) {</w:t>
      </w:r>
      <w:r w:rsidRPr="00B479AE">
        <w:rPr>
          <w:rFonts w:ascii="Baskerville Old Face" w:hAnsi="Baskerville Old Face"/>
          <w:i/>
          <w:iCs/>
        </w:rPr>
        <w:br/>
        <w:t>phi</w:t>
      </w:r>
      <w:r w:rsidRPr="00B479AE">
        <w:rPr>
          <w:rFonts w:ascii="Baskerville Old Face" w:hAnsi="Baskerville Old Face"/>
          <w:i/>
          <w:iCs/>
        </w:rPr>
        <w:br/>
      </w:r>
      <w:proofErr w:type="spellStart"/>
      <w:r w:rsidRPr="00B479AE">
        <w:rPr>
          <w:rFonts w:ascii="Baskerville Old Face" w:hAnsi="Baskerville Old Face"/>
          <w:i/>
          <w:iCs/>
        </w:rPr>
        <w:t>mrvConfidence</w:t>
      </w:r>
      <w:proofErr w:type="spellEnd"/>
      <w:r w:rsidRPr="00B479AE">
        <w:rPr>
          <w:rFonts w:ascii="Baskerville Old Face" w:hAnsi="Baskerville Old Face"/>
          <w:i/>
          <w:iCs/>
        </w:rPr>
        <w:br/>
      </w:r>
      <w:proofErr w:type="spellStart"/>
      <w:r w:rsidRPr="00B479AE">
        <w:rPr>
          <w:rFonts w:ascii="Baskerville Old Face" w:hAnsi="Baskerville Old Face"/>
          <w:i/>
          <w:iCs/>
        </w:rPr>
        <w:t>waterInfiltration</w:t>
      </w:r>
      <w:proofErr w:type="spellEnd"/>
      <w:r w:rsidRPr="00B479AE">
        <w:rPr>
          <w:rFonts w:ascii="Baskerville Old Face" w:hAnsi="Baskerville Old Face"/>
          <w:i/>
          <w:iCs/>
        </w:rPr>
        <w:br/>
      </w:r>
      <w:proofErr w:type="spellStart"/>
      <w:r w:rsidRPr="00B479AE">
        <w:rPr>
          <w:rFonts w:ascii="Baskerville Old Face" w:hAnsi="Baskerville Old Face"/>
          <w:i/>
          <w:iCs/>
        </w:rPr>
        <w:t>biodiversityIndex</w:t>
      </w:r>
      <w:proofErr w:type="spellEnd"/>
      <w:r w:rsidRPr="00B479AE">
        <w:rPr>
          <w:rFonts w:ascii="Baskerville Old Face" w:hAnsi="Baskerville Old Face"/>
          <w:i/>
          <w:iCs/>
        </w:rPr>
        <w:br/>
      </w:r>
      <w:proofErr w:type="spellStart"/>
      <w:r w:rsidRPr="00B479AE">
        <w:rPr>
          <w:rFonts w:ascii="Baskerville Old Face" w:hAnsi="Baskerville Old Face"/>
          <w:i/>
          <w:iCs/>
        </w:rPr>
        <w:t>soilFunction</w:t>
      </w:r>
      <w:proofErr w:type="spellEnd"/>
      <w:r w:rsidRPr="00B479AE">
        <w:rPr>
          <w:rFonts w:ascii="Baskerville Old Face" w:hAnsi="Baskerville Old Face"/>
          <w:i/>
          <w:iCs/>
        </w:rPr>
        <w:br/>
      </w:r>
      <w:proofErr w:type="spellStart"/>
      <w:r w:rsidRPr="00B479AE">
        <w:rPr>
          <w:rFonts w:ascii="Baskerville Old Face" w:hAnsi="Baskerville Old Face"/>
          <w:i/>
          <w:iCs/>
        </w:rPr>
        <w:t>regenerativeDelta</w:t>
      </w:r>
      <w:proofErr w:type="spellEnd"/>
      <w:r w:rsidRPr="00B479AE">
        <w:rPr>
          <w:rFonts w:ascii="Baskerville Old Face" w:hAnsi="Baskerville Old Face"/>
          <w:i/>
          <w:iCs/>
        </w:rPr>
        <w:br/>
        <w:t>}</w:t>
      </w:r>
      <w:r w:rsidRPr="00B479AE">
        <w:rPr>
          <w:rFonts w:ascii="Baskerville Old Face" w:hAnsi="Baskerville Old Face"/>
          <w:i/>
          <w:iCs/>
        </w:rPr>
        <w:br/>
        <w:t>projects {</w:t>
      </w:r>
      <w:r w:rsidRPr="00B479AE">
        <w:rPr>
          <w:rFonts w:ascii="Baskerville Old Face" w:hAnsi="Baskerville Old Face"/>
          <w:i/>
          <w:iCs/>
        </w:rPr>
        <w:br/>
        <w:t>id</w:t>
      </w:r>
      <w:r w:rsidRPr="00B479AE">
        <w:rPr>
          <w:rFonts w:ascii="Baskerville Old Face" w:hAnsi="Baskerville Old Face"/>
          <w:i/>
          <w:iCs/>
        </w:rPr>
        <w:br/>
        <w:t>name</w:t>
      </w:r>
      <w:r w:rsidRPr="00B479AE">
        <w:rPr>
          <w:rFonts w:ascii="Baskerville Old Face" w:hAnsi="Baskerville Old Face"/>
          <w:i/>
          <w:iCs/>
        </w:rPr>
        <w:br/>
        <w:t>status</w:t>
      </w:r>
      <w:r w:rsidRPr="00B479AE">
        <w:rPr>
          <w:rFonts w:ascii="Baskerville Old Face" w:hAnsi="Baskerville Old Face"/>
          <w:i/>
          <w:iCs/>
        </w:rPr>
        <w:br/>
      </w:r>
      <w:proofErr w:type="spellStart"/>
      <w:r w:rsidRPr="00B479AE">
        <w:rPr>
          <w:rFonts w:ascii="Baskerville Old Face" w:hAnsi="Baskerville Old Face"/>
          <w:i/>
          <w:iCs/>
        </w:rPr>
        <w:t>stewardCount</w:t>
      </w:r>
      <w:proofErr w:type="spellEnd"/>
      <w:r w:rsidRPr="00B479AE">
        <w:rPr>
          <w:rFonts w:ascii="Baskerville Old Face" w:hAnsi="Baskerville Old Face"/>
          <w:i/>
          <w:iCs/>
        </w:rPr>
        <w:br/>
      </w:r>
      <w:proofErr w:type="spellStart"/>
      <w:r w:rsidRPr="00B479AE">
        <w:rPr>
          <w:rFonts w:ascii="Baskerville Old Face" w:hAnsi="Baskerville Old Face"/>
          <w:i/>
          <w:iCs/>
        </w:rPr>
        <w:t>pruMaturityClass</w:t>
      </w:r>
      <w:proofErr w:type="spellEnd"/>
      <w:r w:rsidRPr="00B479AE">
        <w:rPr>
          <w:rFonts w:ascii="Baskerville Old Face" w:hAnsi="Baskerville Old Face"/>
          <w:i/>
          <w:iCs/>
        </w:rPr>
        <w:br/>
      </w:r>
      <w:proofErr w:type="spellStart"/>
      <w:r w:rsidRPr="00B479AE">
        <w:rPr>
          <w:rFonts w:ascii="Baskerville Old Face" w:hAnsi="Baskerville Old Face"/>
          <w:i/>
          <w:iCs/>
        </w:rPr>
        <w:t>reviewStatus</w:t>
      </w:r>
      <w:proofErr w:type="spellEnd"/>
      <w:r w:rsidRPr="00B479AE">
        <w:rPr>
          <w:rFonts w:ascii="Baskerville Old Face" w:hAnsi="Baskerville Old Face"/>
          <w:i/>
          <w:iCs/>
        </w:rPr>
        <w:br/>
        <w:t>}</w:t>
      </w:r>
      <w:r w:rsidRPr="00B479AE">
        <w:rPr>
          <w:rFonts w:ascii="Baskerville Old Face" w:hAnsi="Baskerville Old Face"/>
          <w:i/>
          <w:iCs/>
        </w:rPr>
        <w:br/>
        <w:t>}</w:t>
      </w:r>
      <w:r w:rsidRPr="00B479AE">
        <w:rPr>
          <w:rFonts w:ascii="Baskerville Old Face" w:hAnsi="Baskerville Old Face"/>
          <w:i/>
          <w:iCs/>
        </w:rPr>
        <w:br/>
        <w:t>}</w:t>
      </w:r>
    </w:p>
    <w:p w14:paraId="162C8C5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Example: PRU analysis status.</w:t>
      </w:r>
    </w:p>
    <w:p w14:paraId="4611E251"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graphql</w:t>
      </w:r>
      <w:proofErr w:type="spellEnd"/>
      <w:r w:rsidRPr="00B479AE">
        <w:rPr>
          <w:rFonts w:ascii="Baskerville Old Face" w:hAnsi="Baskerville Old Face"/>
          <w:i/>
          <w:iCs/>
        </w:rPr>
        <w:br/>
        <w:t xml:space="preserve">query </w:t>
      </w:r>
      <w:proofErr w:type="spellStart"/>
      <w:proofErr w:type="gramStart"/>
      <w:r w:rsidRPr="00B479AE">
        <w:rPr>
          <w:rFonts w:ascii="Baskerville Old Face" w:hAnsi="Baskerville Old Face"/>
          <w:i/>
          <w:iCs/>
        </w:rPr>
        <w:t>ProjectPruAnalysis</w:t>
      </w:r>
      <w:proofErr w:type="spellEnd"/>
      <w:r w:rsidRPr="00B479AE">
        <w:rPr>
          <w:rFonts w:ascii="Baskerville Old Face" w:hAnsi="Baskerville Old Face"/>
          <w:i/>
          <w:iCs/>
        </w:rPr>
        <w:t>(</w:t>
      </w:r>
      <w:proofErr w:type="gramEnd"/>
      <w:r w:rsidRPr="00B479AE">
        <w:rPr>
          <w:rFonts w:ascii="Baskerville Old Face" w:hAnsi="Baskerville Old Face"/>
          <w:i/>
          <w:iCs/>
        </w:rPr>
        <w:t>$</w:t>
      </w:r>
      <w:proofErr w:type="spellStart"/>
      <w:r w:rsidRPr="00B479AE">
        <w:rPr>
          <w:rFonts w:ascii="Baskerville Old Face" w:hAnsi="Baskerville Old Face"/>
          <w:i/>
          <w:iCs/>
        </w:rPr>
        <w:t>projectId</w:t>
      </w:r>
      <w:proofErr w:type="spellEnd"/>
      <w:r w:rsidRPr="00B479AE">
        <w:rPr>
          <w:rFonts w:ascii="Baskerville Old Face" w:hAnsi="Baskerville Old Face"/>
          <w:i/>
          <w:iCs/>
        </w:rPr>
        <w:t>: ID!) {</w:t>
      </w:r>
      <w:r w:rsidRPr="00B479AE">
        <w:rPr>
          <w:rFonts w:ascii="Baskerville Old Face" w:hAnsi="Baskerville Old Face"/>
          <w:i/>
          <w:iCs/>
        </w:rPr>
        <w:br/>
      </w:r>
      <w:proofErr w:type="gramStart"/>
      <w:r w:rsidRPr="00B479AE">
        <w:rPr>
          <w:rFonts w:ascii="Baskerville Old Face" w:hAnsi="Baskerville Old Face"/>
          <w:i/>
          <w:iCs/>
        </w:rPr>
        <w:t>project(</w:t>
      </w:r>
      <w:proofErr w:type="gramEnd"/>
      <w:r w:rsidRPr="00B479AE">
        <w:rPr>
          <w:rFonts w:ascii="Baskerville Old Face" w:hAnsi="Baskerville Old Face"/>
          <w:i/>
          <w:iCs/>
        </w:rPr>
        <w:t>id: $</w:t>
      </w:r>
      <w:proofErr w:type="spellStart"/>
      <w:r w:rsidRPr="00B479AE">
        <w:rPr>
          <w:rFonts w:ascii="Baskerville Old Face" w:hAnsi="Baskerville Old Face"/>
          <w:i/>
          <w:iCs/>
        </w:rPr>
        <w:t>projectId</w:t>
      </w:r>
      <w:proofErr w:type="spellEnd"/>
      <w:r w:rsidRPr="00B479AE">
        <w:rPr>
          <w:rFonts w:ascii="Baskerville Old Face" w:hAnsi="Baskerville Old Face"/>
          <w:i/>
          <w:iCs/>
        </w:rPr>
        <w:t>) {</w:t>
      </w:r>
      <w:r w:rsidRPr="00B479AE">
        <w:rPr>
          <w:rFonts w:ascii="Baskerville Old Face" w:hAnsi="Baskerville Old Face"/>
          <w:i/>
          <w:iCs/>
        </w:rPr>
        <w:br/>
        <w:t>id</w:t>
      </w:r>
      <w:r w:rsidRPr="00B479AE">
        <w:rPr>
          <w:rFonts w:ascii="Baskerville Old Face" w:hAnsi="Baskerville Old Face"/>
          <w:i/>
          <w:iCs/>
        </w:rPr>
        <w:br/>
        <w:t>name</w:t>
      </w:r>
      <w:r w:rsidRPr="00B479AE">
        <w:rPr>
          <w:rFonts w:ascii="Baskerville Old Face" w:hAnsi="Baskerville Old Face"/>
          <w:i/>
          <w:iCs/>
        </w:rPr>
        <w:br/>
      </w:r>
      <w:proofErr w:type="spellStart"/>
      <w:r w:rsidRPr="00B479AE">
        <w:rPr>
          <w:rFonts w:ascii="Baskerville Old Face" w:hAnsi="Baskerville Old Face"/>
          <w:i/>
          <w:iCs/>
        </w:rPr>
        <w:t>pruAnalysis</w:t>
      </w:r>
      <w:proofErr w:type="spellEnd"/>
      <w:r w:rsidRPr="00B479AE">
        <w:rPr>
          <w:rFonts w:ascii="Baskerville Old Face" w:hAnsi="Baskerville Old Face"/>
          <w:i/>
          <w:iCs/>
        </w:rPr>
        <w:t xml:space="preserve"> {</w:t>
      </w:r>
      <w:r w:rsidRPr="00B479AE">
        <w:rPr>
          <w:rFonts w:ascii="Baskerville Old Face" w:hAnsi="Baskerville Old Face"/>
          <w:i/>
          <w:iCs/>
        </w:rPr>
        <w:br/>
      </w:r>
      <w:proofErr w:type="spellStart"/>
      <w:r w:rsidRPr="00B479AE">
        <w:rPr>
          <w:rFonts w:ascii="Baskerville Old Face" w:hAnsi="Baskerville Old Face"/>
          <w:i/>
          <w:iCs/>
        </w:rPr>
        <w:t>maturityClass</w:t>
      </w:r>
      <w:proofErr w:type="spellEnd"/>
      <w:r w:rsidRPr="00B479AE">
        <w:rPr>
          <w:rFonts w:ascii="Baskerville Old Face" w:hAnsi="Baskerville Old Face"/>
          <w:i/>
          <w:iCs/>
        </w:rPr>
        <w:br/>
      </w:r>
      <w:proofErr w:type="spellStart"/>
      <w:r w:rsidRPr="00B479AE">
        <w:rPr>
          <w:rFonts w:ascii="Baskerville Old Face" w:hAnsi="Baskerville Old Face"/>
          <w:i/>
          <w:iCs/>
        </w:rPr>
        <w:lastRenderedPageBreak/>
        <w:t>evidenceStatus</w:t>
      </w:r>
      <w:proofErr w:type="spellEnd"/>
      <w:r w:rsidRPr="00B479AE">
        <w:rPr>
          <w:rFonts w:ascii="Baskerville Old Face" w:hAnsi="Baskerville Old Face"/>
          <w:i/>
          <w:iCs/>
        </w:rPr>
        <w:br/>
      </w:r>
      <w:proofErr w:type="spellStart"/>
      <w:r w:rsidRPr="00B479AE">
        <w:rPr>
          <w:rFonts w:ascii="Baskerville Old Face" w:hAnsi="Baskerville Old Face"/>
          <w:i/>
          <w:iCs/>
        </w:rPr>
        <w:t>admissibilityStatus</w:t>
      </w:r>
      <w:proofErr w:type="spellEnd"/>
      <w:r w:rsidRPr="00B479AE">
        <w:rPr>
          <w:rFonts w:ascii="Baskerville Old Face" w:hAnsi="Baskerville Old Face"/>
          <w:i/>
          <w:iCs/>
        </w:rPr>
        <w:br/>
      </w:r>
      <w:proofErr w:type="spellStart"/>
      <w:r w:rsidRPr="00B479AE">
        <w:rPr>
          <w:rFonts w:ascii="Baskerville Old Face" w:hAnsi="Baskerville Old Face"/>
          <w:i/>
          <w:iCs/>
        </w:rPr>
        <w:t>confidenceScore</w:t>
      </w:r>
      <w:proofErr w:type="spellEnd"/>
      <w:r w:rsidRPr="00B479AE">
        <w:rPr>
          <w:rFonts w:ascii="Baskerville Old Face" w:hAnsi="Baskerville Old Face"/>
          <w:i/>
          <w:iCs/>
        </w:rPr>
        <w:br/>
      </w:r>
      <w:proofErr w:type="spellStart"/>
      <w:r w:rsidRPr="00B479AE">
        <w:rPr>
          <w:rFonts w:ascii="Baskerville Old Face" w:hAnsi="Baskerville Old Face"/>
          <w:i/>
          <w:iCs/>
        </w:rPr>
        <w:t>methodologyVersion</w:t>
      </w:r>
      <w:proofErr w:type="spellEnd"/>
      <w:r w:rsidRPr="00B479AE">
        <w:rPr>
          <w:rFonts w:ascii="Baskerville Old Face" w:hAnsi="Baskerville Old Face"/>
          <w:i/>
          <w:iCs/>
        </w:rPr>
        <w:br/>
      </w:r>
      <w:proofErr w:type="spellStart"/>
      <w:r w:rsidRPr="00B479AE">
        <w:rPr>
          <w:rFonts w:ascii="Baskerville Old Face" w:hAnsi="Baskerville Old Face"/>
          <w:i/>
          <w:iCs/>
        </w:rPr>
        <w:t>legalBoundary</w:t>
      </w:r>
      <w:proofErr w:type="spellEnd"/>
      <w:r w:rsidRPr="00B479AE">
        <w:rPr>
          <w:rFonts w:ascii="Baskerville Old Face" w:hAnsi="Baskerville Old Face"/>
          <w:i/>
          <w:iCs/>
        </w:rPr>
        <w:br/>
        <w:t>}</w:t>
      </w:r>
      <w:r w:rsidRPr="00B479AE">
        <w:rPr>
          <w:rFonts w:ascii="Baskerville Old Face" w:hAnsi="Baskerville Old Face"/>
          <w:i/>
          <w:iCs/>
        </w:rPr>
        <w:br/>
        <w:t>}</w:t>
      </w:r>
      <w:r w:rsidRPr="00B479AE">
        <w:rPr>
          <w:rFonts w:ascii="Baskerville Old Face" w:hAnsi="Baskerville Old Face"/>
          <w:i/>
          <w:iCs/>
        </w:rPr>
        <w:br/>
        <w:t>}</w:t>
      </w:r>
    </w:p>
    <w:p w14:paraId="3724140B"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L.4.3 Subscriptions</w:t>
      </w:r>
    </w:p>
    <w:p w14:paraId="7E21C2E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Subscriptions may support real-time or near-real-time updates for dashboards, operational systems, review workflows, and governance tools.</w:t>
      </w:r>
    </w:p>
    <w:p w14:paraId="70403BF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Subscriptions should not be used to imply automatic action.</w:t>
      </w:r>
    </w:p>
    <w:p w14:paraId="6B49575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 subscription notifies.</w:t>
      </w:r>
    </w:p>
    <w:p w14:paraId="77A93C2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does not authorize.</w:t>
      </w:r>
    </w:p>
    <w:p w14:paraId="3275E5B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Example: subscribe to new MRV events for a project.</w:t>
      </w:r>
    </w:p>
    <w:p w14:paraId="6FFA317C"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graphql</w:t>
      </w:r>
      <w:proofErr w:type="spellEnd"/>
      <w:r w:rsidRPr="00B479AE">
        <w:rPr>
          <w:rFonts w:ascii="Baskerville Old Face" w:hAnsi="Baskerville Old Face"/>
          <w:i/>
          <w:iCs/>
        </w:rPr>
        <w:br/>
        <w:t xml:space="preserve">subscription </w:t>
      </w:r>
      <w:proofErr w:type="spellStart"/>
      <w:proofErr w:type="gramStart"/>
      <w:r w:rsidRPr="00B479AE">
        <w:rPr>
          <w:rFonts w:ascii="Baskerville Old Face" w:hAnsi="Baskerville Old Face"/>
          <w:i/>
          <w:iCs/>
        </w:rPr>
        <w:t>OnNewMrvEvent</w:t>
      </w:r>
      <w:proofErr w:type="spellEnd"/>
      <w:r w:rsidRPr="00B479AE">
        <w:rPr>
          <w:rFonts w:ascii="Baskerville Old Face" w:hAnsi="Baskerville Old Face"/>
          <w:i/>
          <w:iCs/>
        </w:rPr>
        <w:t>(</w:t>
      </w:r>
      <w:proofErr w:type="gramEnd"/>
      <w:r w:rsidRPr="00B479AE">
        <w:rPr>
          <w:rFonts w:ascii="Baskerville Old Face" w:hAnsi="Baskerville Old Face"/>
          <w:i/>
          <w:iCs/>
        </w:rPr>
        <w:t>$</w:t>
      </w:r>
      <w:proofErr w:type="spellStart"/>
      <w:r w:rsidRPr="00B479AE">
        <w:rPr>
          <w:rFonts w:ascii="Baskerville Old Face" w:hAnsi="Baskerville Old Face"/>
          <w:i/>
          <w:iCs/>
        </w:rPr>
        <w:t>projectId</w:t>
      </w:r>
      <w:proofErr w:type="spellEnd"/>
      <w:r w:rsidRPr="00B479AE">
        <w:rPr>
          <w:rFonts w:ascii="Baskerville Old Face" w:hAnsi="Baskerville Old Face"/>
          <w:i/>
          <w:iCs/>
        </w:rPr>
        <w:t>: ID!) {</w:t>
      </w:r>
      <w:r w:rsidRPr="00B479AE">
        <w:rPr>
          <w:rFonts w:ascii="Baskerville Old Face" w:hAnsi="Baskerville Old Face"/>
          <w:i/>
          <w:iCs/>
        </w:rPr>
        <w:br/>
      </w:r>
      <w:proofErr w:type="spellStart"/>
      <w:proofErr w:type="gramStart"/>
      <w:r w:rsidRPr="00B479AE">
        <w:rPr>
          <w:rFonts w:ascii="Baskerville Old Face" w:hAnsi="Baskerville Old Face"/>
          <w:i/>
          <w:iCs/>
        </w:rPr>
        <w:t>mrvEventCreated</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projectId</w:t>
      </w:r>
      <w:proofErr w:type="spellEnd"/>
      <w:r w:rsidRPr="00B479AE">
        <w:rPr>
          <w:rFonts w:ascii="Baskerville Old Face" w:hAnsi="Baskerville Old Face"/>
          <w:i/>
          <w:iCs/>
        </w:rPr>
        <w:t>: $</w:t>
      </w:r>
      <w:proofErr w:type="spellStart"/>
      <w:r w:rsidRPr="00B479AE">
        <w:rPr>
          <w:rFonts w:ascii="Baskerville Old Face" w:hAnsi="Baskerville Old Face"/>
          <w:i/>
          <w:iCs/>
        </w:rPr>
        <w:t>projectId</w:t>
      </w:r>
      <w:proofErr w:type="spellEnd"/>
      <w:r w:rsidRPr="00B479AE">
        <w:rPr>
          <w:rFonts w:ascii="Baskerville Old Face" w:hAnsi="Baskerville Old Face"/>
          <w:i/>
          <w:iCs/>
        </w:rPr>
        <w:t>) {</w:t>
      </w:r>
      <w:r w:rsidRPr="00B479AE">
        <w:rPr>
          <w:rFonts w:ascii="Baskerville Old Face" w:hAnsi="Baskerville Old Face"/>
          <w:i/>
          <w:iCs/>
        </w:rPr>
        <w:br/>
        <w:t>id</w:t>
      </w:r>
      <w:r w:rsidRPr="00B479AE">
        <w:rPr>
          <w:rFonts w:ascii="Baskerville Old Face" w:hAnsi="Baskerville Old Face"/>
          <w:i/>
          <w:iCs/>
        </w:rPr>
        <w:br/>
        <w:t>type</w:t>
      </w:r>
      <w:r w:rsidRPr="00B479AE">
        <w:rPr>
          <w:rFonts w:ascii="Baskerville Old Face" w:hAnsi="Baskerville Old Face"/>
          <w:i/>
          <w:iCs/>
        </w:rPr>
        <w:br/>
        <w:t>value</w:t>
      </w:r>
      <w:r w:rsidRPr="00B479AE">
        <w:rPr>
          <w:rFonts w:ascii="Baskerville Old Face" w:hAnsi="Baskerville Old Face"/>
          <w:i/>
          <w:iCs/>
        </w:rPr>
        <w:br/>
        <w:t>confidence</w:t>
      </w:r>
      <w:r w:rsidRPr="00B479AE">
        <w:rPr>
          <w:rFonts w:ascii="Baskerville Old Face" w:hAnsi="Baskerville Old Face"/>
          <w:i/>
          <w:iCs/>
        </w:rPr>
        <w:br/>
        <w:t>timestamp</w:t>
      </w:r>
      <w:r w:rsidRPr="00B479AE">
        <w:rPr>
          <w:rFonts w:ascii="Baskerville Old Face" w:hAnsi="Baskerville Old Face"/>
          <w:i/>
          <w:iCs/>
        </w:rPr>
        <w:br/>
        <w:t>source {</w:t>
      </w:r>
      <w:r w:rsidRPr="00B479AE">
        <w:rPr>
          <w:rFonts w:ascii="Baskerville Old Face" w:hAnsi="Baskerville Old Face"/>
          <w:i/>
          <w:iCs/>
        </w:rPr>
        <w:br/>
        <w:t>type</w:t>
      </w:r>
      <w:r w:rsidRPr="00B479AE">
        <w:rPr>
          <w:rFonts w:ascii="Baskerville Old Face" w:hAnsi="Baskerville Old Face"/>
          <w:i/>
          <w:iCs/>
        </w:rPr>
        <w:br/>
        <w:t>id</w:t>
      </w:r>
      <w:r w:rsidRPr="00B479AE">
        <w:rPr>
          <w:rFonts w:ascii="Baskerville Old Face" w:hAnsi="Baskerville Old Face"/>
          <w:i/>
          <w:iCs/>
        </w:rPr>
        <w:br/>
        <w:t>}</w:t>
      </w:r>
      <w:r w:rsidRPr="00B479AE">
        <w:rPr>
          <w:rFonts w:ascii="Baskerville Old Face" w:hAnsi="Baskerville Old Face"/>
          <w:i/>
          <w:iCs/>
        </w:rPr>
        <w:br/>
      </w:r>
      <w:proofErr w:type="spellStart"/>
      <w:r w:rsidRPr="00B479AE">
        <w:rPr>
          <w:rFonts w:ascii="Baskerville Old Face" w:hAnsi="Baskerville Old Face"/>
          <w:i/>
          <w:iCs/>
        </w:rPr>
        <w:t>reviewStatus</w:t>
      </w:r>
      <w:proofErr w:type="spellEnd"/>
      <w:r w:rsidRPr="00B479AE">
        <w:rPr>
          <w:rFonts w:ascii="Baskerville Old Face" w:hAnsi="Baskerville Old Face"/>
          <w:i/>
          <w:iCs/>
        </w:rPr>
        <w:br/>
        <w:t>}</w:t>
      </w:r>
      <w:r w:rsidRPr="00B479AE">
        <w:rPr>
          <w:rFonts w:ascii="Baskerville Old Face" w:hAnsi="Baskerville Old Face"/>
          <w:i/>
          <w:iCs/>
        </w:rPr>
        <w:br/>
        <w:t>}</w:t>
      </w:r>
    </w:p>
    <w:p w14:paraId="6C494EF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Example: subscribe to governance proposal updates.</w:t>
      </w:r>
    </w:p>
    <w:p w14:paraId="5368444F"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graphql</w:t>
      </w:r>
      <w:proofErr w:type="spellEnd"/>
      <w:r w:rsidRPr="00B479AE">
        <w:rPr>
          <w:rFonts w:ascii="Baskerville Old Face" w:hAnsi="Baskerville Old Face"/>
          <w:i/>
          <w:iCs/>
        </w:rPr>
        <w:br/>
        <w:t xml:space="preserve">subscription </w:t>
      </w:r>
      <w:proofErr w:type="spellStart"/>
      <w:proofErr w:type="gramStart"/>
      <w:r w:rsidRPr="00B479AE">
        <w:rPr>
          <w:rFonts w:ascii="Baskerville Old Face" w:hAnsi="Baskerville Old Face"/>
          <w:i/>
          <w:iCs/>
        </w:rPr>
        <w:t>OnProposalUpdate</w:t>
      </w:r>
      <w:proofErr w:type="spellEnd"/>
      <w:r w:rsidRPr="00B479AE">
        <w:rPr>
          <w:rFonts w:ascii="Baskerville Old Face" w:hAnsi="Baskerville Old Face"/>
          <w:i/>
          <w:iCs/>
        </w:rPr>
        <w:t>(</w:t>
      </w:r>
      <w:proofErr w:type="gramEnd"/>
      <w:r w:rsidRPr="00B479AE">
        <w:rPr>
          <w:rFonts w:ascii="Baskerville Old Face" w:hAnsi="Baskerville Old Face"/>
          <w:i/>
          <w:iCs/>
        </w:rPr>
        <w:t>$</w:t>
      </w:r>
      <w:proofErr w:type="spellStart"/>
      <w:r w:rsidRPr="00B479AE">
        <w:rPr>
          <w:rFonts w:ascii="Baskerville Old Face" w:hAnsi="Baskerville Old Face"/>
          <w:i/>
          <w:iCs/>
        </w:rPr>
        <w:t>circleId</w:t>
      </w:r>
      <w:proofErr w:type="spellEnd"/>
      <w:r w:rsidRPr="00B479AE">
        <w:rPr>
          <w:rFonts w:ascii="Baskerville Old Face" w:hAnsi="Baskerville Old Face"/>
          <w:i/>
          <w:iCs/>
        </w:rPr>
        <w:t>: ID!) {</w:t>
      </w:r>
      <w:r w:rsidRPr="00B479AE">
        <w:rPr>
          <w:rFonts w:ascii="Baskerville Old Face" w:hAnsi="Baskerville Old Face"/>
          <w:i/>
          <w:iCs/>
        </w:rPr>
        <w:br/>
      </w:r>
      <w:proofErr w:type="spellStart"/>
      <w:proofErr w:type="gramStart"/>
      <w:r w:rsidRPr="00B479AE">
        <w:rPr>
          <w:rFonts w:ascii="Baskerville Old Face" w:hAnsi="Baskerville Old Face"/>
          <w:i/>
          <w:iCs/>
        </w:rPr>
        <w:t>proposalUpdated</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circleId</w:t>
      </w:r>
      <w:proofErr w:type="spellEnd"/>
      <w:r w:rsidRPr="00B479AE">
        <w:rPr>
          <w:rFonts w:ascii="Baskerville Old Face" w:hAnsi="Baskerville Old Face"/>
          <w:i/>
          <w:iCs/>
        </w:rPr>
        <w:t>: $</w:t>
      </w:r>
      <w:proofErr w:type="spellStart"/>
      <w:r w:rsidRPr="00B479AE">
        <w:rPr>
          <w:rFonts w:ascii="Baskerville Old Face" w:hAnsi="Baskerville Old Face"/>
          <w:i/>
          <w:iCs/>
        </w:rPr>
        <w:t>circleId</w:t>
      </w:r>
      <w:proofErr w:type="spellEnd"/>
      <w:r w:rsidRPr="00B479AE">
        <w:rPr>
          <w:rFonts w:ascii="Baskerville Old Face" w:hAnsi="Baskerville Old Face"/>
          <w:i/>
          <w:iCs/>
        </w:rPr>
        <w:t>) {</w:t>
      </w:r>
      <w:r w:rsidRPr="00B479AE">
        <w:rPr>
          <w:rFonts w:ascii="Baskerville Old Face" w:hAnsi="Baskerville Old Face"/>
          <w:i/>
          <w:iCs/>
        </w:rPr>
        <w:br/>
        <w:t>id</w:t>
      </w:r>
      <w:r w:rsidRPr="00B479AE">
        <w:rPr>
          <w:rFonts w:ascii="Baskerville Old Face" w:hAnsi="Baskerville Old Face"/>
          <w:i/>
          <w:iCs/>
        </w:rPr>
        <w:br/>
        <w:t>title</w:t>
      </w:r>
      <w:r w:rsidRPr="00B479AE">
        <w:rPr>
          <w:rFonts w:ascii="Baskerville Old Face" w:hAnsi="Baskerville Old Face"/>
          <w:i/>
          <w:iCs/>
        </w:rPr>
        <w:br/>
        <w:t>status</w:t>
      </w:r>
      <w:r w:rsidRPr="00B479AE">
        <w:rPr>
          <w:rFonts w:ascii="Baskerville Old Face" w:hAnsi="Baskerville Old Face"/>
          <w:i/>
          <w:iCs/>
        </w:rPr>
        <w:br/>
      </w:r>
      <w:proofErr w:type="spellStart"/>
      <w:r w:rsidRPr="00B479AE">
        <w:rPr>
          <w:rFonts w:ascii="Baskerville Old Face" w:hAnsi="Baskerville Old Face"/>
          <w:i/>
          <w:iCs/>
        </w:rPr>
        <w:t>consentSummary</w:t>
      </w:r>
      <w:proofErr w:type="spellEnd"/>
      <w:r w:rsidRPr="00B479AE">
        <w:rPr>
          <w:rFonts w:ascii="Baskerville Old Face" w:hAnsi="Baskerville Old Face"/>
          <w:i/>
          <w:iCs/>
        </w:rPr>
        <w:t xml:space="preserve"> {</w:t>
      </w:r>
      <w:r w:rsidRPr="00B479AE">
        <w:rPr>
          <w:rFonts w:ascii="Baskerville Old Face" w:hAnsi="Baskerville Old Face"/>
          <w:i/>
          <w:iCs/>
        </w:rPr>
        <w:br/>
        <w:t>consent</w:t>
      </w:r>
      <w:r w:rsidRPr="00B479AE">
        <w:rPr>
          <w:rFonts w:ascii="Baskerville Old Face" w:hAnsi="Baskerville Old Face"/>
          <w:i/>
          <w:iCs/>
        </w:rPr>
        <w:br/>
      </w:r>
      <w:proofErr w:type="spellStart"/>
      <w:r w:rsidRPr="00B479AE">
        <w:rPr>
          <w:rFonts w:ascii="Baskerville Old Face" w:hAnsi="Baskerville Old Face"/>
          <w:i/>
          <w:iCs/>
        </w:rPr>
        <w:t>standAside</w:t>
      </w:r>
      <w:proofErr w:type="spellEnd"/>
      <w:r w:rsidRPr="00B479AE">
        <w:rPr>
          <w:rFonts w:ascii="Baskerville Old Face" w:hAnsi="Baskerville Old Face"/>
          <w:i/>
          <w:iCs/>
        </w:rPr>
        <w:br/>
        <w:t>objection</w:t>
      </w:r>
      <w:r w:rsidRPr="00B479AE">
        <w:rPr>
          <w:rFonts w:ascii="Baskerville Old Face" w:hAnsi="Baskerville Old Face"/>
          <w:i/>
          <w:iCs/>
        </w:rPr>
        <w:br/>
        <w:t>}</w:t>
      </w:r>
      <w:r w:rsidRPr="00B479AE">
        <w:rPr>
          <w:rFonts w:ascii="Baskerville Old Face" w:hAnsi="Baskerville Old Face"/>
          <w:i/>
          <w:iCs/>
        </w:rPr>
        <w:br/>
        <w:t>deadline</w:t>
      </w:r>
      <w:r w:rsidRPr="00B479AE">
        <w:rPr>
          <w:rFonts w:ascii="Baskerville Old Face" w:hAnsi="Baskerville Old Face"/>
          <w:i/>
          <w:iCs/>
        </w:rPr>
        <w:br/>
        <w:t>}</w:t>
      </w:r>
      <w:r w:rsidRPr="00B479AE">
        <w:rPr>
          <w:rFonts w:ascii="Baskerville Old Face" w:hAnsi="Baskerville Old Face"/>
          <w:i/>
          <w:iCs/>
        </w:rPr>
        <w:br/>
        <w:t>}</w:t>
      </w:r>
    </w:p>
    <w:p w14:paraId="6211630A"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 xml:space="preserve">L.5 </w:t>
      </w:r>
      <w:proofErr w:type="spellStart"/>
      <w:r w:rsidRPr="00B479AE">
        <w:rPr>
          <w:rFonts w:ascii="Baskerville Old Face" w:hAnsi="Baskerville Old Face"/>
          <w:b/>
          <w:bCs/>
          <w:i/>
          <w:iCs/>
        </w:rPr>
        <w:t>gRPC</w:t>
      </w:r>
      <w:proofErr w:type="spellEnd"/>
      <w:r w:rsidRPr="00B479AE">
        <w:rPr>
          <w:rFonts w:ascii="Baskerville Old Face" w:hAnsi="Baskerville Old Face"/>
          <w:b/>
          <w:bCs/>
          <w:i/>
          <w:iCs/>
        </w:rPr>
        <w:t xml:space="preserve"> API</w:t>
      </w:r>
    </w:p>
    <w:p w14:paraId="5011566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gRPC</w:t>
      </w:r>
      <w:proofErr w:type="spellEnd"/>
      <w:r w:rsidRPr="00B479AE">
        <w:rPr>
          <w:rFonts w:ascii="Baskerville Old Face" w:hAnsi="Baskerville Old Face"/>
          <w:i/>
          <w:iCs/>
        </w:rPr>
        <w:t xml:space="preserve"> API is optimized for high-throughput, low-latency communication, especially for sensor data ingestion, inter-service communication, internal bridge services, and infrastructure-level data exchange.</w:t>
      </w:r>
    </w:p>
    <w:p w14:paraId="442C196A"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gRPC</w:t>
      </w:r>
      <w:proofErr w:type="spellEnd"/>
      <w:r w:rsidRPr="00B479AE">
        <w:rPr>
          <w:rFonts w:ascii="Baskerville Old Face" w:hAnsi="Baskerville Old Face"/>
          <w:i/>
          <w:iCs/>
        </w:rPr>
        <w:t xml:space="preserve"> should be treated primarily as an infrastructure interface.</w:t>
      </w:r>
    </w:p>
    <w:p w14:paraId="6AD7BE3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Public or partner-facing access should be strictly authenticated, authorized, rate-limited, logged, and scoped.</w:t>
      </w:r>
    </w:p>
    <w:p w14:paraId="71AA15FB"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L.5.1 Protocol Buffer Definition — Conceptual Excerpt</w:t>
      </w:r>
    </w:p>
    <w:p w14:paraId="251A26B6"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protobuf</w:t>
      </w:r>
      <w:proofErr w:type="spellEnd"/>
      <w:r w:rsidRPr="00B479AE">
        <w:rPr>
          <w:rFonts w:ascii="Baskerville Old Face" w:hAnsi="Baskerville Old Face"/>
          <w:i/>
          <w:iCs/>
        </w:rPr>
        <w:br/>
        <w:t>syntax = "proto3";</w:t>
      </w:r>
      <w:r w:rsidRPr="00B479AE">
        <w:rPr>
          <w:rFonts w:ascii="Baskerville Old Face" w:hAnsi="Baskerville Old Face"/>
          <w:i/>
          <w:iCs/>
        </w:rPr>
        <w:br/>
        <w:t>package heart_</w:t>
      </w:r>
      <w:proofErr w:type="gramStart"/>
      <w:r w:rsidRPr="00B479AE">
        <w:rPr>
          <w:rFonts w:ascii="Baskerville Old Face" w:hAnsi="Baskerville Old Face"/>
          <w:i/>
          <w:iCs/>
        </w:rPr>
        <w:t>intelligence.v</w:t>
      </w:r>
      <w:proofErr w:type="gramEnd"/>
      <w:r w:rsidRPr="00B479AE">
        <w:rPr>
          <w:rFonts w:ascii="Baskerville Old Face" w:hAnsi="Baskerville Old Face"/>
          <w:i/>
          <w:iCs/>
        </w:rPr>
        <w:t>1;</w:t>
      </w:r>
    </w:p>
    <w:p w14:paraId="774BD69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service </w:t>
      </w:r>
      <w:proofErr w:type="spellStart"/>
      <w:r w:rsidRPr="00B479AE">
        <w:rPr>
          <w:rFonts w:ascii="Baskerville Old Face" w:hAnsi="Baskerville Old Face"/>
          <w:i/>
          <w:iCs/>
        </w:rPr>
        <w:t>MrvService</w:t>
      </w:r>
      <w:proofErr w:type="spellEnd"/>
      <w:r w:rsidRPr="00B479AE">
        <w:rPr>
          <w:rFonts w:ascii="Baskerville Old Face" w:hAnsi="Baskerville Old Face"/>
          <w:i/>
          <w:iCs/>
        </w:rPr>
        <w:t xml:space="preserve"> {</w:t>
      </w:r>
      <w:r w:rsidRPr="00B479AE">
        <w:rPr>
          <w:rFonts w:ascii="Baskerville Old Face" w:hAnsi="Baskerville Old Face"/>
          <w:i/>
          <w:iCs/>
        </w:rPr>
        <w:br/>
        <w:t>// Submit a batch of sensor or field readings.</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SubmitEvidence</w:t>
      </w:r>
      <w:proofErr w:type="spellEnd"/>
      <w:r w:rsidRPr="00B479AE">
        <w:rPr>
          <w:rFonts w:ascii="Baskerville Old Face" w:hAnsi="Baskerville Old Face"/>
          <w:i/>
          <w:iCs/>
        </w:rPr>
        <w:t>(</w:t>
      </w:r>
      <w:proofErr w:type="gramEnd"/>
      <w:r w:rsidRPr="00B479AE">
        <w:rPr>
          <w:rFonts w:ascii="Baskerville Old Face" w:hAnsi="Baskerville Old Face"/>
          <w:i/>
          <w:iCs/>
        </w:rPr>
        <w:t xml:space="preserve">stream </w:t>
      </w:r>
      <w:proofErr w:type="spellStart"/>
      <w:r w:rsidRPr="00B479AE">
        <w:rPr>
          <w:rFonts w:ascii="Baskerville Old Face" w:hAnsi="Baskerville Old Face"/>
          <w:i/>
          <w:iCs/>
        </w:rPr>
        <w:t>EvidenceReading</w:t>
      </w:r>
      <w:proofErr w:type="spellEnd"/>
      <w:r w:rsidRPr="00B479AE">
        <w:rPr>
          <w:rFonts w:ascii="Baskerville Old Face" w:hAnsi="Baskerville Old Face"/>
          <w:i/>
          <w:iCs/>
        </w:rPr>
        <w:t>) returns (</w:t>
      </w:r>
      <w:proofErr w:type="spellStart"/>
      <w:r w:rsidRPr="00B479AE">
        <w:rPr>
          <w:rFonts w:ascii="Baskerville Old Face" w:hAnsi="Baskerville Old Face"/>
          <w:i/>
          <w:iCs/>
        </w:rPr>
        <w:t>SubmissionReceipt</w:t>
      </w:r>
      <w:proofErr w:type="spellEnd"/>
      <w:r w:rsidRPr="00B479AE">
        <w:rPr>
          <w:rFonts w:ascii="Baskerville Old Face" w:hAnsi="Baskerville Old Face"/>
          <w:i/>
          <w:iCs/>
        </w:rPr>
        <w:t>);</w:t>
      </w:r>
    </w:p>
    <w:p w14:paraId="3373CA0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 Get real-time evidence stream.</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StreamEvidence</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EvidenceFilter</w:t>
      </w:r>
      <w:proofErr w:type="spellEnd"/>
      <w:r w:rsidRPr="00B479AE">
        <w:rPr>
          <w:rFonts w:ascii="Baskerville Old Face" w:hAnsi="Baskerville Old Face"/>
          <w:i/>
          <w:iCs/>
        </w:rPr>
        <w:t xml:space="preserve">) returns (stream </w:t>
      </w:r>
      <w:proofErr w:type="spellStart"/>
      <w:r w:rsidRPr="00B479AE">
        <w:rPr>
          <w:rFonts w:ascii="Baskerville Old Face" w:hAnsi="Baskerville Old Face"/>
          <w:i/>
          <w:iCs/>
        </w:rPr>
        <w:t>EvidenceReading</w:t>
      </w:r>
      <w:proofErr w:type="spellEnd"/>
      <w:r w:rsidRPr="00B479AE">
        <w:rPr>
          <w:rFonts w:ascii="Baskerville Old Face" w:hAnsi="Baskerville Old Face"/>
          <w:i/>
          <w:iCs/>
        </w:rPr>
        <w:t>);</w:t>
      </w:r>
    </w:p>
    <w:p w14:paraId="7C1A357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Request MRV review.</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RequestMrvReview</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MrvReviewRequest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MrvReviewResponse</w:t>
      </w:r>
      <w:proofErr w:type="spellEnd"/>
      <w:r w:rsidRPr="00B479AE">
        <w:rPr>
          <w:rFonts w:ascii="Baskerville Old Face" w:hAnsi="Baskerville Old Face"/>
          <w:i/>
          <w:iCs/>
        </w:rPr>
        <w:t>);</w:t>
      </w:r>
      <w:r w:rsidRPr="00B479AE">
        <w:rPr>
          <w:rFonts w:ascii="Baskerville Old Face" w:hAnsi="Baskerville Old Face"/>
          <w:i/>
          <w:iCs/>
        </w:rPr>
        <w:br/>
        <w:t>}</w:t>
      </w:r>
    </w:p>
    <w:p w14:paraId="148349D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service </w:t>
      </w:r>
      <w:proofErr w:type="spellStart"/>
      <w:r w:rsidRPr="00B479AE">
        <w:rPr>
          <w:rFonts w:ascii="Baskerville Old Face" w:hAnsi="Baskerville Old Face"/>
          <w:i/>
          <w:iCs/>
        </w:rPr>
        <w:t>PruAnalysisService</w:t>
      </w:r>
      <w:proofErr w:type="spellEnd"/>
      <w:r w:rsidRPr="00B479AE">
        <w:rPr>
          <w:rFonts w:ascii="Baskerville Old Face" w:hAnsi="Baskerville Old Face"/>
          <w:i/>
          <w:iCs/>
        </w:rPr>
        <w:t xml:space="preserve"> {</w:t>
      </w:r>
      <w:r w:rsidRPr="00B479AE">
        <w:rPr>
          <w:rFonts w:ascii="Baskerville Old Face" w:hAnsi="Baskerville Old Face"/>
          <w:i/>
          <w:iCs/>
        </w:rPr>
        <w:br/>
        <w:t>// Retrieve PRU analysis status.</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GetPruAnalysis</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PruAnalysisRequest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PruAnalysisResponse</w:t>
      </w:r>
      <w:proofErr w:type="spellEnd"/>
      <w:r w:rsidRPr="00B479AE">
        <w:rPr>
          <w:rFonts w:ascii="Baskerville Old Face" w:hAnsi="Baskerville Old Face"/>
          <w:i/>
          <w:iCs/>
        </w:rPr>
        <w:t>);</w:t>
      </w:r>
    </w:p>
    <w:p w14:paraId="0BB57F8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Retrieve PRU maturity classification.</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GetPruMaturity</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PruMaturityRequest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PruMaturityResponse</w:t>
      </w:r>
      <w:proofErr w:type="spellEnd"/>
      <w:r w:rsidRPr="00B479AE">
        <w:rPr>
          <w:rFonts w:ascii="Baskerville Old Face" w:hAnsi="Baskerville Old Face"/>
          <w:i/>
          <w:iCs/>
        </w:rPr>
        <w:t>);</w:t>
      </w:r>
    </w:p>
    <w:p w14:paraId="4CEA022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Request PRU review.</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RequestPruReview</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PruReviewRequest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PruReviewResponse</w:t>
      </w:r>
      <w:proofErr w:type="spellEnd"/>
      <w:r w:rsidRPr="00B479AE">
        <w:rPr>
          <w:rFonts w:ascii="Baskerville Old Face" w:hAnsi="Baskerville Old Face"/>
          <w:i/>
          <w:iCs/>
        </w:rPr>
        <w:t>);</w:t>
      </w:r>
      <w:r w:rsidRPr="00B479AE">
        <w:rPr>
          <w:rFonts w:ascii="Baskerville Old Face" w:hAnsi="Baskerville Old Face"/>
          <w:i/>
          <w:iCs/>
        </w:rPr>
        <w:br/>
        <w:t>}</w:t>
      </w:r>
    </w:p>
    <w:p w14:paraId="4861A78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service </w:t>
      </w:r>
      <w:proofErr w:type="spellStart"/>
      <w:r w:rsidRPr="00B479AE">
        <w:rPr>
          <w:rFonts w:ascii="Baskerville Old Face" w:hAnsi="Baskerville Old Face"/>
          <w:i/>
          <w:iCs/>
        </w:rPr>
        <w:t>GovernanceService</w:t>
      </w:r>
      <w:proofErr w:type="spellEnd"/>
      <w:r w:rsidRPr="00B479AE">
        <w:rPr>
          <w:rFonts w:ascii="Baskerville Old Face" w:hAnsi="Baskerville Old Face"/>
          <w:i/>
          <w:iCs/>
        </w:rPr>
        <w:t xml:space="preserve"> {</w:t>
      </w:r>
      <w:r w:rsidRPr="00B479AE">
        <w:rPr>
          <w:rFonts w:ascii="Baskerville Old Face" w:hAnsi="Baskerville Old Face"/>
          <w:i/>
          <w:iCs/>
        </w:rPr>
        <w:br/>
        <w:t>// Submit governance proposal.</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SubmitProposal</w:t>
      </w:r>
      <w:proofErr w:type="spellEnd"/>
      <w:r w:rsidRPr="00B479AE">
        <w:rPr>
          <w:rFonts w:ascii="Baskerville Old Face" w:hAnsi="Baskerville Old Face"/>
          <w:i/>
          <w:iCs/>
        </w:rPr>
        <w:t>(</w:t>
      </w:r>
      <w:proofErr w:type="gramEnd"/>
      <w:r w:rsidRPr="00B479AE">
        <w:rPr>
          <w:rFonts w:ascii="Baskerville Old Face" w:hAnsi="Baskerville Old Face"/>
          <w:i/>
          <w:iCs/>
        </w:rPr>
        <w:t>Proposal) returns (</w:t>
      </w:r>
      <w:proofErr w:type="spellStart"/>
      <w:r w:rsidRPr="00B479AE">
        <w:rPr>
          <w:rFonts w:ascii="Baskerville Old Face" w:hAnsi="Baskerville Old Face"/>
          <w:i/>
          <w:iCs/>
        </w:rPr>
        <w:t>ProposalReceipt</w:t>
      </w:r>
      <w:proofErr w:type="spellEnd"/>
      <w:r w:rsidRPr="00B479AE">
        <w:rPr>
          <w:rFonts w:ascii="Baskerville Old Face" w:hAnsi="Baskerville Old Face"/>
          <w:i/>
          <w:iCs/>
        </w:rPr>
        <w:t>);</w:t>
      </w:r>
    </w:p>
    <w:p w14:paraId="6563B3B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Record consent response.</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RecordConsent</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ConsentRecord</w:t>
      </w:r>
      <w:proofErr w:type="spellEnd"/>
      <w:r w:rsidRPr="00B479AE">
        <w:rPr>
          <w:rFonts w:ascii="Baskerville Old Face" w:hAnsi="Baskerville Old Face"/>
          <w:i/>
          <w:iCs/>
        </w:rPr>
        <w:t>) returns (</w:t>
      </w:r>
      <w:proofErr w:type="spellStart"/>
      <w:r w:rsidRPr="00B479AE">
        <w:rPr>
          <w:rFonts w:ascii="Baskerville Old Face" w:hAnsi="Baskerville Old Face"/>
          <w:i/>
          <w:iCs/>
        </w:rPr>
        <w:t>ConsentReceipt</w:t>
      </w:r>
      <w:proofErr w:type="spellEnd"/>
      <w:r w:rsidRPr="00B479AE">
        <w:rPr>
          <w:rFonts w:ascii="Baskerville Old Face" w:hAnsi="Baskerville Old Face"/>
          <w:i/>
          <w:iCs/>
        </w:rPr>
        <w:t>);</w:t>
      </w:r>
    </w:p>
    <w:p w14:paraId="3CF241A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Stream proposal updates.</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StreamProposals</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ProposalFilter</w:t>
      </w:r>
      <w:proofErr w:type="spellEnd"/>
      <w:r w:rsidRPr="00B479AE">
        <w:rPr>
          <w:rFonts w:ascii="Baskerville Old Face" w:hAnsi="Baskerville Old Face"/>
          <w:i/>
          <w:iCs/>
        </w:rPr>
        <w:t>) returns (stream Proposal);</w:t>
      </w:r>
      <w:r w:rsidRPr="00B479AE">
        <w:rPr>
          <w:rFonts w:ascii="Baskerville Old Face" w:hAnsi="Baskerville Old Face"/>
          <w:i/>
          <w:iCs/>
        </w:rPr>
        <w:br/>
        <w:t>}</w:t>
      </w:r>
    </w:p>
    <w:p w14:paraId="34CCA8A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service </w:t>
      </w:r>
      <w:proofErr w:type="spellStart"/>
      <w:r w:rsidRPr="00B479AE">
        <w:rPr>
          <w:rFonts w:ascii="Baskerville Old Face" w:hAnsi="Baskerville Old Face"/>
          <w:i/>
          <w:iCs/>
        </w:rPr>
        <w:t>IntegrityService</w:t>
      </w:r>
      <w:proofErr w:type="spellEnd"/>
      <w:r w:rsidRPr="00B479AE">
        <w:rPr>
          <w:rFonts w:ascii="Baskerville Old Face" w:hAnsi="Baskerville Old Face"/>
          <w:i/>
          <w:iCs/>
        </w:rPr>
        <w:t xml:space="preserve"> {</w:t>
      </w:r>
      <w:r w:rsidRPr="00B479AE">
        <w:rPr>
          <w:rFonts w:ascii="Baskerville Old Face" w:hAnsi="Baskerville Old Face"/>
          <w:i/>
          <w:iCs/>
        </w:rPr>
        <w:br/>
        <w:t>// Submit adverse integrity record.</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SubmitIntegrityRecord</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IntegrityRecord</w:t>
      </w:r>
      <w:proofErr w:type="spellEnd"/>
      <w:r w:rsidRPr="00B479AE">
        <w:rPr>
          <w:rFonts w:ascii="Baskerville Old Face" w:hAnsi="Baskerville Old Face"/>
          <w:i/>
          <w:iCs/>
        </w:rPr>
        <w:t>) returns (</w:t>
      </w:r>
      <w:proofErr w:type="spellStart"/>
      <w:r w:rsidRPr="00B479AE">
        <w:rPr>
          <w:rFonts w:ascii="Baskerville Old Face" w:hAnsi="Baskerville Old Face"/>
          <w:i/>
          <w:iCs/>
        </w:rPr>
        <w:t>IntegrityReceipt</w:t>
      </w:r>
      <w:proofErr w:type="spellEnd"/>
      <w:r w:rsidRPr="00B479AE">
        <w:rPr>
          <w:rFonts w:ascii="Baskerville Old Face" w:hAnsi="Baskerville Old Face"/>
          <w:i/>
          <w:iCs/>
        </w:rPr>
        <w:t>);</w:t>
      </w:r>
    </w:p>
    <w:p w14:paraId="2A6E455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Request quarantine review.</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RequestQuarantine</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QuarantineRequest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QuarantineResponse</w:t>
      </w:r>
      <w:proofErr w:type="spellEnd"/>
      <w:r w:rsidRPr="00B479AE">
        <w:rPr>
          <w:rFonts w:ascii="Baskerville Old Face" w:hAnsi="Baskerville Old Face"/>
          <w:i/>
          <w:iCs/>
        </w:rPr>
        <w:t>);</w:t>
      </w:r>
    </w:p>
    <w:p w14:paraId="6365EE9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 Stream protected-domain alerts.</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StreamIntegrityAlerts</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AlertFilter</w:t>
      </w:r>
      <w:proofErr w:type="spellEnd"/>
      <w:r w:rsidRPr="00B479AE">
        <w:rPr>
          <w:rFonts w:ascii="Baskerville Old Face" w:hAnsi="Baskerville Old Face"/>
          <w:i/>
          <w:iCs/>
        </w:rPr>
        <w:t xml:space="preserve">) returns (stream </w:t>
      </w:r>
      <w:proofErr w:type="spellStart"/>
      <w:r w:rsidRPr="00B479AE">
        <w:rPr>
          <w:rFonts w:ascii="Baskerville Old Face" w:hAnsi="Baskerville Old Face"/>
          <w:i/>
          <w:iCs/>
        </w:rPr>
        <w:t>IntegrityAlert</w:t>
      </w:r>
      <w:proofErr w:type="spellEnd"/>
      <w:r w:rsidRPr="00B479AE">
        <w:rPr>
          <w:rFonts w:ascii="Baskerville Old Face" w:hAnsi="Baskerville Old Face"/>
          <w:i/>
          <w:iCs/>
        </w:rPr>
        <w:t>);</w:t>
      </w:r>
      <w:r w:rsidRPr="00B479AE">
        <w:rPr>
          <w:rFonts w:ascii="Baskerville Old Face" w:hAnsi="Baskerville Old Face"/>
          <w:i/>
          <w:iCs/>
        </w:rPr>
        <w:br/>
        <w:t>}</w:t>
      </w:r>
    </w:p>
    <w:p w14:paraId="587E2F1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service </w:t>
      </w:r>
      <w:proofErr w:type="spellStart"/>
      <w:r w:rsidRPr="00B479AE">
        <w:rPr>
          <w:rFonts w:ascii="Baskerville Old Face" w:hAnsi="Baskerville Old Face"/>
          <w:i/>
          <w:iCs/>
        </w:rPr>
        <w:t>RegistryService</w:t>
      </w:r>
      <w:proofErr w:type="spellEnd"/>
      <w:r w:rsidRPr="00B479AE">
        <w:rPr>
          <w:rFonts w:ascii="Baskerville Old Face" w:hAnsi="Baskerville Old Face"/>
          <w:i/>
          <w:iCs/>
        </w:rPr>
        <w:t xml:space="preserve"> {</w:t>
      </w:r>
      <w:r w:rsidRPr="00B479AE">
        <w:rPr>
          <w:rFonts w:ascii="Baskerville Old Face" w:hAnsi="Baskerville Old Face"/>
          <w:i/>
          <w:iCs/>
        </w:rPr>
        <w:br/>
        <w:t>// Get canonical release status.</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GetReleaseStatus</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ReleaseRequest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ReleaseStatus</w:t>
      </w:r>
      <w:proofErr w:type="spellEnd"/>
      <w:r w:rsidRPr="00B479AE">
        <w:rPr>
          <w:rFonts w:ascii="Baskerville Old Face" w:hAnsi="Baskerville Old Face"/>
          <w:i/>
          <w:iCs/>
        </w:rPr>
        <w:t>);</w:t>
      </w:r>
    </w:p>
    <w:p w14:paraId="7BE0FC8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Get fork or compatibility status.</w:t>
      </w:r>
      <w:r w:rsidRPr="00B479AE">
        <w:rPr>
          <w:rFonts w:ascii="Baskerville Old Face" w:hAnsi="Baskerville Old Face"/>
          <w:i/>
          <w:iCs/>
        </w:rPr>
        <w:br/>
      </w:r>
      <w:proofErr w:type="spellStart"/>
      <w:r w:rsidRPr="00B479AE">
        <w:rPr>
          <w:rFonts w:ascii="Baskerville Old Face" w:hAnsi="Baskerville Old Face"/>
          <w:i/>
          <w:iCs/>
        </w:rPr>
        <w:t>rpc</w:t>
      </w:r>
      <w:proofErr w:type="spellEnd"/>
      <w:r w:rsidRPr="00B479AE">
        <w:rPr>
          <w:rFonts w:ascii="Baskerville Old Face" w:hAnsi="Baskerville Old Face"/>
          <w:i/>
          <w:iCs/>
        </w:rPr>
        <w:t xml:space="preserve"> </w:t>
      </w:r>
      <w:proofErr w:type="spellStart"/>
      <w:proofErr w:type="gramStart"/>
      <w:r w:rsidRPr="00B479AE">
        <w:rPr>
          <w:rFonts w:ascii="Baskerville Old Face" w:hAnsi="Baskerville Old Face"/>
          <w:i/>
          <w:iCs/>
        </w:rPr>
        <w:t>GetForkStatus</w:t>
      </w:r>
      <w:proofErr w:type="spellEnd"/>
      <w:r w:rsidRPr="00B479AE">
        <w:rPr>
          <w:rFonts w:ascii="Baskerville Old Face" w:hAnsi="Baskerville Old Face"/>
          <w:i/>
          <w:iCs/>
        </w:rPr>
        <w:t>(</w:t>
      </w:r>
      <w:proofErr w:type="spellStart"/>
      <w:proofErr w:type="gramEnd"/>
      <w:r w:rsidRPr="00B479AE">
        <w:rPr>
          <w:rFonts w:ascii="Baskerville Old Face" w:hAnsi="Baskerville Old Face"/>
          <w:i/>
          <w:iCs/>
        </w:rPr>
        <w:t>ForkStatusRequest</w:t>
      </w:r>
      <w:proofErr w:type="spellEnd"/>
      <w:r w:rsidRPr="00B479AE">
        <w:rPr>
          <w:rFonts w:ascii="Baskerville Old Face" w:hAnsi="Baskerville Old Face"/>
          <w:i/>
          <w:iCs/>
        </w:rPr>
        <w:t>) returns (</w:t>
      </w:r>
      <w:proofErr w:type="spellStart"/>
      <w:r w:rsidRPr="00B479AE">
        <w:rPr>
          <w:rFonts w:ascii="Baskerville Old Face" w:hAnsi="Baskerville Old Face"/>
          <w:i/>
          <w:iCs/>
        </w:rPr>
        <w:t>ForkStatusResponse</w:t>
      </w:r>
      <w:proofErr w:type="spellEnd"/>
      <w:r w:rsidRPr="00B479AE">
        <w:rPr>
          <w:rFonts w:ascii="Baskerville Old Face" w:hAnsi="Baskerville Old Face"/>
          <w:i/>
          <w:iCs/>
        </w:rPr>
        <w:t>);</w:t>
      </w:r>
      <w:r w:rsidRPr="00B479AE">
        <w:rPr>
          <w:rFonts w:ascii="Baskerville Old Face" w:hAnsi="Baskerville Old Face"/>
          <w:i/>
          <w:iCs/>
        </w:rPr>
        <w:br/>
        <w:t>}</w:t>
      </w:r>
    </w:p>
    <w:p w14:paraId="01441D2A"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 xml:space="preserve">L.5.2 </w:t>
      </w:r>
      <w:proofErr w:type="spellStart"/>
      <w:r w:rsidRPr="00B479AE">
        <w:rPr>
          <w:rFonts w:ascii="Baskerville Old Face" w:hAnsi="Baskerville Old Face"/>
          <w:b/>
          <w:bCs/>
          <w:i/>
          <w:iCs/>
        </w:rPr>
        <w:t>gRPC</w:t>
      </w:r>
      <w:proofErr w:type="spellEnd"/>
      <w:r w:rsidRPr="00B479AE">
        <w:rPr>
          <w:rFonts w:ascii="Baskerville Old Face" w:hAnsi="Baskerville Old Face"/>
          <w:b/>
          <w:bCs/>
          <w:i/>
          <w:iCs/>
        </w:rPr>
        <w:t xml:space="preserve"> Gateway</w:t>
      </w:r>
    </w:p>
    <w:p w14:paraId="2D1F733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For systems that cannot use </w:t>
      </w:r>
      <w:proofErr w:type="spellStart"/>
      <w:r w:rsidRPr="00B479AE">
        <w:rPr>
          <w:rFonts w:ascii="Baskerville Old Face" w:hAnsi="Baskerville Old Face"/>
          <w:i/>
          <w:iCs/>
        </w:rPr>
        <w:t>gRPC</w:t>
      </w:r>
      <w:proofErr w:type="spellEnd"/>
      <w:r w:rsidRPr="00B479AE">
        <w:rPr>
          <w:rFonts w:ascii="Baskerville Old Face" w:hAnsi="Baskerville Old Face"/>
          <w:i/>
          <w:iCs/>
        </w:rPr>
        <w:t xml:space="preserve"> directly, a </w:t>
      </w:r>
      <w:proofErr w:type="spellStart"/>
      <w:r w:rsidRPr="00B479AE">
        <w:rPr>
          <w:rFonts w:ascii="Baskerville Old Face" w:hAnsi="Baskerville Old Face"/>
          <w:i/>
          <w:iCs/>
        </w:rPr>
        <w:t>gRPC</w:t>
      </w:r>
      <w:proofErr w:type="spellEnd"/>
      <w:r w:rsidRPr="00B479AE">
        <w:rPr>
          <w:rFonts w:ascii="Baskerville Old Face" w:hAnsi="Baskerville Old Face"/>
          <w:i/>
          <w:iCs/>
        </w:rPr>
        <w:t xml:space="preserve"> gateway may provide RESTful JSON translation.</w:t>
      </w:r>
    </w:p>
    <w:p w14:paraId="2A936C68"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Conceptual gateway path:</w:t>
      </w:r>
    </w:p>
    <w:p w14:paraId="74B2A0F1" w14:textId="77777777" w:rsidR="004E7C51" w:rsidRPr="00B479AE" w:rsidRDefault="004E7C51" w:rsidP="004E7C51">
      <w:pPr>
        <w:tabs>
          <w:tab w:val="left" w:pos="2685"/>
        </w:tabs>
        <w:spacing w:line="360" w:lineRule="auto"/>
        <w:rPr>
          <w:rFonts w:ascii="Baskerville Old Face" w:hAnsi="Baskerville Old Face"/>
          <w:i/>
          <w:iCs/>
        </w:rPr>
      </w:pPr>
      <w:hyperlink r:id="rId26" w:history="1">
        <w:r w:rsidRPr="00B479AE">
          <w:rPr>
            <w:rStyle w:val="Collegamentoipertestuale"/>
            <w:rFonts w:ascii="Baskerville Old Face" w:hAnsi="Baskerville Old Face"/>
            <w:i/>
            <w:iCs/>
          </w:rPr>
          <w:t>https://api.heart-intelligence.earth/grpc/v1/{service}/{method}</w:t>
        </w:r>
      </w:hyperlink>
    </w:p>
    <w:p w14:paraId="03D526D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If this endpoint is not yet live, it should be treated as planned or reserved until confirmed by canonical technical documentation.</w:t>
      </w:r>
    </w:p>
    <w:p w14:paraId="2340BE55"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L.6 Rate Limiting</w:t>
      </w:r>
    </w:p>
    <w:p w14:paraId="05D298C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should implement multi-tier rate limiting to ensure fair usage, system stability, abuse resistance, and infrastructure protection.</w:t>
      </w:r>
    </w:p>
    <w:p w14:paraId="7B3AB75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Rate limits should be adjustable by governance and operations policy.</w:t>
      </w:r>
    </w:p>
    <w:p w14:paraId="1699852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Rate-limit tiers should not create governance status, investor status, PRU eligibility, or certification status.</w:t>
      </w:r>
    </w:p>
    <w:p w14:paraId="64452A3B" w14:textId="77777777" w:rsidR="00406066" w:rsidRPr="00B479AE" w:rsidRDefault="00406066" w:rsidP="004E7C51">
      <w:pPr>
        <w:tabs>
          <w:tab w:val="left" w:pos="2685"/>
        </w:tabs>
        <w:spacing w:line="360" w:lineRule="auto"/>
        <w:rPr>
          <w:rFonts w:ascii="Baskerville Old Face" w:hAnsi="Baskerville Old Face"/>
          <w:i/>
          <w:iCs/>
        </w:rPr>
      </w:pPr>
    </w:p>
    <w:p w14:paraId="4DF2AF0B" w14:textId="77777777" w:rsidR="00406066" w:rsidRPr="00B479AE" w:rsidRDefault="00406066" w:rsidP="004E7C51">
      <w:pPr>
        <w:tabs>
          <w:tab w:val="left" w:pos="2685"/>
        </w:tabs>
        <w:spacing w:line="360" w:lineRule="auto"/>
        <w:rPr>
          <w:rFonts w:ascii="Baskerville Old Face" w:hAnsi="Baskerville Old Face"/>
          <w:i/>
          <w:iCs/>
        </w:rPr>
      </w:pPr>
    </w:p>
    <w:p w14:paraId="092E4935" w14:textId="77777777" w:rsidR="00406066" w:rsidRPr="00B479AE" w:rsidRDefault="00406066" w:rsidP="004E7C51">
      <w:pPr>
        <w:tabs>
          <w:tab w:val="left" w:pos="2685"/>
        </w:tabs>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3"/>
        <w:gridCol w:w="1708"/>
        <w:gridCol w:w="1689"/>
        <w:gridCol w:w="2985"/>
        <w:gridCol w:w="2203"/>
      </w:tblGrid>
      <w:tr w:rsidR="004E7C51" w:rsidRPr="00B479AE" w14:paraId="72BD6ABF" w14:textId="77777777" w:rsidTr="00406066">
        <w:trPr>
          <w:tblHeader/>
          <w:tblCellSpacing w:w="15" w:type="dxa"/>
        </w:trPr>
        <w:tc>
          <w:tcPr>
            <w:tcW w:w="0" w:type="auto"/>
            <w:vAlign w:val="center"/>
            <w:hideMark/>
          </w:tcPr>
          <w:p w14:paraId="1A957073"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Tier</w:t>
            </w:r>
          </w:p>
        </w:tc>
        <w:tc>
          <w:tcPr>
            <w:tcW w:w="0" w:type="auto"/>
            <w:vAlign w:val="center"/>
            <w:hideMark/>
          </w:tcPr>
          <w:p w14:paraId="7207B25B"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Indicative rate limit</w:t>
            </w:r>
          </w:p>
        </w:tc>
        <w:tc>
          <w:tcPr>
            <w:tcW w:w="0" w:type="auto"/>
            <w:vAlign w:val="center"/>
            <w:hideMark/>
          </w:tcPr>
          <w:p w14:paraId="2C52514F"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Burst</w:t>
            </w:r>
          </w:p>
        </w:tc>
        <w:tc>
          <w:tcPr>
            <w:tcW w:w="0" w:type="auto"/>
            <w:vAlign w:val="center"/>
            <w:hideMark/>
          </w:tcPr>
          <w:p w14:paraId="6D060E1A"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Indicative access basis</w:t>
            </w:r>
          </w:p>
        </w:tc>
        <w:tc>
          <w:tcPr>
            <w:tcW w:w="0" w:type="auto"/>
            <w:vAlign w:val="center"/>
            <w:hideMark/>
          </w:tcPr>
          <w:p w14:paraId="1C57E373"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154A8C9A" w14:textId="77777777" w:rsidTr="00406066">
        <w:trPr>
          <w:tblCellSpacing w:w="15" w:type="dxa"/>
        </w:trPr>
        <w:tc>
          <w:tcPr>
            <w:tcW w:w="0" w:type="auto"/>
            <w:vAlign w:val="center"/>
            <w:hideMark/>
          </w:tcPr>
          <w:p w14:paraId="67B5158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w:t>
            </w:r>
          </w:p>
        </w:tc>
        <w:tc>
          <w:tcPr>
            <w:tcW w:w="0" w:type="auto"/>
            <w:vAlign w:val="center"/>
            <w:hideMark/>
          </w:tcPr>
          <w:p w14:paraId="2907A48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 requests/hour</w:t>
            </w:r>
          </w:p>
        </w:tc>
        <w:tc>
          <w:tcPr>
            <w:tcW w:w="0" w:type="auto"/>
            <w:vAlign w:val="center"/>
            <w:hideMark/>
          </w:tcPr>
          <w:p w14:paraId="253E8EC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w:t>
            </w:r>
          </w:p>
        </w:tc>
        <w:tc>
          <w:tcPr>
            <w:tcW w:w="0" w:type="auto"/>
            <w:vAlign w:val="center"/>
            <w:hideMark/>
          </w:tcPr>
          <w:p w14:paraId="6BF83EA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access or optional API key</w:t>
            </w:r>
          </w:p>
        </w:tc>
        <w:tc>
          <w:tcPr>
            <w:tcW w:w="0" w:type="auto"/>
            <w:vAlign w:val="center"/>
            <w:hideMark/>
          </w:tcPr>
          <w:p w14:paraId="2D89A9F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non-sensitive, read-only access</w:t>
            </w:r>
          </w:p>
        </w:tc>
      </w:tr>
      <w:tr w:rsidR="004E7C51" w:rsidRPr="00B479AE" w14:paraId="0819C11C" w14:textId="77777777" w:rsidTr="00406066">
        <w:trPr>
          <w:tblCellSpacing w:w="15" w:type="dxa"/>
        </w:trPr>
        <w:tc>
          <w:tcPr>
            <w:tcW w:w="0" w:type="auto"/>
            <w:vAlign w:val="center"/>
            <w:hideMark/>
          </w:tcPr>
          <w:p w14:paraId="6800ACE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Community</w:t>
            </w:r>
          </w:p>
        </w:tc>
        <w:tc>
          <w:tcPr>
            <w:tcW w:w="0" w:type="auto"/>
            <w:vAlign w:val="center"/>
            <w:hideMark/>
          </w:tcPr>
          <w:p w14:paraId="7CF7477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 requests/hour</w:t>
            </w:r>
          </w:p>
        </w:tc>
        <w:tc>
          <w:tcPr>
            <w:tcW w:w="0" w:type="auto"/>
            <w:vAlign w:val="center"/>
            <w:hideMark/>
          </w:tcPr>
          <w:p w14:paraId="357E20C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200</w:t>
            </w:r>
          </w:p>
        </w:tc>
        <w:tc>
          <w:tcPr>
            <w:tcW w:w="0" w:type="auto"/>
            <w:vAlign w:val="center"/>
            <w:hideMark/>
          </w:tcPr>
          <w:p w14:paraId="42BC967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Community role, project role, or approved API key</w:t>
            </w:r>
          </w:p>
        </w:tc>
        <w:tc>
          <w:tcPr>
            <w:tcW w:w="0" w:type="auto"/>
            <w:vAlign w:val="center"/>
            <w:hideMark/>
          </w:tcPr>
          <w:p w14:paraId="57E505B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Does not imply governance authority</w:t>
            </w:r>
          </w:p>
        </w:tc>
      </w:tr>
      <w:tr w:rsidR="004E7C51" w:rsidRPr="00B479AE" w14:paraId="447FCD41" w14:textId="77777777" w:rsidTr="00406066">
        <w:trPr>
          <w:tblCellSpacing w:w="15" w:type="dxa"/>
        </w:trPr>
        <w:tc>
          <w:tcPr>
            <w:tcW w:w="0" w:type="auto"/>
            <w:vAlign w:val="center"/>
            <w:hideMark/>
          </w:tcPr>
          <w:p w14:paraId="5F12116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Bioregion</w:t>
            </w:r>
          </w:p>
        </w:tc>
        <w:tc>
          <w:tcPr>
            <w:tcW w:w="0" w:type="auto"/>
            <w:vAlign w:val="center"/>
            <w:hideMark/>
          </w:tcPr>
          <w:p w14:paraId="5332B28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10,000 requests/hour</w:t>
            </w:r>
          </w:p>
        </w:tc>
        <w:tc>
          <w:tcPr>
            <w:tcW w:w="0" w:type="auto"/>
            <w:vAlign w:val="center"/>
            <w:hideMark/>
          </w:tcPr>
          <w:p w14:paraId="5AF6ABA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w:t>
            </w:r>
          </w:p>
        </w:tc>
        <w:tc>
          <w:tcPr>
            <w:tcW w:w="0" w:type="auto"/>
            <w:vAlign w:val="center"/>
            <w:hideMark/>
          </w:tcPr>
          <w:p w14:paraId="4424B0C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Bioregional role, institutional partner, or approved integration</w:t>
            </w:r>
          </w:p>
        </w:tc>
        <w:tc>
          <w:tcPr>
            <w:tcW w:w="0" w:type="auto"/>
            <w:vAlign w:val="center"/>
            <w:hideMark/>
          </w:tcPr>
          <w:p w14:paraId="4E9EFDE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Must remain scoped to agreement and role</w:t>
            </w:r>
          </w:p>
        </w:tc>
      </w:tr>
      <w:tr w:rsidR="004E7C51" w:rsidRPr="00B479AE" w14:paraId="68564B1F" w14:textId="77777777" w:rsidTr="00406066">
        <w:trPr>
          <w:tblCellSpacing w:w="15" w:type="dxa"/>
        </w:trPr>
        <w:tc>
          <w:tcPr>
            <w:tcW w:w="0" w:type="auto"/>
            <w:vAlign w:val="center"/>
            <w:hideMark/>
          </w:tcPr>
          <w:p w14:paraId="75F208E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Institutional</w:t>
            </w:r>
          </w:p>
        </w:tc>
        <w:tc>
          <w:tcPr>
            <w:tcW w:w="0" w:type="auto"/>
            <w:vAlign w:val="center"/>
            <w:hideMark/>
          </w:tcPr>
          <w:p w14:paraId="614BB0D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100,000 requests/hour</w:t>
            </w:r>
          </w:p>
        </w:tc>
        <w:tc>
          <w:tcPr>
            <w:tcW w:w="0" w:type="auto"/>
            <w:vAlign w:val="center"/>
            <w:hideMark/>
          </w:tcPr>
          <w:p w14:paraId="2FCD551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5,000</w:t>
            </w:r>
          </w:p>
        </w:tc>
        <w:tc>
          <w:tcPr>
            <w:tcW w:w="0" w:type="auto"/>
            <w:vAlign w:val="center"/>
            <w:hideMark/>
          </w:tcPr>
          <w:p w14:paraId="7345694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Partnership agreement, data-room agreement, or infrastructure integration</w:t>
            </w:r>
          </w:p>
        </w:tc>
        <w:tc>
          <w:tcPr>
            <w:tcW w:w="0" w:type="auto"/>
            <w:vAlign w:val="center"/>
            <w:hideMark/>
          </w:tcPr>
          <w:p w14:paraId="48E3DB0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Requires contractual and technical controls</w:t>
            </w:r>
          </w:p>
        </w:tc>
      </w:tr>
      <w:tr w:rsidR="004E7C51" w:rsidRPr="00B479AE" w14:paraId="05D9A794" w14:textId="77777777" w:rsidTr="00406066">
        <w:trPr>
          <w:tblCellSpacing w:w="15" w:type="dxa"/>
        </w:trPr>
        <w:tc>
          <w:tcPr>
            <w:tcW w:w="0" w:type="auto"/>
            <w:vAlign w:val="center"/>
            <w:hideMark/>
          </w:tcPr>
          <w:p w14:paraId="518CCB3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Internal</w:t>
            </w:r>
          </w:p>
        </w:tc>
        <w:tc>
          <w:tcPr>
            <w:tcW w:w="0" w:type="auto"/>
            <w:vAlign w:val="center"/>
            <w:hideMark/>
          </w:tcPr>
          <w:p w14:paraId="215CC67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Defined by infrastructure policy</w:t>
            </w:r>
          </w:p>
        </w:tc>
        <w:tc>
          <w:tcPr>
            <w:tcW w:w="0" w:type="auto"/>
            <w:vAlign w:val="center"/>
            <w:hideMark/>
          </w:tcPr>
          <w:p w14:paraId="7F37642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Defined by infrastructure policy</w:t>
            </w:r>
          </w:p>
        </w:tc>
        <w:tc>
          <w:tcPr>
            <w:tcW w:w="0" w:type="auto"/>
            <w:vAlign w:val="center"/>
            <w:hideMark/>
          </w:tcPr>
          <w:p w14:paraId="0B0A159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Core infrastructure, bridge, registry, or operations service</w:t>
            </w:r>
          </w:p>
        </w:tc>
        <w:tc>
          <w:tcPr>
            <w:tcW w:w="0" w:type="auto"/>
            <w:vAlign w:val="center"/>
            <w:hideMark/>
          </w:tcPr>
          <w:p w14:paraId="1CEB319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Requires service authentication and monitoring</w:t>
            </w:r>
          </w:p>
        </w:tc>
      </w:tr>
    </w:tbl>
    <w:p w14:paraId="09FE7DB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Rate limits should be enforced per API key, agent ID, service account, IP range, organization, or integration profile.</w:t>
      </w:r>
    </w:p>
    <w:p w14:paraId="0329514A"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Responses may include headers such as:</w:t>
      </w:r>
    </w:p>
    <w:p w14:paraId="632030C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text</w:t>
      </w:r>
      <w:r w:rsidRPr="00B479AE">
        <w:rPr>
          <w:rFonts w:ascii="Baskerville Old Face" w:hAnsi="Baskerville Old Face"/>
          <w:i/>
          <w:iCs/>
        </w:rPr>
        <w:br/>
        <w:t>X-</w:t>
      </w:r>
      <w:proofErr w:type="spellStart"/>
      <w:r w:rsidRPr="00B479AE">
        <w:rPr>
          <w:rFonts w:ascii="Baskerville Old Face" w:hAnsi="Baskerville Old Face"/>
          <w:i/>
          <w:iCs/>
        </w:rPr>
        <w:t>RateLimit</w:t>
      </w:r>
      <w:proofErr w:type="spellEnd"/>
      <w:r w:rsidRPr="00B479AE">
        <w:rPr>
          <w:rFonts w:ascii="Baskerville Old Face" w:hAnsi="Baskerville Old Face"/>
          <w:i/>
          <w:iCs/>
        </w:rPr>
        <w:t>-Limit: 1000</w:t>
      </w:r>
      <w:r w:rsidRPr="00B479AE">
        <w:rPr>
          <w:rFonts w:ascii="Baskerville Old Face" w:hAnsi="Baskerville Old Face"/>
          <w:i/>
          <w:iCs/>
        </w:rPr>
        <w:br/>
        <w:t>X-</w:t>
      </w:r>
      <w:proofErr w:type="spellStart"/>
      <w:r w:rsidRPr="00B479AE">
        <w:rPr>
          <w:rFonts w:ascii="Baskerville Old Face" w:hAnsi="Baskerville Old Face"/>
          <w:i/>
          <w:iCs/>
        </w:rPr>
        <w:t>RateLimit</w:t>
      </w:r>
      <w:proofErr w:type="spellEnd"/>
      <w:r w:rsidRPr="00B479AE">
        <w:rPr>
          <w:rFonts w:ascii="Baskerville Old Face" w:hAnsi="Baskerville Old Face"/>
          <w:i/>
          <w:iCs/>
        </w:rPr>
        <w:t>-Remaining: 843</w:t>
      </w:r>
      <w:r w:rsidRPr="00B479AE">
        <w:rPr>
          <w:rFonts w:ascii="Baskerville Old Face" w:hAnsi="Baskerville Old Face"/>
          <w:i/>
          <w:iCs/>
        </w:rPr>
        <w:br/>
        <w:t>X-</w:t>
      </w:r>
      <w:proofErr w:type="spellStart"/>
      <w:r w:rsidRPr="00B479AE">
        <w:rPr>
          <w:rFonts w:ascii="Baskerville Old Face" w:hAnsi="Baskerville Old Face"/>
          <w:i/>
          <w:iCs/>
        </w:rPr>
        <w:t>RateLimit</w:t>
      </w:r>
      <w:proofErr w:type="spellEnd"/>
      <w:r w:rsidRPr="00B479AE">
        <w:rPr>
          <w:rFonts w:ascii="Baskerville Old Face" w:hAnsi="Baskerville Old Face"/>
          <w:i/>
          <w:iCs/>
        </w:rPr>
        <w:t>-Reset: 1625097600</w:t>
      </w:r>
    </w:p>
    <w:p w14:paraId="64FBA17A"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L.7 External System Connectors</w:t>
      </w:r>
    </w:p>
    <w:p w14:paraId="246EA0B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may provide connectors for external systems where integration supports evidence quality, MRV review, operational continuity, institutional reporting, or legal structuring.</w:t>
      </w:r>
    </w:p>
    <w:p w14:paraId="431916DA"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Connectors should not be treated as automatic truth sources.</w:t>
      </w:r>
    </w:p>
    <w:p w14:paraId="348E78C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External data must be evaluated for provenance, license conditions, methodology compatibility, reliability, update frequency, data gaps, and jurisdictional constraints.</w:t>
      </w:r>
    </w:p>
    <w:p w14:paraId="5C61665F" w14:textId="77777777" w:rsidR="00406066" w:rsidRPr="00B479AE" w:rsidRDefault="00406066" w:rsidP="004E7C51">
      <w:pPr>
        <w:tabs>
          <w:tab w:val="left" w:pos="2685"/>
        </w:tabs>
        <w:spacing w:line="360" w:lineRule="auto"/>
        <w:rPr>
          <w:rFonts w:ascii="Baskerville Old Face" w:hAnsi="Baskerville Old Face"/>
          <w:b/>
          <w:bCs/>
          <w:i/>
          <w:iCs/>
        </w:rPr>
      </w:pPr>
    </w:p>
    <w:p w14:paraId="58BBF3A8" w14:textId="6BDEC611"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L.7.1 Environmental Registry and Ecological-Claim Connectors</w:t>
      </w:r>
    </w:p>
    <w:p w14:paraId="3D7F68E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Environmental registry and ecological-claim connectors may support future comparison, reconciliation, or no-double-counting review.</w:t>
      </w:r>
    </w:p>
    <w:p w14:paraId="5BE8E6F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They should not imply automatic credit issuance, registry approval, offset eligibility, or market recognition.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0"/>
        <w:gridCol w:w="1916"/>
        <w:gridCol w:w="2686"/>
        <w:gridCol w:w="2906"/>
      </w:tblGrid>
      <w:tr w:rsidR="004E7C51" w:rsidRPr="00B479AE" w14:paraId="55A4CADB" w14:textId="77777777" w:rsidTr="00406066">
        <w:trPr>
          <w:tblHeader/>
          <w:tblCellSpacing w:w="15" w:type="dxa"/>
        </w:trPr>
        <w:tc>
          <w:tcPr>
            <w:tcW w:w="0" w:type="auto"/>
            <w:vAlign w:val="center"/>
            <w:hideMark/>
          </w:tcPr>
          <w:p w14:paraId="10F2A67F"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Registry / system type</w:t>
            </w:r>
          </w:p>
        </w:tc>
        <w:tc>
          <w:tcPr>
            <w:tcW w:w="0" w:type="auto"/>
            <w:vAlign w:val="center"/>
            <w:hideMark/>
          </w:tcPr>
          <w:p w14:paraId="47EA1227"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Protocol</w:t>
            </w:r>
          </w:p>
        </w:tc>
        <w:tc>
          <w:tcPr>
            <w:tcW w:w="0" w:type="auto"/>
            <w:vAlign w:val="center"/>
            <w:hideMark/>
          </w:tcPr>
          <w:p w14:paraId="79C74EF6"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Data types</w:t>
            </w:r>
          </w:p>
        </w:tc>
        <w:tc>
          <w:tcPr>
            <w:tcW w:w="0" w:type="auto"/>
            <w:vAlign w:val="center"/>
            <w:hideMark/>
          </w:tcPr>
          <w:p w14:paraId="6E2D29AD"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Verification boundary</w:t>
            </w:r>
          </w:p>
        </w:tc>
      </w:tr>
      <w:tr w:rsidR="004E7C51" w:rsidRPr="00B479AE" w14:paraId="2351B764" w14:textId="77777777" w:rsidTr="00406066">
        <w:trPr>
          <w:tblCellSpacing w:w="15" w:type="dxa"/>
        </w:trPr>
        <w:tc>
          <w:tcPr>
            <w:tcW w:w="0" w:type="auto"/>
            <w:vAlign w:val="center"/>
            <w:hideMark/>
          </w:tcPr>
          <w:p w14:paraId="2E071AE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Verra / VCS or equivalent registry</w:t>
            </w:r>
          </w:p>
        </w:tc>
        <w:tc>
          <w:tcPr>
            <w:tcW w:w="0" w:type="auto"/>
            <w:vAlign w:val="center"/>
            <w:hideMark/>
          </w:tcPr>
          <w:p w14:paraId="619F3C7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 or registry-specific API where available</w:t>
            </w:r>
          </w:p>
        </w:tc>
        <w:tc>
          <w:tcPr>
            <w:tcW w:w="0" w:type="auto"/>
            <w:vAlign w:val="center"/>
            <w:hideMark/>
          </w:tcPr>
          <w:p w14:paraId="34DED44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Project records, credit status, retirement data, methodology references</w:t>
            </w:r>
          </w:p>
        </w:tc>
        <w:tc>
          <w:tcPr>
            <w:tcW w:w="0" w:type="auto"/>
            <w:vAlign w:val="center"/>
            <w:hideMark/>
          </w:tcPr>
          <w:p w14:paraId="6382931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Cross-reference only; no automatic credit issuance</w:t>
            </w:r>
          </w:p>
        </w:tc>
      </w:tr>
      <w:tr w:rsidR="004E7C51" w:rsidRPr="00B479AE" w14:paraId="63F2350D" w14:textId="77777777" w:rsidTr="00406066">
        <w:trPr>
          <w:tblCellSpacing w:w="15" w:type="dxa"/>
        </w:trPr>
        <w:tc>
          <w:tcPr>
            <w:tcW w:w="0" w:type="auto"/>
            <w:vAlign w:val="center"/>
            <w:hideMark/>
          </w:tcPr>
          <w:p w14:paraId="10F54F9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Gold Standard or equivalent registry</w:t>
            </w:r>
          </w:p>
        </w:tc>
        <w:tc>
          <w:tcPr>
            <w:tcW w:w="0" w:type="auto"/>
            <w:vAlign w:val="center"/>
            <w:hideMark/>
          </w:tcPr>
          <w:p w14:paraId="2DFB530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 or registry-specific API where available</w:t>
            </w:r>
          </w:p>
        </w:tc>
        <w:tc>
          <w:tcPr>
            <w:tcW w:w="0" w:type="auto"/>
            <w:vAlign w:val="center"/>
            <w:hideMark/>
          </w:tcPr>
          <w:p w14:paraId="1DAC56E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Project records, SDG-related data, credit status</w:t>
            </w:r>
          </w:p>
        </w:tc>
        <w:tc>
          <w:tcPr>
            <w:tcW w:w="0" w:type="auto"/>
            <w:vAlign w:val="center"/>
            <w:hideMark/>
          </w:tcPr>
          <w:p w14:paraId="778FD52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External registry status must remain separate from Prometheus PRU analysis</w:t>
            </w:r>
          </w:p>
        </w:tc>
      </w:tr>
      <w:tr w:rsidR="004E7C51" w:rsidRPr="00B479AE" w14:paraId="2A6E474C" w14:textId="77777777" w:rsidTr="00406066">
        <w:trPr>
          <w:tblCellSpacing w:w="15" w:type="dxa"/>
        </w:trPr>
        <w:tc>
          <w:tcPr>
            <w:tcW w:w="0" w:type="auto"/>
            <w:vAlign w:val="center"/>
            <w:hideMark/>
          </w:tcPr>
          <w:p w14:paraId="5DEA30E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Plan Vivo or equivalent community-based standard</w:t>
            </w:r>
          </w:p>
        </w:tc>
        <w:tc>
          <w:tcPr>
            <w:tcW w:w="0" w:type="auto"/>
            <w:vAlign w:val="center"/>
            <w:hideMark/>
          </w:tcPr>
          <w:p w14:paraId="7C63E1F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 manual review, or registry-specific pathway</w:t>
            </w:r>
          </w:p>
        </w:tc>
        <w:tc>
          <w:tcPr>
            <w:tcW w:w="0" w:type="auto"/>
            <w:vAlign w:val="center"/>
            <w:hideMark/>
          </w:tcPr>
          <w:p w14:paraId="1EDFBF5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Community-based project data, certificates, methodology references</w:t>
            </w:r>
          </w:p>
        </w:tc>
        <w:tc>
          <w:tcPr>
            <w:tcW w:w="0" w:type="auto"/>
            <w:vAlign w:val="center"/>
            <w:hideMark/>
          </w:tcPr>
          <w:p w14:paraId="08BBDF3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Requires community consent and registry-specific verification</w:t>
            </w:r>
          </w:p>
        </w:tc>
      </w:tr>
      <w:tr w:rsidR="004E7C51" w:rsidRPr="00B479AE" w14:paraId="6AFA3489" w14:textId="77777777" w:rsidTr="00406066">
        <w:trPr>
          <w:tblCellSpacing w:w="15" w:type="dxa"/>
        </w:trPr>
        <w:tc>
          <w:tcPr>
            <w:tcW w:w="0" w:type="auto"/>
            <w:vAlign w:val="center"/>
            <w:hideMark/>
          </w:tcPr>
          <w:p w14:paraId="63B2090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Climate Action Reserve or equivalent registry</w:t>
            </w:r>
          </w:p>
        </w:tc>
        <w:tc>
          <w:tcPr>
            <w:tcW w:w="0" w:type="auto"/>
            <w:vAlign w:val="center"/>
            <w:hideMark/>
          </w:tcPr>
          <w:p w14:paraId="4011F46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 or registry-specific API where available</w:t>
            </w:r>
          </w:p>
        </w:tc>
        <w:tc>
          <w:tcPr>
            <w:tcW w:w="0" w:type="auto"/>
            <w:vAlign w:val="center"/>
            <w:hideMark/>
          </w:tcPr>
          <w:p w14:paraId="0BDA654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Project records, serial numbers, methodology references</w:t>
            </w:r>
          </w:p>
        </w:tc>
        <w:tc>
          <w:tcPr>
            <w:tcW w:w="0" w:type="auto"/>
            <w:vAlign w:val="center"/>
            <w:hideMark/>
          </w:tcPr>
          <w:p w14:paraId="546CBF7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Used for reconciliation and anti-double-counting where relevant</w:t>
            </w:r>
          </w:p>
        </w:tc>
      </w:tr>
      <w:tr w:rsidR="004E7C51" w:rsidRPr="00B479AE" w14:paraId="04BE80DB" w14:textId="77777777" w:rsidTr="00406066">
        <w:trPr>
          <w:tblCellSpacing w:w="15" w:type="dxa"/>
        </w:trPr>
        <w:tc>
          <w:tcPr>
            <w:tcW w:w="0" w:type="auto"/>
            <w:vAlign w:val="center"/>
            <w:hideMark/>
          </w:tcPr>
          <w:p w14:paraId="1BBE52B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Public ecological datasets</w:t>
            </w:r>
          </w:p>
        </w:tc>
        <w:tc>
          <w:tcPr>
            <w:tcW w:w="0" w:type="auto"/>
            <w:vAlign w:val="center"/>
            <w:hideMark/>
          </w:tcPr>
          <w:p w14:paraId="6F784CD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file import, or manual ingestion</w:t>
            </w:r>
          </w:p>
        </w:tc>
        <w:tc>
          <w:tcPr>
            <w:tcW w:w="0" w:type="auto"/>
            <w:vAlign w:val="center"/>
            <w:hideMark/>
          </w:tcPr>
          <w:p w14:paraId="752982F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Land cover, protected areas, climate, biodiversity, hydrology</w:t>
            </w:r>
          </w:p>
        </w:tc>
        <w:tc>
          <w:tcPr>
            <w:tcW w:w="0" w:type="auto"/>
            <w:vAlign w:val="center"/>
            <w:hideMark/>
          </w:tcPr>
          <w:p w14:paraId="54921F1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Context layer; not automatic certification</w:t>
            </w:r>
          </w:p>
        </w:tc>
      </w:tr>
    </w:tbl>
    <w:p w14:paraId="6FAA6883" w14:textId="77777777" w:rsidR="00406066" w:rsidRPr="00B479AE" w:rsidRDefault="00406066" w:rsidP="004E7C51">
      <w:pPr>
        <w:tabs>
          <w:tab w:val="left" w:pos="2685"/>
        </w:tabs>
        <w:spacing w:line="360" w:lineRule="auto"/>
        <w:rPr>
          <w:rFonts w:ascii="Baskerville Old Face" w:hAnsi="Baskerville Old Face"/>
          <w:b/>
          <w:bCs/>
          <w:i/>
          <w:iCs/>
        </w:rPr>
      </w:pPr>
    </w:p>
    <w:p w14:paraId="5EEFFFFA" w14:textId="77777777" w:rsidR="00406066" w:rsidRPr="00B479AE" w:rsidRDefault="00406066" w:rsidP="004E7C51">
      <w:pPr>
        <w:tabs>
          <w:tab w:val="left" w:pos="2685"/>
        </w:tabs>
        <w:spacing w:line="360" w:lineRule="auto"/>
        <w:rPr>
          <w:rFonts w:ascii="Baskerville Old Face" w:hAnsi="Baskerville Old Face"/>
          <w:b/>
          <w:bCs/>
          <w:i/>
          <w:iCs/>
        </w:rPr>
      </w:pPr>
    </w:p>
    <w:p w14:paraId="72D0C018" w14:textId="77777777" w:rsidR="00406066" w:rsidRPr="00B479AE" w:rsidRDefault="00406066" w:rsidP="004E7C51">
      <w:pPr>
        <w:tabs>
          <w:tab w:val="left" w:pos="2685"/>
        </w:tabs>
        <w:spacing w:line="360" w:lineRule="auto"/>
        <w:rPr>
          <w:rFonts w:ascii="Baskerville Old Face" w:hAnsi="Baskerville Old Face"/>
          <w:b/>
          <w:bCs/>
          <w:i/>
          <w:iCs/>
        </w:rPr>
      </w:pPr>
    </w:p>
    <w:p w14:paraId="675A8AEA" w14:textId="77777777" w:rsidR="00406066" w:rsidRPr="00B479AE" w:rsidRDefault="00406066" w:rsidP="004E7C51">
      <w:pPr>
        <w:tabs>
          <w:tab w:val="left" w:pos="2685"/>
        </w:tabs>
        <w:spacing w:line="360" w:lineRule="auto"/>
        <w:rPr>
          <w:rFonts w:ascii="Baskerville Old Face" w:hAnsi="Baskerville Old Face"/>
          <w:b/>
          <w:bCs/>
          <w:i/>
          <w:iCs/>
        </w:rPr>
      </w:pPr>
    </w:p>
    <w:p w14:paraId="0FC1EA8C" w14:textId="77777777" w:rsidR="00406066" w:rsidRPr="00B479AE" w:rsidRDefault="00406066" w:rsidP="004E7C51">
      <w:pPr>
        <w:tabs>
          <w:tab w:val="left" w:pos="2685"/>
        </w:tabs>
        <w:spacing w:line="360" w:lineRule="auto"/>
        <w:rPr>
          <w:rFonts w:ascii="Baskerville Old Face" w:hAnsi="Baskerville Old Face"/>
          <w:b/>
          <w:bCs/>
          <w:i/>
          <w:iCs/>
        </w:rPr>
      </w:pPr>
    </w:p>
    <w:p w14:paraId="13FED27F" w14:textId="77777777" w:rsidR="00406066" w:rsidRPr="00B479AE" w:rsidRDefault="00406066" w:rsidP="004E7C51">
      <w:pPr>
        <w:tabs>
          <w:tab w:val="left" w:pos="2685"/>
        </w:tabs>
        <w:spacing w:line="360" w:lineRule="auto"/>
        <w:rPr>
          <w:rFonts w:ascii="Baskerville Old Face" w:hAnsi="Baskerville Old Face"/>
          <w:b/>
          <w:bCs/>
          <w:i/>
          <w:iCs/>
        </w:rPr>
      </w:pPr>
    </w:p>
    <w:p w14:paraId="1B621572" w14:textId="1D4FA878"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L.7.2 Satellite and Geospatial Data Connectors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1570"/>
        <w:gridCol w:w="2715"/>
        <w:gridCol w:w="1357"/>
        <w:gridCol w:w="2221"/>
      </w:tblGrid>
      <w:tr w:rsidR="004E7C51" w:rsidRPr="00B479AE" w14:paraId="7F30A1D6" w14:textId="77777777" w:rsidTr="00406066">
        <w:trPr>
          <w:tblHeader/>
          <w:tblCellSpacing w:w="15" w:type="dxa"/>
        </w:trPr>
        <w:tc>
          <w:tcPr>
            <w:tcW w:w="0" w:type="auto"/>
            <w:vAlign w:val="center"/>
            <w:hideMark/>
          </w:tcPr>
          <w:p w14:paraId="1CDD7F9F"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Provider</w:t>
            </w:r>
          </w:p>
        </w:tc>
        <w:tc>
          <w:tcPr>
            <w:tcW w:w="0" w:type="auto"/>
            <w:vAlign w:val="center"/>
            <w:hideMark/>
          </w:tcPr>
          <w:p w14:paraId="7875BBFE"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Protocol</w:t>
            </w:r>
          </w:p>
        </w:tc>
        <w:tc>
          <w:tcPr>
            <w:tcW w:w="0" w:type="auto"/>
            <w:vAlign w:val="center"/>
            <w:hideMark/>
          </w:tcPr>
          <w:p w14:paraId="57B9F92E"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Data types</w:t>
            </w:r>
          </w:p>
        </w:tc>
        <w:tc>
          <w:tcPr>
            <w:tcW w:w="0" w:type="auto"/>
            <w:vAlign w:val="center"/>
            <w:hideMark/>
          </w:tcPr>
          <w:p w14:paraId="149947EF"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Update frequency</w:t>
            </w:r>
          </w:p>
        </w:tc>
        <w:tc>
          <w:tcPr>
            <w:tcW w:w="0" w:type="auto"/>
            <w:vAlign w:val="center"/>
            <w:hideMark/>
          </w:tcPr>
          <w:p w14:paraId="576956B7"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079C511D" w14:textId="77777777" w:rsidTr="00406066">
        <w:trPr>
          <w:tblCellSpacing w:w="15" w:type="dxa"/>
        </w:trPr>
        <w:tc>
          <w:tcPr>
            <w:tcW w:w="0" w:type="auto"/>
            <w:vAlign w:val="center"/>
            <w:hideMark/>
          </w:tcPr>
          <w:p w14:paraId="07BD9C8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Sentinel Hub</w:t>
            </w:r>
          </w:p>
        </w:tc>
        <w:tc>
          <w:tcPr>
            <w:tcW w:w="0" w:type="auto"/>
            <w:vAlign w:val="center"/>
            <w:hideMark/>
          </w:tcPr>
          <w:p w14:paraId="1029F42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OGC WMS/WCS, REST</w:t>
            </w:r>
          </w:p>
        </w:tc>
        <w:tc>
          <w:tcPr>
            <w:tcW w:w="0" w:type="auto"/>
            <w:vAlign w:val="center"/>
            <w:hideMark/>
          </w:tcPr>
          <w:p w14:paraId="3489511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Multispectral, radar, vegetation indices, derived layers</w:t>
            </w:r>
          </w:p>
        </w:tc>
        <w:tc>
          <w:tcPr>
            <w:tcW w:w="0" w:type="auto"/>
            <w:vAlign w:val="center"/>
            <w:hideMark/>
          </w:tcPr>
          <w:p w14:paraId="12F8CB0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Daily or provider-dependent</w:t>
            </w:r>
          </w:p>
        </w:tc>
        <w:tc>
          <w:tcPr>
            <w:tcW w:w="0" w:type="auto"/>
            <w:vAlign w:val="center"/>
            <w:hideMark/>
          </w:tcPr>
          <w:p w14:paraId="6D91A60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Requires resolution and cloud-cover assessment</w:t>
            </w:r>
          </w:p>
        </w:tc>
      </w:tr>
      <w:tr w:rsidR="004E7C51" w:rsidRPr="00B479AE" w14:paraId="17DF53A9" w14:textId="77777777" w:rsidTr="00406066">
        <w:trPr>
          <w:tblCellSpacing w:w="15" w:type="dxa"/>
        </w:trPr>
        <w:tc>
          <w:tcPr>
            <w:tcW w:w="0" w:type="auto"/>
            <w:vAlign w:val="center"/>
            <w:hideMark/>
          </w:tcPr>
          <w:p w14:paraId="12E079E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Google Earth Engine</w:t>
            </w:r>
          </w:p>
        </w:tc>
        <w:tc>
          <w:tcPr>
            <w:tcW w:w="0" w:type="auto"/>
            <w:vAlign w:val="center"/>
            <w:hideMark/>
          </w:tcPr>
          <w:p w14:paraId="48B1B83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 API or client libraries</w:t>
            </w:r>
          </w:p>
        </w:tc>
        <w:tc>
          <w:tcPr>
            <w:tcW w:w="0" w:type="auto"/>
            <w:vAlign w:val="center"/>
            <w:hideMark/>
          </w:tcPr>
          <w:p w14:paraId="64F4BDE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Catalog access, custom computations, time-series analysis</w:t>
            </w:r>
          </w:p>
        </w:tc>
        <w:tc>
          <w:tcPr>
            <w:tcW w:w="0" w:type="auto"/>
            <w:vAlign w:val="center"/>
            <w:hideMark/>
          </w:tcPr>
          <w:p w14:paraId="1C26B31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On-demand</w:t>
            </w:r>
          </w:p>
        </w:tc>
        <w:tc>
          <w:tcPr>
            <w:tcW w:w="0" w:type="auto"/>
            <w:vAlign w:val="center"/>
            <w:hideMark/>
          </w:tcPr>
          <w:p w14:paraId="13B1679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Methodology and reproducibility must be documented</w:t>
            </w:r>
          </w:p>
        </w:tc>
      </w:tr>
      <w:tr w:rsidR="004E7C51" w:rsidRPr="00B479AE" w14:paraId="0BD029AC" w14:textId="77777777" w:rsidTr="00406066">
        <w:trPr>
          <w:tblCellSpacing w:w="15" w:type="dxa"/>
        </w:trPr>
        <w:tc>
          <w:tcPr>
            <w:tcW w:w="0" w:type="auto"/>
            <w:vAlign w:val="center"/>
            <w:hideMark/>
          </w:tcPr>
          <w:p w14:paraId="6D994B6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NASA </w:t>
            </w:r>
            <w:proofErr w:type="spellStart"/>
            <w:r w:rsidRPr="00B479AE">
              <w:rPr>
                <w:rFonts w:ascii="Baskerville Old Face" w:hAnsi="Baskerville Old Face"/>
                <w:i/>
                <w:iCs/>
                <w:sz w:val="20"/>
                <w:szCs w:val="20"/>
              </w:rPr>
              <w:t>EarthData</w:t>
            </w:r>
            <w:proofErr w:type="spellEnd"/>
          </w:p>
        </w:tc>
        <w:tc>
          <w:tcPr>
            <w:tcW w:w="0" w:type="auto"/>
            <w:vAlign w:val="center"/>
            <w:hideMark/>
          </w:tcPr>
          <w:p w14:paraId="2CEE22B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REST API, </w:t>
            </w:r>
            <w:proofErr w:type="spellStart"/>
            <w:r w:rsidRPr="00B479AE">
              <w:rPr>
                <w:rFonts w:ascii="Baskerville Old Face" w:hAnsi="Baskerville Old Face"/>
                <w:i/>
                <w:iCs/>
                <w:sz w:val="20"/>
                <w:szCs w:val="20"/>
              </w:rPr>
              <w:t>OPeNDAP</w:t>
            </w:r>
            <w:proofErr w:type="spellEnd"/>
          </w:p>
        </w:tc>
        <w:tc>
          <w:tcPr>
            <w:tcW w:w="0" w:type="auto"/>
            <w:vAlign w:val="center"/>
            <w:hideMark/>
          </w:tcPr>
          <w:p w14:paraId="46B72CE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MODIS, Landsat, SRTM, climate and Earth observation products</w:t>
            </w:r>
          </w:p>
        </w:tc>
        <w:tc>
          <w:tcPr>
            <w:tcW w:w="0" w:type="auto"/>
            <w:vAlign w:val="center"/>
            <w:hideMark/>
          </w:tcPr>
          <w:p w14:paraId="7C41C8D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Daily to monthly</w:t>
            </w:r>
          </w:p>
        </w:tc>
        <w:tc>
          <w:tcPr>
            <w:tcW w:w="0" w:type="auto"/>
            <w:vAlign w:val="center"/>
            <w:hideMark/>
          </w:tcPr>
          <w:p w14:paraId="02C2F22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Dataset suitability varies by scale and indicator</w:t>
            </w:r>
          </w:p>
        </w:tc>
      </w:tr>
      <w:tr w:rsidR="004E7C51" w:rsidRPr="00B479AE" w14:paraId="6A1E0606" w14:textId="77777777" w:rsidTr="00406066">
        <w:trPr>
          <w:tblCellSpacing w:w="15" w:type="dxa"/>
        </w:trPr>
        <w:tc>
          <w:tcPr>
            <w:tcW w:w="0" w:type="auto"/>
            <w:vAlign w:val="center"/>
            <w:hideMark/>
          </w:tcPr>
          <w:p w14:paraId="4BDB4FC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Copernicus data services</w:t>
            </w:r>
          </w:p>
        </w:tc>
        <w:tc>
          <w:tcPr>
            <w:tcW w:w="0" w:type="auto"/>
            <w:vAlign w:val="center"/>
            <w:hideMark/>
          </w:tcPr>
          <w:p w14:paraId="378F664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OData, REST, or provider API</w:t>
            </w:r>
          </w:p>
        </w:tc>
        <w:tc>
          <w:tcPr>
            <w:tcW w:w="0" w:type="auto"/>
            <w:vAlign w:val="center"/>
            <w:hideMark/>
          </w:tcPr>
          <w:p w14:paraId="1353DE8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Sentinel imagery and derived products</w:t>
            </w:r>
          </w:p>
        </w:tc>
        <w:tc>
          <w:tcPr>
            <w:tcW w:w="0" w:type="auto"/>
            <w:vAlign w:val="center"/>
            <w:hideMark/>
          </w:tcPr>
          <w:p w14:paraId="138BC87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Daily or provider-dependent</w:t>
            </w:r>
          </w:p>
        </w:tc>
        <w:tc>
          <w:tcPr>
            <w:tcW w:w="0" w:type="auto"/>
            <w:vAlign w:val="center"/>
            <w:hideMark/>
          </w:tcPr>
          <w:p w14:paraId="7497442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Must document product version and preprocessing</w:t>
            </w:r>
          </w:p>
        </w:tc>
      </w:tr>
      <w:tr w:rsidR="004E7C51" w:rsidRPr="00B479AE" w14:paraId="6EF40848" w14:textId="77777777" w:rsidTr="00406066">
        <w:trPr>
          <w:tblCellSpacing w:w="15" w:type="dxa"/>
        </w:trPr>
        <w:tc>
          <w:tcPr>
            <w:tcW w:w="0" w:type="auto"/>
            <w:vAlign w:val="center"/>
            <w:hideMark/>
          </w:tcPr>
          <w:p w14:paraId="1CD9F23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Esri Living Atlas or equivalent GIS services</w:t>
            </w:r>
          </w:p>
        </w:tc>
        <w:tc>
          <w:tcPr>
            <w:tcW w:w="0" w:type="auto"/>
            <w:vAlign w:val="center"/>
            <w:hideMark/>
          </w:tcPr>
          <w:p w14:paraId="702E003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REST API</w:t>
            </w:r>
          </w:p>
        </w:tc>
        <w:tc>
          <w:tcPr>
            <w:tcW w:w="0" w:type="auto"/>
            <w:vAlign w:val="center"/>
            <w:hideMark/>
          </w:tcPr>
          <w:p w14:paraId="2FCC49A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Land cover, environmental, climate, demographic, and infrastructure layers</w:t>
            </w:r>
          </w:p>
        </w:tc>
        <w:tc>
          <w:tcPr>
            <w:tcW w:w="0" w:type="auto"/>
            <w:vAlign w:val="center"/>
            <w:hideMark/>
          </w:tcPr>
          <w:p w14:paraId="4B33552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Varies</w:t>
            </w:r>
          </w:p>
        </w:tc>
        <w:tc>
          <w:tcPr>
            <w:tcW w:w="0" w:type="auto"/>
            <w:vAlign w:val="center"/>
            <w:hideMark/>
          </w:tcPr>
          <w:p w14:paraId="0B55A05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Context layer; not a substitute for site MRV</w:t>
            </w:r>
          </w:p>
        </w:tc>
      </w:tr>
    </w:tbl>
    <w:p w14:paraId="31EADA8A" w14:textId="77777777" w:rsidR="00CF7407" w:rsidRPr="00B479AE" w:rsidRDefault="00CF7407" w:rsidP="004E7C51">
      <w:pPr>
        <w:tabs>
          <w:tab w:val="left" w:pos="2685"/>
        </w:tabs>
        <w:spacing w:line="360" w:lineRule="auto"/>
        <w:rPr>
          <w:rFonts w:ascii="Baskerville Old Face" w:hAnsi="Baskerville Old Face"/>
          <w:b/>
          <w:bCs/>
          <w:i/>
          <w:iCs/>
        </w:rPr>
      </w:pPr>
    </w:p>
    <w:p w14:paraId="295FC70A" w14:textId="77777777" w:rsidR="00CF7407" w:rsidRPr="00B479AE" w:rsidRDefault="00CF7407" w:rsidP="004E7C51">
      <w:pPr>
        <w:tabs>
          <w:tab w:val="left" w:pos="2685"/>
        </w:tabs>
        <w:spacing w:line="360" w:lineRule="auto"/>
        <w:rPr>
          <w:rFonts w:ascii="Baskerville Old Face" w:hAnsi="Baskerville Old Face"/>
          <w:b/>
          <w:bCs/>
          <w:i/>
          <w:iCs/>
        </w:rPr>
      </w:pPr>
    </w:p>
    <w:p w14:paraId="3711DC86" w14:textId="77777777" w:rsidR="00CF7407" w:rsidRPr="00B479AE" w:rsidRDefault="00CF7407" w:rsidP="004E7C51">
      <w:pPr>
        <w:tabs>
          <w:tab w:val="left" w:pos="2685"/>
        </w:tabs>
        <w:spacing w:line="360" w:lineRule="auto"/>
        <w:rPr>
          <w:rFonts w:ascii="Baskerville Old Face" w:hAnsi="Baskerville Old Face"/>
          <w:b/>
          <w:bCs/>
          <w:i/>
          <w:iCs/>
        </w:rPr>
      </w:pPr>
    </w:p>
    <w:p w14:paraId="696CD708" w14:textId="77777777" w:rsidR="00CF7407" w:rsidRPr="00B479AE" w:rsidRDefault="00CF7407" w:rsidP="004E7C51">
      <w:pPr>
        <w:tabs>
          <w:tab w:val="left" w:pos="2685"/>
        </w:tabs>
        <w:spacing w:line="360" w:lineRule="auto"/>
        <w:rPr>
          <w:rFonts w:ascii="Baskerville Old Face" w:hAnsi="Baskerville Old Face"/>
          <w:b/>
          <w:bCs/>
          <w:i/>
          <w:iCs/>
        </w:rPr>
      </w:pPr>
    </w:p>
    <w:p w14:paraId="1041304B" w14:textId="77777777" w:rsidR="00CF7407" w:rsidRPr="00B479AE" w:rsidRDefault="00CF7407" w:rsidP="004E7C51">
      <w:pPr>
        <w:tabs>
          <w:tab w:val="left" w:pos="2685"/>
        </w:tabs>
        <w:spacing w:line="360" w:lineRule="auto"/>
        <w:rPr>
          <w:rFonts w:ascii="Baskerville Old Face" w:hAnsi="Baskerville Old Face"/>
          <w:b/>
          <w:bCs/>
          <w:i/>
          <w:iCs/>
        </w:rPr>
      </w:pPr>
    </w:p>
    <w:p w14:paraId="3552BCC9" w14:textId="77777777" w:rsidR="00CF7407" w:rsidRPr="00B479AE" w:rsidRDefault="00CF7407" w:rsidP="004E7C51">
      <w:pPr>
        <w:tabs>
          <w:tab w:val="left" w:pos="2685"/>
        </w:tabs>
        <w:spacing w:line="360" w:lineRule="auto"/>
        <w:rPr>
          <w:rFonts w:ascii="Baskerville Old Face" w:hAnsi="Baskerville Old Face"/>
          <w:b/>
          <w:bCs/>
          <w:i/>
          <w:iCs/>
        </w:rPr>
      </w:pPr>
    </w:p>
    <w:p w14:paraId="0D36CD52" w14:textId="77777777" w:rsidR="00CF7407" w:rsidRPr="00B479AE" w:rsidRDefault="00CF7407" w:rsidP="004E7C51">
      <w:pPr>
        <w:tabs>
          <w:tab w:val="left" w:pos="2685"/>
        </w:tabs>
        <w:spacing w:line="360" w:lineRule="auto"/>
        <w:rPr>
          <w:rFonts w:ascii="Baskerville Old Face" w:hAnsi="Baskerville Old Face"/>
          <w:b/>
          <w:bCs/>
          <w:i/>
          <w:iCs/>
        </w:rPr>
      </w:pPr>
    </w:p>
    <w:p w14:paraId="6EF3D913" w14:textId="77777777" w:rsidR="00CF7407" w:rsidRPr="00B479AE" w:rsidRDefault="00CF7407" w:rsidP="004E7C51">
      <w:pPr>
        <w:tabs>
          <w:tab w:val="left" w:pos="2685"/>
        </w:tabs>
        <w:spacing w:line="360" w:lineRule="auto"/>
        <w:rPr>
          <w:rFonts w:ascii="Baskerville Old Face" w:hAnsi="Baskerville Old Face"/>
          <w:b/>
          <w:bCs/>
          <w:i/>
          <w:iCs/>
        </w:rPr>
      </w:pPr>
    </w:p>
    <w:p w14:paraId="52DBD459" w14:textId="77777777" w:rsidR="00CF7407" w:rsidRPr="00B479AE" w:rsidRDefault="00CF7407" w:rsidP="004E7C51">
      <w:pPr>
        <w:tabs>
          <w:tab w:val="left" w:pos="2685"/>
        </w:tabs>
        <w:spacing w:line="360" w:lineRule="auto"/>
        <w:rPr>
          <w:rFonts w:ascii="Baskerville Old Face" w:hAnsi="Baskerville Old Face"/>
          <w:b/>
          <w:bCs/>
          <w:i/>
          <w:iCs/>
        </w:rPr>
      </w:pPr>
    </w:p>
    <w:p w14:paraId="22EEAF97" w14:textId="1BDB9B26"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L.7.3 IoT Platform Connectors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0"/>
        <w:gridCol w:w="1440"/>
        <w:gridCol w:w="2116"/>
        <w:gridCol w:w="1790"/>
        <w:gridCol w:w="2182"/>
      </w:tblGrid>
      <w:tr w:rsidR="004E7C51" w:rsidRPr="00B479AE" w14:paraId="34EC5D38" w14:textId="77777777" w:rsidTr="00406066">
        <w:trPr>
          <w:tblHeader/>
          <w:tblCellSpacing w:w="15" w:type="dxa"/>
        </w:trPr>
        <w:tc>
          <w:tcPr>
            <w:tcW w:w="0" w:type="auto"/>
            <w:vAlign w:val="center"/>
            <w:hideMark/>
          </w:tcPr>
          <w:p w14:paraId="39D2EA08"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Platform</w:t>
            </w:r>
          </w:p>
        </w:tc>
        <w:tc>
          <w:tcPr>
            <w:tcW w:w="0" w:type="auto"/>
            <w:vAlign w:val="center"/>
            <w:hideMark/>
          </w:tcPr>
          <w:p w14:paraId="6B68F4E5"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Protocol</w:t>
            </w:r>
          </w:p>
        </w:tc>
        <w:tc>
          <w:tcPr>
            <w:tcW w:w="0" w:type="auto"/>
            <w:vAlign w:val="center"/>
            <w:hideMark/>
          </w:tcPr>
          <w:p w14:paraId="3487D3AD"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Data types</w:t>
            </w:r>
          </w:p>
        </w:tc>
        <w:tc>
          <w:tcPr>
            <w:tcW w:w="0" w:type="auto"/>
            <w:vAlign w:val="center"/>
            <w:hideMark/>
          </w:tcPr>
          <w:p w14:paraId="59D06FA2"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Authentication</w:t>
            </w:r>
          </w:p>
        </w:tc>
        <w:tc>
          <w:tcPr>
            <w:tcW w:w="0" w:type="auto"/>
            <w:vAlign w:val="center"/>
            <w:hideMark/>
          </w:tcPr>
          <w:p w14:paraId="2C578740"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4E7C51" w:rsidRPr="00B479AE" w14:paraId="324B96DB" w14:textId="77777777" w:rsidTr="00406066">
        <w:trPr>
          <w:tblCellSpacing w:w="15" w:type="dxa"/>
        </w:trPr>
        <w:tc>
          <w:tcPr>
            <w:tcW w:w="0" w:type="auto"/>
            <w:vAlign w:val="center"/>
            <w:hideMark/>
          </w:tcPr>
          <w:p w14:paraId="6AC1054F"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The Things Network or equivalent </w:t>
            </w:r>
            <w:proofErr w:type="spellStart"/>
            <w:r w:rsidRPr="00B479AE">
              <w:rPr>
                <w:rFonts w:ascii="Baskerville Old Face" w:hAnsi="Baskerville Old Face"/>
                <w:i/>
                <w:iCs/>
                <w:sz w:val="20"/>
                <w:szCs w:val="20"/>
              </w:rPr>
              <w:t>LoRaWAN</w:t>
            </w:r>
            <w:proofErr w:type="spellEnd"/>
            <w:r w:rsidRPr="00B479AE">
              <w:rPr>
                <w:rFonts w:ascii="Baskerville Old Face" w:hAnsi="Baskerville Old Face"/>
                <w:i/>
                <w:iCs/>
                <w:sz w:val="20"/>
                <w:szCs w:val="20"/>
              </w:rPr>
              <w:t xml:space="preserve"> network</w:t>
            </w:r>
          </w:p>
        </w:tc>
        <w:tc>
          <w:tcPr>
            <w:tcW w:w="0" w:type="auto"/>
            <w:vAlign w:val="center"/>
            <w:hideMark/>
          </w:tcPr>
          <w:p w14:paraId="09F58AF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MQTT, HTTP, </w:t>
            </w:r>
            <w:proofErr w:type="spellStart"/>
            <w:r w:rsidRPr="00B479AE">
              <w:rPr>
                <w:rFonts w:ascii="Baskerville Old Face" w:hAnsi="Baskerville Old Face"/>
                <w:i/>
                <w:iCs/>
                <w:sz w:val="20"/>
                <w:szCs w:val="20"/>
              </w:rPr>
              <w:t>gRPC</w:t>
            </w:r>
            <w:proofErr w:type="spellEnd"/>
            <w:r w:rsidRPr="00B479AE">
              <w:rPr>
                <w:rFonts w:ascii="Baskerville Old Face" w:hAnsi="Baskerville Old Face"/>
                <w:i/>
                <w:iCs/>
                <w:sz w:val="20"/>
                <w:szCs w:val="20"/>
              </w:rPr>
              <w:t xml:space="preserve"> where available</w:t>
            </w:r>
          </w:p>
        </w:tc>
        <w:tc>
          <w:tcPr>
            <w:tcW w:w="0" w:type="auto"/>
            <w:vAlign w:val="center"/>
            <w:hideMark/>
          </w:tcPr>
          <w:p w14:paraId="2BE18C83" w14:textId="77777777" w:rsidR="004E7C51" w:rsidRPr="00B479AE" w:rsidRDefault="004E7C51" w:rsidP="004E7C51">
            <w:pPr>
              <w:tabs>
                <w:tab w:val="left" w:pos="2685"/>
              </w:tabs>
              <w:spacing w:line="360" w:lineRule="auto"/>
              <w:rPr>
                <w:rFonts w:ascii="Baskerville Old Face" w:hAnsi="Baskerville Old Face"/>
                <w:i/>
                <w:iCs/>
                <w:sz w:val="20"/>
                <w:szCs w:val="20"/>
              </w:rPr>
            </w:pPr>
            <w:proofErr w:type="spellStart"/>
            <w:r w:rsidRPr="00B479AE">
              <w:rPr>
                <w:rFonts w:ascii="Baskerville Old Face" w:hAnsi="Baskerville Old Face"/>
                <w:i/>
                <w:iCs/>
                <w:sz w:val="20"/>
                <w:szCs w:val="20"/>
              </w:rPr>
              <w:t>LoRaWAN</w:t>
            </w:r>
            <w:proofErr w:type="spellEnd"/>
            <w:r w:rsidRPr="00B479AE">
              <w:rPr>
                <w:rFonts w:ascii="Baskerville Old Face" w:hAnsi="Baskerville Old Face"/>
                <w:i/>
                <w:iCs/>
                <w:sz w:val="20"/>
                <w:szCs w:val="20"/>
              </w:rPr>
              <w:t xml:space="preserve"> sensor data</w:t>
            </w:r>
          </w:p>
        </w:tc>
        <w:tc>
          <w:tcPr>
            <w:tcW w:w="0" w:type="auto"/>
            <w:vAlign w:val="center"/>
            <w:hideMark/>
          </w:tcPr>
          <w:p w14:paraId="06D8427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OAuth, or device credentials</w:t>
            </w:r>
          </w:p>
        </w:tc>
        <w:tc>
          <w:tcPr>
            <w:tcW w:w="0" w:type="auto"/>
            <w:vAlign w:val="center"/>
            <w:hideMark/>
          </w:tcPr>
          <w:p w14:paraId="317A0CD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Device identity and calibration status required</w:t>
            </w:r>
          </w:p>
        </w:tc>
      </w:tr>
      <w:tr w:rsidR="004E7C51" w:rsidRPr="00B479AE" w14:paraId="340E0CFF" w14:textId="77777777" w:rsidTr="00406066">
        <w:trPr>
          <w:tblCellSpacing w:w="15" w:type="dxa"/>
        </w:trPr>
        <w:tc>
          <w:tcPr>
            <w:tcW w:w="0" w:type="auto"/>
            <w:vAlign w:val="center"/>
            <w:hideMark/>
          </w:tcPr>
          <w:p w14:paraId="18E727F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AWS IoT Core or equivalent cloud IoT platform</w:t>
            </w:r>
          </w:p>
        </w:tc>
        <w:tc>
          <w:tcPr>
            <w:tcW w:w="0" w:type="auto"/>
            <w:vAlign w:val="center"/>
            <w:hideMark/>
          </w:tcPr>
          <w:p w14:paraId="76F5622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MQTT, HTTP</w:t>
            </w:r>
          </w:p>
        </w:tc>
        <w:tc>
          <w:tcPr>
            <w:tcW w:w="0" w:type="auto"/>
            <w:vAlign w:val="center"/>
            <w:hideMark/>
          </w:tcPr>
          <w:p w14:paraId="3EC4800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Sensor and device data</w:t>
            </w:r>
          </w:p>
        </w:tc>
        <w:tc>
          <w:tcPr>
            <w:tcW w:w="0" w:type="auto"/>
            <w:vAlign w:val="center"/>
            <w:hideMark/>
          </w:tcPr>
          <w:p w14:paraId="1370C6E5"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X.509 certificates or service credentials</w:t>
            </w:r>
          </w:p>
        </w:tc>
        <w:tc>
          <w:tcPr>
            <w:tcW w:w="0" w:type="auto"/>
            <w:vAlign w:val="center"/>
            <w:hideMark/>
          </w:tcPr>
          <w:p w14:paraId="688AE8B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Cloud dependency and data residency must be reviewed</w:t>
            </w:r>
          </w:p>
        </w:tc>
      </w:tr>
      <w:tr w:rsidR="004E7C51" w:rsidRPr="00B479AE" w14:paraId="079403AA" w14:textId="77777777" w:rsidTr="00406066">
        <w:trPr>
          <w:tblCellSpacing w:w="15" w:type="dxa"/>
        </w:trPr>
        <w:tc>
          <w:tcPr>
            <w:tcW w:w="0" w:type="auto"/>
            <w:vAlign w:val="center"/>
            <w:hideMark/>
          </w:tcPr>
          <w:p w14:paraId="1A1550A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Azure IoT Hub or equivalent platform</w:t>
            </w:r>
          </w:p>
        </w:tc>
        <w:tc>
          <w:tcPr>
            <w:tcW w:w="0" w:type="auto"/>
            <w:vAlign w:val="center"/>
            <w:hideMark/>
          </w:tcPr>
          <w:p w14:paraId="3EC4E5F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MQTT, AMQP, HTTPS</w:t>
            </w:r>
          </w:p>
        </w:tc>
        <w:tc>
          <w:tcPr>
            <w:tcW w:w="0" w:type="auto"/>
            <w:vAlign w:val="center"/>
            <w:hideMark/>
          </w:tcPr>
          <w:p w14:paraId="22B7553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Sensor and device data</w:t>
            </w:r>
          </w:p>
        </w:tc>
        <w:tc>
          <w:tcPr>
            <w:tcW w:w="0" w:type="auto"/>
            <w:vAlign w:val="center"/>
            <w:hideMark/>
          </w:tcPr>
          <w:p w14:paraId="6E4D6EC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SAS tokens or service credentials</w:t>
            </w:r>
          </w:p>
        </w:tc>
        <w:tc>
          <w:tcPr>
            <w:tcW w:w="0" w:type="auto"/>
            <w:vAlign w:val="center"/>
            <w:hideMark/>
          </w:tcPr>
          <w:p w14:paraId="2B9ED66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Data classification and access control required</w:t>
            </w:r>
          </w:p>
        </w:tc>
      </w:tr>
      <w:tr w:rsidR="004E7C51" w:rsidRPr="00B479AE" w14:paraId="78935646" w14:textId="77777777" w:rsidTr="00406066">
        <w:trPr>
          <w:tblCellSpacing w:w="15" w:type="dxa"/>
        </w:trPr>
        <w:tc>
          <w:tcPr>
            <w:tcW w:w="0" w:type="auto"/>
            <w:vAlign w:val="center"/>
            <w:hideMark/>
          </w:tcPr>
          <w:p w14:paraId="545D46DB" w14:textId="77777777" w:rsidR="004E7C51" w:rsidRPr="00B479AE" w:rsidRDefault="004E7C51" w:rsidP="004E7C51">
            <w:pPr>
              <w:tabs>
                <w:tab w:val="left" w:pos="2685"/>
              </w:tabs>
              <w:spacing w:line="360" w:lineRule="auto"/>
              <w:rPr>
                <w:rFonts w:ascii="Baskerville Old Face" w:hAnsi="Baskerville Old Face"/>
                <w:i/>
                <w:iCs/>
                <w:sz w:val="20"/>
                <w:szCs w:val="20"/>
              </w:rPr>
            </w:pPr>
            <w:proofErr w:type="spellStart"/>
            <w:r w:rsidRPr="00B479AE">
              <w:rPr>
                <w:rFonts w:ascii="Baskerville Old Face" w:hAnsi="Baskerville Old Face"/>
                <w:i/>
                <w:iCs/>
                <w:sz w:val="20"/>
                <w:szCs w:val="20"/>
              </w:rPr>
              <w:t>ThingsBoard</w:t>
            </w:r>
            <w:proofErr w:type="spellEnd"/>
            <w:r w:rsidRPr="00B479AE">
              <w:rPr>
                <w:rFonts w:ascii="Baskerville Old Face" w:hAnsi="Baskerville Old Face"/>
                <w:i/>
                <w:iCs/>
                <w:sz w:val="20"/>
                <w:szCs w:val="20"/>
              </w:rPr>
              <w:t xml:space="preserve"> or equivalent IoT platform</w:t>
            </w:r>
          </w:p>
        </w:tc>
        <w:tc>
          <w:tcPr>
            <w:tcW w:w="0" w:type="auto"/>
            <w:vAlign w:val="center"/>
            <w:hideMark/>
          </w:tcPr>
          <w:p w14:paraId="19741EF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MQTT, CoAP, HTTP</w:t>
            </w:r>
          </w:p>
        </w:tc>
        <w:tc>
          <w:tcPr>
            <w:tcW w:w="0" w:type="auto"/>
            <w:vAlign w:val="center"/>
            <w:hideMark/>
          </w:tcPr>
          <w:p w14:paraId="16D3E62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IoT device management and telemetry</w:t>
            </w:r>
          </w:p>
        </w:tc>
        <w:tc>
          <w:tcPr>
            <w:tcW w:w="0" w:type="auto"/>
            <w:vAlign w:val="center"/>
            <w:hideMark/>
          </w:tcPr>
          <w:p w14:paraId="5A3167D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JWT or platform credential</w:t>
            </w:r>
          </w:p>
        </w:tc>
        <w:tc>
          <w:tcPr>
            <w:tcW w:w="0" w:type="auto"/>
            <w:vAlign w:val="center"/>
            <w:hideMark/>
          </w:tcPr>
          <w:p w14:paraId="346A999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Integration must preserve provenance and device metadata</w:t>
            </w:r>
          </w:p>
        </w:tc>
      </w:tr>
      <w:tr w:rsidR="004E7C51" w:rsidRPr="00B479AE" w14:paraId="54C821FF" w14:textId="77777777" w:rsidTr="00406066">
        <w:trPr>
          <w:tblCellSpacing w:w="15" w:type="dxa"/>
        </w:trPr>
        <w:tc>
          <w:tcPr>
            <w:tcW w:w="0" w:type="auto"/>
            <w:vAlign w:val="center"/>
            <w:hideMark/>
          </w:tcPr>
          <w:p w14:paraId="4761B78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Local edge gateway</w:t>
            </w:r>
          </w:p>
        </w:tc>
        <w:tc>
          <w:tcPr>
            <w:tcW w:w="0" w:type="auto"/>
            <w:vAlign w:val="center"/>
            <w:hideMark/>
          </w:tcPr>
          <w:p w14:paraId="0AC9EEA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MQTT, HTTP, file sync, local API</w:t>
            </w:r>
          </w:p>
        </w:tc>
        <w:tc>
          <w:tcPr>
            <w:tcW w:w="0" w:type="auto"/>
            <w:vAlign w:val="center"/>
            <w:hideMark/>
          </w:tcPr>
          <w:p w14:paraId="7FD4B91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Local sensor streams, offline records, edge computations</w:t>
            </w:r>
          </w:p>
        </w:tc>
        <w:tc>
          <w:tcPr>
            <w:tcW w:w="0" w:type="auto"/>
            <w:vAlign w:val="center"/>
            <w:hideMark/>
          </w:tcPr>
          <w:p w14:paraId="1ECD3A9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Device signature or service credential</w:t>
            </w:r>
          </w:p>
        </w:tc>
        <w:tc>
          <w:tcPr>
            <w:tcW w:w="0" w:type="auto"/>
            <w:vAlign w:val="center"/>
            <w:hideMark/>
          </w:tcPr>
          <w:p w14:paraId="424E66B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Critical for offline continuity and degraded-network operation</w:t>
            </w:r>
          </w:p>
        </w:tc>
      </w:tr>
    </w:tbl>
    <w:p w14:paraId="1CCD1C77"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L.7.4 Financial and Market Data Connectors</w:t>
      </w:r>
    </w:p>
    <w:p w14:paraId="03C9B92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Financial and market data connectors may support capital-readiness analysis, treasury monitoring, currency conversion, market context, institutional reporting, or legally structured instrument analysis.</w:t>
      </w:r>
    </w:p>
    <w:p w14:paraId="6CCFEDC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They should not determine PRU value by themselves.</w:t>
      </w:r>
    </w:p>
    <w:p w14:paraId="7FE27788" w14:textId="3CBC0D14"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They should not create investment advice, offering status, token price, legal rights, or automated execution.</w:t>
      </w:r>
      <w:r w:rsidR="00CF7407" w:rsidRPr="00B479AE">
        <w:rPr>
          <w:rFonts w:ascii="Baskerville Old Face" w:hAnsi="Baskerville Old Face"/>
          <w:i/>
          <w:iCs/>
        </w:rPr>
        <w:t xml:space="preserve"> </w:t>
      </w:r>
    </w:p>
    <w:p w14:paraId="7FCCA40F" w14:textId="77777777" w:rsidR="00CF7407" w:rsidRPr="00B479AE" w:rsidRDefault="00CF7407" w:rsidP="004E7C51">
      <w:pPr>
        <w:tabs>
          <w:tab w:val="left" w:pos="2685"/>
        </w:tabs>
        <w:spacing w:line="360" w:lineRule="auto"/>
        <w:rPr>
          <w:rFonts w:ascii="Baskerville Old Face" w:hAnsi="Baskerville Old Face"/>
          <w:i/>
          <w:iCs/>
        </w:rPr>
      </w:pPr>
    </w:p>
    <w:p w14:paraId="36082B00" w14:textId="77777777" w:rsidR="00CF7407" w:rsidRPr="00B479AE" w:rsidRDefault="00CF7407" w:rsidP="004E7C51">
      <w:pPr>
        <w:tabs>
          <w:tab w:val="left" w:pos="2685"/>
        </w:tabs>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9"/>
        <w:gridCol w:w="1744"/>
        <w:gridCol w:w="2421"/>
        <w:gridCol w:w="1729"/>
        <w:gridCol w:w="2105"/>
      </w:tblGrid>
      <w:tr w:rsidR="004E7C51" w:rsidRPr="00B479AE" w14:paraId="6257CF91" w14:textId="77777777" w:rsidTr="00CF7407">
        <w:trPr>
          <w:tblHeader/>
          <w:tblCellSpacing w:w="15" w:type="dxa"/>
        </w:trPr>
        <w:tc>
          <w:tcPr>
            <w:tcW w:w="0" w:type="auto"/>
            <w:vAlign w:val="center"/>
            <w:hideMark/>
          </w:tcPr>
          <w:p w14:paraId="2E10A71A"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lastRenderedPageBreak/>
              <w:t>Provider / source type</w:t>
            </w:r>
          </w:p>
        </w:tc>
        <w:tc>
          <w:tcPr>
            <w:tcW w:w="0" w:type="auto"/>
            <w:vAlign w:val="center"/>
            <w:hideMark/>
          </w:tcPr>
          <w:p w14:paraId="4FE74C50"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Protocol</w:t>
            </w:r>
          </w:p>
        </w:tc>
        <w:tc>
          <w:tcPr>
            <w:tcW w:w="0" w:type="auto"/>
            <w:vAlign w:val="center"/>
            <w:hideMark/>
          </w:tcPr>
          <w:p w14:paraId="776777EB"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Data types</w:t>
            </w:r>
          </w:p>
        </w:tc>
        <w:tc>
          <w:tcPr>
            <w:tcW w:w="0" w:type="auto"/>
            <w:vAlign w:val="center"/>
            <w:hideMark/>
          </w:tcPr>
          <w:p w14:paraId="577070ED"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Use case</w:t>
            </w:r>
          </w:p>
        </w:tc>
        <w:tc>
          <w:tcPr>
            <w:tcW w:w="0" w:type="auto"/>
            <w:vAlign w:val="center"/>
            <w:hideMark/>
          </w:tcPr>
          <w:p w14:paraId="0FA905FF"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Boundary</w:t>
            </w:r>
          </w:p>
        </w:tc>
      </w:tr>
      <w:tr w:rsidR="004E7C51" w:rsidRPr="00B479AE" w14:paraId="219DC852" w14:textId="77777777" w:rsidTr="00CF7407">
        <w:trPr>
          <w:tblCellSpacing w:w="15" w:type="dxa"/>
        </w:trPr>
        <w:tc>
          <w:tcPr>
            <w:tcW w:w="0" w:type="auto"/>
            <w:vAlign w:val="center"/>
            <w:hideMark/>
          </w:tcPr>
          <w:p w14:paraId="5DC2D5E6"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Market data provider</w:t>
            </w:r>
          </w:p>
        </w:tc>
        <w:tc>
          <w:tcPr>
            <w:tcW w:w="0" w:type="auto"/>
            <w:vAlign w:val="center"/>
            <w:hideMark/>
          </w:tcPr>
          <w:p w14:paraId="1694CBC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REST, WebSocket, or vendor API</w:t>
            </w:r>
          </w:p>
        </w:tc>
        <w:tc>
          <w:tcPr>
            <w:tcW w:w="0" w:type="auto"/>
            <w:vAlign w:val="center"/>
            <w:hideMark/>
          </w:tcPr>
          <w:p w14:paraId="655B128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FX rates, interest rates, macro indicators, market prices</w:t>
            </w:r>
          </w:p>
        </w:tc>
        <w:tc>
          <w:tcPr>
            <w:tcW w:w="0" w:type="auto"/>
            <w:vAlign w:val="center"/>
            <w:hideMark/>
          </w:tcPr>
          <w:p w14:paraId="71E2681B"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Financial modeling and institutional context</w:t>
            </w:r>
          </w:p>
        </w:tc>
        <w:tc>
          <w:tcPr>
            <w:tcW w:w="0" w:type="auto"/>
            <w:vAlign w:val="center"/>
            <w:hideMark/>
          </w:tcPr>
          <w:p w14:paraId="15C0D45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Requires licensing and data-use compliance</w:t>
            </w:r>
          </w:p>
        </w:tc>
      </w:tr>
      <w:tr w:rsidR="004E7C51" w:rsidRPr="00B479AE" w14:paraId="4801F280" w14:textId="77777777" w:rsidTr="00CF7407">
        <w:trPr>
          <w:tblCellSpacing w:w="15" w:type="dxa"/>
        </w:trPr>
        <w:tc>
          <w:tcPr>
            <w:tcW w:w="0" w:type="auto"/>
            <w:vAlign w:val="center"/>
            <w:hideMark/>
          </w:tcPr>
          <w:p w14:paraId="3D1AC1AA"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Institutional terminal provider</w:t>
            </w:r>
          </w:p>
        </w:tc>
        <w:tc>
          <w:tcPr>
            <w:tcW w:w="0" w:type="auto"/>
            <w:vAlign w:val="center"/>
            <w:hideMark/>
          </w:tcPr>
          <w:p w14:paraId="4684625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Vendor API</w:t>
            </w:r>
          </w:p>
        </w:tc>
        <w:tc>
          <w:tcPr>
            <w:tcW w:w="0" w:type="auto"/>
            <w:vAlign w:val="center"/>
            <w:hideMark/>
          </w:tcPr>
          <w:p w14:paraId="5FBE47D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Market analytics, reference data, institutional datasets</w:t>
            </w:r>
          </w:p>
        </w:tc>
        <w:tc>
          <w:tcPr>
            <w:tcW w:w="0" w:type="auto"/>
            <w:vAlign w:val="center"/>
            <w:hideMark/>
          </w:tcPr>
          <w:p w14:paraId="21D652C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Enterprise and data-room analysis</w:t>
            </w:r>
          </w:p>
        </w:tc>
        <w:tc>
          <w:tcPr>
            <w:tcW w:w="0" w:type="auto"/>
            <w:vAlign w:val="center"/>
            <w:hideMark/>
          </w:tcPr>
          <w:p w14:paraId="3632701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Contractual access required</w:t>
            </w:r>
          </w:p>
        </w:tc>
      </w:tr>
      <w:tr w:rsidR="004E7C51" w:rsidRPr="00B479AE" w14:paraId="2192A56D" w14:textId="77777777" w:rsidTr="00CF7407">
        <w:trPr>
          <w:tblCellSpacing w:w="15" w:type="dxa"/>
        </w:trPr>
        <w:tc>
          <w:tcPr>
            <w:tcW w:w="0" w:type="auto"/>
            <w:vAlign w:val="center"/>
            <w:hideMark/>
          </w:tcPr>
          <w:p w14:paraId="0DC0E66E"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Banking or treasury provider</w:t>
            </w:r>
          </w:p>
        </w:tc>
        <w:tc>
          <w:tcPr>
            <w:tcW w:w="0" w:type="auto"/>
            <w:vAlign w:val="center"/>
            <w:hideMark/>
          </w:tcPr>
          <w:p w14:paraId="3C54B9D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API or file export</w:t>
            </w:r>
          </w:p>
        </w:tc>
        <w:tc>
          <w:tcPr>
            <w:tcW w:w="0" w:type="auto"/>
            <w:vAlign w:val="center"/>
            <w:hideMark/>
          </w:tcPr>
          <w:p w14:paraId="196A499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Cash balances, payments, reconciliation records</w:t>
            </w:r>
          </w:p>
        </w:tc>
        <w:tc>
          <w:tcPr>
            <w:tcW w:w="0" w:type="auto"/>
            <w:vAlign w:val="center"/>
            <w:hideMark/>
          </w:tcPr>
          <w:p w14:paraId="1D951F10"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Treasury reporting and operational controls</w:t>
            </w:r>
          </w:p>
        </w:tc>
        <w:tc>
          <w:tcPr>
            <w:tcW w:w="0" w:type="auto"/>
            <w:vAlign w:val="center"/>
            <w:hideMark/>
          </w:tcPr>
          <w:p w14:paraId="7CD5650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Requires legal, AML/KYC, and banking compliance</w:t>
            </w:r>
          </w:p>
        </w:tc>
      </w:tr>
      <w:tr w:rsidR="004E7C51" w:rsidRPr="00B479AE" w14:paraId="06368C79" w14:textId="77777777" w:rsidTr="00CF7407">
        <w:trPr>
          <w:tblCellSpacing w:w="15" w:type="dxa"/>
        </w:trPr>
        <w:tc>
          <w:tcPr>
            <w:tcW w:w="0" w:type="auto"/>
            <w:vAlign w:val="center"/>
            <w:hideMark/>
          </w:tcPr>
          <w:p w14:paraId="11E10A4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Stablecoin or digital settlement provider</w:t>
            </w:r>
          </w:p>
        </w:tc>
        <w:tc>
          <w:tcPr>
            <w:tcW w:w="0" w:type="auto"/>
            <w:vAlign w:val="center"/>
            <w:hideMark/>
          </w:tcPr>
          <w:p w14:paraId="015360A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API, ledger interface, or custodian reporting</w:t>
            </w:r>
          </w:p>
        </w:tc>
        <w:tc>
          <w:tcPr>
            <w:tcW w:w="0" w:type="auto"/>
            <w:vAlign w:val="center"/>
            <w:hideMark/>
          </w:tcPr>
          <w:p w14:paraId="76AF452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Settlement records, reserves, redemption status, compliance metadata</w:t>
            </w:r>
          </w:p>
        </w:tc>
        <w:tc>
          <w:tcPr>
            <w:tcW w:w="0" w:type="auto"/>
            <w:vAlign w:val="center"/>
            <w:hideMark/>
          </w:tcPr>
          <w:p w14:paraId="3CFDA1C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Settlement monitoring where legally available</w:t>
            </w:r>
          </w:p>
        </w:tc>
        <w:tc>
          <w:tcPr>
            <w:tcW w:w="0" w:type="auto"/>
            <w:vAlign w:val="center"/>
            <w:hideMark/>
          </w:tcPr>
          <w:p w14:paraId="6933E07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Issuer-specific diligence and jurisdictional review required</w:t>
            </w:r>
          </w:p>
        </w:tc>
      </w:tr>
      <w:tr w:rsidR="004E7C51" w:rsidRPr="00B479AE" w14:paraId="341C7431" w14:textId="77777777" w:rsidTr="00CF7407">
        <w:trPr>
          <w:tblCellSpacing w:w="15" w:type="dxa"/>
        </w:trPr>
        <w:tc>
          <w:tcPr>
            <w:tcW w:w="0" w:type="auto"/>
            <w:vAlign w:val="center"/>
            <w:hideMark/>
          </w:tcPr>
          <w:p w14:paraId="75B7B89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Public market data source</w:t>
            </w:r>
          </w:p>
        </w:tc>
        <w:tc>
          <w:tcPr>
            <w:tcW w:w="0" w:type="auto"/>
            <w:vAlign w:val="center"/>
            <w:hideMark/>
          </w:tcPr>
          <w:p w14:paraId="2432B49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REST or file import</w:t>
            </w:r>
          </w:p>
        </w:tc>
        <w:tc>
          <w:tcPr>
            <w:tcW w:w="0" w:type="auto"/>
            <w:vAlign w:val="center"/>
            <w:hideMark/>
          </w:tcPr>
          <w:p w14:paraId="484685AE"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Public prices, macro data, reference indicators</w:t>
            </w:r>
          </w:p>
        </w:tc>
        <w:tc>
          <w:tcPr>
            <w:tcW w:w="0" w:type="auto"/>
            <w:vAlign w:val="center"/>
            <w:hideMark/>
          </w:tcPr>
          <w:p w14:paraId="54833DF9"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Contextual analysis</w:t>
            </w:r>
          </w:p>
        </w:tc>
        <w:tc>
          <w:tcPr>
            <w:tcW w:w="0" w:type="auto"/>
            <w:vAlign w:val="center"/>
            <w:hideMark/>
          </w:tcPr>
          <w:p w14:paraId="49ED6A86"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Not sufficient for legal valuation or investor reliance</w:t>
            </w:r>
          </w:p>
        </w:tc>
      </w:tr>
    </w:tbl>
    <w:p w14:paraId="42A249A7"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 xml:space="preserve">L.7.5 </w:t>
      </w:r>
      <w:proofErr w:type="spellStart"/>
      <w:r w:rsidRPr="00B479AE">
        <w:rPr>
          <w:rFonts w:ascii="Baskerville Old Face" w:hAnsi="Baskerville Old Face"/>
          <w:b/>
          <w:bCs/>
          <w:i/>
          <w:iCs/>
        </w:rPr>
        <w:t>ReFi</w:t>
      </w:r>
      <w:proofErr w:type="spellEnd"/>
      <w:r w:rsidRPr="00B479AE">
        <w:rPr>
          <w:rFonts w:ascii="Baskerville Old Face" w:hAnsi="Baskerville Old Face"/>
          <w:b/>
          <w:bCs/>
          <w:i/>
          <w:iCs/>
        </w:rPr>
        <w:t>, RWA, and Digital-Instrument Connectors</w:t>
      </w:r>
    </w:p>
    <w:p w14:paraId="66F05AF1" w14:textId="53A793C2"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Connectors to </w:t>
      </w:r>
      <w:proofErr w:type="spellStart"/>
      <w:r w:rsidRPr="00B479AE">
        <w:rPr>
          <w:rFonts w:ascii="Baskerville Old Face" w:hAnsi="Baskerville Old Face"/>
          <w:i/>
          <w:iCs/>
        </w:rPr>
        <w:t>ReFi</w:t>
      </w:r>
      <w:proofErr w:type="spellEnd"/>
      <w:r w:rsidRPr="00B479AE">
        <w:rPr>
          <w:rFonts w:ascii="Baskerville Old Face" w:hAnsi="Baskerville Old Face"/>
          <w:i/>
          <w:iCs/>
        </w:rPr>
        <w:t>, RWA, blockchain, or digital-instrument ecosystems should be treated as future interoperability pathways, not as automatic Prometheus outputs.</w:t>
      </w:r>
      <w:r w:rsidR="00CF7407"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5"/>
        <w:gridCol w:w="1959"/>
        <w:gridCol w:w="3267"/>
        <w:gridCol w:w="2857"/>
      </w:tblGrid>
      <w:tr w:rsidR="004E7C51" w:rsidRPr="00B479AE" w14:paraId="547E8C8C" w14:textId="77777777" w:rsidTr="00CF7407">
        <w:trPr>
          <w:tblHeader/>
          <w:tblCellSpacing w:w="15" w:type="dxa"/>
        </w:trPr>
        <w:tc>
          <w:tcPr>
            <w:tcW w:w="0" w:type="auto"/>
            <w:vAlign w:val="center"/>
            <w:hideMark/>
          </w:tcPr>
          <w:p w14:paraId="2DDDB023"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Platform / ecosystem type</w:t>
            </w:r>
          </w:p>
        </w:tc>
        <w:tc>
          <w:tcPr>
            <w:tcW w:w="0" w:type="auto"/>
            <w:vAlign w:val="center"/>
            <w:hideMark/>
          </w:tcPr>
          <w:p w14:paraId="2CBAE75D"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Protocol</w:t>
            </w:r>
          </w:p>
        </w:tc>
        <w:tc>
          <w:tcPr>
            <w:tcW w:w="0" w:type="auto"/>
            <w:vAlign w:val="center"/>
            <w:hideMark/>
          </w:tcPr>
          <w:p w14:paraId="194A9A8D"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Integration type</w:t>
            </w:r>
          </w:p>
        </w:tc>
        <w:tc>
          <w:tcPr>
            <w:tcW w:w="0" w:type="auto"/>
            <w:vAlign w:val="center"/>
            <w:hideMark/>
          </w:tcPr>
          <w:p w14:paraId="5E17DCCD"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Boundary</w:t>
            </w:r>
          </w:p>
        </w:tc>
      </w:tr>
      <w:tr w:rsidR="004E7C51" w:rsidRPr="00B479AE" w14:paraId="617F4D4A" w14:textId="77777777" w:rsidTr="00CF7407">
        <w:trPr>
          <w:tblCellSpacing w:w="15" w:type="dxa"/>
        </w:trPr>
        <w:tc>
          <w:tcPr>
            <w:tcW w:w="0" w:type="auto"/>
            <w:vAlign w:val="center"/>
            <w:hideMark/>
          </w:tcPr>
          <w:p w14:paraId="15E2BC2A"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r w:rsidRPr="00B479AE">
              <w:rPr>
                <w:rFonts w:ascii="Baskerville Old Face" w:hAnsi="Baskerville Old Face"/>
                <w:i/>
                <w:iCs/>
                <w:sz w:val="18"/>
                <w:szCs w:val="18"/>
              </w:rPr>
              <w:t>ReFi</w:t>
            </w:r>
            <w:proofErr w:type="spellEnd"/>
            <w:r w:rsidRPr="00B479AE">
              <w:rPr>
                <w:rFonts w:ascii="Baskerville Old Face" w:hAnsi="Baskerville Old Face"/>
                <w:i/>
                <w:iCs/>
                <w:sz w:val="18"/>
                <w:szCs w:val="18"/>
              </w:rPr>
              <w:t xml:space="preserve"> marketplace or registry</w:t>
            </w:r>
          </w:p>
        </w:tc>
        <w:tc>
          <w:tcPr>
            <w:tcW w:w="0" w:type="auto"/>
            <w:vAlign w:val="center"/>
            <w:hideMark/>
          </w:tcPr>
          <w:p w14:paraId="365960EA"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Smart contract, API, or bridge</w:t>
            </w:r>
          </w:p>
        </w:tc>
        <w:tc>
          <w:tcPr>
            <w:tcW w:w="0" w:type="auto"/>
            <w:vAlign w:val="center"/>
            <w:hideMark/>
          </w:tcPr>
          <w:p w14:paraId="1DE7B9B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Data comparison, registry reconciliation, market context</w:t>
            </w:r>
          </w:p>
        </w:tc>
        <w:tc>
          <w:tcPr>
            <w:tcW w:w="0" w:type="auto"/>
            <w:vAlign w:val="center"/>
            <w:hideMark/>
          </w:tcPr>
          <w:p w14:paraId="5DCB761E"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No automatic listing, credit issuance, or financial recognition</w:t>
            </w:r>
          </w:p>
        </w:tc>
      </w:tr>
      <w:tr w:rsidR="004E7C51" w:rsidRPr="00B479AE" w14:paraId="3A96CC8B" w14:textId="77777777" w:rsidTr="00CF7407">
        <w:trPr>
          <w:tblCellSpacing w:w="15" w:type="dxa"/>
        </w:trPr>
        <w:tc>
          <w:tcPr>
            <w:tcW w:w="0" w:type="auto"/>
            <w:vAlign w:val="center"/>
            <w:hideMark/>
          </w:tcPr>
          <w:p w14:paraId="6BC4FB6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RWA platform</w:t>
            </w:r>
          </w:p>
        </w:tc>
        <w:tc>
          <w:tcPr>
            <w:tcW w:w="0" w:type="auto"/>
            <w:vAlign w:val="center"/>
            <w:hideMark/>
          </w:tcPr>
          <w:p w14:paraId="7EED915B"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API, smart contract, or custodian interface</w:t>
            </w:r>
          </w:p>
        </w:tc>
        <w:tc>
          <w:tcPr>
            <w:tcW w:w="0" w:type="auto"/>
            <w:vAlign w:val="center"/>
            <w:hideMark/>
          </w:tcPr>
          <w:p w14:paraId="7AEE4279"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Future compliant representation of legally structured rights</w:t>
            </w:r>
          </w:p>
        </w:tc>
        <w:tc>
          <w:tcPr>
            <w:tcW w:w="0" w:type="auto"/>
            <w:vAlign w:val="center"/>
            <w:hideMark/>
          </w:tcPr>
          <w:p w14:paraId="217903E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Requires legal wrapper, disclosure, custody, and jurisdictional review</w:t>
            </w:r>
          </w:p>
        </w:tc>
      </w:tr>
      <w:tr w:rsidR="004E7C51" w:rsidRPr="00B479AE" w14:paraId="26F8291D" w14:textId="77777777" w:rsidTr="00CF7407">
        <w:trPr>
          <w:tblCellSpacing w:w="15" w:type="dxa"/>
        </w:trPr>
        <w:tc>
          <w:tcPr>
            <w:tcW w:w="0" w:type="auto"/>
            <w:vAlign w:val="center"/>
            <w:hideMark/>
          </w:tcPr>
          <w:p w14:paraId="4631C95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Public blockchain network</w:t>
            </w:r>
          </w:p>
        </w:tc>
        <w:tc>
          <w:tcPr>
            <w:tcW w:w="0" w:type="auto"/>
            <w:vAlign w:val="center"/>
            <w:hideMark/>
          </w:tcPr>
          <w:p w14:paraId="7F06B89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RPC, indexer, bridge, or wallet interface</w:t>
            </w:r>
          </w:p>
        </w:tc>
        <w:tc>
          <w:tcPr>
            <w:tcW w:w="0" w:type="auto"/>
            <w:vAlign w:val="center"/>
            <w:hideMark/>
          </w:tcPr>
          <w:p w14:paraId="3FE487D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Settlement, representation, transparency, or interoperability where appropriate</w:t>
            </w:r>
          </w:p>
        </w:tc>
        <w:tc>
          <w:tcPr>
            <w:tcW w:w="0" w:type="auto"/>
            <w:vAlign w:val="center"/>
            <w:hideMark/>
          </w:tcPr>
          <w:p w14:paraId="3D3B4CA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Blockchain record does not create Prometheus admissibility by itself</w:t>
            </w:r>
          </w:p>
        </w:tc>
      </w:tr>
      <w:tr w:rsidR="004E7C51" w:rsidRPr="00B479AE" w14:paraId="4A99CE7D" w14:textId="77777777" w:rsidTr="00CF7407">
        <w:trPr>
          <w:tblCellSpacing w:w="15" w:type="dxa"/>
        </w:trPr>
        <w:tc>
          <w:tcPr>
            <w:tcW w:w="0" w:type="auto"/>
            <w:vAlign w:val="center"/>
            <w:hideMark/>
          </w:tcPr>
          <w:p w14:paraId="194E08D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Tokenization platform</w:t>
            </w:r>
          </w:p>
        </w:tc>
        <w:tc>
          <w:tcPr>
            <w:tcW w:w="0" w:type="auto"/>
            <w:vAlign w:val="center"/>
            <w:hideMark/>
          </w:tcPr>
          <w:p w14:paraId="61B5E8A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API, smart contract, or issuance platform</w:t>
            </w:r>
          </w:p>
        </w:tc>
        <w:tc>
          <w:tcPr>
            <w:tcW w:w="0" w:type="auto"/>
            <w:vAlign w:val="center"/>
            <w:hideMark/>
          </w:tcPr>
          <w:p w14:paraId="1AAA8876"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Future compliant digital representation</w:t>
            </w:r>
          </w:p>
        </w:tc>
        <w:tc>
          <w:tcPr>
            <w:tcW w:w="0" w:type="auto"/>
            <w:vAlign w:val="center"/>
            <w:hideMark/>
          </w:tcPr>
          <w:p w14:paraId="1B41E92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Requires legally defined underlying right</w:t>
            </w:r>
          </w:p>
        </w:tc>
      </w:tr>
      <w:tr w:rsidR="004E7C51" w:rsidRPr="00B479AE" w14:paraId="23B58A11" w14:textId="77777777" w:rsidTr="00CF7407">
        <w:trPr>
          <w:tblCellSpacing w:w="15" w:type="dxa"/>
        </w:trPr>
        <w:tc>
          <w:tcPr>
            <w:tcW w:w="0" w:type="auto"/>
            <w:vAlign w:val="center"/>
            <w:hideMark/>
          </w:tcPr>
          <w:p w14:paraId="09936509"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Custody provider</w:t>
            </w:r>
          </w:p>
        </w:tc>
        <w:tc>
          <w:tcPr>
            <w:tcW w:w="0" w:type="auto"/>
            <w:vAlign w:val="center"/>
            <w:hideMark/>
          </w:tcPr>
          <w:p w14:paraId="7697B2A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API, reporting file, or institutional interface</w:t>
            </w:r>
          </w:p>
        </w:tc>
        <w:tc>
          <w:tcPr>
            <w:tcW w:w="0" w:type="auto"/>
            <w:vAlign w:val="center"/>
            <w:hideMark/>
          </w:tcPr>
          <w:p w14:paraId="34ADAD3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Custody reporting and reconciliation</w:t>
            </w:r>
          </w:p>
        </w:tc>
        <w:tc>
          <w:tcPr>
            <w:tcW w:w="0" w:type="auto"/>
            <w:vAlign w:val="center"/>
            <w:hideMark/>
          </w:tcPr>
          <w:p w14:paraId="05DA532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Requires custody review, legal agreement, and risk assessment</w:t>
            </w:r>
          </w:p>
        </w:tc>
      </w:tr>
    </w:tbl>
    <w:p w14:paraId="067E61CE"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L.8 Webhook Support</w:t>
      </w:r>
    </w:p>
    <w:p w14:paraId="436EC1DD" w14:textId="3B620796"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may send webhook notifications for asynchronous events, enabling near-real-time integration with external systems.</w:t>
      </w:r>
      <w:r w:rsidR="00675451" w:rsidRPr="00B479AE">
        <w:rPr>
          <w:rFonts w:ascii="Baskerville Old Face" w:hAnsi="Baskerville Old Face"/>
          <w:i/>
          <w:iCs/>
        </w:rPr>
        <w:t xml:space="preserve"> </w:t>
      </w:r>
      <w:r w:rsidRPr="00B479AE">
        <w:rPr>
          <w:rFonts w:ascii="Baskerville Old Face" w:hAnsi="Baskerville Old Face"/>
          <w:i/>
          <w:iCs/>
        </w:rPr>
        <w:t>Webhook notifications should be signed.</w:t>
      </w:r>
      <w:r w:rsidR="00675451" w:rsidRPr="00B479AE">
        <w:rPr>
          <w:rFonts w:ascii="Baskerville Old Face" w:hAnsi="Baskerville Old Face"/>
          <w:i/>
          <w:iCs/>
        </w:rPr>
        <w:t xml:space="preserve"> </w:t>
      </w:r>
      <w:r w:rsidRPr="00B479AE">
        <w:rPr>
          <w:rFonts w:ascii="Baskerville Old Face" w:hAnsi="Baskerville Old Face"/>
          <w:i/>
          <w:iCs/>
        </w:rPr>
        <w:t>Webhook receivers should verify signatures.</w:t>
      </w:r>
      <w:r w:rsidR="00675451" w:rsidRPr="00B479AE">
        <w:rPr>
          <w:rFonts w:ascii="Baskerville Old Face" w:hAnsi="Baskerville Old Face"/>
          <w:i/>
          <w:iCs/>
        </w:rPr>
        <w:t xml:space="preserve"> </w:t>
      </w:r>
      <w:r w:rsidRPr="00B479AE">
        <w:rPr>
          <w:rFonts w:ascii="Baskerville Old Face" w:hAnsi="Baskerville Old Face"/>
          <w:i/>
          <w:iCs/>
        </w:rPr>
        <w:t>Webhook events should include event type, timestamp, event ID, source, payload, and replay-protection metadata.</w:t>
      </w:r>
      <w:r w:rsidR="00675451" w:rsidRPr="00B479AE">
        <w:rPr>
          <w:rFonts w:ascii="Baskerville Old Face" w:hAnsi="Baskerville Old Face"/>
          <w:i/>
          <w:iCs/>
        </w:rPr>
        <w:t xml:space="preserve"> </w:t>
      </w:r>
      <w:r w:rsidRPr="00B479AE">
        <w:rPr>
          <w:rFonts w:ascii="Baskerville Old Face" w:hAnsi="Baskerville Old Face"/>
          <w:i/>
          <w:iCs/>
        </w:rPr>
        <w:t>Webhook delivery does not authorize action.</w:t>
      </w:r>
      <w:r w:rsidR="00DE1016" w:rsidRPr="00B479AE">
        <w:rPr>
          <w:rFonts w:ascii="Baskerville Old Face" w:hAnsi="Baskerville Old Face"/>
          <w:i/>
          <w:iCs/>
        </w:rPr>
        <w:t xml:space="preserve"> </w:t>
      </w:r>
      <w:r w:rsidRPr="00B479AE">
        <w:rPr>
          <w:rFonts w:ascii="Baskerville Old Face" w:hAnsi="Baskerville Old Face"/>
          <w:i/>
          <w:iCs/>
        </w:rPr>
        <w:t>A webhook is a notification layer, not a governance, legal, financial, or ecological authority layer.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4"/>
        <w:gridCol w:w="3438"/>
        <w:gridCol w:w="1790"/>
        <w:gridCol w:w="2306"/>
      </w:tblGrid>
      <w:tr w:rsidR="004E7C51" w:rsidRPr="00B479AE" w14:paraId="14BD1F21" w14:textId="77777777" w:rsidTr="00675451">
        <w:trPr>
          <w:tblHeader/>
          <w:tblCellSpacing w:w="15" w:type="dxa"/>
        </w:trPr>
        <w:tc>
          <w:tcPr>
            <w:tcW w:w="0" w:type="auto"/>
            <w:vAlign w:val="center"/>
            <w:hideMark/>
          </w:tcPr>
          <w:p w14:paraId="0B1012F4"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Event type</w:t>
            </w:r>
          </w:p>
        </w:tc>
        <w:tc>
          <w:tcPr>
            <w:tcW w:w="0" w:type="auto"/>
            <w:vAlign w:val="center"/>
            <w:hideMark/>
          </w:tcPr>
          <w:p w14:paraId="02B3E20D"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Webhook payload</w:t>
            </w:r>
          </w:p>
        </w:tc>
        <w:tc>
          <w:tcPr>
            <w:tcW w:w="0" w:type="auto"/>
            <w:vAlign w:val="center"/>
            <w:hideMark/>
          </w:tcPr>
          <w:p w14:paraId="49F3C42B"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Configuration</w:t>
            </w:r>
          </w:p>
        </w:tc>
        <w:tc>
          <w:tcPr>
            <w:tcW w:w="0" w:type="auto"/>
            <w:vAlign w:val="center"/>
            <w:hideMark/>
          </w:tcPr>
          <w:p w14:paraId="27B98F59" w14:textId="77777777" w:rsidR="004E7C51" w:rsidRPr="00B479AE" w:rsidRDefault="004E7C51" w:rsidP="004E7C51">
            <w:pPr>
              <w:tabs>
                <w:tab w:val="left" w:pos="2685"/>
              </w:tabs>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Boundary</w:t>
            </w:r>
          </w:p>
        </w:tc>
      </w:tr>
      <w:tr w:rsidR="004E7C51" w:rsidRPr="00B479AE" w14:paraId="449FB7CB" w14:textId="77777777" w:rsidTr="00675451">
        <w:trPr>
          <w:tblCellSpacing w:w="15" w:type="dxa"/>
        </w:trPr>
        <w:tc>
          <w:tcPr>
            <w:tcW w:w="0" w:type="auto"/>
            <w:vAlign w:val="center"/>
            <w:hideMark/>
          </w:tcPr>
          <w:p w14:paraId="365FE7A4"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mrv.submitted</w:t>
            </w:r>
            <w:proofErr w:type="spellEnd"/>
            <w:proofErr w:type="gramEnd"/>
          </w:p>
        </w:tc>
        <w:tc>
          <w:tcPr>
            <w:tcW w:w="0" w:type="auto"/>
            <w:vAlign w:val="center"/>
            <w:hideMark/>
          </w:tcPr>
          <w:p w14:paraId="1846505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MRV event metadata, source, project ID, review status</w:t>
            </w:r>
          </w:p>
        </w:tc>
        <w:tc>
          <w:tcPr>
            <w:tcW w:w="0" w:type="auto"/>
            <w:vAlign w:val="center"/>
            <w:hideMark/>
          </w:tcPr>
          <w:p w14:paraId="5C84608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5D774BB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 xml:space="preserve">Submission </w:t>
            </w:r>
            <w:proofErr w:type="gramStart"/>
            <w:r w:rsidRPr="00B479AE">
              <w:rPr>
                <w:rFonts w:ascii="Baskerville Old Face" w:hAnsi="Baskerville Old Face"/>
                <w:i/>
                <w:iCs/>
                <w:sz w:val="18"/>
                <w:szCs w:val="18"/>
              </w:rPr>
              <w:t>notice</w:t>
            </w:r>
            <w:proofErr w:type="gramEnd"/>
            <w:r w:rsidRPr="00B479AE">
              <w:rPr>
                <w:rFonts w:ascii="Baskerville Old Face" w:hAnsi="Baskerville Old Face"/>
                <w:i/>
                <w:iCs/>
                <w:sz w:val="18"/>
                <w:szCs w:val="18"/>
              </w:rPr>
              <w:t xml:space="preserve"> only</w:t>
            </w:r>
          </w:p>
        </w:tc>
      </w:tr>
      <w:tr w:rsidR="004E7C51" w:rsidRPr="00B479AE" w14:paraId="77E4B58C" w14:textId="77777777" w:rsidTr="00675451">
        <w:trPr>
          <w:tblCellSpacing w:w="15" w:type="dxa"/>
        </w:trPr>
        <w:tc>
          <w:tcPr>
            <w:tcW w:w="0" w:type="auto"/>
            <w:vAlign w:val="center"/>
            <w:hideMark/>
          </w:tcPr>
          <w:p w14:paraId="3E5AAF34"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mrv.reviewed</w:t>
            </w:r>
            <w:proofErr w:type="spellEnd"/>
            <w:proofErr w:type="gramEnd"/>
          </w:p>
        </w:tc>
        <w:tc>
          <w:tcPr>
            <w:tcW w:w="0" w:type="auto"/>
            <w:vAlign w:val="center"/>
            <w:hideMark/>
          </w:tcPr>
          <w:p w14:paraId="38002A2B"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Review result, confidence score, reviewer status, limitations</w:t>
            </w:r>
          </w:p>
        </w:tc>
        <w:tc>
          <w:tcPr>
            <w:tcW w:w="0" w:type="auto"/>
            <w:vAlign w:val="center"/>
            <w:hideMark/>
          </w:tcPr>
          <w:p w14:paraId="795E8A0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3AE17F7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Review output remains methodology-bound</w:t>
            </w:r>
          </w:p>
        </w:tc>
      </w:tr>
      <w:tr w:rsidR="004E7C51" w:rsidRPr="00B479AE" w14:paraId="2720C008" w14:textId="77777777" w:rsidTr="00675451">
        <w:trPr>
          <w:tblCellSpacing w:w="15" w:type="dxa"/>
        </w:trPr>
        <w:tc>
          <w:tcPr>
            <w:tcW w:w="0" w:type="auto"/>
            <w:vAlign w:val="center"/>
            <w:hideMark/>
          </w:tcPr>
          <w:p w14:paraId="1C15C595"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pru.review</w:t>
            </w:r>
            <w:proofErr w:type="gramEnd"/>
            <w:r w:rsidRPr="00B479AE">
              <w:rPr>
                <w:rFonts w:ascii="Baskerville Old Face" w:hAnsi="Baskerville Old Face"/>
                <w:i/>
                <w:iCs/>
                <w:sz w:val="18"/>
                <w:szCs w:val="18"/>
              </w:rPr>
              <w:t>_requested</w:t>
            </w:r>
            <w:proofErr w:type="spellEnd"/>
          </w:p>
        </w:tc>
        <w:tc>
          <w:tcPr>
            <w:tcW w:w="0" w:type="auto"/>
            <w:vAlign w:val="center"/>
            <w:hideMark/>
          </w:tcPr>
          <w:p w14:paraId="0A49933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Project ID, evidence bundle reference, review route</w:t>
            </w:r>
          </w:p>
        </w:tc>
        <w:tc>
          <w:tcPr>
            <w:tcW w:w="0" w:type="auto"/>
            <w:vAlign w:val="center"/>
            <w:hideMark/>
          </w:tcPr>
          <w:p w14:paraId="43A14D4B"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1E1F057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Does not create PRU maturity class by itself</w:t>
            </w:r>
          </w:p>
        </w:tc>
      </w:tr>
      <w:tr w:rsidR="004E7C51" w:rsidRPr="00B479AE" w14:paraId="77D8E475" w14:textId="77777777" w:rsidTr="00675451">
        <w:trPr>
          <w:tblCellSpacing w:w="15" w:type="dxa"/>
        </w:trPr>
        <w:tc>
          <w:tcPr>
            <w:tcW w:w="0" w:type="auto"/>
            <w:vAlign w:val="center"/>
            <w:hideMark/>
          </w:tcPr>
          <w:p w14:paraId="2E73AFAD"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pru.status</w:t>
            </w:r>
            <w:proofErr w:type="gramEnd"/>
            <w:r w:rsidRPr="00B479AE">
              <w:rPr>
                <w:rFonts w:ascii="Baskerville Old Face" w:hAnsi="Baskerville Old Face"/>
                <w:i/>
                <w:iCs/>
                <w:sz w:val="18"/>
                <w:szCs w:val="18"/>
              </w:rPr>
              <w:t>_updated</w:t>
            </w:r>
            <w:proofErr w:type="spellEnd"/>
          </w:p>
        </w:tc>
        <w:tc>
          <w:tcPr>
            <w:tcW w:w="0" w:type="auto"/>
            <w:vAlign w:val="center"/>
            <w:hideMark/>
          </w:tcPr>
          <w:p w14:paraId="27273F3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PRU maturity or analysis status update</w:t>
            </w:r>
          </w:p>
        </w:tc>
        <w:tc>
          <w:tcPr>
            <w:tcW w:w="0" w:type="auto"/>
            <w:vAlign w:val="center"/>
            <w:hideMark/>
          </w:tcPr>
          <w:p w14:paraId="27B1D443"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6C28E4A8"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Status depends on methodology and review</w:t>
            </w:r>
          </w:p>
        </w:tc>
      </w:tr>
      <w:tr w:rsidR="004E7C51" w:rsidRPr="00B479AE" w14:paraId="317AF50D" w14:textId="77777777" w:rsidTr="00675451">
        <w:trPr>
          <w:tblCellSpacing w:w="15" w:type="dxa"/>
        </w:trPr>
        <w:tc>
          <w:tcPr>
            <w:tcW w:w="0" w:type="auto"/>
            <w:vAlign w:val="center"/>
            <w:hideMark/>
          </w:tcPr>
          <w:p w14:paraId="56C15E34"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proposal.created</w:t>
            </w:r>
            <w:proofErr w:type="spellEnd"/>
            <w:proofErr w:type="gramEnd"/>
          </w:p>
        </w:tc>
        <w:tc>
          <w:tcPr>
            <w:tcW w:w="0" w:type="auto"/>
            <w:vAlign w:val="center"/>
            <w:hideMark/>
          </w:tcPr>
          <w:p w14:paraId="5347DAEA"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Proposal metadata, circle, review pathway</w:t>
            </w:r>
          </w:p>
        </w:tc>
        <w:tc>
          <w:tcPr>
            <w:tcW w:w="0" w:type="auto"/>
            <w:vAlign w:val="center"/>
            <w:hideMark/>
          </w:tcPr>
          <w:p w14:paraId="06A61DA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2DCD2115"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Proposal creation does not mean adoption</w:t>
            </w:r>
          </w:p>
        </w:tc>
      </w:tr>
      <w:tr w:rsidR="004E7C51" w:rsidRPr="00B479AE" w14:paraId="0FA3F05D" w14:textId="77777777" w:rsidTr="00675451">
        <w:trPr>
          <w:tblCellSpacing w:w="15" w:type="dxa"/>
        </w:trPr>
        <w:tc>
          <w:tcPr>
            <w:tcW w:w="0" w:type="auto"/>
            <w:vAlign w:val="center"/>
            <w:hideMark/>
          </w:tcPr>
          <w:p w14:paraId="5517C611"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proposal.updated</w:t>
            </w:r>
            <w:proofErr w:type="spellEnd"/>
            <w:proofErr w:type="gramEnd"/>
          </w:p>
        </w:tc>
        <w:tc>
          <w:tcPr>
            <w:tcW w:w="0" w:type="auto"/>
            <w:vAlign w:val="center"/>
            <w:hideMark/>
          </w:tcPr>
          <w:p w14:paraId="0C166BE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Proposal status, consent summary, objections, deadline</w:t>
            </w:r>
          </w:p>
        </w:tc>
        <w:tc>
          <w:tcPr>
            <w:tcW w:w="0" w:type="auto"/>
            <w:vAlign w:val="center"/>
            <w:hideMark/>
          </w:tcPr>
          <w:p w14:paraId="5336E5DF"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7C1D6B2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Governance process remains circle-bound</w:t>
            </w:r>
          </w:p>
        </w:tc>
      </w:tr>
      <w:tr w:rsidR="004E7C51" w:rsidRPr="00B479AE" w14:paraId="72C02BD0" w14:textId="77777777" w:rsidTr="00675451">
        <w:trPr>
          <w:tblCellSpacing w:w="15" w:type="dxa"/>
        </w:trPr>
        <w:tc>
          <w:tcPr>
            <w:tcW w:w="0" w:type="auto"/>
            <w:vAlign w:val="center"/>
            <w:hideMark/>
          </w:tcPr>
          <w:p w14:paraId="1F48E0C0"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warrant.issued</w:t>
            </w:r>
            <w:proofErr w:type="spellEnd"/>
            <w:proofErr w:type="gramEnd"/>
          </w:p>
        </w:tc>
        <w:tc>
          <w:tcPr>
            <w:tcW w:w="0" w:type="auto"/>
            <w:vAlign w:val="center"/>
            <w:hideMark/>
          </w:tcPr>
          <w:p w14:paraId="49E2EBB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Warrant metadata, affected party, review domain</w:t>
            </w:r>
          </w:p>
        </w:tc>
        <w:tc>
          <w:tcPr>
            <w:tcW w:w="0" w:type="auto"/>
            <w:vAlign w:val="center"/>
            <w:hideMark/>
          </w:tcPr>
          <w:p w14:paraId="217A57C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6D87186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Warrant requires due process</w:t>
            </w:r>
          </w:p>
        </w:tc>
      </w:tr>
      <w:tr w:rsidR="004E7C51" w:rsidRPr="00B479AE" w14:paraId="63B7319C" w14:textId="77777777" w:rsidTr="00675451">
        <w:trPr>
          <w:tblCellSpacing w:w="15" w:type="dxa"/>
        </w:trPr>
        <w:tc>
          <w:tcPr>
            <w:tcW w:w="0" w:type="auto"/>
            <w:vAlign w:val="center"/>
            <w:hideMark/>
          </w:tcPr>
          <w:p w14:paraId="515DC944"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quarantine.requested</w:t>
            </w:r>
            <w:proofErr w:type="spellEnd"/>
            <w:proofErr w:type="gramEnd"/>
          </w:p>
        </w:tc>
        <w:tc>
          <w:tcPr>
            <w:tcW w:w="0" w:type="auto"/>
            <w:vAlign w:val="center"/>
            <w:hideMark/>
          </w:tcPr>
          <w:p w14:paraId="15FF158A"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Quarantine request, scope, rationale, duration</w:t>
            </w:r>
          </w:p>
        </w:tc>
        <w:tc>
          <w:tcPr>
            <w:tcW w:w="0" w:type="auto"/>
            <w:vAlign w:val="center"/>
            <w:hideMark/>
          </w:tcPr>
          <w:p w14:paraId="75EA0ED2"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2F477744"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Requires appropriate review</w:t>
            </w:r>
          </w:p>
        </w:tc>
      </w:tr>
      <w:tr w:rsidR="004E7C51" w:rsidRPr="00B479AE" w14:paraId="1A57A552" w14:textId="77777777" w:rsidTr="00675451">
        <w:trPr>
          <w:tblCellSpacing w:w="15" w:type="dxa"/>
        </w:trPr>
        <w:tc>
          <w:tcPr>
            <w:tcW w:w="0" w:type="auto"/>
            <w:vAlign w:val="center"/>
            <w:hideMark/>
          </w:tcPr>
          <w:p w14:paraId="05F71993"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registry.release</w:t>
            </w:r>
            <w:proofErr w:type="gramEnd"/>
            <w:r w:rsidRPr="00B479AE">
              <w:rPr>
                <w:rFonts w:ascii="Baskerville Old Face" w:hAnsi="Baskerville Old Face"/>
                <w:i/>
                <w:iCs/>
                <w:sz w:val="18"/>
                <w:szCs w:val="18"/>
              </w:rPr>
              <w:t>_published</w:t>
            </w:r>
            <w:proofErr w:type="spellEnd"/>
          </w:p>
        </w:tc>
        <w:tc>
          <w:tcPr>
            <w:tcW w:w="0" w:type="auto"/>
            <w:vAlign w:val="center"/>
            <w:hideMark/>
          </w:tcPr>
          <w:p w14:paraId="739CBF1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Release ID, manifest reference, hash references, signature references</w:t>
            </w:r>
          </w:p>
        </w:tc>
        <w:tc>
          <w:tcPr>
            <w:tcW w:w="0" w:type="auto"/>
            <w:vAlign w:val="center"/>
            <w:hideMark/>
          </w:tcPr>
          <w:p w14:paraId="5F5BD96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61AF3A2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Supports public verification</w:t>
            </w:r>
          </w:p>
        </w:tc>
      </w:tr>
      <w:tr w:rsidR="004E7C51" w:rsidRPr="00B479AE" w14:paraId="1C28C687" w14:textId="77777777" w:rsidTr="00675451">
        <w:trPr>
          <w:tblCellSpacing w:w="15" w:type="dxa"/>
        </w:trPr>
        <w:tc>
          <w:tcPr>
            <w:tcW w:w="0" w:type="auto"/>
            <w:vAlign w:val="center"/>
            <w:hideMark/>
          </w:tcPr>
          <w:p w14:paraId="2F6DED84"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registry.fork</w:t>
            </w:r>
            <w:proofErr w:type="gramEnd"/>
            <w:r w:rsidRPr="00B479AE">
              <w:rPr>
                <w:rFonts w:ascii="Baskerville Old Face" w:hAnsi="Baskerville Old Face"/>
                <w:i/>
                <w:iCs/>
                <w:sz w:val="18"/>
                <w:szCs w:val="18"/>
              </w:rPr>
              <w:t>_status_updated</w:t>
            </w:r>
            <w:proofErr w:type="spellEnd"/>
          </w:p>
        </w:tc>
        <w:tc>
          <w:tcPr>
            <w:tcW w:w="0" w:type="auto"/>
            <w:vAlign w:val="center"/>
            <w:hideMark/>
          </w:tcPr>
          <w:p w14:paraId="273DB9AC"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Fork ID, compatibility status, registry note</w:t>
            </w:r>
          </w:p>
        </w:tc>
        <w:tc>
          <w:tcPr>
            <w:tcW w:w="0" w:type="auto"/>
            <w:vAlign w:val="center"/>
            <w:hideMark/>
          </w:tcPr>
          <w:p w14:paraId="0608B15D"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1688E0E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Registry status determines public interpretation</w:t>
            </w:r>
          </w:p>
        </w:tc>
      </w:tr>
      <w:tr w:rsidR="004E7C51" w:rsidRPr="00B479AE" w14:paraId="499A0F20" w14:textId="77777777" w:rsidTr="00675451">
        <w:trPr>
          <w:tblCellSpacing w:w="15" w:type="dxa"/>
        </w:trPr>
        <w:tc>
          <w:tcPr>
            <w:tcW w:w="0" w:type="auto"/>
            <w:vAlign w:val="center"/>
            <w:hideMark/>
          </w:tcPr>
          <w:p w14:paraId="6354DCE4" w14:textId="77777777" w:rsidR="004E7C51" w:rsidRPr="00B479AE" w:rsidRDefault="004E7C51" w:rsidP="004E7C51">
            <w:pPr>
              <w:tabs>
                <w:tab w:val="left" w:pos="2685"/>
              </w:tabs>
              <w:spacing w:line="360" w:lineRule="auto"/>
              <w:rPr>
                <w:rFonts w:ascii="Baskerville Old Face" w:hAnsi="Baskerville Old Face"/>
                <w:i/>
                <w:iCs/>
                <w:sz w:val="18"/>
                <w:szCs w:val="18"/>
              </w:rPr>
            </w:pPr>
            <w:proofErr w:type="spellStart"/>
            <w:proofErr w:type="gramStart"/>
            <w:r w:rsidRPr="00B479AE">
              <w:rPr>
                <w:rFonts w:ascii="Baskerville Old Face" w:hAnsi="Baskerville Old Face"/>
                <w:i/>
                <w:iCs/>
                <w:sz w:val="18"/>
                <w:szCs w:val="18"/>
              </w:rPr>
              <w:t>system.alert</w:t>
            </w:r>
            <w:proofErr w:type="spellEnd"/>
            <w:proofErr w:type="gramEnd"/>
          </w:p>
        </w:tc>
        <w:tc>
          <w:tcPr>
            <w:tcW w:w="0" w:type="auto"/>
            <w:vAlign w:val="center"/>
            <w:hideMark/>
          </w:tcPr>
          <w:p w14:paraId="49AB0B5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Health, degraded service, compromise warning, key rotation, or incident status</w:t>
            </w:r>
          </w:p>
        </w:tc>
        <w:tc>
          <w:tcPr>
            <w:tcW w:w="0" w:type="auto"/>
            <w:vAlign w:val="center"/>
            <w:hideMark/>
          </w:tcPr>
          <w:p w14:paraId="41DEF3C1"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URL, headers, secret, signing key</w:t>
            </w:r>
          </w:p>
        </w:tc>
        <w:tc>
          <w:tcPr>
            <w:tcW w:w="0" w:type="auto"/>
            <w:vAlign w:val="center"/>
            <w:hideMark/>
          </w:tcPr>
          <w:p w14:paraId="213A0337" w14:textId="77777777" w:rsidR="004E7C51" w:rsidRPr="00B479AE" w:rsidRDefault="004E7C51" w:rsidP="004E7C51">
            <w:pPr>
              <w:tabs>
                <w:tab w:val="left" w:pos="2685"/>
              </w:tabs>
              <w:spacing w:line="360" w:lineRule="auto"/>
              <w:rPr>
                <w:rFonts w:ascii="Baskerville Old Face" w:hAnsi="Baskerville Old Face"/>
                <w:i/>
                <w:iCs/>
                <w:sz w:val="18"/>
                <w:szCs w:val="18"/>
              </w:rPr>
            </w:pPr>
            <w:r w:rsidRPr="00B479AE">
              <w:rPr>
                <w:rFonts w:ascii="Baskerville Old Face" w:hAnsi="Baskerville Old Face"/>
                <w:i/>
                <w:iCs/>
                <w:sz w:val="18"/>
                <w:szCs w:val="18"/>
              </w:rPr>
              <w:t>Operational alert only</w:t>
            </w:r>
          </w:p>
        </w:tc>
      </w:tr>
    </w:tbl>
    <w:p w14:paraId="364316AB"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lastRenderedPageBreak/>
        <w:t>L.9 Error Handling</w:t>
      </w:r>
    </w:p>
    <w:p w14:paraId="46C9620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Standard error responses should follow a consistent structure.</w:t>
      </w:r>
    </w:p>
    <w:p w14:paraId="36C1AFEF" w14:textId="77777777" w:rsidR="004E7C51" w:rsidRPr="00B479AE" w:rsidRDefault="004E7C51" w:rsidP="004E7C51">
      <w:pPr>
        <w:tabs>
          <w:tab w:val="left" w:pos="2685"/>
        </w:tabs>
        <w:spacing w:line="360" w:lineRule="auto"/>
        <w:rPr>
          <w:rFonts w:ascii="Baskerville Old Face" w:hAnsi="Baskerville Old Face"/>
          <w:i/>
          <w:iCs/>
        </w:rPr>
      </w:pPr>
      <w:proofErr w:type="spellStart"/>
      <w:r w:rsidRPr="00B479AE">
        <w:rPr>
          <w:rFonts w:ascii="Baskerville Old Face" w:hAnsi="Baskerville Old Face"/>
          <w:i/>
          <w:iCs/>
        </w:rPr>
        <w:t>json</w:t>
      </w:r>
      <w:proofErr w:type="spellEnd"/>
      <w:r w:rsidRPr="00B479AE">
        <w:rPr>
          <w:rFonts w:ascii="Baskerville Old Face" w:hAnsi="Baskerville Old Face"/>
          <w:i/>
          <w:iCs/>
        </w:rPr>
        <w:br/>
        <w:t>{</w:t>
      </w:r>
      <w:r w:rsidRPr="00B479AE">
        <w:rPr>
          <w:rFonts w:ascii="Baskerville Old Face" w:hAnsi="Baskerville Old Face"/>
          <w:i/>
          <w:iCs/>
        </w:rPr>
        <w:br/>
        <w:t>"error": {</w:t>
      </w:r>
      <w:r w:rsidRPr="00B479AE">
        <w:rPr>
          <w:rFonts w:ascii="Baskerville Old Face" w:hAnsi="Baskerville Old Face"/>
          <w:i/>
          <w:iCs/>
        </w:rPr>
        <w:br/>
        <w:t>"code": "ERROR_CODE",</w:t>
      </w:r>
      <w:r w:rsidRPr="00B479AE">
        <w:rPr>
          <w:rFonts w:ascii="Baskerville Old Face" w:hAnsi="Baskerville Old Face"/>
          <w:i/>
          <w:iCs/>
        </w:rPr>
        <w:br/>
        <w:t>"message": "Human-readable description",</w:t>
      </w:r>
      <w:r w:rsidRPr="00B479AE">
        <w:rPr>
          <w:rFonts w:ascii="Baskerville Old Face" w:hAnsi="Baskerville Old Face"/>
          <w:i/>
          <w:iCs/>
        </w:rPr>
        <w:br/>
        <w:t>"details": {</w:t>
      </w:r>
      <w:r w:rsidRPr="00B479AE">
        <w:rPr>
          <w:rFonts w:ascii="Baskerville Old Face" w:hAnsi="Baskerville Old Face"/>
          <w:i/>
          <w:iCs/>
        </w:rPr>
        <w:br/>
        <w:t>"additional": "contextual information"</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request_id</w:t>
      </w:r>
      <w:proofErr w:type="spellEnd"/>
      <w:r w:rsidRPr="00B479AE">
        <w:rPr>
          <w:rFonts w:ascii="Baskerville Old Face" w:hAnsi="Baskerville Old Face"/>
          <w:i/>
          <w:iCs/>
        </w:rPr>
        <w:t>": "req_1234567890"</w:t>
      </w:r>
      <w:r w:rsidRPr="00B479AE">
        <w:rPr>
          <w:rFonts w:ascii="Baskerville Old Face" w:hAnsi="Baskerville Old Face"/>
          <w:i/>
          <w:iCs/>
        </w:rPr>
        <w:br/>
        <w:t>}</w:t>
      </w:r>
      <w:r w:rsidRPr="00B479AE">
        <w:rPr>
          <w:rFonts w:ascii="Baskerville Old Face" w:hAnsi="Baskerville Old Face"/>
          <w:i/>
          <w:iCs/>
        </w:rPr>
        <w:br/>
        <w:t>}</w:t>
      </w:r>
    </w:p>
    <w:p w14:paraId="3F87290F" w14:textId="6C6F1D43"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Common error codes may include:</w:t>
      </w:r>
      <w:r w:rsidR="00DE1016" w:rsidRPr="00B479AE">
        <w:rPr>
          <w:rFonts w:ascii="Baskerville Old Face" w:hAnsi="Baskerville Old Face"/>
          <w:i/>
          <w:iCs/>
        </w:rPr>
        <w:t xml:space="preserve"> </w:t>
      </w:r>
    </w:p>
    <w:p w14:paraId="2B303E01" w14:textId="77777777" w:rsidR="00DE1016" w:rsidRPr="00B479AE" w:rsidRDefault="00DE1016" w:rsidP="004E7C51">
      <w:pPr>
        <w:tabs>
          <w:tab w:val="left" w:pos="2685"/>
        </w:tabs>
        <w:spacing w:line="360" w:lineRule="auto"/>
        <w:rPr>
          <w:rFonts w:ascii="Baskerville Old Face" w:hAnsi="Baskerville Old Face"/>
          <w:i/>
          <w:iCs/>
        </w:rPr>
      </w:pPr>
    </w:p>
    <w:p w14:paraId="20EAFED0" w14:textId="77777777" w:rsidR="00DE1016" w:rsidRPr="00B479AE" w:rsidRDefault="00DE1016" w:rsidP="004E7C51">
      <w:pPr>
        <w:tabs>
          <w:tab w:val="left" w:pos="2685"/>
        </w:tabs>
        <w:spacing w:line="360" w:lineRule="auto"/>
        <w:rPr>
          <w:rFonts w:ascii="Baskerville Old Face" w:hAnsi="Baskerville Old Face"/>
          <w:i/>
          <w:iCs/>
        </w:rPr>
      </w:pPr>
    </w:p>
    <w:p w14:paraId="575EA870" w14:textId="77777777" w:rsidR="00DE1016" w:rsidRPr="00B479AE" w:rsidRDefault="00DE1016" w:rsidP="004E7C51">
      <w:pPr>
        <w:tabs>
          <w:tab w:val="left" w:pos="2685"/>
        </w:tabs>
        <w:spacing w:line="360" w:lineRule="auto"/>
        <w:rPr>
          <w:rFonts w:ascii="Baskerville Old Face" w:hAnsi="Baskerville Old Face"/>
          <w:i/>
          <w:iCs/>
        </w:rPr>
      </w:pPr>
    </w:p>
    <w:p w14:paraId="31362D17" w14:textId="77777777" w:rsidR="00DE1016" w:rsidRPr="00B479AE" w:rsidRDefault="00DE1016" w:rsidP="004E7C51">
      <w:pPr>
        <w:tabs>
          <w:tab w:val="left" w:pos="2685"/>
        </w:tabs>
        <w:spacing w:line="360" w:lineRule="auto"/>
        <w:rPr>
          <w:rFonts w:ascii="Baskerville Old Face" w:hAnsi="Baskerville Old Face"/>
          <w:i/>
          <w:iCs/>
        </w:rPr>
      </w:pPr>
    </w:p>
    <w:p w14:paraId="11607CF6" w14:textId="77777777" w:rsidR="00DE1016" w:rsidRPr="00B479AE" w:rsidRDefault="00DE1016" w:rsidP="004E7C51">
      <w:pPr>
        <w:tabs>
          <w:tab w:val="left" w:pos="2685"/>
        </w:tabs>
        <w:spacing w:line="360" w:lineRule="auto"/>
        <w:rPr>
          <w:rFonts w:ascii="Baskerville Old Face" w:hAnsi="Baskerville Old Face"/>
          <w:i/>
          <w:iCs/>
        </w:rPr>
      </w:pPr>
    </w:p>
    <w:p w14:paraId="3A82EBA9" w14:textId="77777777" w:rsidR="00DE1016" w:rsidRPr="00B479AE" w:rsidRDefault="00DE1016" w:rsidP="004E7C51">
      <w:pPr>
        <w:tabs>
          <w:tab w:val="left" w:pos="2685"/>
        </w:tabs>
        <w:spacing w:line="360" w:lineRule="auto"/>
        <w:rPr>
          <w:rFonts w:ascii="Baskerville Old Face" w:hAnsi="Baskerville Old Face"/>
          <w:i/>
          <w:iCs/>
        </w:rPr>
      </w:pPr>
    </w:p>
    <w:p w14:paraId="0F39737D" w14:textId="77777777" w:rsidR="00DE1016" w:rsidRPr="00B479AE" w:rsidRDefault="00DE1016" w:rsidP="004E7C51">
      <w:pPr>
        <w:tabs>
          <w:tab w:val="left" w:pos="2685"/>
        </w:tabs>
        <w:spacing w:line="360" w:lineRule="auto"/>
        <w:rPr>
          <w:rFonts w:ascii="Baskerville Old Face" w:hAnsi="Baskerville Old Face"/>
          <w:i/>
          <w:iCs/>
        </w:rPr>
      </w:pPr>
    </w:p>
    <w:p w14:paraId="4EAA6C33" w14:textId="77777777" w:rsidR="00DE1016" w:rsidRPr="00B479AE" w:rsidRDefault="00DE1016" w:rsidP="004E7C51">
      <w:pPr>
        <w:tabs>
          <w:tab w:val="left" w:pos="2685"/>
        </w:tabs>
        <w:spacing w:line="360" w:lineRule="auto"/>
        <w:rPr>
          <w:rFonts w:ascii="Baskerville Old Face" w:hAnsi="Baskerville Old Face"/>
          <w:i/>
          <w:iCs/>
        </w:rPr>
      </w:pPr>
    </w:p>
    <w:p w14:paraId="27A8A45B" w14:textId="77777777" w:rsidR="00DE1016" w:rsidRPr="00B479AE" w:rsidRDefault="00DE1016" w:rsidP="004E7C51">
      <w:pPr>
        <w:tabs>
          <w:tab w:val="left" w:pos="2685"/>
        </w:tabs>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15"/>
        <w:gridCol w:w="881"/>
        <w:gridCol w:w="4432"/>
      </w:tblGrid>
      <w:tr w:rsidR="004E7C51" w:rsidRPr="00B479AE" w14:paraId="4305B217" w14:textId="77777777" w:rsidTr="00DE1016">
        <w:trPr>
          <w:tblHeader/>
          <w:tblCellSpacing w:w="15" w:type="dxa"/>
        </w:trPr>
        <w:tc>
          <w:tcPr>
            <w:tcW w:w="0" w:type="auto"/>
            <w:vAlign w:val="center"/>
            <w:hideMark/>
          </w:tcPr>
          <w:p w14:paraId="3F3EF7FF"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Code</w:t>
            </w:r>
          </w:p>
        </w:tc>
        <w:tc>
          <w:tcPr>
            <w:tcW w:w="0" w:type="auto"/>
            <w:vAlign w:val="center"/>
            <w:hideMark/>
          </w:tcPr>
          <w:p w14:paraId="6DBCB96A"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HTTP status</w:t>
            </w:r>
          </w:p>
        </w:tc>
        <w:tc>
          <w:tcPr>
            <w:tcW w:w="0" w:type="auto"/>
            <w:vAlign w:val="center"/>
            <w:hideMark/>
          </w:tcPr>
          <w:p w14:paraId="7C221828"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r>
      <w:tr w:rsidR="004E7C51" w:rsidRPr="00B479AE" w14:paraId="625C4995" w14:textId="77777777" w:rsidTr="00DE1016">
        <w:trPr>
          <w:tblCellSpacing w:w="15" w:type="dxa"/>
        </w:trPr>
        <w:tc>
          <w:tcPr>
            <w:tcW w:w="0" w:type="auto"/>
            <w:vAlign w:val="center"/>
            <w:hideMark/>
          </w:tcPr>
          <w:p w14:paraId="4C8DE41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AUTH_REQUIRED</w:t>
            </w:r>
          </w:p>
        </w:tc>
        <w:tc>
          <w:tcPr>
            <w:tcW w:w="0" w:type="auto"/>
            <w:vAlign w:val="center"/>
            <w:hideMark/>
          </w:tcPr>
          <w:p w14:paraId="7A730D2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401</w:t>
            </w:r>
          </w:p>
        </w:tc>
        <w:tc>
          <w:tcPr>
            <w:tcW w:w="0" w:type="auto"/>
            <w:vAlign w:val="center"/>
            <w:hideMark/>
          </w:tcPr>
          <w:p w14:paraId="2ACBAA9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Authentication required</w:t>
            </w:r>
          </w:p>
        </w:tc>
      </w:tr>
      <w:tr w:rsidR="004E7C51" w:rsidRPr="00B479AE" w14:paraId="1D5E2D7D" w14:textId="77777777" w:rsidTr="00DE1016">
        <w:trPr>
          <w:tblCellSpacing w:w="15" w:type="dxa"/>
        </w:trPr>
        <w:tc>
          <w:tcPr>
            <w:tcW w:w="0" w:type="auto"/>
            <w:vAlign w:val="center"/>
            <w:hideMark/>
          </w:tcPr>
          <w:p w14:paraId="097FB41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INVALID_API_KEY</w:t>
            </w:r>
          </w:p>
        </w:tc>
        <w:tc>
          <w:tcPr>
            <w:tcW w:w="0" w:type="auto"/>
            <w:vAlign w:val="center"/>
            <w:hideMark/>
          </w:tcPr>
          <w:p w14:paraId="032CC3D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401</w:t>
            </w:r>
          </w:p>
        </w:tc>
        <w:tc>
          <w:tcPr>
            <w:tcW w:w="0" w:type="auto"/>
            <w:vAlign w:val="center"/>
            <w:hideMark/>
          </w:tcPr>
          <w:p w14:paraId="67615DF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API key invalid, expired, revoked, or outside permitted scope</w:t>
            </w:r>
          </w:p>
        </w:tc>
      </w:tr>
      <w:tr w:rsidR="004E7C51" w:rsidRPr="00B479AE" w14:paraId="1813B3D9" w14:textId="77777777" w:rsidTr="00DE1016">
        <w:trPr>
          <w:tblCellSpacing w:w="15" w:type="dxa"/>
        </w:trPr>
        <w:tc>
          <w:tcPr>
            <w:tcW w:w="0" w:type="auto"/>
            <w:vAlign w:val="center"/>
            <w:hideMark/>
          </w:tcPr>
          <w:p w14:paraId="4103E8B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INVALID_SIGNATURE</w:t>
            </w:r>
          </w:p>
        </w:tc>
        <w:tc>
          <w:tcPr>
            <w:tcW w:w="0" w:type="auto"/>
            <w:vAlign w:val="center"/>
            <w:hideMark/>
          </w:tcPr>
          <w:p w14:paraId="4E03287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401</w:t>
            </w:r>
          </w:p>
        </w:tc>
        <w:tc>
          <w:tcPr>
            <w:tcW w:w="0" w:type="auto"/>
            <w:vAlign w:val="center"/>
            <w:hideMark/>
          </w:tcPr>
          <w:p w14:paraId="6A35413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Agent or service signature invalid</w:t>
            </w:r>
          </w:p>
        </w:tc>
      </w:tr>
      <w:tr w:rsidR="004E7C51" w:rsidRPr="00B479AE" w14:paraId="13407C59" w14:textId="77777777" w:rsidTr="00DE1016">
        <w:trPr>
          <w:tblCellSpacing w:w="15" w:type="dxa"/>
        </w:trPr>
        <w:tc>
          <w:tcPr>
            <w:tcW w:w="0" w:type="auto"/>
            <w:vAlign w:val="center"/>
            <w:hideMark/>
          </w:tcPr>
          <w:p w14:paraId="46E74FA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INSUFFICIENT_PERMISSIONS</w:t>
            </w:r>
          </w:p>
        </w:tc>
        <w:tc>
          <w:tcPr>
            <w:tcW w:w="0" w:type="auto"/>
            <w:vAlign w:val="center"/>
            <w:hideMark/>
          </w:tcPr>
          <w:p w14:paraId="32E72F2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403</w:t>
            </w:r>
          </w:p>
        </w:tc>
        <w:tc>
          <w:tcPr>
            <w:tcW w:w="0" w:type="auto"/>
            <w:vAlign w:val="center"/>
            <w:hideMark/>
          </w:tcPr>
          <w:p w14:paraId="6A09C11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Caller lacks required permissions</w:t>
            </w:r>
          </w:p>
        </w:tc>
      </w:tr>
      <w:tr w:rsidR="004E7C51" w:rsidRPr="00B479AE" w14:paraId="414B0120" w14:textId="77777777" w:rsidTr="00DE1016">
        <w:trPr>
          <w:tblCellSpacing w:w="15" w:type="dxa"/>
        </w:trPr>
        <w:tc>
          <w:tcPr>
            <w:tcW w:w="0" w:type="auto"/>
            <w:vAlign w:val="center"/>
            <w:hideMark/>
          </w:tcPr>
          <w:p w14:paraId="2BEF2DA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RATE_LIMIT_EXCEEDED</w:t>
            </w:r>
          </w:p>
        </w:tc>
        <w:tc>
          <w:tcPr>
            <w:tcW w:w="0" w:type="auto"/>
            <w:vAlign w:val="center"/>
            <w:hideMark/>
          </w:tcPr>
          <w:p w14:paraId="11B68EC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429</w:t>
            </w:r>
          </w:p>
        </w:tc>
        <w:tc>
          <w:tcPr>
            <w:tcW w:w="0" w:type="auto"/>
            <w:vAlign w:val="center"/>
            <w:hideMark/>
          </w:tcPr>
          <w:p w14:paraId="238F08A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Rate limit exceeded</w:t>
            </w:r>
          </w:p>
        </w:tc>
      </w:tr>
      <w:tr w:rsidR="004E7C51" w:rsidRPr="00B479AE" w14:paraId="0840A603" w14:textId="77777777" w:rsidTr="00DE1016">
        <w:trPr>
          <w:tblCellSpacing w:w="15" w:type="dxa"/>
        </w:trPr>
        <w:tc>
          <w:tcPr>
            <w:tcW w:w="0" w:type="auto"/>
            <w:vAlign w:val="center"/>
            <w:hideMark/>
          </w:tcPr>
          <w:p w14:paraId="7576ED0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INVALID_REQUEST</w:t>
            </w:r>
          </w:p>
        </w:tc>
        <w:tc>
          <w:tcPr>
            <w:tcW w:w="0" w:type="auto"/>
            <w:vAlign w:val="center"/>
            <w:hideMark/>
          </w:tcPr>
          <w:p w14:paraId="6E7045E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400</w:t>
            </w:r>
          </w:p>
        </w:tc>
        <w:tc>
          <w:tcPr>
            <w:tcW w:w="0" w:type="auto"/>
            <w:vAlign w:val="center"/>
            <w:hideMark/>
          </w:tcPr>
          <w:p w14:paraId="64360A9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Malformed request</w:t>
            </w:r>
          </w:p>
        </w:tc>
      </w:tr>
      <w:tr w:rsidR="004E7C51" w:rsidRPr="00B479AE" w14:paraId="2C13C188" w14:textId="77777777" w:rsidTr="00DE1016">
        <w:trPr>
          <w:tblCellSpacing w:w="15" w:type="dxa"/>
        </w:trPr>
        <w:tc>
          <w:tcPr>
            <w:tcW w:w="0" w:type="auto"/>
            <w:vAlign w:val="center"/>
            <w:hideMark/>
          </w:tcPr>
          <w:p w14:paraId="332D773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INVALID_SCHEMA</w:t>
            </w:r>
          </w:p>
        </w:tc>
        <w:tc>
          <w:tcPr>
            <w:tcW w:w="0" w:type="auto"/>
            <w:vAlign w:val="center"/>
            <w:hideMark/>
          </w:tcPr>
          <w:p w14:paraId="72424BD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400</w:t>
            </w:r>
          </w:p>
        </w:tc>
        <w:tc>
          <w:tcPr>
            <w:tcW w:w="0" w:type="auto"/>
            <w:vAlign w:val="center"/>
            <w:hideMark/>
          </w:tcPr>
          <w:p w14:paraId="746399E4"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does not match expected schema</w:t>
            </w:r>
          </w:p>
        </w:tc>
      </w:tr>
      <w:tr w:rsidR="004E7C51" w:rsidRPr="00B479AE" w14:paraId="5B9470CF" w14:textId="77777777" w:rsidTr="00DE1016">
        <w:trPr>
          <w:tblCellSpacing w:w="15" w:type="dxa"/>
        </w:trPr>
        <w:tc>
          <w:tcPr>
            <w:tcW w:w="0" w:type="auto"/>
            <w:vAlign w:val="center"/>
            <w:hideMark/>
          </w:tcPr>
          <w:p w14:paraId="0CF4421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CONSTITUTIONAL_VIOLATION</w:t>
            </w:r>
          </w:p>
        </w:tc>
        <w:tc>
          <w:tcPr>
            <w:tcW w:w="0" w:type="auto"/>
            <w:vAlign w:val="center"/>
            <w:hideMark/>
          </w:tcPr>
          <w:p w14:paraId="119760D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422</w:t>
            </w:r>
          </w:p>
        </w:tc>
        <w:tc>
          <w:tcPr>
            <w:tcW w:w="0" w:type="auto"/>
            <w:vAlign w:val="center"/>
            <w:hideMark/>
          </w:tcPr>
          <w:p w14:paraId="776AE9B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appears to violate constitutional constraints</w:t>
            </w:r>
          </w:p>
        </w:tc>
      </w:tr>
      <w:tr w:rsidR="004E7C51" w:rsidRPr="00B479AE" w14:paraId="3D96EA56" w14:textId="77777777" w:rsidTr="00DE1016">
        <w:trPr>
          <w:tblCellSpacing w:w="15" w:type="dxa"/>
        </w:trPr>
        <w:tc>
          <w:tcPr>
            <w:tcW w:w="0" w:type="auto"/>
            <w:vAlign w:val="center"/>
            <w:hideMark/>
          </w:tcPr>
          <w:p w14:paraId="68B8ADE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PROTECTED_DOMAIN_REVIEW_REQUIRED</w:t>
            </w:r>
          </w:p>
        </w:tc>
        <w:tc>
          <w:tcPr>
            <w:tcW w:w="0" w:type="auto"/>
            <w:vAlign w:val="center"/>
            <w:hideMark/>
          </w:tcPr>
          <w:p w14:paraId="0FF48F0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423</w:t>
            </w:r>
          </w:p>
        </w:tc>
        <w:tc>
          <w:tcPr>
            <w:tcW w:w="0" w:type="auto"/>
            <w:vAlign w:val="center"/>
            <w:hideMark/>
          </w:tcPr>
          <w:p w14:paraId="341FA8A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affects protected domain and requires review</w:t>
            </w:r>
          </w:p>
        </w:tc>
      </w:tr>
      <w:tr w:rsidR="004E7C51" w:rsidRPr="00B479AE" w14:paraId="51724B8B" w14:textId="77777777" w:rsidTr="00DE1016">
        <w:trPr>
          <w:tblCellSpacing w:w="15" w:type="dxa"/>
        </w:trPr>
        <w:tc>
          <w:tcPr>
            <w:tcW w:w="0" w:type="auto"/>
            <w:vAlign w:val="center"/>
            <w:hideMark/>
          </w:tcPr>
          <w:p w14:paraId="61A8B7E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LEGAL_REVIEW_REQUIRED</w:t>
            </w:r>
          </w:p>
        </w:tc>
        <w:tc>
          <w:tcPr>
            <w:tcW w:w="0" w:type="auto"/>
            <w:vAlign w:val="center"/>
            <w:hideMark/>
          </w:tcPr>
          <w:p w14:paraId="20A366B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423</w:t>
            </w:r>
          </w:p>
        </w:tc>
        <w:tc>
          <w:tcPr>
            <w:tcW w:w="0" w:type="auto"/>
            <w:vAlign w:val="center"/>
            <w:hideMark/>
          </w:tcPr>
          <w:p w14:paraId="37A85FD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may affect rights, finance, land, data, health, public claims, or regulated instruments</w:t>
            </w:r>
          </w:p>
        </w:tc>
      </w:tr>
      <w:tr w:rsidR="004E7C51" w:rsidRPr="00B479AE" w14:paraId="315E7C83" w14:textId="77777777" w:rsidTr="00DE1016">
        <w:trPr>
          <w:tblCellSpacing w:w="15" w:type="dxa"/>
        </w:trPr>
        <w:tc>
          <w:tcPr>
            <w:tcW w:w="0" w:type="auto"/>
            <w:vAlign w:val="center"/>
            <w:hideMark/>
          </w:tcPr>
          <w:p w14:paraId="28C8FE6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MRV_REVIEW_REQUIRED</w:t>
            </w:r>
          </w:p>
        </w:tc>
        <w:tc>
          <w:tcPr>
            <w:tcW w:w="0" w:type="auto"/>
            <w:vAlign w:val="center"/>
            <w:hideMark/>
          </w:tcPr>
          <w:p w14:paraId="41D5306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423</w:t>
            </w:r>
          </w:p>
        </w:tc>
        <w:tc>
          <w:tcPr>
            <w:tcW w:w="0" w:type="auto"/>
            <w:vAlign w:val="center"/>
            <w:hideMark/>
          </w:tcPr>
          <w:p w14:paraId="2AAFB27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affects evidence, indicators, PRU analysis, RAP screening, or ecological performance</w:t>
            </w:r>
          </w:p>
        </w:tc>
      </w:tr>
      <w:tr w:rsidR="004E7C51" w:rsidRPr="00B479AE" w14:paraId="7E9F31ED" w14:textId="77777777" w:rsidTr="00DE1016">
        <w:trPr>
          <w:tblCellSpacing w:w="15" w:type="dxa"/>
        </w:trPr>
        <w:tc>
          <w:tcPr>
            <w:tcW w:w="0" w:type="auto"/>
            <w:vAlign w:val="center"/>
            <w:hideMark/>
          </w:tcPr>
          <w:p w14:paraId="10DB7C0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NON_ADMISSIBLE</w:t>
            </w:r>
          </w:p>
        </w:tc>
        <w:tc>
          <w:tcPr>
            <w:tcW w:w="0" w:type="auto"/>
            <w:vAlign w:val="center"/>
            <w:hideMark/>
          </w:tcPr>
          <w:p w14:paraId="4F326C4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422</w:t>
            </w:r>
          </w:p>
        </w:tc>
        <w:tc>
          <w:tcPr>
            <w:tcW w:w="0" w:type="auto"/>
            <w:vAlign w:val="center"/>
            <w:hideMark/>
          </w:tcPr>
          <w:p w14:paraId="5C7138D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Output cannot enter protected pathways</w:t>
            </w:r>
          </w:p>
        </w:tc>
      </w:tr>
      <w:tr w:rsidR="004E7C51" w:rsidRPr="00B479AE" w14:paraId="2CB4F902" w14:textId="77777777" w:rsidTr="00DE1016">
        <w:trPr>
          <w:tblCellSpacing w:w="15" w:type="dxa"/>
        </w:trPr>
        <w:tc>
          <w:tcPr>
            <w:tcW w:w="0" w:type="auto"/>
            <w:vAlign w:val="center"/>
            <w:hideMark/>
          </w:tcPr>
          <w:p w14:paraId="3C4B416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QUARANTINED</w:t>
            </w:r>
          </w:p>
        </w:tc>
        <w:tc>
          <w:tcPr>
            <w:tcW w:w="0" w:type="auto"/>
            <w:vAlign w:val="center"/>
            <w:hideMark/>
          </w:tcPr>
          <w:p w14:paraId="2E19642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423</w:t>
            </w:r>
          </w:p>
        </w:tc>
        <w:tc>
          <w:tcPr>
            <w:tcW w:w="0" w:type="auto"/>
            <w:vAlign w:val="center"/>
            <w:hideMark/>
          </w:tcPr>
          <w:p w14:paraId="1F236A6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Record, claim, integration, fork, or action is quarantined pending review</w:t>
            </w:r>
          </w:p>
        </w:tc>
      </w:tr>
      <w:tr w:rsidR="004E7C51" w:rsidRPr="00B479AE" w14:paraId="57CE282D" w14:textId="77777777" w:rsidTr="00DE1016">
        <w:trPr>
          <w:tblCellSpacing w:w="15" w:type="dxa"/>
        </w:trPr>
        <w:tc>
          <w:tcPr>
            <w:tcW w:w="0" w:type="auto"/>
            <w:vAlign w:val="center"/>
            <w:hideMark/>
          </w:tcPr>
          <w:p w14:paraId="35C19F8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RESOURCE_NOT_FOUND</w:t>
            </w:r>
          </w:p>
        </w:tc>
        <w:tc>
          <w:tcPr>
            <w:tcW w:w="0" w:type="auto"/>
            <w:vAlign w:val="center"/>
            <w:hideMark/>
          </w:tcPr>
          <w:p w14:paraId="6012347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404</w:t>
            </w:r>
          </w:p>
        </w:tc>
        <w:tc>
          <w:tcPr>
            <w:tcW w:w="0" w:type="auto"/>
            <w:vAlign w:val="center"/>
            <w:hideMark/>
          </w:tcPr>
          <w:p w14:paraId="3574AAE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Resource not found</w:t>
            </w:r>
          </w:p>
        </w:tc>
      </w:tr>
      <w:tr w:rsidR="004E7C51" w:rsidRPr="00B479AE" w14:paraId="0D927C3A" w14:textId="77777777" w:rsidTr="00DE1016">
        <w:trPr>
          <w:tblCellSpacing w:w="15" w:type="dxa"/>
        </w:trPr>
        <w:tc>
          <w:tcPr>
            <w:tcW w:w="0" w:type="auto"/>
            <w:vAlign w:val="center"/>
            <w:hideMark/>
          </w:tcPr>
          <w:p w14:paraId="1AE83DA3"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CONFLICT</w:t>
            </w:r>
          </w:p>
        </w:tc>
        <w:tc>
          <w:tcPr>
            <w:tcW w:w="0" w:type="auto"/>
            <w:vAlign w:val="center"/>
            <w:hideMark/>
          </w:tcPr>
          <w:p w14:paraId="5A91504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409</w:t>
            </w:r>
          </w:p>
        </w:tc>
        <w:tc>
          <w:tcPr>
            <w:tcW w:w="0" w:type="auto"/>
            <w:vAlign w:val="center"/>
            <w:hideMark/>
          </w:tcPr>
          <w:p w14:paraId="13C1D19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Request conflicts with existing record or state</w:t>
            </w:r>
          </w:p>
        </w:tc>
      </w:tr>
      <w:tr w:rsidR="004E7C51" w:rsidRPr="00B479AE" w14:paraId="33FA1846" w14:textId="77777777" w:rsidTr="00DE1016">
        <w:trPr>
          <w:tblCellSpacing w:w="15" w:type="dxa"/>
        </w:trPr>
        <w:tc>
          <w:tcPr>
            <w:tcW w:w="0" w:type="auto"/>
            <w:vAlign w:val="center"/>
            <w:hideMark/>
          </w:tcPr>
          <w:p w14:paraId="47B485E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INTERNAL_ERROR</w:t>
            </w:r>
          </w:p>
        </w:tc>
        <w:tc>
          <w:tcPr>
            <w:tcW w:w="0" w:type="auto"/>
            <w:vAlign w:val="center"/>
            <w:hideMark/>
          </w:tcPr>
          <w:p w14:paraId="7381B7A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500</w:t>
            </w:r>
          </w:p>
        </w:tc>
        <w:tc>
          <w:tcPr>
            <w:tcW w:w="0" w:type="auto"/>
            <w:vAlign w:val="center"/>
            <w:hideMark/>
          </w:tcPr>
          <w:p w14:paraId="527029A2"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Internal server error</w:t>
            </w:r>
          </w:p>
        </w:tc>
      </w:tr>
      <w:tr w:rsidR="004E7C51" w:rsidRPr="00B479AE" w14:paraId="3A2DCEB7" w14:textId="77777777" w:rsidTr="00DE1016">
        <w:trPr>
          <w:tblCellSpacing w:w="15" w:type="dxa"/>
        </w:trPr>
        <w:tc>
          <w:tcPr>
            <w:tcW w:w="0" w:type="auto"/>
            <w:vAlign w:val="center"/>
            <w:hideMark/>
          </w:tcPr>
          <w:p w14:paraId="1C8208E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SERVICE_UNAVAILABLE</w:t>
            </w:r>
          </w:p>
        </w:tc>
        <w:tc>
          <w:tcPr>
            <w:tcW w:w="0" w:type="auto"/>
            <w:vAlign w:val="center"/>
            <w:hideMark/>
          </w:tcPr>
          <w:p w14:paraId="439C46BB"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503</w:t>
            </w:r>
          </w:p>
        </w:tc>
        <w:tc>
          <w:tcPr>
            <w:tcW w:w="0" w:type="auto"/>
            <w:vAlign w:val="center"/>
            <w:hideMark/>
          </w:tcPr>
          <w:p w14:paraId="5D52525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Service temporarily unavailable</w:t>
            </w:r>
          </w:p>
        </w:tc>
      </w:tr>
    </w:tbl>
    <w:p w14:paraId="0A6006A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 xml:space="preserve">The </w:t>
      </w:r>
      <w:proofErr w:type="spellStart"/>
      <w:r w:rsidRPr="00B479AE">
        <w:rPr>
          <w:rFonts w:ascii="Baskerville Old Face" w:hAnsi="Baskerville Old Face"/>
          <w:i/>
          <w:iCs/>
        </w:rPr>
        <w:t>request_id</w:t>
      </w:r>
      <w:proofErr w:type="spellEnd"/>
      <w:r w:rsidRPr="00B479AE">
        <w:rPr>
          <w:rFonts w:ascii="Baskerville Old Face" w:hAnsi="Baskerville Old Face"/>
          <w:i/>
          <w:iCs/>
        </w:rPr>
        <w:t xml:space="preserve"> field should be included in all error responses to facilitate debugging, review, audit, and support.</w:t>
      </w:r>
    </w:p>
    <w:p w14:paraId="20EC8CD7"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L.10 Versioning and Deprecation</w:t>
      </w:r>
    </w:p>
    <w:p w14:paraId="2DE3C8D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The API should follow semantic versioning.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2"/>
        <w:gridCol w:w="784"/>
        <w:gridCol w:w="2796"/>
        <w:gridCol w:w="4956"/>
      </w:tblGrid>
      <w:tr w:rsidR="004E7C51" w:rsidRPr="00B479AE" w14:paraId="6ADD975A" w14:textId="77777777" w:rsidTr="00DE1016">
        <w:trPr>
          <w:tblHeader/>
          <w:tblCellSpacing w:w="15" w:type="dxa"/>
        </w:trPr>
        <w:tc>
          <w:tcPr>
            <w:tcW w:w="0" w:type="auto"/>
            <w:vAlign w:val="center"/>
            <w:hideMark/>
          </w:tcPr>
          <w:p w14:paraId="169D4E9B"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Version type</w:t>
            </w:r>
          </w:p>
        </w:tc>
        <w:tc>
          <w:tcPr>
            <w:tcW w:w="0" w:type="auto"/>
            <w:vAlign w:val="center"/>
            <w:hideMark/>
          </w:tcPr>
          <w:p w14:paraId="2BDD4A01"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Example</w:t>
            </w:r>
          </w:p>
        </w:tc>
        <w:tc>
          <w:tcPr>
            <w:tcW w:w="0" w:type="auto"/>
            <w:vAlign w:val="center"/>
            <w:hideMark/>
          </w:tcPr>
          <w:p w14:paraId="636CDCF5"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Meaning</w:t>
            </w:r>
          </w:p>
        </w:tc>
        <w:tc>
          <w:tcPr>
            <w:tcW w:w="0" w:type="auto"/>
            <w:vAlign w:val="center"/>
            <w:hideMark/>
          </w:tcPr>
          <w:p w14:paraId="62657F9D" w14:textId="77777777" w:rsidR="004E7C51" w:rsidRPr="00B479AE" w:rsidRDefault="004E7C51" w:rsidP="004E7C51">
            <w:pPr>
              <w:tabs>
                <w:tab w:val="left" w:pos="2685"/>
              </w:tabs>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Support policy</w:t>
            </w:r>
          </w:p>
        </w:tc>
      </w:tr>
      <w:tr w:rsidR="004E7C51" w:rsidRPr="00B479AE" w14:paraId="09FC1F77" w14:textId="77777777" w:rsidTr="00DE1016">
        <w:trPr>
          <w:tblCellSpacing w:w="15" w:type="dxa"/>
        </w:trPr>
        <w:tc>
          <w:tcPr>
            <w:tcW w:w="0" w:type="auto"/>
            <w:vAlign w:val="center"/>
            <w:hideMark/>
          </w:tcPr>
          <w:p w14:paraId="5204586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Major version</w:t>
            </w:r>
          </w:p>
        </w:tc>
        <w:tc>
          <w:tcPr>
            <w:tcW w:w="0" w:type="auto"/>
            <w:vAlign w:val="center"/>
            <w:hideMark/>
          </w:tcPr>
          <w:p w14:paraId="0BC1037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v1, v2</w:t>
            </w:r>
          </w:p>
        </w:tc>
        <w:tc>
          <w:tcPr>
            <w:tcW w:w="0" w:type="auto"/>
            <w:vAlign w:val="center"/>
            <w:hideMark/>
          </w:tcPr>
          <w:p w14:paraId="06AF0371"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Breaking changes</w:t>
            </w:r>
          </w:p>
        </w:tc>
        <w:tc>
          <w:tcPr>
            <w:tcW w:w="0" w:type="auto"/>
            <w:vAlign w:val="center"/>
            <w:hideMark/>
          </w:tcPr>
          <w:p w14:paraId="0323A84C"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Supported for a defined period, for example at least 24 months where feasible</w:t>
            </w:r>
          </w:p>
        </w:tc>
      </w:tr>
      <w:tr w:rsidR="004E7C51" w:rsidRPr="00B479AE" w14:paraId="156FA454" w14:textId="77777777" w:rsidTr="00DE1016">
        <w:trPr>
          <w:tblCellSpacing w:w="15" w:type="dxa"/>
        </w:trPr>
        <w:tc>
          <w:tcPr>
            <w:tcW w:w="0" w:type="auto"/>
            <w:vAlign w:val="center"/>
            <w:hideMark/>
          </w:tcPr>
          <w:p w14:paraId="284FC006"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Minor version</w:t>
            </w:r>
          </w:p>
        </w:tc>
        <w:tc>
          <w:tcPr>
            <w:tcW w:w="0" w:type="auto"/>
            <w:vAlign w:val="center"/>
            <w:hideMark/>
          </w:tcPr>
          <w:p w14:paraId="16865B99"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v1.1</w:t>
            </w:r>
          </w:p>
        </w:tc>
        <w:tc>
          <w:tcPr>
            <w:tcW w:w="0" w:type="auto"/>
            <w:vAlign w:val="center"/>
            <w:hideMark/>
          </w:tcPr>
          <w:p w14:paraId="3B74B45E"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Backward-compatible additions</w:t>
            </w:r>
          </w:p>
        </w:tc>
        <w:tc>
          <w:tcPr>
            <w:tcW w:w="0" w:type="auto"/>
            <w:vAlign w:val="center"/>
            <w:hideMark/>
          </w:tcPr>
          <w:p w14:paraId="073849B0"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Announced in advance where operationally relevant</w:t>
            </w:r>
          </w:p>
        </w:tc>
      </w:tr>
      <w:tr w:rsidR="004E7C51" w:rsidRPr="00B479AE" w14:paraId="23297543" w14:textId="77777777" w:rsidTr="00DE1016">
        <w:trPr>
          <w:tblCellSpacing w:w="15" w:type="dxa"/>
        </w:trPr>
        <w:tc>
          <w:tcPr>
            <w:tcW w:w="0" w:type="auto"/>
            <w:vAlign w:val="center"/>
            <w:hideMark/>
          </w:tcPr>
          <w:p w14:paraId="76FFF79D"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Patch version</w:t>
            </w:r>
          </w:p>
        </w:tc>
        <w:tc>
          <w:tcPr>
            <w:tcW w:w="0" w:type="auto"/>
            <w:vAlign w:val="center"/>
            <w:hideMark/>
          </w:tcPr>
          <w:p w14:paraId="54CB3EB7"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v1.1.2</w:t>
            </w:r>
          </w:p>
        </w:tc>
        <w:tc>
          <w:tcPr>
            <w:tcW w:w="0" w:type="auto"/>
            <w:vAlign w:val="center"/>
            <w:hideMark/>
          </w:tcPr>
          <w:p w14:paraId="1431D5EA"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Bug fixes, security fixes, minor corrections</w:t>
            </w:r>
          </w:p>
        </w:tc>
        <w:tc>
          <w:tcPr>
            <w:tcW w:w="0" w:type="auto"/>
            <w:vAlign w:val="center"/>
            <w:hideMark/>
          </w:tcPr>
          <w:p w14:paraId="56E826E8" w14:textId="77777777" w:rsidR="004E7C51" w:rsidRPr="00B479AE" w:rsidRDefault="004E7C51" w:rsidP="004E7C51">
            <w:pPr>
              <w:tabs>
                <w:tab w:val="left" w:pos="2685"/>
              </w:tabs>
              <w:spacing w:line="360" w:lineRule="auto"/>
              <w:rPr>
                <w:rFonts w:ascii="Baskerville Old Face" w:hAnsi="Baskerville Old Face"/>
                <w:i/>
                <w:iCs/>
                <w:sz w:val="20"/>
                <w:szCs w:val="20"/>
              </w:rPr>
            </w:pPr>
            <w:r w:rsidRPr="00B479AE">
              <w:rPr>
                <w:rFonts w:ascii="Baskerville Old Face" w:hAnsi="Baskerville Old Face"/>
                <w:i/>
                <w:iCs/>
                <w:sz w:val="20"/>
                <w:szCs w:val="20"/>
              </w:rPr>
              <w:t>No advance notice required where urgent</w:t>
            </w:r>
          </w:p>
        </w:tc>
      </w:tr>
    </w:tbl>
    <w:p w14:paraId="0884632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Deprecated endpoints should return a Warning header and continue to function for a defined deprecation period unless security, legal, or integrity risk requires faster suspension.</w:t>
      </w:r>
    </w:p>
    <w:p w14:paraId="59DCCAE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Example warning header:</w:t>
      </w:r>
    </w:p>
    <w:p w14:paraId="065FC8F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text</w:t>
      </w:r>
      <w:r w:rsidRPr="00B479AE">
        <w:rPr>
          <w:rFonts w:ascii="Baskerville Old Face" w:hAnsi="Baskerville Old Face"/>
          <w:i/>
          <w:iCs/>
        </w:rPr>
        <w:br/>
        <w:t>Warning: 299 - "The endpoint /v1/example is deprecated. Please migrate to /v2/example. See canonical migration documentation for details."</w:t>
      </w:r>
    </w:p>
    <w:p w14:paraId="23ACB00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After the deprecation period, deprecated endpoints may return 410 Gone responses.</w:t>
      </w:r>
    </w:p>
    <w:p w14:paraId="32E9B44A"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Deprecation should preserve:</w:t>
      </w:r>
    </w:p>
    <w:p w14:paraId="4AB65A1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migration documentation;</w:t>
      </w:r>
    </w:p>
    <w:p w14:paraId="50AC059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version history;</w:t>
      </w:r>
    </w:p>
    <w:p w14:paraId="725E6F41"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compatibility notes;</w:t>
      </w:r>
    </w:p>
    <w:p w14:paraId="2BDEF9D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security rationale where relevant;</w:t>
      </w:r>
    </w:p>
    <w:p w14:paraId="24227B4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affected endpoint list;</w:t>
      </w:r>
    </w:p>
    <w:p w14:paraId="59E1118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 sunset date;</w:t>
      </w:r>
    </w:p>
    <w:p w14:paraId="2A6AA96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fallback path;</w:t>
      </w:r>
    </w:p>
    <w:p w14:paraId="58F2DA0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registry or release reference.</w:t>
      </w:r>
    </w:p>
    <w:p w14:paraId="77A3C636"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L.11 Developer Resources</w:t>
      </w:r>
    </w:p>
    <w:p w14:paraId="60F80D3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Developer resources should be maintained in a separate technical documentation package and synchronized with canonical release metadata.</w:t>
      </w:r>
    </w:p>
    <w:p w14:paraId="2720AE4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Possible resources may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7"/>
        <w:gridCol w:w="5827"/>
      </w:tblGrid>
      <w:tr w:rsidR="004E7C51" w:rsidRPr="00B479AE" w14:paraId="7F347713" w14:textId="77777777" w:rsidTr="00DE1016">
        <w:trPr>
          <w:tblHeader/>
          <w:tblCellSpacing w:w="15" w:type="dxa"/>
        </w:trPr>
        <w:tc>
          <w:tcPr>
            <w:tcW w:w="0" w:type="auto"/>
            <w:vAlign w:val="center"/>
            <w:hideMark/>
          </w:tcPr>
          <w:p w14:paraId="2BCBDBAD"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Resource</w:t>
            </w:r>
          </w:p>
        </w:tc>
        <w:tc>
          <w:tcPr>
            <w:tcW w:w="0" w:type="auto"/>
            <w:vAlign w:val="center"/>
            <w:hideMark/>
          </w:tcPr>
          <w:p w14:paraId="46B7408F" w14:textId="77777777" w:rsidR="004E7C51" w:rsidRPr="00B479AE" w:rsidRDefault="004E7C51" w:rsidP="004E7C51">
            <w:pPr>
              <w:tabs>
                <w:tab w:val="left" w:pos="2685"/>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Status / location</w:t>
            </w:r>
          </w:p>
        </w:tc>
      </w:tr>
      <w:tr w:rsidR="004E7C51" w:rsidRPr="00B479AE" w14:paraId="6050B533" w14:textId="77777777" w:rsidTr="00DE1016">
        <w:trPr>
          <w:tblCellSpacing w:w="15" w:type="dxa"/>
        </w:trPr>
        <w:tc>
          <w:tcPr>
            <w:tcW w:w="0" w:type="auto"/>
            <w:vAlign w:val="center"/>
            <w:hideMark/>
          </w:tcPr>
          <w:p w14:paraId="1AC91EE6" w14:textId="77777777" w:rsidR="004E7C51" w:rsidRPr="00B479AE" w:rsidRDefault="004E7C51" w:rsidP="004E7C51">
            <w:pPr>
              <w:tabs>
                <w:tab w:val="left" w:pos="2685"/>
              </w:tabs>
              <w:spacing w:line="360" w:lineRule="auto"/>
              <w:rPr>
                <w:rFonts w:ascii="Baskerville Old Face" w:hAnsi="Baskerville Old Face"/>
                <w:i/>
                <w:iCs/>
                <w:sz w:val="22"/>
                <w:szCs w:val="22"/>
              </w:rPr>
            </w:pPr>
            <w:proofErr w:type="spellStart"/>
            <w:r w:rsidRPr="00B479AE">
              <w:rPr>
                <w:rFonts w:ascii="Baskerville Old Face" w:hAnsi="Baskerville Old Face"/>
                <w:i/>
                <w:iCs/>
                <w:sz w:val="22"/>
                <w:szCs w:val="22"/>
              </w:rPr>
              <w:t>OpenAPI</w:t>
            </w:r>
            <w:proofErr w:type="spellEnd"/>
            <w:r w:rsidRPr="00B479AE">
              <w:rPr>
                <w:rFonts w:ascii="Baskerville Old Face" w:hAnsi="Baskerville Old Face"/>
                <w:i/>
                <w:iCs/>
                <w:sz w:val="22"/>
                <w:szCs w:val="22"/>
              </w:rPr>
              <w:t xml:space="preserve"> / Swagger specification</w:t>
            </w:r>
          </w:p>
        </w:tc>
        <w:tc>
          <w:tcPr>
            <w:tcW w:w="0" w:type="auto"/>
            <w:vAlign w:val="center"/>
            <w:hideMark/>
          </w:tcPr>
          <w:p w14:paraId="30B30EE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maintained in canonical technical documentation</w:t>
            </w:r>
          </w:p>
        </w:tc>
      </w:tr>
      <w:tr w:rsidR="004E7C51" w:rsidRPr="00B479AE" w14:paraId="19C7DFE6" w14:textId="77777777" w:rsidTr="00DE1016">
        <w:trPr>
          <w:tblCellSpacing w:w="15" w:type="dxa"/>
        </w:trPr>
        <w:tc>
          <w:tcPr>
            <w:tcW w:w="0" w:type="auto"/>
            <w:vAlign w:val="center"/>
            <w:hideMark/>
          </w:tcPr>
          <w:p w14:paraId="13443F3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API reference documentation</w:t>
            </w:r>
          </w:p>
        </w:tc>
        <w:tc>
          <w:tcPr>
            <w:tcW w:w="0" w:type="auto"/>
            <w:vAlign w:val="center"/>
            <w:hideMark/>
          </w:tcPr>
          <w:p w14:paraId="3C3A0B14"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maintained in developer documentation</w:t>
            </w:r>
          </w:p>
        </w:tc>
      </w:tr>
      <w:tr w:rsidR="004E7C51" w:rsidRPr="00B479AE" w14:paraId="312B2137" w14:textId="77777777" w:rsidTr="00DE1016">
        <w:trPr>
          <w:tblCellSpacing w:w="15" w:type="dxa"/>
        </w:trPr>
        <w:tc>
          <w:tcPr>
            <w:tcW w:w="0" w:type="auto"/>
            <w:vAlign w:val="center"/>
            <w:hideMark/>
          </w:tcPr>
          <w:p w14:paraId="23E54808"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Postman collection</w:t>
            </w:r>
          </w:p>
        </w:tc>
        <w:tc>
          <w:tcPr>
            <w:tcW w:w="0" w:type="auto"/>
            <w:vAlign w:val="center"/>
            <w:hideMark/>
          </w:tcPr>
          <w:p w14:paraId="2E092DB4"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Available where appropriate for approved developers or partners</w:t>
            </w:r>
          </w:p>
        </w:tc>
      </w:tr>
      <w:tr w:rsidR="004E7C51" w:rsidRPr="00B479AE" w14:paraId="5A6222F2" w14:textId="77777777" w:rsidTr="00DE1016">
        <w:trPr>
          <w:tblCellSpacing w:w="15" w:type="dxa"/>
        </w:trPr>
        <w:tc>
          <w:tcPr>
            <w:tcW w:w="0" w:type="auto"/>
            <w:vAlign w:val="center"/>
            <w:hideMark/>
          </w:tcPr>
          <w:p w14:paraId="5EA6181D"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Protocol Buffer definitions</w:t>
            </w:r>
          </w:p>
        </w:tc>
        <w:tc>
          <w:tcPr>
            <w:tcW w:w="0" w:type="auto"/>
            <w:vAlign w:val="center"/>
            <w:hideMark/>
          </w:tcPr>
          <w:p w14:paraId="24F80846"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maintained in the canonical repository or technical package</w:t>
            </w:r>
          </w:p>
        </w:tc>
      </w:tr>
      <w:tr w:rsidR="004E7C51" w:rsidRPr="00B479AE" w14:paraId="5EB6F34E" w14:textId="77777777" w:rsidTr="00DE1016">
        <w:trPr>
          <w:tblCellSpacing w:w="15" w:type="dxa"/>
        </w:trPr>
        <w:tc>
          <w:tcPr>
            <w:tcW w:w="0" w:type="auto"/>
            <w:vAlign w:val="center"/>
            <w:hideMark/>
          </w:tcPr>
          <w:p w14:paraId="01E37CA1"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SDKs</w:t>
            </w:r>
          </w:p>
        </w:tc>
        <w:tc>
          <w:tcPr>
            <w:tcW w:w="0" w:type="auto"/>
            <w:vAlign w:val="center"/>
            <w:hideMark/>
          </w:tcPr>
          <w:p w14:paraId="0F30D062"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versioned and released separately where appropriate</w:t>
            </w:r>
          </w:p>
        </w:tc>
      </w:tr>
      <w:tr w:rsidR="004E7C51" w:rsidRPr="00B479AE" w14:paraId="2F798809" w14:textId="77777777" w:rsidTr="00DE1016">
        <w:trPr>
          <w:tblCellSpacing w:w="15" w:type="dxa"/>
        </w:trPr>
        <w:tc>
          <w:tcPr>
            <w:tcW w:w="0" w:type="auto"/>
            <w:vAlign w:val="center"/>
            <w:hideMark/>
          </w:tcPr>
          <w:p w14:paraId="2BA0CE8E"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Integration examples</w:t>
            </w:r>
          </w:p>
        </w:tc>
        <w:tc>
          <w:tcPr>
            <w:tcW w:w="0" w:type="auto"/>
            <w:vAlign w:val="center"/>
            <w:hideMark/>
          </w:tcPr>
          <w:p w14:paraId="5320E18C"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maintained in examples or developer repository</w:t>
            </w:r>
          </w:p>
        </w:tc>
      </w:tr>
      <w:tr w:rsidR="004E7C51" w:rsidRPr="00B479AE" w14:paraId="0E7581F1" w14:textId="77777777" w:rsidTr="00DE1016">
        <w:trPr>
          <w:tblCellSpacing w:w="15" w:type="dxa"/>
        </w:trPr>
        <w:tc>
          <w:tcPr>
            <w:tcW w:w="0" w:type="auto"/>
            <w:vAlign w:val="center"/>
            <w:hideMark/>
          </w:tcPr>
          <w:p w14:paraId="64648261"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Migration guides</w:t>
            </w:r>
          </w:p>
        </w:tc>
        <w:tc>
          <w:tcPr>
            <w:tcW w:w="0" w:type="auto"/>
            <w:vAlign w:val="center"/>
            <w:hideMark/>
          </w:tcPr>
          <w:p w14:paraId="7EEABD85"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maintained with release notes</w:t>
            </w:r>
          </w:p>
        </w:tc>
      </w:tr>
      <w:tr w:rsidR="004E7C51" w:rsidRPr="00B479AE" w14:paraId="53E448B1" w14:textId="77777777" w:rsidTr="00DE1016">
        <w:trPr>
          <w:tblCellSpacing w:w="15" w:type="dxa"/>
        </w:trPr>
        <w:tc>
          <w:tcPr>
            <w:tcW w:w="0" w:type="auto"/>
            <w:vAlign w:val="center"/>
            <w:hideMark/>
          </w:tcPr>
          <w:p w14:paraId="4D06C04F"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Verification instructions</w:t>
            </w:r>
          </w:p>
        </w:tc>
        <w:tc>
          <w:tcPr>
            <w:tcW w:w="0" w:type="auto"/>
            <w:vAlign w:val="center"/>
            <w:hideMark/>
          </w:tcPr>
          <w:p w14:paraId="170C74AA" w14:textId="77777777" w:rsidR="004E7C51" w:rsidRPr="00B479AE" w:rsidRDefault="004E7C51" w:rsidP="004E7C51">
            <w:pPr>
              <w:tabs>
                <w:tab w:val="left" w:pos="2685"/>
              </w:tabs>
              <w:spacing w:line="360" w:lineRule="auto"/>
              <w:rPr>
                <w:rFonts w:ascii="Baskerville Old Face" w:hAnsi="Baskerville Old Face"/>
                <w:i/>
                <w:iCs/>
                <w:sz w:val="22"/>
                <w:szCs w:val="22"/>
              </w:rPr>
            </w:pPr>
            <w:r w:rsidRPr="00B479AE">
              <w:rPr>
                <w:rFonts w:ascii="Baskerville Old Face" w:hAnsi="Baskerville Old Face"/>
                <w:i/>
                <w:iCs/>
                <w:sz w:val="22"/>
                <w:szCs w:val="22"/>
              </w:rPr>
              <w:t>To be synchronized with canonical registry and release manifest</w:t>
            </w:r>
          </w:p>
        </w:tc>
      </w:tr>
    </w:tbl>
    <w:p w14:paraId="77C58B35"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Until the official developer portal, repository, API domain, and support pathways are fully confirmed in the canonical release package, all URLs, endpoints, SDK links, and support contacts should be treated as provisional.</w:t>
      </w:r>
    </w:p>
    <w:p w14:paraId="707A7972"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For API keys, technical support, institutional access, or partnership inquiries, the canonical release should identify the official contact point, official repository, and official domain reference.</w:t>
      </w:r>
    </w:p>
    <w:p w14:paraId="2591FAB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 xml:space="preserve">Complete </w:t>
      </w:r>
      <w:proofErr w:type="spellStart"/>
      <w:r w:rsidRPr="00B479AE">
        <w:rPr>
          <w:rFonts w:ascii="Baskerville Old Face" w:hAnsi="Baskerville Old Face"/>
          <w:i/>
          <w:iCs/>
        </w:rPr>
        <w:t>OpenAPI</w:t>
      </w:r>
      <w:proofErr w:type="spellEnd"/>
      <w:r w:rsidRPr="00B479AE">
        <w:rPr>
          <w:rFonts w:ascii="Baskerville Old Face" w:hAnsi="Baskerville Old Face"/>
          <w:i/>
          <w:iCs/>
        </w:rPr>
        <w:t xml:space="preserve"> / Swagger specifications, Protocol Buffer definitions, Postman collections, SDKs, examples, and integration runbooks should be maintained in the separate technical documentation package and referenced by release version.</w:t>
      </w:r>
    </w:p>
    <w:p w14:paraId="6C4CBC8F" w14:textId="77777777" w:rsidR="004E7C51" w:rsidRPr="00B479AE" w:rsidRDefault="004E7C51" w:rsidP="004E7C51">
      <w:pPr>
        <w:tabs>
          <w:tab w:val="left" w:pos="2685"/>
        </w:tabs>
        <w:spacing w:line="360" w:lineRule="auto"/>
        <w:rPr>
          <w:rFonts w:ascii="Baskerville Old Face" w:hAnsi="Baskerville Old Face"/>
          <w:b/>
          <w:bCs/>
          <w:i/>
          <w:iCs/>
        </w:rPr>
      </w:pPr>
      <w:r w:rsidRPr="00B479AE">
        <w:rPr>
          <w:rFonts w:ascii="Baskerville Old Face" w:hAnsi="Baskerville Old Face"/>
          <w:b/>
          <w:bCs/>
          <w:i/>
          <w:iCs/>
        </w:rPr>
        <w:t>L.12 Final Integration Boundary</w:t>
      </w:r>
    </w:p>
    <w:p w14:paraId="56EAB7FA"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is an interoperability layer.</w:t>
      </w:r>
    </w:p>
    <w:p w14:paraId="05A0DFB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is not a sovereign authority layer.</w:t>
      </w:r>
    </w:p>
    <w:p w14:paraId="293E1444" w14:textId="2D67F32A"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allows Prometheus to communicate with external systems without surrendering source-layer discipline.</w:t>
      </w:r>
      <w:r w:rsidR="00DE1016" w:rsidRPr="00B479AE">
        <w:rPr>
          <w:rFonts w:ascii="Baskerville Old Face" w:hAnsi="Baskerville Old Face"/>
          <w:i/>
          <w:iCs/>
        </w:rPr>
        <w:t xml:space="preserve"> </w:t>
      </w:r>
      <w:r w:rsidRPr="00B479AE">
        <w:rPr>
          <w:rFonts w:ascii="Baskerville Old Face" w:hAnsi="Baskerville Old Face"/>
          <w:i/>
          <w:iCs/>
        </w:rPr>
        <w:t>The final boundary is:</w:t>
      </w:r>
    </w:p>
    <w:p w14:paraId="4D9C343E"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API access does not create authority;</w:t>
      </w:r>
    </w:p>
    <w:p w14:paraId="7C8D098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data submission does not create verification;</w:t>
      </w:r>
    </w:p>
    <w:p w14:paraId="49B4A76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verification does not create legal rights;</w:t>
      </w:r>
    </w:p>
    <w:p w14:paraId="3286654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PRU analysis does not create investor entitlement;</w:t>
      </w:r>
    </w:p>
    <w:p w14:paraId="68E8D066"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dashboard visibility does not create public certification;</w:t>
      </w:r>
    </w:p>
    <w:p w14:paraId="468FD74F"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webhook notification does not authorize action;</w:t>
      </w:r>
    </w:p>
    <w:p w14:paraId="1743CE0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external registry data does not create Prometheus admissibility;</w:t>
      </w:r>
    </w:p>
    <w:p w14:paraId="1F431A8A"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digital representation does not create ecological value;</w:t>
      </w:r>
    </w:p>
    <w:p w14:paraId="6C5DE49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technical integration does not override governance, law, evidence, or source-layer fidelity.</w:t>
      </w:r>
    </w:p>
    <w:p w14:paraId="69185BF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should therefore operate according to the following sequence:</w:t>
      </w:r>
    </w:p>
    <w:p w14:paraId="668DC39D"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request </w:t>
      </w:r>
      <w:r w:rsidRPr="00B479AE">
        <w:rPr>
          <w:rFonts w:ascii="Times New Roman" w:hAnsi="Times New Roman" w:cs="Times New Roman"/>
          <w:i/>
          <w:iCs/>
        </w:rPr>
        <w:t>→</w:t>
      </w:r>
      <w:r w:rsidRPr="00B479AE">
        <w:rPr>
          <w:rFonts w:ascii="Baskerville Old Face" w:hAnsi="Baskerville Old Face"/>
          <w:i/>
          <w:iCs/>
        </w:rPr>
        <w:t xml:space="preserve"> authentication </w:t>
      </w:r>
      <w:r w:rsidRPr="00B479AE">
        <w:rPr>
          <w:rFonts w:ascii="Times New Roman" w:hAnsi="Times New Roman" w:cs="Times New Roman"/>
          <w:i/>
          <w:iCs/>
        </w:rPr>
        <w:t>→</w:t>
      </w:r>
      <w:r w:rsidRPr="00B479AE">
        <w:rPr>
          <w:rFonts w:ascii="Baskerville Old Face" w:hAnsi="Baskerville Old Face"/>
          <w:i/>
          <w:iCs/>
        </w:rPr>
        <w:t xml:space="preserve"> authorization </w:t>
      </w:r>
      <w:r w:rsidRPr="00B479AE">
        <w:rPr>
          <w:rFonts w:ascii="Times New Roman" w:hAnsi="Times New Roman" w:cs="Times New Roman"/>
          <w:i/>
          <w:iCs/>
        </w:rPr>
        <w:t>→</w:t>
      </w:r>
      <w:r w:rsidRPr="00B479AE">
        <w:rPr>
          <w:rFonts w:ascii="Baskerville Old Face" w:hAnsi="Baskerville Old Face"/>
          <w:i/>
          <w:iCs/>
        </w:rPr>
        <w:t xml:space="preserve"> validation </w:t>
      </w:r>
      <w:r w:rsidRPr="00B479AE">
        <w:rPr>
          <w:rFonts w:ascii="Times New Roman" w:hAnsi="Times New Roman" w:cs="Times New Roman"/>
          <w:i/>
          <w:iCs/>
        </w:rPr>
        <w:t>→</w:t>
      </w:r>
      <w:r w:rsidRPr="00B479AE">
        <w:rPr>
          <w:rFonts w:ascii="Baskerville Old Face" w:hAnsi="Baskerville Old Face"/>
          <w:i/>
          <w:iCs/>
        </w:rPr>
        <w:t xml:space="preserve"> constitutional boundary check </w:t>
      </w:r>
      <w:r w:rsidRPr="00B479AE">
        <w:rPr>
          <w:rFonts w:ascii="Times New Roman" w:hAnsi="Times New Roman" w:cs="Times New Roman"/>
          <w:i/>
          <w:iCs/>
        </w:rPr>
        <w:t>→</w:t>
      </w:r>
      <w:r w:rsidRPr="00B479AE">
        <w:rPr>
          <w:rFonts w:ascii="Baskerville Old Face" w:hAnsi="Baskerville Old Face"/>
          <w:i/>
          <w:iCs/>
        </w:rPr>
        <w:t xml:space="preserve"> evidence or record processing </w:t>
      </w:r>
      <w:r w:rsidRPr="00B479AE">
        <w:rPr>
          <w:rFonts w:ascii="Times New Roman" w:hAnsi="Times New Roman" w:cs="Times New Roman"/>
          <w:i/>
          <w:iCs/>
        </w:rPr>
        <w:t>→</w:t>
      </w:r>
      <w:r w:rsidRPr="00B479AE">
        <w:rPr>
          <w:rFonts w:ascii="Baskerville Old Face" w:hAnsi="Baskerville Old Face"/>
          <w:i/>
          <w:iCs/>
        </w:rPr>
        <w:t xml:space="preserve"> review routing where required </w:t>
      </w:r>
      <w:r w:rsidRPr="00B479AE">
        <w:rPr>
          <w:rFonts w:ascii="Times New Roman" w:hAnsi="Times New Roman" w:cs="Times New Roman"/>
          <w:i/>
          <w:iCs/>
        </w:rPr>
        <w:t>→</w:t>
      </w:r>
      <w:r w:rsidRPr="00B479AE">
        <w:rPr>
          <w:rFonts w:ascii="Baskerville Old Face" w:hAnsi="Baskerville Old Face"/>
          <w:i/>
          <w:iCs/>
        </w:rPr>
        <w:t xml:space="preserve"> response </w:t>
      </w:r>
      <w:r w:rsidRPr="00B479AE">
        <w:rPr>
          <w:rFonts w:ascii="Times New Roman" w:hAnsi="Times New Roman" w:cs="Times New Roman"/>
          <w:i/>
          <w:iCs/>
        </w:rPr>
        <w:t>→</w:t>
      </w:r>
      <w:r w:rsidRPr="00B479AE">
        <w:rPr>
          <w:rFonts w:ascii="Baskerville Old Face" w:hAnsi="Baskerville Old Face"/>
          <w:i/>
          <w:iCs/>
        </w:rPr>
        <w:t xml:space="preserve"> audit trail.</w:t>
      </w:r>
    </w:p>
    <w:p w14:paraId="67963B8B"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This preserves the distinction between connectivity and legitimacy.</w:t>
      </w:r>
    </w:p>
    <w:p w14:paraId="097737B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Prometheus may integrate widely.</w:t>
      </w:r>
    </w:p>
    <w:p w14:paraId="3DA11064"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should authorize narrowly.</w:t>
      </w:r>
    </w:p>
    <w:p w14:paraId="66FEACE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lastRenderedPageBreak/>
        <w:t>It may listen to many systems.</w:t>
      </w:r>
    </w:p>
    <w:p w14:paraId="533C45A7"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should trust only what evidence, review, governance, law, and canonical status allow.</w:t>
      </w:r>
    </w:p>
    <w:p w14:paraId="4A48FDCC"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 xml:space="preserve">The Integration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is therefore the controlled membrane of Prometheus.</w:t>
      </w:r>
    </w:p>
    <w:p w14:paraId="6D3D44B0"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allows exchange.</w:t>
      </w:r>
    </w:p>
    <w:p w14:paraId="6280FC03"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prevents contamination.</w:t>
      </w:r>
    </w:p>
    <w:p w14:paraId="0950E479" w14:textId="77777777" w:rsidR="004E7C51" w:rsidRPr="00B479AE" w:rsidRDefault="004E7C51" w:rsidP="004E7C51">
      <w:pPr>
        <w:tabs>
          <w:tab w:val="left" w:pos="2685"/>
        </w:tabs>
        <w:spacing w:line="360" w:lineRule="auto"/>
        <w:rPr>
          <w:rFonts w:ascii="Baskerville Old Face" w:hAnsi="Baskerville Old Face"/>
          <w:i/>
          <w:iCs/>
        </w:rPr>
      </w:pPr>
      <w:r w:rsidRPr="00B479AE">
        <w:rPr>
          <w:rFonts w:ascii="Baskerville Old Face" w:hAnsi="Baskerville Old Face"/>
          <w:i/>
          <w:iCs/>
        </w:rPr>
        <w:t>It enables interoperability without category collapse.</w:t>
      </w:r>
    </w:p>
    <w:p w14:paraId="4333CAE0" w14:textId="77777777" w:rsidR="00DE1016" w:rsidRPr="0031685B" w:rsidRDefault="00DE1016" w:rsidP="0031685B">
      <w:pPr>
        <w:pStyle w:val="Titolo1"/>
        <w:rPr>
          <w:rFonts w:ascii="Baskerville Old Face" w:hAnsi="Baskerville Old Face"/>
          <w:b/>
          <w:bCs/>
          <w:i/>
          <w:iCs/>
          <w:sz w:val="24"/>
          <w:szCs w:val="24"/>
        </w:rPr>
      </w:pPr>
      <w:r w:rsidRPr="0031685B">
        <w:rPr>
          <w:rFonts w:ascii="Baskerville Old Face" w:hAnsi="Baskerville Old Face"/>
          <w:b/>
          <w:bCs/>
          <w:i/>
          <w:iCs/>
          <w:sz w:val="24"/>
          <w:szCs w:val="24"/>
        </w:rPr>
        <w:t>Appendix M: One Human Ecosystem (OHE) — Biological Unit and Conceptual Deployment Envelope</w:t>
      </w:r>
    </w:p>
    <w:p w14:paraId="34FACB0B"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M.0 Scope Note</w:t>
      </w:r>
    </w:p>
    <w:p w14:paraId="144C2C6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appendix describes the One Human Ecosystem, or OHE, as the biological, ecological, and operational base unit of Prometheus.</w:t>
      </w:r>
    </w:p>
    <w:p w14:paraId="4950493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should be understood as a conceptual and methodological deployment unit.</w:t>
      </w:r>
    </w:p>
    <w:p w14:paraId="28161FC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current-pilot execution guarantee.</w:t>
      </w:r>
    </w:p>
    <w:p w14:paraId="73CE93E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standardized investment product.</w:t>
      </w:r>
    </w:p>
    <w:p w14:paraId="570CC0A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validated revenue unit by default.</w:t>
      </w:r>
    </w:p>
    <w:p w14:paraId="1F46FE3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an automatic PRU.</w:t>
      </w:r>
    </w:p>
    <w:p w14:paraId="0193450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claim of financial return.</w:t>
      </w:r>
    </w:p>
    <w:p w14:paraId="09CB9DC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tokenizable asset by itself.</w:t>
      </w:r>
    </w:p>
    <w:p w14:paraId="637056F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Where economic figures, deployment ranges, productivity envelopes, cost categories, or value indications are discussed, they should be interpreted as broad conceptual envelopes used to illustrate plausibility, strategic relevance, and long-duration regenerative potential.</w:t>
      </w:r>
    </w:p>
    <w:p w14:paraId="67C4791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xml:space="preserve">They do not redefine the bounded implementation scope of the current pilot </w:t>
      </w:r>
      <w:proofErr w:type="spellStart"/>
      <w:r w:rsidRPr="00B479AE">
        <w:rPr>
          <w:rFonts w:ascii="Baskerville Old Face" w:hAnsi="Baskerville Old Face"/>
          <w:i/>
          <w:iCs/>
        </w:rPr>
        <w:t>hApp</w:t>
      </w:r>
      <w:proofErr w:type="spellEnd"/>
      <w:r w:rsidRPr="00B479AE">
        <w:rPr>
          <w:rFonts w:ascii="Baskerville Old Face" w:hAnsi="Baskerville Old Face"/>
          <w:i/>
          <w:iCs/>
        </w:rPr>
        <w:t>.</w:t>
      </w:r>
    </w:p>
    <w:p w14:paraId="77662A3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do not constitute field-deployment commitments, validated operating results, issuance terms, financial projections, underwriting conclusions, or binding investment conditions.</w:t>
      </w:r>
    </w:p>
    <w:p w14:paraId="256D748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The purpose of this appendix is to define the OHE as the living base layer from which future observation, MRV, evidence accumulation, standardization, PRU value analysis, and capital-readiness interpretation may eventually emerge.</w:t>
      </w:r>
    </w:p>
    <w:p w14:paraId="731CAAC5"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 Definition</w:t>
      </w:r>
    </w:p>
    <w:p w14:paraId="2DD0433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One Human Ecosystem, or OHE, is a compact syntropic agroecological system designed as a minimum deployable unit of regenerative infrastructure.</w:t>
      </w:r>
    </w:p>
    <w:p w14:paraId="29AECA4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xml:space="preserve">Its indicative territorial scale may be approximately one thousand square </w:t>
      </w:r>
      <w:proofErr w:type="spellStart"/>
      <w:r w:rsidRPr="00B479AE">
        <w:rPr>
          <w:rFonts w:ascii="Baskerville Old Face" w:hAnsi="Baskerville Old Face"/>
          <w:i/>
          <w:iCs/>
        </w:rPr>
        <w:t>metres</w:t>
      </w:r>
      <w:proofErr w:type="spellEnd"/>
      <w:r w:rsidRPr="00B479AE">
        <w:rPr>
          <w:rFonts w:ascii="Baskerville Old Face" w:hAnsi="Baskerville Old Face"/>
          <w:i/>
          <w:iCs/>
        </w:rPr>
        <w:t>, subject to design, climate, land availability, water strategy, ecological context, operational purpose, and site-specific constraints.</w:t>
      </w:r>
    </w:p>
    <w:p w14:paraId="3192DBF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is intended to support three integrated functions:</w:t>
      </w:r>
    </w:p>
    <w:p w14:paraId="6A0D41D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nutritional function;</w:t>
      </w:r>
    </w:p>
    <w:p w14:paraId="19A4786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ecological regeneration;</w:t>
      </w:r>
    </w:p>
    <w:p w14:paraId="55ACCFD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measurable living-system performance.</w:t>
      </w:r>
    </w:p>
    <w:p w14:paraId="61ADD6E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may support food production, soil regeneration, water retention, biodiversity enhancement, biomass cycling, human stewardship, and future MRV-based performance assessment.</w:t>
      </w:r>
    </w:p>
    <w:p w14:paraId="6519279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Within the Prometheus framework, the OHE represents:</w:t>
      </w:r>
    </w:p>
    <w:p w14:paraId="110FB78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the biological substrate of regenerative infrastructure;</w:t>
      </w:r>
    </w:p>
    <w:p w14:paraId="22FF6A7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the smallest ecologically legible deployment unit;</w:t>
      </w:r>
    </w:p>
    <w:p w14:paraId="3BA41D3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the field layer where regeneration occurs;</w:t>
      </w:r>
    </w:p>
    <w:p w14:paraId="2201937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the operational layer where stewardship becomes visible;</w:t>
      </w:r>
    </w:p>
    <w:p w14:paraId="3183C0F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the evidence layer where ecological change can begin to be measured;</w:t>
      </w:r>
    </w:p>
    <w:p w14:paraId="268F3B3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the foundational biological unit from which future PRU-relevant analysis may emerge.</w:t>
      </w:r>
    </w:p>
    <w:p w14:paraId="5FDFAB9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is not merely a garden, orchard, food forest, productive plot, or ecological installation.</w:t>
      </w:r>
    </w:p>
    <w:p w14:paraId="22C7587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It is the minimum living unit through which Prometheus can connect soil, water, biodiversity, nutrition, stewardship, evidence, governance, and capital-readiness logic without detaching value from the living system that generates it.</w:t>
      </w:r>
    </w:p>
    <w:p w14:paraId="54998A12"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M.2 Structural Principles</w:t>
      </w:r>
    </w:p>
    <w:p w14:paraId="2152C14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operates through three coupled ecological mechanisms:</w:t>
      </w:r>
    </w:p>
    <w:p w14:paraId="7ECCF051" w14:textId="77777777" w:rsidR="00DE1016" w:rsidRPr="00B479AE" w:rsidRDefault="00DE1016">
      <w:pPr>
        <w:numPr>
          <w:ilvl w:val="0"/>
          <w:numId w:val="39"/>
        </w:numPr>
        <w:spacing w:line="360" w:lineRule="auto"/>
        <w:rPr>
          <w:rFonts w:ascii="Baskerville Old Face" w:hAnsi="Baskerville Old Face"/>
          <w:i/>
          <w:iCs/>
        </w:rPr>
      </w:pPr>
      <w:r w:rsidRPr="00B479AE">
        <w:rPr>
          <w:rFonts w:ascii="Baskerville Old Face" w:hAnsi="Baskerville Old Face"/>
          <w:i/>
          <w:iCs/>
        </w:rPr>
        <w:t>Succession.</w:t>
      </w:r>
    </w:p>
    <w:p w14:paraId="172C507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Succession is the temporal organization of the system.</w:t>
      </w:r>
    </w:p>
    <w:p w14:paraId="1A185EA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Species are selected and organized across ecological time layers, including early-stage, intermediate, and longer-cycle species.</w:t>
      </w:r>
    </w:p>
    <w:p w14:paraId="33F493B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purpose is to accelerate ecological maturity through intentional design, adaptive management, and biomass cycling.</w:t>
      </w:r>
    </w:p>
    <w:p w14:paraId="48D4E71E" w14:textId="77777777" w:rsidR="00DE1016" w:rsidRPr="00B479AE" w:rsidRDefault="00DE1016">
      <w:pPr>
        <w:numPr>
          <w:ilvl w:val="0"/>
          <w:numId w:val="40"/>
        </w:numPr>
        <w:spacing w:line="360" w:lineRule="auto"/>
        <w:rPr>
          <w:rFonts w:ascii="Baskerville Old Face" w:hAnsi="Baskerville Old Face"/>
          <w:i/>
          <w:iCs/>
        </w:rPr>
      </w:pPr>
      <w:r w:rsidRPr="00B479AE">
        <w:rPr>
          <w:rFonts w:ascii="Baskerville Old Face" w:hAnsi="Baskerville Old Face"/>
          <w:i/>
          <w:iCs/>
        </w:rPr>
        <w:t>Stratification.</w:t>
      </w:r>
    </w:p>
    <w:p w14:paraId="2AB356D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Stratification is the spatial organization of the system.</w:t>
      </w:r>
    </w:p>
    <w:p w14:paraId="3D177A5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Vertical layers increase solar-energy capture, reduce soil exposure, buffer evaporation, create microclimate, distribute ecological functions, and increase productivity per unit area.</w:t>
      </w:r>
    </w:p>
    <w:p w14:paraId="48BDBF63" w14:textId="77777777" w:rsidR="00DE1016" w:rsidRPr="00B479AE" w:rsidRDefault="00DE1016">
      <w:pPr>
        <w:numPr>
          <w:ilvl w:val="0"/>
          <w:numId w:val="41"/>
        </w:numPr>
        <w:spacing w:line="360" w:lineRule="auto"/>
        <w:rPr>
          <w:rFonts w:ascii="Baskerville Old Face" w:hAnsi="Baskerville Old Face"/>
          <w:i/>
          <w:iCs/>
        </w:rPr>
      </w:pPr>
      <w:r w:rsidRPr="00B479AE">
        <w:rPr>
          <w:rFonts w:ascii="Baskerville Old Face" w:hAnsi="Baskerville Old Face"/>
          <w:i/>
          <w:iCs/>
        </w:rPr>
        <w:t>Continuous biomass cycling.</w:t>
      </w:r>
    </w:p>
    <w:p w14:paraId="32641A0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Biomass cycling is the metabolic engine of the system.</w:t>
      </w:r>
    </w:p>
    <w:p w14:paraId="45462E1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Pruning, leaf fall, root turnover, crop residues, mulch, chop-and-drop material, and organic inputs return carbon and nutrients to the soil.</w:t>
      </w:r>
    </w:p>
    <w:p w14:paraId="30631C1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Over time, this may support soil fertility, microbial activity, water retention, and productive stability.</w:t>
      </w:r>
    </w:p>
    <w:p w14:paraId="653A9D1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These mechanisms distinguish the OHE from extractive or input-dependent systems.</w:t>
      </w:r>
    </w:p>
    <w:p w14:paraId="14A94E4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 extractive system often sustains output through recurring external inputs.</w:t>
      </w:r>
    </w:p>
    <w:p w14:paraId="3E2DBCB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regenerative system seeks to increase internal biological capacity.</w:t>
      </w:r>
    </w:p>
    <w:p w14:paraId="7BAE4D3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The OHE is therefore designed not only to produce, but to strengthen the conditions that allow future production.</w:t>
      </w:r>
    </w:p>
    <w:p w14:paraId="68D422EC"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M.3 Scientific Grounding</w:t>
      </w:r>
    </w:p>
    <w:p w14:paraId="2D4C949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is grounded in syntropic agroecology, soil regeneration, water-cycle restoration, biodiversity function, ecological succession, biomass cycling, and human stewardship.</w:t>
      </w:r>
    </w:p>
    <w:p w14:paraId="6DEC80E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Syntropic systems can be understood as coordinated biological networks in which:</w:t>
      </w:r>
    </w:p>
    <w:p w14:paraId="2519EBE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productivity may emerge from species interaction;</w:t>
      </w:r>
    </w:p>
    <w:p w14:paraId="6E7C73A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ecosystem function may increase with structural complexity;</w:t>
      </w:r>
    </w:p>
    <w:p w14:paraId="376DD35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fertility may be rebuilt through internal biological cycling;</w:t>
      </w:r>
    </w:p>
    <w:p w14:paraId="0B518C3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water retention may improve through soil cover, roots, organic matter, and hydrological design;</w:t>
      </w:r>
    </w:p>
    <w:p w14:paraId="527E05F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resilience may increase through biodiversity, stratification, and ecological redundancy.</w:t>
      </w:r>
    </w:p>
    <w:p w14:paraId="47B857C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Scientific and field-based literature on agroforestry, syntropic systems, soil organic carbon, biomass accumulation, hydrological restoration, and biodiversity-resilience relationships supports the general direction of this model.</w:t>
      </w:r>
    </w:p>
    <w:p w14:paraId="060B84B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However, Prometheus should treat all site-level performance claims conservatively.</w:t>
      </w:r>
    </w:p>
    <w:p w14:paraId="02EE64A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Indicative reference values from existing research or comparable field systems may be used only as directional context.</w:t>
      </w:r>
    </w:p>
    <w:p w14:paraId="0E971E4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should not be treated as universal guarantees.</w:t>
      </w:r>
    </w:p>
    <w:p w14:paraId="5672311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Actual outcomes remain dependent on:</w:t>
      </w:r>
    </w:p>
    <w:p w14:paraId="75D203E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design quality;</w:t>
      </w:r>
    </w:p>
    <w:p w14:paraId="14ED099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climate;</w:t>
      </w:r>
    </w:p>
    <w:p w14:paraId="6494C65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water availability;</w:t>
      </w:r>
    </w:p>
    <w:p w14:paraId="3A898FB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soil baseline;</w:t>
      </w:r>
    </w:p>
    <w:p w14:paraId="4A5BE58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species selection;</w:t>
      </w:r>
    </w:p>
    <w:p w14:paraId="4280674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planting density;</w:t>
      </w:r>
    </w:p>
    <w:p w14:paraId="5306A10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management skill;</w:t>
      </w:r>
    </w:p>
    <w:p w14:paraId="405B5C2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time horizon;</w:t>
      </w:r>
    </w:p>
    <w:p w14:paraId="0BEB5E9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disturbance exposure;</w:t>
      </w:r>
    </w:p>
    <w:p w14:paraId="5F98D4E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monitoring discipline;</w:t>
      </w:r>
    </w:p>
    <w:p w14:paraId="052D243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operational continuity.</w:t>
      </w:r>
    </w:p>
    <w:p w14:paraId="2FD2706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correct scientific interpretation is:</w:t>
      </w:r>
    </w:p>
    <w:p w14:paraId="372FCC6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syntropic and regenerative systems may increase biological capacity over time;</w:t>
      </w:r>
    </w:p>
    <w:p w14:paraId="3FC17E3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that increase must be observed;</w:t>
      </w:r>
    </w:p>
    <w:p w14:paraId="7D139B9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observation must become evidence;</w:t>
      </w:r>
    </w:p>
    <w:p w14:paraId="7444854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evidence must pass MRV review;</w:t>
      </w:r>
    </w:p>
    <w:p w14:paraId="03BA199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and only admissible evidence may support PRU-relevant interpretation.</w:t>
      </w:r>
    </w:p>
    <w:p w14:paraId="15736D46"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M.4 Conceptual Deployment Envelope</w:t>
      </w:r>
    </w:p>
    <w:p w14:paraId="0833E69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conceptual OHE deployment envelope may include different components depending on site, purpose, climate, budget, water strategy, land condition, and implementation phase.</w:t>
      </w:r>
    </w:p>
    <w:p w14:paraId="4A22896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Potential components may include:</w:t>
      </w:r>
    </w:p>
    <w:p w14:paraId="29FEC82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soil preparation;</w:t>
      </w:r>
    </w:p>
    <w:p w14:paraId="2E516AC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hydrological shaping;</w:t>
      </w:r>
    </w:p>
    <w:p w14:paraId="047AB36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water-retention design;</w:t>
      </w:r>
    </w:p>
    <w:p w14:paraId="724259F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irrigation or precision-water infrastructure where necessary;</w:t>
      </w:r>
    </w:p>
    <w:p w14:paraId="7681BB0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syntropic planting system establishment;</w:t>
      </w:r>
    </w:p>
    <w:p w14:paraId="69F20AF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species procurement;</w:t>
      </w:r>
    </w:p>
    <w:p w14:paraId="059C4BF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biomass-management setup;</w:t>
      </w:r>
    </w:p>
    <w:p w14:paraId="581B74E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basic tools and maintenance equipment;</w:t>
      </w:r>
    </w:p>
    <w:p w14:paraId="3060E63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monitoring components where appropriate;</w:t>
      </w:r>
    </w:p>
    <w:p w14:paraId="106D729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site-specific energy-support components where justified;</w:t>
      </w:r>
    </w:p>
    <w:p w14:paraId="51D2398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field documentation;</w:t>
      </w:r>
    </w:p>
    <w:p w14:paraId="08F53FF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operational runbook;</w:t>
      </w:r>
    </w:p>
    <w:p w14:paraId="43A2C2D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stewardship training;</w:t>
      </w:r>
    </w:p>
    <w:p w14:paraId="561A689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baseline ecological assessment.</w:t>
      </w:r>
    </w:p>
    <w:p w14:paraId="4E2BF7B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Within the current Prometheus pilot architecture, field deployment components should be understood as conceptual or future implementation considerations unless explicitly included within a bounded execution scope.</w:t>
      </w:r>
    </w:p>
    <w:p w14:paraId="07CB3FE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xml:space="preserve">The current pilot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canonical documentation, evaluation stack, runtime logic, and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implementation pathway should not be confused with full field deployment of every OHE component.</w:t>
      </w:r>
    </w:p>
    <w:p w14:paraId="1B5EAC7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deployment envelope therefore defines a possible biological implementation perimeter, not an automatic current-pilot obligation.</w:t>
      </w:r>
    </w:p>
    <w:p w14:paraId="1A0B82F7"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M.5 Illustrative CAPEX Envelope</w:t>
      </w:r>
    </w:p>
    <w:p w14:paraId="46ABEB8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 indicative OHE deployment may require capital expenditure for:</w:t>
      </w:r>
    </w:p>
    <w:p w14:paraId="4C76D9C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soil preparation and hydrological shaping;</w:t>
      </w:r>
    </w:p>
    <w:p w14:paraId="068CA0C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water infrastructure;</w:t>
      </w:r>
    </w:p>
    <w:p w14:paraId="5C018A3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planting stock;</w:t>
      </w:r>
    </w:p>
    <w:p w14:paraId="42209DE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syntropic system establishment;</w:t>
      </w:r>
    </w:p>
    <w:p w14:paraId="7857522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basic field infrastructure;</w:t>
      </w:r>
    </w:p>
    <w:p w14:paraId="48F89AA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monitoring components where appropriate;</w:t>
      </w:r>
    </w:p>
    <w:p w14:paraId="0452FBA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site-specific support systems;</w:t>
      </w:r>
    </w:p>
    <w:p w14:paraId="7E8DD5F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initial stewardship setup;</w:t>
      </w:r>
    </w:p>
    <w:p w14:paraId="2257495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documentation and baseline preparation.</w:t>
      </w:r>
    </w:p>
    <w:p w14:paraId="09A46C6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For high-level planning purposes, a compact OHE may fall within a low-five-figure to mid-five-figure deployment envelope, depending on context, country, labor model, irrigation requirements, land condition, access to materials, design complexity, and monitoring scope.</w:t>
      </w:r>
    </w:p>
    <w:p w14:paraId="03DEE22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should be understood as an order-of-magnitude conceptual range.</w:t>
      </w:r>
    </w:p>
    <w:p w14:paraId="1896403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quote.</w:t>
      </w:r>
    </w:p>
    <w:p w14:paraId="57296BB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contractor estimate.</w:t>
      </w:r>
    </w:p>
    <w:p w14:paraId="6B165C7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current-pilot execution commitment.</w:t>
      </w:r>
    </w:p>
    <w:p w14:paraId="53E62D4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guaranteed cost.</w:t>
      </w:r>
    </w:p>
    <w:p w14:paraId="4063D3E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 standardized global deployment price.</w:t>
      </w:r>
    </w:p>
    <w:p w14:paraId="50C65B2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Final deployment cost must be established through site-specific design, technical survey, water strategy, local procurement, labor assumptions, regulatory context, implementation plan, and contingency assessment.</w:t>
      </w:r>
    </w:p>
    <w:p w14:paraId="64A4C801"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M.6 Illustrative OPEX Envelope</w:t>
      </w:r>
    </w:p>
    <w:p w14:paraId="2099B57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Indicative annual operating costs may include:</w:t>
      </w:r>
    </w:p>
    <w:p w14:paraId="43D36DA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maintenance labor;</w:t>
      </w:r>
    </w:p>
    <w:p w14:paraId="2123385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pruning and biomass management;</w:t>
      </w:r>
    </w:p>
    <w:p w14:paraId="5F35988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minimal external inputs where needed;</w:t>
      </w:r>
    </w:p>
    <w:p w14:paraId="2628757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water management;</w:t>
      </w:r>
    </w:p>
    <w:p w14:paraId="792F1F9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tools upkeep;</w:t>
      </w:r>
    </w:p>
    <w:p w14:paraId="1FDB90A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monitoring and data maintenance;</w:t>
      </w:r>
    </w:p>
    <w:p w14:paraId="4549953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replacement planting;</w:t>
      </w:r>
    </w:p>
    <w:p w14:paraId="32EE0F1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basic repairs;</w:t>
      </w:r>
    </w:p>
    <w:p w14:paraId="71C589F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seasonal interventions;</w:t>
      </w:r>
    </w:p>
    <w:p w14:paraId="424BCEA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documentation and reporting.</w:t>
      </w:r>
    </w:p>
    <w:p w14:paraId="7143E6C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For conceptual planning purposes, annual OPEX may range from a low four-figure envelope to a higher four-figure envelope, depending on labor model, maturity phase, site accessibility, irrigation needs, monitoring intensity, and stewardship requirements.</w:t>
      </w:r>
    </w:p>
    <w:p w14:paraId="54F8979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As the system matures, certain operating costs may decline if internal fertility, biomass cycling, water retention, and input independence improve.</w:t>
      </w:r>
    </w:p>
    <w:p w14:paraId="5FDD34A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decline should not be assumed automatically.</w:t>
      </w:r>
    </w:p>
    <w:p w14:paraId="443ADE7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should be verified through operational records and evidence.</w:t>
      </w:r>
    </w:p>
    <w:p w14:paraId="21753A3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correct assumption is:</w:t>
      </w:r>
    </w:p>
    <w:p w14:paraId="2948538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maturity may reduce external dependency;</w:t>
      </w:r>
    </w:p>
    <w:p w14:paraId="56B88D2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but stewardship remains necessary.</w:t>
      </w:r>
    </w:p>
    <w:p w14:paraId="010BCC5E"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M.7 Direct Productive Value — Illustrative Envelope</w:t>
      </w:r>
    </w:p>
    <w:p w14:paraId="3CABD24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Direct productive value may derive from:</w:t>
      </w:r>
    </w:p>
    <w:p w14:paraId="26AF5E2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vegetables;</w:t>
      </w:r>
    </w:p>
    <w:p w14:paraId="30BC4B2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fruits;</w:t>
      </w:r>
    </w:p>
    <w:p w14:paraId="429CAFA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herbs;</w:t>
      </w:r>
    </w:p>
    <w:p w14:paraId="100A626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perennial crops;</w:t>
      </w:r>
    </w:p>
    <w:p w14:paraId="796D8B4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biomass outputs;</w:t>
      </w:r>
    </w:p>
    <w:p w14:paraId="7A85847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nursery material where applicable;</w:t>
      </w:r>
    </w:p>
    <w:p w14:paraId="6F381A0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small-scale processed products where legally and operationally appropriate;</w:t>
      </w:r>
    </w:p>
    <w:p w14:paraId="564C6DE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xml:space="preserve">• hospitality-linked or educational use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connected to a real operating model.</w:t>
      </w:r>
    </w:p>
    <w:p w14:paraId="4D219A5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For conceptual planning purposes, annual direct productive value may fall within a low-to-mid four-figure envelope per compact OHE, with higher values possible only where design, climate, maturity, labor, market access, water availability, crop mix, and operational management support such outcomes.</w:t>
      </w:r>
    </w:p>
    <w:p w14:paraId="1D2A46B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These figures should be treated as conceptual productivity envelopes.</w:t>
      </w:r>
    </w:p>
    <w:p w14:paraId="79E75E7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guaranteed revenues.</w:t>
      </w:r>
    </w:p>
    <w:p w14:paraId="3C1F53A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validated pilot results.</w:t>
      </w:r>
    </w:p>
    <w:p w14:paraId="18D9A48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investor-return assumptions.</w:t>
      </w:r>
    </w:p>
    <w:p w14:paraId="708AC8D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automatic PRU value.</w:t>
      </w:r>
    </w:p>
    <w:p w14:paraId="174766C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financial statements.</w:t>
      </w:r>
    </w:p>
    <w:p w14:paraId="293E9A3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Direct productive value becomes financially relevant only where outputs are measured, priced, harvested, used, sold, substituted, or otherwise connected to a documented economic pathway.</w:t>
      </w:r>
    </w:p>
    <w:p w14:paraId="61AEF31D"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M.8 Indirect Value Layers — Illustrative Envelope</w:t>
      </w:r>
    </w:p>
    <w:p w14:paraId="0FB1962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may generate indirect value layers beyond direct production.</w:t>
      </w:r>
    </w:p>
    <w:p w14:paraId="2AD9F7E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These may include:</w:t>
      </w:r>
    </w:p>
    <w:p w14:paraId="07078F44" w14:textId="77777777" w:rsidR="00DE1016" w:rsidRPr="00B479AE" w:rsidRDefault="00DE1016">
      <w:pPr>
        <w:numPr>
          <w:ilvl w:val="0"/>
          <w:numId w:val="42"/>
        </w:numPr>
        <w:spacing w:line="360" w:lineRule="auto"/>
        <w:rPr>
          <w:rFonts w:ascii="Baskerville Old Face" w:hAnsi="Baskerville Old Face"/>
          <w:i/>
          <w:iCs/>
        </w:rPr>
      </w:pPr>
      <w:r w:rsidRPr="00B479AE">
        <w:rPr>
          <w:rFonts w:ascii="Baskerville Old Face" w:hAnsi="Baskerville Old Face"/>
          <w:i/>
          <w:iCs/>
        </w:rPr>
        <w:t>Food substitution value.</w:t>
      </w:r>
    </w:p>
    <w:p w14:paraId="480FE85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household, hospitality site, community, school, retreat, or local food system may reduce external food purchases if OHE production is actually consumed or substituted.</w:t>
      </w:r>
    </w:p>
    <w:p w14:paraId="255113C5" w14:textId="77777777" w:rsidR="00DE1016" w:rsidRPr="00B479AE" w:rsidRDefault="00DE1016">
      <w:pPr>
        <w:numPr>
          <w:ilvl w:val="0"/>
          <w:numId w:val="43"/>
        </w:numPr>
        <w:spacing w:line="360" w:lineRule="auto"/>
        <w:rPr>
          <w:rFonts w:ascii="Baskerville Old Face" w:hAnsi="Baskerville Old Face"/>
          <w:i/>
          <w:iCs/>
        </w:rPr>
      </w:pPr>
      <w:r w:rsidRPr="00B479AE">
        <w:rPr>
          <w:rFonts w:ascii="Baskerville Old Face" w:hAnsi="Baskerville Old Face"/>
          <w:i/>
          <w:iCs/>
        </w:rPr>
        <w:t>Water-efficiency value.</w:t>
      </w:r>
    </w:p>
    <w:p w14:paraId="32702EF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Improved soil structure, mulch, root depth, shade, organic matter, and hydrological design may reduce irrigation dependency or improve drought response.</w:t>
      </w:r>
    </w:p>
    <w:p w14:paraId="14C61DEF" w14:textId="77777777" w:rsidR="00DE1016" w:rsidRPr="00B479AE" w:rsidRDefault="00DE1016">
      <w:pPr>
        <w:numPr>
          <w:ilvl w:val="0"/>
          <w:numId w:val="44"/>
        </w:numPr>
        <w:spacing w:line="360" w:lineRule="auto"/>
        <w:rPr>
          <w:rFonts w:ascii="Baskerville Old Face" w:hAnsi="Baskerville Old Face"/>
          <w:i/>
          <w:iCs/>
        </w:rPr>
      </w:pPr>
      <w:r w:rsidRPr="00B479AE">
        <w:rPr>
          <w:rFonts w:ascii="Baskerville Old Face" w:hAnsi="Baskerville Old Face"/>
          <w:i/>
          <w:iCs/>
        </w:rPr>
        <w:lastRenderedPageBreak/>
        <w:t>Ecological resilience value.</w:t>
      </w:r>
    </w:p>
    <w:p w14:paraId="0F7724C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Soil regeneration, biodiversity, water retention, reduced erosion, microclimate stabilization, and biomass cycling may improve territorial resilience over time.</w:t>
      </w:r>
    </w:p>
    <w:p w14:paraId="68C9CC2A" w14:textId="77777777" w:rsidR="00DE1016" w:rsidRPr="00B479AE" w:rsidRDefault="00DE1016">
      <w:pPr>
        <w:numPr>
          <w:ilvl w:val="0"/>
          <w:numId w:val="45"/>
        </w:numPr>
        <w:spacing w:line="360" w:lineRule="auto"/>
        <w:rPr>
          <w:rFonts w:ascii="Baskerville Old Face" w:hAnsi="Baskerville Old Face"/>
          <w:i/>
          <w:iCs/>
        </w:rPr>
      </w:pPr>
      <w:r w:rsidRPr="00B479AE">
        <w:rPr>
          <w:rFonts w:ascii="Baskerville Old Face" w:hAnsi="Baskerville Old Face"/>
          <w:i/>
          <w:iCs/>
        </w:rPr>
        <w:t>Educational and experiential value.</w:t>
      </w:r>
    </w:p>
    <w:p w14:paraId="20AA4F1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may support education, training, hospitality, wellness, research, community learning, or stewardship programs where those pathways are operationally and legally structured.</w:t>
      </w:r>
    </w:p>
    <w:p w14:paraId="40A9B592" w14:textId="77777777" w:rsidR="00DE1016" w:rsidRPr="00B479AE" w:rsidRDefault="00DE1016">
      <w:pPr>
        <w:numPr>
          <w:ilvl w:val="0"/>
          <w:numId w:val="46"/>
        </w:numPr>
        <w:spacing w:line="360" w:lineRule="auto"/>
        <w:rPr>
          <w:rFonts w:ascii="Baskerville Old Face" w:hAnsi="Baskerville Old Face"/>
          <w:i/>
          <w:iCs/>
        </w:rPr>
      </w:pPr>
      <w:r w:rsidRPr="00B479AE">
        <w:rPr>
          <w:rFonts w:ascii="Baskerville Old Face" w:hAnsi="Baskerville Old Face"/>
          <w:i/>
          <w:iCs/>
        </w:rPr>
        <w:t>Health-related systemic value.</w:t>
      </w:r>
    </w:p>
    <w:p w14:paraId="49A7780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Nutrient-dense food, physical engagement, nature exposure, social coherence, and preventive-health relevance may support strategic value pathways.</w:t>
      </w:r>
    </w:p>
    <w:p w14:paraId="38B59F0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However, health-related value must remain strictly bounded.</w:t>
      </w:r>
    </w:p>
    <w:p w14:paraId="2AA1D51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should not be treated as automatic healthcare savings, medical claim, insurance value, public reimbursement, health-credit issuance, PRU value, investor return, or capital-facing entitlement unless supported by verified data, recognized methodology, contractual arrangement, public-health governance, and legally reviewable monetization or avoided-cost pathways.</w:t>
      </w:r>
    </w:p>
    <w:p w14:paraId="1D7974A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Indirect values are strategically important.</w:t>
      </w:r>
    </w:p>
    <w:p w14:paraId="577D109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automatically financeable.</w:t>
      </w:r>
    </w:p>
    <w:p w14:paraId="73F18C1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become relevant to capital-readiness only when evidence, contracts, institutional arrangements, methodology, legal structure, and admissibility support their use.</w:t>
      </w:r>
    </w:p>
    <w:p w14:paraId="1497A958"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M.9 Regenerative Value Accumulation</w:t>
      </w:r>
    </w:p>
    <w:p w14:paraId="194852F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is not designed as a static production unit.</w:t>
      </w:r>
    </w:p>
    <w:p w14:paraId="06A27CF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intended to accumulate biological capital over time.</w:t>
      </w:r>
    </w:p>
    <w:p w14:paraId="22A1811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Biological capital may increase through:</w:t>
      </w:r>
    </w:p>
    <w:p w14:paraId="28E1923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biomass accumulation;</w:t>
      </w:r>
    </w:p>
    <w:p w14:paraId="70B3196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soil organic matter improvement;</w:t>
      </w:r>
    </w:p>
    <w:p w14:paraId="21E3557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soil organic carbon increase;</w:t>
      </w:r>
    </w:p>
    <w:p w14:paraId="2951D12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improved aggregation;</w:t>
      </w:r>
    </w:p>
    <w:p w14:paraId="42D19DB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increased infiltration;</w:t>
      </w:r>
    </w:p>
    <w:p w14:paraId="7E9D039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stronger root systems;</w:t>
      </w:r>
    </w:p>
    <w:p w14:paraId="689FD74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microbial activity;</w:t>
      </w:r>
    </w:p>
    <w:p w14:paraId="5713933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biodiversity enhancement;</w:t>
      </w:r>
    </w:p>
    <w:p w14:paraId="2502A00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reduced external input dependency;</w:t>
      </w:r>
    </w:p>
    <w:p w14:paraId="70C3307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greater productive stability;</w:t>
      </w:r>
    </w:p>
    <w:p w14:paraId="0B266CD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better recovery after disturbance.</w:t>
      </w:r>
    </w:p>
    <w:p w14:paraId="5C295AE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gives the OHE a potential time-positive profile.</w:t>
      </w:r>
    </w:p>
    <w:p w14:paraId="3990321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conventional industrial asset often depreciates unless maintained or replaced.</w:t>
      </w:r>
    </w:p>
    <w:p w14:paraId="6BDF949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regenerative biological system may become more capable as it matures, if design and management are strong.</w:t>
      </w:r>
    </w:p>
    <w:p w14:paraId="7B537F8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is a central distinction.</w:t>
      </w:r>
    </w:p>
    <w:p w14:paraId="4D512E3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However, time-positive dynamics are not automatic.</w:t>
      </w:r>
    </w:p>
    <w:p w14:paraId="3E6801A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Poor design, weak stewardship, drought, salinity, pest pressure, disease, fire, compaction, nutrient imbalance, water stress, governance failure, or operational abandonment can interrupt or reverse regenerative development.</w:t>
      </w:r>
    </w:p>
    <w:p w14:paraId="37132FB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Prometheus interpretation is therefore conservative:</w:t>
      </w:r>
    </w:p>
    <w:p w14:paraId="7619679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biological maturity may support value accumulation;</w:t>
      </w:r>
    </w:p>
    <w:p w14:paraId="47A851A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value accumulation must be evidenced;</w:t>
      </w:r>
    </w:p>
    <w:p w14:paraId="1F51D4F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evidence must be verified;</w:t>
      </w:r>
    </w:p>
    <w:p w14:paraId="21645C1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and verified improvement must remain admissibility-bound.</w:t>
      </w:r>
    </w:p>
    <w:p w14:paraId="222D3C44"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lastRenderedPageBreak/>
        <w:t>M.10 Indicative Value Envelope</w:t>
      </w:r>
    </w:p>
    <w:p w14:paraId="3C6DBDB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When direct and indirect layers are considered together, an OHE may support a broad conceptual annual value envelope.</w:t>
      </w:r>
    </w:p>
    <w:p w14:paraId="5914EEF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envelope may include direct productive output, substitution value, resilience value, education or hospitality relevance, research relevance, and other systemic pathways where applicable.</w:t>
      </w:r>
    </w:p>
    <w:p w14:paraId="1320B53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For conservative institutional use, the annual conceptual value envelope should be expressed as an order-of-magnitude range rather than a precise forecast.</w:t>
      </w:r>
    </w:p>
    <w:p w14:paraId="68D4513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appropriate language is:</w:t>
      </w:r>
    </w:p>
    <w:p w14:paraId="343BEC0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mature, well-managed OHE may support a low-to-mid five-figure annual value interpretation under favorable assumptions, provided that productive output, substitution value, service pathways, or other monetization channels are actually documented and admissible.</w:t>
      </w:r>
    </w:p>
    <w:p w14:paraId="79DB25A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should not be presented as guaranteed revenue.</w:t>
      </w:r>
    </w:p>
    <w:p w14:paraId="674078B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should not be presented as validated pilot performance.</w:t>
      </w:r>
    </w:p>
    <w:p w14:paraId="2F63166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should not be presented as investment return.</w:t>
      </w:r>
    </w:p>
    <w:p w14:paraId="075F9A8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should not enter base-case financial modeling unless supported by operational evidence, contractual pathways, market access, governance review, and legal admissibility.</w:t>
      </w:r>
    </w:p>
    <w:p w14:paraId="79B710F7"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M.11 Illustrative Economic Profile</w:t>
      </w:r>
    </w:p>
    <w:p w14:paraId="7F12C63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conceptual OHE may appear economically attractive under favorable assumptions when deployment cost, direct productive value, food substitution, low operating cost, and long-duration biological maturation are considered together.</w:t>
      </w:r>
    </w:p>
    <w:p w14:paraId="0E4B412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However, payback, return, yield, cash-flow, or valuation language should be used with caution.</w:t>
      </w:r>
    </w:p>
    <w:p w14:paraId="780FB49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At this stage, such figures should be treated strictly as scenario illustrations.</w:t>
      </w:r>
    </w:p>
    <w:p w14:paraId="0D90A20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do not constitute:</w:t>
      </w:r>
    </w:p>
    <w:p w14:paraId="00A4F35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deployment guarantees;</w:t>
      </w:r>
    </w:p>
    <w:p w14:paraId="5317E95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underwritten project returns;</w:t>
      </w:r>
    </w:p>
    <w:p w14:paraId="575F397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pilot-validated financial results;</w:t>
      </w:r>
    </w:p>
    <w:p w14:paraId="7B2CA2D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investor-facing yield claims;</w:t>
      </w:r>
    </w:p>
    <w:p w14:paraId="7A70ABD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regulated financial projections;</w:t>
      </w:r>
    </w:p>
    <w:p w14:paraId="4F7D096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collateral recognition;</w:t>
      </w:r>
    </w:p>
    <w:p w14:paraId="0ADDC9F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credit eligibility;</w:t>
      </w:r>
    </w:p>
    <w:p w14:paraId="79991E7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token issuance basis;</w:t>
      </w:r>
    </w:p>
    <w:p w14:paraId="02333F2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offering materials.</w:t>
      </w:r>
    </w:p>
    <w:p w14:paraId="030ABFB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safer institutional framing is:</w:t>
      </w:r>
    </w:p>
    <w:p w14:paraId="4E69B5A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under favorable site, design, management, and market assumptions, an OHE may demonstrate attractive economic potential over time, but such potential remains conditional on implementation quality, evidence, operating records, revenue pathways, legal structure, and admissibility.</w:t>
      </w:r>
    </w:p>
    <w:p w14:paraId="486BE21F"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M.12 Time-Dependent Productivity</w:t>
      </w:r>
    </w:p>
    <w:p w14:paraId="6DCE928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should be interpreted through biological maturity phases.</w:t>
      </w:r>
    </w:p>
    <w:p w14:paraId="28D7578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 illustrative maturity profile may include:</w:t>
      </w:r>
    </w:p>
    <w:p w14:paraId="68448E0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establishment phase;</w:t>
      </w:r>
    </w:p>
    <w:p w14:paraId="290AB70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early productive emergence;</w:t>
      </w:r>
    </w:p>
    <w:p w14:paraId="1B1B8E3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accelerated biological growth;</w:t>
      </w:r>
    </w:p>
    <w:p w14:paraId="0B2C6AB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higher productivity phase;</w:t>
      </w:r>
    </w:p>
    <w:p w14:paraId="4206BCE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mature regenerative equilibrium.</w:t>
      </w:r>
    </w:p>
    <w:p w14:paraId="178AD71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These phases should not be tied to rigid dates.</w:t>
      </w:r>
    </w:p>
    <w:p w14:paraId="446B7FE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Different sites mature at different speeds.</w:t>
      </w:r>
    </w:p>
    <w:p w14:paraId="6B15966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Maturity depends on climate, water, soil, design, species, management, disturbance, and operational continuity.</w:t>
      </w:r>
    </w:p>
    <w:p w14:paraId="3636F78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The structural distinction is:</w:t>
      </w:r>
    </w:p>
    <w:p w14:paraId="75C3E73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industrial systems often require continuous input replacement to sustain productivity;</w:t>
      </w:r>
    </w:p>
    <w:p w14:paraId="778A00A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syntropic systems are designed to increase internal biological quality over time.</w:t>
      </w:r>
    </w:p>
    <w:p w14:paraId="0447A7D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does not mean that OHE productivity always increases.</w:t>
      </w:r>
    </w:p>
    <w:p w14:paraId="4BFF8EB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means that the design intention is to compound biological function, and that any claim of compounding performance must be verified.</w:t>
      </w:r>
    </w:p>
    <w:p w14:paraId="2613F77A"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M.13 Performance Function</w:t>
      </w:r>
    </w:p>
    <w:p w14:paraId="6709BEB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OHE performance should be interpreted as a function of:</w:t>
      </w:r>
    </w:p>
    <w:p w14:paraId="7BE7341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Design × Management × Ecological Context</w:t>
      </w:r>
    </w:p>
    <w:p w14:paraId="6FC5877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means that no OHE should be treated as plug-and-play infrastructure.</w:t>
      </w:r>
    </w:p>
    <w:p w14:paraId="07EA632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Design quality, stewardship competence, and site conditions remain decisive.</w:t>
      </w:r>
    </w:p>
    <w:p w14:paraId="45EAAC4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more complete conceptual expression is:</w:t>
      </w:r>
    </w:p>
    <w:p w14:paraId="56E0FDB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xml:space="preserve">OHE Performance = </w:t>
      </w:r>
      <w:proofErr w:type="gramStart"/>
      <w:r w:rsidRPr="00B479AE">
        <w:rPr>
          <w:rFonts w:ascii="Baskerville Old Face" w:hAnsi="Baskerville Old Face"/>
          <w:i/>
          <w:iCs/>
        </w:rPr>
        <w:t>f(</w:t>
      </w:r>
      <w:proofErr w:type="gramEnd"/>
      <w:r w:rsidRPr="00B479AE">
        <w:rPr>
          <w:rFonts w:ascii="Baskerville Old Face" w:hAnsi="Baskerville Old Face"/>
          <w:i/>
          <w:iCs/>
        </w:rPr>
        <w:t>design quality, management continuity, water strategy, soil baseline, biodiversity, climate, time, disturbance, evidence quality)</w:t>
      </w:r>
    </w:p>
    <w:p w14:paraId="1071ECA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operational implication is clear:</w:t>
      </w:r>
    </w:p>
    <w:p w14:paraId="7D8FE18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design creates potential;</w:t>
      </w:r>
    </w:p>
    <w:p w14:paraId="13CD1B9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management activates potential;</w:t>
      </w:r>
    </w:p>
    <w:p w14:paraId="3EA763D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ecological context conditions potential;</w:t>
      </w:r>
    </w:p>
    <w:p w14:paraId="36AD101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time tests potential;</w:t>
      </w:r>
    </w:p>
    <w:p w14:paraId="284FCB1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MRV verifies performance.</w:t>
      </w:r>
    </w:p>
    <w:p w14:paraId="182E8DF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Only verified performance may become relevant to PRU value analysis, maturity classification, reporting, or capital-readiness interpretation.</w:t>
      </w:r>
    </w:p>
    <w:p w14:paraId="3CFB2D20" w14:textId="77777777" w:rsidR="00314051" w:rsidRPr="00B479AE" w:rsidRDefault="00314051" w:rsidP="00DE1016">
      <w:pPr>
        <w:spacing w:line="360" w:lineRule="auto"/>
        <w:rPr>
          <w:rFonts w:ascii="Baskerville Old Face" w:hAnsi="Baskerville Old Face"/>
          <w:i/>
          <w:iCs/>
        </w:rPr>
      </w:pPr>
    </w:p>
    <w:p w14:paraId="4D0A06F0"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lastRenderedPageBreak/>
        <w:t>M.14 Illustrative Cluster Translation</w:t>
      </w:r>
    </w:p>
    <w:p w14:paraId="14B911D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 OHE cluster may be used as a conceptual scaling illustration.</w:t>
      </w:r>
    </w:p>
    <w:p w14:paraId="1AEE00C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cluster may include tens or hundreds of OHE units across a local territory, community, hospitality network, educational platform, public program, bioregion, or regenerative asset portfolio.</w:t>
      </w:r>
    </w:p>
    <w:p w14:paraId="379FC6E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At cluster scale, potential benefits may include:</w:t>
      </w:r>
    </w:p>
    <w:p w14:paraId="079F51A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shared MRV infrastructure;</w:t>
      </w:r>
    </w:p>
    <w:p w14:paraId="060B7E0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shared stewardship training;</w:t>
      </w:r>
    </w:p>
    <w:p w14:paraId="01EECC01"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shared nursery systems;</w:t>
      </w:r>
    </w:p>
    <w:p w14:paraId="411506B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shared water strategy;</w:t>
      </w:r>
    </w:p>
    <w:p w14:paraId="5EAECDA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shared processing;</w:t>
      </w:r>
    </w:p>
    <w:p w14:paraId="7315761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local food-network effects;</w:t>
      </w:r>
    </w:p>
    <w:p w14:paraId="195FF6B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biodiversity corridors;</w:t>
      </w:r>
    </w:p>
    <w:p w14:paraId="1188CAB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cooperative labor;</w:t>
      </w:r>
    </w:p>
    <w:p w14:paraId="47D46D3F"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portfolio diversification;</w:t>
      </w:r>
    </w:p>
    <w:p w14:paraId="3B6FE34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stronger data continuity;</w:t>
      </w:r>
    </w:p>
    <w:p w14:paraId="4E6EE90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improved institutional visibility.</w:t>
      </w:r>
    </w:p>
    <w:p w14:paraId="0FEE309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For order-of-magnitude planning, a large OHE cluster may imply a low seven-figure deployment envelope, depending on scale, geography, infrastructure intensity, labor model, and monitoring design.</w:t>
      </w:r>
    </w:p>
    <w:p w14:paraId="3FCA1D0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Annual conceptual value at cluster scale may also reach a six-figure to low seven-figure order of magnitude under favorable assumptions.</w:t>
      </w:r>
    </w:p>
    <w:p w14:paraId="47C8035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These figures should remain illustrative.</w:t>
      </w:r>
    </w:p>
    <w:p w14:paraId="5F34CEC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current-pilot commitments.</w:t>
      </w:r>
    </w:p>
    <w:p w14:paraId="07ECE47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They are not validated portfolio economics.</w:t>
      </w:r>
    </w:p>
    <w:p w14:paraId="26063420"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investment guarantees.</w:t>
      </w:r>
    </w:p>
    <w:p w14:paraId="570A899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are not offering terms.</w:t>
      </w:r>
    </w:p>
    <w:p w14:paraId="4A4E2BA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They illustrate how biological units may become economically legible at network scale when evidence, operations, governance, and legal structure mature.</w:t>
      </w:r>
    </w:p>
    <w:p w14:paraId="33ED2A17"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M.15 Transition Logic Toward Standardization</w:t>
      </w:r>
    </w:p>
    <w:p w14:paraId="2C74835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Within the broader Prometheus logic, the OHE functions as the biological base layer of a future pathway:</w:t>
      </w:r>
    </w:p>
    <w:p w14:paraId="0CDF189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xml:space="preserve">OHE </w:t>
      </w:r>
      <w:r w:rsidRPr="00B479AE">
        <w:rPr>
          <w:rFonts w:ascii="Times New Roman" w:hAnsi="Times New Roman" w:cs="Times New Roman"/>
          <w:i/>
          <w:iCs/>
        </w:rPr>
        <w:t>→</w:t>
      </w:r>
      <w:r w:rsidRPr="00B479AE">
        <w:rPr>
          <w:rFonts w:ascii="Baskerville Old Face" w:hAnsi="Baskerville Old Face"/>
          <w:i/>
          <w:iCs/>
        </w:rPr>
        <w:t xml:space="preserve"> Measurement </w:t>
      </w:r>
      <w:r w:rsidRPr="00B479AE">
        <w:rPr>
          <w:rFonts w:ascii="Times New Roman" w:hAnsi="Times New Roman" w:cs="Times New Roman"/>
          <w:i/>
          <w:iCs/>
        </w:rPr>
        <w:t>→</w:t>
      </w:r>
      <w:r w:rsidRPr="00B479AE">
        <w:rPr>
          <w:rFonts w:ascii="Baskerville Old Face" w:hAnsi="Baskerville Old Face"/>
          <w:i/>
          <w:iCs/>
        </w:rPr>
        <w:t xml:space="preserve"> Standardization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PRU Value Analysis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Capital-Readiness</w:t>
      </w:r>
    </w:p>
    <w:p w14:paraId="65BF21F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sequence should be understood developmentally.</w:t>
      </w:r>
    </w:p>
    <w:p w14:paraId="7087A52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not an already completed implementation state.</w:t>
      </w:r>
    </w:p>
    <w:p w14:paraId="1ED8870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becomes relevant to standardization only when it generates consistent evidence.</w:t>
      </w:r>
    </w:p>
    <w:p w14:paraId="73C06C0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Evidence becomes relevant to admissibility only when it satisfies methodology, confidence, review, and no-double-counting controls.</w:t>
      </w:r>
    </w:p>
    <w:p w14:paraId="37FC747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Admissibility becomes relevant to PRU value analysis only where legal, governance, and reporting boundaries allow.</w:t>
      </w:r>
    </w:p>
    <w:p w14:paraId="6B0D279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Capital-readiness remains downstream from evidence.</w:t>
      </w:r>
    </w:p>
    <w:p w14:paraId="72B49954"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M.16 Capital Allocation Insight</w:t>
      </w:r>
    </w:p>
    <w:p w14:paraId="156B24D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A central Prometheus thesis is that regeneration is not constrained only by the absolute scarcity of capital.</w:t>
      </w:r>
    </w:p>
    <w:p w14:paraId="4A708F7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also constrained by the structural misallocation of capital.</w:t>
      </w:r>
    </w:p>
    <w:p w14:paraId="5B3D8A4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Modern systems allocate substantial resources downstream to manage degradation after it appears as health burden, food insecurity, water stress, ecological remediation, disaster exposure, social fragility, or insurance loss.</w:t>
      </w:r>
    </w:p>
    <w:p w14:paraId="62EE6D6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Prometheus proposes a different allocation logic.</w:t>
      </w:r>
    </w:p>
    <w:p w14:paraId="6FE8F22B"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Capital can be routed upstream into regenerative units that may improve nutritional, ecological, water, resilience, and community outcomes before downstream costs emerge.</w:t>
      </w:r>
    </w:p>
    <w:p w14:paraId="569F5A53"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From this perspective, OHE deployment is strategically relevant because it represents a small-scale, biologically grounded unit capable of absorbing reallocated capital into systems that may improve several forms of resilience at once.</w:t>
      </w:r>
    </w:p>
    <w:p w14:paraId="3A5901F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does not mean that every OHE produces measurable avoided cost.</w:t>
      </w:r>
    </w:p>
    <w:p w14:paraId="03AE069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means that the OHE provides a practical unit through which avoided-cost hypotheses, public procurement models, food-as-medicine pathways, resilience programs, educational programs, and regenerative infrastructure finance may be tested.</w:t>
      </w:r>
    </w:p>
    <w:p w14:paraId="4640048E" w14:textId="77777777" w:rsidR="00DE1016" w:rsidRPr="00B479AE" w:rsidRDefault="00DE1016" w:rsidP="00DE1016">
      <w:pPr>
        <w:spacing w:line="360" w:lineRule="auto"/>
        <w:rPr>
          <w:rFonts w:ascii="Baskerville Old Face" w:hAnsi="Baskerville Old Face"/>
          <w:b/>
          <w:bCs/>
          <w:i/>
          <w:iCs/>
        </w:rPr>
      </w:pPr>
      <w:r w:rsidRPr="00B479AE">
        <w:rPr>
          <w:rFonts w:ascii="Baskerville Old Face" w:hAnsi="Baskerville Old Face"/>
          <w:b/>
          <w:bCs/>
          <w:i/>
          <w:iCs/>
        </w:rPr>
        <w:t>M.17 Final Synthesis</w:t>
      </w:r>
    </w:p>
    <w:p w14:paraId="20FBA7C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demonstrates, at conceptual and biological level, that regeneration can be organized as productive infrastructure.</w:t>
      </w:r>
    </w:p>
    <w:p w14:paraId="7160889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shows that a compact territorial unit may potentially integrate:</w:t>
      </w:r>
    </w:p>
    <w:p w14:paraId="1F64AFA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food production;</w:t>
      </w:r>
    </w:p>
    <w:p w14:paraId="74B4108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soil regeneration;</w:t>
      </w:r>
    </w:p>
    <w:p w14:paraId="3AEC04D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water retention;</w:t>
      </w:r>
    </w:p>
    <w:p w14:paraId="0B8232E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biodiversity;</w:t>
      </w:r>
    </w:p>
    <w:p w14:paraId="1CE875E2"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biomass cycling;</w:t>
      </w:r>
    </w:p>
    <w:p w14:paraId="1CFF130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human stewardship;</w:t>
      </w:r>
    </w:p>
    <w:p w14:paraId="0089C8AA"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operational records;</w:t>
      </w:r>
    </w:p>
    <w:p w14:paraId="40E3E26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MRV evidence;</w:t>
      </w:r>
    </w:p>
    <w:p w14:paraId="017219B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future PRU-relevant analysis;</w:t>
      </w:r>
    </w:p>
    <w:p w14:paraId="11511D3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 local resilience;</w:t>
      </w:r>
    </w:p>
    <w:p w14:paraId="6FDA35A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lastRenderedPageBreak/>
        <w:t>• capital-readiness logic.</w:t>
      </w:r>
    </w:p>
    <w:p w14:paraId="2149EE6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also demonstrates a deeper economic principle:</w:t>
      </w:r>
    </w:p>
    <w:p w14:paraId="2C4B984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biological systems can improve in quality over time rather than degrade, if design, stewardship, and ecological context support regenerative maturation.</w:t>
      </w:r>
    </w:p>
    <w:p w14:paraId="6B1E5BE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This makes the OHE strategically important for Prometheus.</w:t>
      </w:r>
    </w:p>
    <w:p w14:paraId="06B85A8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where the thesis touches soil.</w:t>
      </w:r>
    </w:p>
    <w:p w14:paraId="69769E8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where life generates evidence.</w:t>
      </w:r>
    </w:p>
    <w:p w14:paraId="06AC6994"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where stewardship becomes operational.</w:t>
      </w:r>
    </w:p>
    <w:p w14:paraId="1F5AFFA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where ecological improvement can become measurable.</w:t>
      </w:r>
    </w:p>
    <w:p w14:paraId="010E559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where future value analysis begins.</w:t>
      </w:r>
    </w:p>
    <w:p w14:paraId="1DF5D32D"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should therefore be treated as the first credible biological unit of Prometheus.</w:t>
      </w:r>
    </w:p>
    <w:p w14:paraId="7AB338F7"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Not because it guarantees value.</w:t>
      </w:r>
    </w:p>
    <w:p w14:paraId="489D5C58"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Not because it guarantees yield.</w:t>
      </w:r>
    </w:p>
    <w:p w14:paraId="57EC80E5"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Not because it guarantees return.</w:t>
      </w:r>
    </w:p>
    <w:p w14:paraId="2719C4BC"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But because it creates a disciplined field unit through which regeneration can be observed, measured, governed, and progressively translated into institutional language without losing its living source.</w:t>
      </w:r>
    </w:p>
    <w:p w14:paraId="229D1739"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final principle is:</w:t>
      </w:r>
    </w:p>
    <w:p w14:paraId="7F909EA6"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the OHE is not valuable because it abstracts life;</w:t>
      </w:r>
    </w:p>
    <w:p w14:paraId="6A23484E" w14:textId="77777777" w:rsidR="00DE1016" w:rsidRPr="00B479AE" w:rsidRDefault="00DE1016" w:rsidP="00DE1016">
      <w:pPr>
        <w:spacing w:line="360" w:lineRule="auto"/>
        <w:rPr>
          <w:rFonts w:ascii="Baskerville Old Face" w:hAnsi="Baskerville Old Face"/>
          <w:i/>
          <w:iCs/>
        </w:rPr>
      </w:pPr>
      <w:r w:rsidRPr="00B479AE">
        <w:rPr>
          <w:rFonts w:ascii="Baskerville Old Face" w:hAnsi="Baskerville Old Face"/>
          <w:i/>
          <w:iCs/>
        </w:rPr>
        <w:t>it is valuable because it allows life to become visible, measurable, stewarded, and protected before capital enters the frame.</w:t>
      </w:r>
    </w:p>
    <w:p w14:paraId="26D96C28" w14:textId="77777777" w:rsidR="00DE1016" w:rsidRPr="00B479AE" w:rsidRDefault="00DE1016" w:rsidP="004463DC">
      <w:pPr>
        <w:spacing w:line="360" w:lineRule="auto"/>
        <w:rPr>
          <w:rFonts w:ascii="Baskerville Old Face" w:hAnsi="Baskerville Old Face"/>
          <w:i/>
          <w:iCs/>
        </w:rPr>
      </w:pPr>
    </w:p>
    <w:p w14:paraId="3815B746" w14:textId="77777777" w:rsidR="00314051" w:rsidRPr="00B479AE" w:rsidRDefault="00314051" w:rsidP="004463DC">
      <w:pPr>
        <w:spacing w:line="360" w:lineRule="auto"/>
        <w:rPr>
          <w:rFonts w:ascii="Baskerville Old Face" w:hAnsi="Baskerville Old Face"/>
          <w:i/>
          <w:iCs/>
        </w:rPr>
      </w:pPr>
    </w:p>
    <w:p w14:paraId="01DA674E" w14:textId="77777777" w:rsidR="00314051" w:rsidRPr="00B479AE" w:rsidRDefault="00314051" w:rsidP="004463DC">
      <w:pPr>
        <w:spacing w:line="360" w:lineRule="auto"/>
        <w:rPr>
          <w:rFonts w:ascii="Baskerville Old Face" w:hAnsi="Baskerville Old Face"/>
          <w:i/>
          <w:iCs/>
        </w:rPr>
      </w:pPr>
    </w:p>
    <w:p w14:paraId="5D0DE4DF" w14:textId="77777777" w:rsidR="00314051" w:rsidRPr="00ED0D46" w:rsidRDefault="00314051" w:rsidP="00ED0D46">
      <w:pPr>
        <w:pStyle w:val="Titolo1"/>
        <w:rPr>
          <w:rFonts w:ascii="Baskerville Old Face" w:hAnsi="Baskerville Old Face"/>
          <w:b/>
          <w:bCs/>
          <w:i/>
          <w:iCs/>
          <w:sz w:val="24"/>
          <w:szCs w:val="24"/>
        </w:rPr>
      </w:pPr>
      <w:r w:rsidRPr="00ED0D46">
        <w:rPr>
          <w:rFonts w:ascii="Baskerville Old Face" w:hAnsi="Baskerville Old Face"/>
          <w:b/>
          <w:bCs/>
          <w:i/>
          <w:iCs/>
          <w:sz w:val="24"/>
          <w:szCs w:val="24"/>
        </w:rPr>
        <w:lastRenderedPageBreak/>
        <w:t>Appendix N: Prometheus Regenerative Unit (PRU) — Value-Creation Interface and Future Value-Analysis Pathway</w:t>
      </w:r>
    </w:p>
    <w:p w14:paraId="791223CA"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N.0 Scope Note</w:t>
      </w:r>
    </w:p>
    <w:p w14:paraId="47F3E1F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appendix describes the Prometheus Regenerative Unit, or PRU, as the value-creation interface of the Prometheus framework.</w:t>
      </w:r>
    </w:p>
    <w:p w14:paraId="7231661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should not be understood as the source of regenerative value.</w:t>
      </w:r>
    </w:p>
    <w:p w14:paraId="6C25C57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source of regenerative value is the living system.</w:t>
      </w:r>
    </w:p>
    <w:p w14:paraId="001522B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Soil improves.</w:t>
      </w:r>
    </w:p>
    <w:p w14:paraId="45E0F6F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Water cycles recover.</w:t>
      </w:r>
    </w:p>
    <w:p w14:paraId="626FDFB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Biomass accumulates.</w:t>
      </w:r>
    </w:p>
    <w:p w14:paraId="78E733F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Biodiversity increases.</w:t>
      </w:r>
    </w:p>
    <w:p w14:paraId="58C28B6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Food is produced.</w:t>
      </w:r>
    </w:p>
    <w:p w14:paraId="3A6B29F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Human stewardship becomes operational.</w:t>
      </w:r>
    </w:p>
    <w:p w14:paraId="3C35B50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Ecological resilience becomes observable.</w:t>
      </w:r>
    </w:p>
    <w:p w14:paraId="736DE41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the interface through which verified regenerative performance may become legible to governance, institutions, data rooms, auditors, underwriters, capital allocators, and future legal structures.</w:t>
      </w:r>
    </w:p>
    <w:p w14:paraId="59D53D4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translates living-system performance into a disciplined analytical language.</w:t>
      </w:r>
    </w:p>
    <w:p w14:paraId="649D63C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value by declaration.</w:t>
      </w:r>
    </w:p>
    <w:p w14:paraId="0508A01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rights by measurement.</w:t>
      </w:r>
    </w:p>
    <w:p w14:paraId="36F3001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financial instruments by scoring.</w:t>
      </w:r>
    </w:p>
    <w:p w14:paraId="2357CC8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token issuance by evidence.</w:t>
      </w:r>
    </w:p>
    <w:p w14:paraId="7A4EEE4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investor entitlement by ecological improvement.</w:t>
      </w:r>
    </w:p>
    <w:p w14:paraId="4118D8D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market price by methodology.</w:t>
      </w:r>
    </w:p>
    <w:p w14:paraId="7143741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It does not create collateral recognition by maturity classification.</w:t>
      </w:r>
    </w:p>
    <w:p w14:paraId="43C8805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a review-bound abstraction.</w:t>
      </w:r>
    </w:p>
    <w:p w14:paraId="7DF0BDF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exists to clarify how biological units may, under sufficient conditions of measurement, evidence, admissibility, legal structure, governance discipline, and institutional review, become candidates for future value analysis, maturity classification, portfolio-readiness, and capital-readiness.</w:t>
      </w:r>
    </w:p>
    <w:p w14:paraId="17B441D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xml:space="preserve">This appendix does not redefine the bounded implementation scope of the current pilot </w:t>
      </w:r>
      <w:proofErr w:type="spellStart"/>
      <w:r w:rsidRPr="00B479AE">
        <w:rPr>
          <w:rFonts w:ascii="Baskerville Old Face" w:hAnsi="Baskerville Old Face"/>
          <w:i/>
          <w:iCs/>
        </w:rPr>
        <w:t>hApp</w:t>
      </w:r>
      <w:proofErr w:type="spellEnd"/>
      <w:r w:rsidRPr="00B479AE">
        <w:rPr>
          <w:rFonts w:ascii="Baskerville Old Face" w:hAnsi="Baskerville Old Face"/>
          <w:i/>
          <w:iCs/>
        </w:rPr>
        <w:t>.</w:t>
      </w:r>
    </w:p>
    <w:p w14:paraId="794F777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constitute a binding issuance model.</w:t>
      </w:r>
    </w:p>
    <w:p w14:paraId="78A6718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constitute a live investment product.</w:t>
      </w:r>
    </w:p>
    <w:p w14:paraId="245D767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constitute a securitization structure.</w:t>
      </w:r>
    </w:p>
    <w:p w14:paraId="3095D4B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constitute a validated institutional wrapper.</w:t>
      </w:r>
    </w:p>
    <w:p w14:paraId="7F0F7B5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constitute an offering document.</w:t>
      </w:r>
    </w:p>
    <w:p w14:paraId="0FFC0EF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constitute a credit rating, securities rating, valuation report, appraisal, guarantee, insurance eligibility, or public investment claim.</w:t>
      </w:r>
    </w:p>
    <w:p w14:paraId="53D75A3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Its purpose is to define the PRU as the institutional membrane between regeneration and capital.</w:t>
      </w:r>
    </w:p>
    <w:p w14:paraId="07AD088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sequence is:</w:t>
      </w:r>
    </w:p>
    <w:p w14:paraId="142D42B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xml:space="preserve">living system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PRU value analysis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capital-readiness </w:t>
      </w:r>
      <w:r w:rsidRPr="00B479AE">
        <w:rPr>
          <w:rFonts w:ascii="Times New Roman" w:hAnsi="Times New Roman" w:cs="Times New Roman"/>
          <w:i/>
          <w:iCs/>
        </w:rPr>
        <w:t>→</w:t>
      </w:r>
      <w:r w:rsidRPr="00B479AE">
        <w:rPr>
          <w:rFonts w:ascii="Baskerville Old Face" w:hAnsi="Baskerville Old Face"/>
          <w:i/>
          <w:iCs/>
        </w:rPr>
        <w:t xml:space="preserve"> legal structure where required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2765433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sequence is non-</w:t>
      </w:r>
      <w:proofErr w:type="spellStart"/>
      <w:r w:rsidRPr="00B479AE">
        <w:rPr>
          <w:rFonts w:ascii="Baskerville Old Face" w:hAnsi="Baskerville Old Face"/>
          <w:i/>
          <w:iCs/>
        </w:rPr>
        <w:t>bypassable</w:t>
      </w:r>
      <w:proofErr w:type="spellEnd"/>
      <w:r w:rsidRPr="00B479AE">
        <w:rPr>
          <w:rFonts w:ascii="Baskerville Old Face" w:hAnsi="Baskerville Old Face"/>
          <w:i/>
          <w:iCs/>
        </w:rPr>
        <w:t>.</w:t>
      </w:r>
    </w:p>
    <w:p w14:paraId="72D1766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Prometheus does not move directly from ecological improvement to financial instrument.</w:t>
      </w:r>
    </w:p>
    <w:p w14:paraId="68B8B8F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moves from life to evidence.</w:t>
      </w:r>
    </w:p>
    <w:p w14:paraId="119DC51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From evidence to review.</w:t>
      </w:r>
    </w:p>
    <w:p w14:paraId="6C9F9F0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From review to admissibility.</w:t>
      </w:r>
    </w:p>
    <w:p w14:paraId="42A4EA4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From admissibility to structured value analysis.</w:t>
      </w:r>
    </w:p>
    <w:p w14:paraId="4BBC365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From value analysis to maturity classification.</w:t>
      </w:r>
    </w:p>
    <w:p w14:paraId="0E7DFA0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From maturity classification to capital-readiness.</w:t>
      </w:r>
    </w:p>
    <w:p w14:paraId="11ECD40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From capital-readiness to legal structure.</w:t>
      </w:r>
    </w:p>
    <w:p w14:paraId="458DE37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Only then may any compliant representation, rights-bearing instrument, financing structure, or institutional pathway be evaluated.</w:t>
      </w:r>
    </w:p>
    <w:p w14:paraId="6F5BE913"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 Definition</w:t>
      </w:r>
    </w:p>
    <w:p w14:paraId="34097B7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Prometheus Regenerative Unit, or PRU, is the standardized analytical representation of verified regenerative performance associated with a One Human Ecosystem, OHE-compatible unit, project unit, or regenerative deployment unit.</w:t>
      </w:r>
    </w:p>
    <w:p w14:paraId="6AD3080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integrates:</w:t>
      </w:r>
    </w:p>
    <w:p w14:paraId="3CE704E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living-system performance;</w:t>
      </w:r>
    </w:p>
    <w:p w14:paraId="05B3D32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MRV evidence;</w:t>
      </w:r>
    </w:p>
    <w:p w14:paraId="5EB96D9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w:t>
      </w:r>
    </w:p>
    <w:p w14:paraId="0AAD360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confidence scoring;</w:t>
      </w:r>
    </w:p>
    <w:p w14:paraId="31FFA3E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admissibility constraints;</w:t>
      </w:r>
    </w:p>
    <w:p w14:paraId="373EE50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review;</w:t>
      </w:r>
    </w:p>
    <w:p w14:paraId="02E5F64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legal-boundary discipline;</w:t>
      </w:r>
    </w:p>
    <w:p w14:paraId="4B267B8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no-double-counting controls;</w:t>
      </w:r>
    </w:p>
    <w:p w14:paraId="1E5DD38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value-analysis logic;</w:t>
      </w:r>
    </w:p>
    <w:p w14:paraId="108962C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maturity classification;</w:t>
      </w:r>
    </w:p>
    <w:p w14:paraId="019E1EC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capital-readiness interpretation.</w:t>
      </w:r>
    </w:p>
    <w:p w14:paraId="2A0F15D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may be expressed conceptually as:</w:t>
      </w:r>
    </w:p>
    <w:p w14:paraId="1FC52A9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xml:space="preserve">PRU = </w:t>
      </w:r>
      <w:proofErr w:type="gramStart"/>
      <w:r w:rsidRPr="00B479AE">
        <w:rPr>
          <w:rFonts w:ascii="Baskerville Old Face" w:hAnsi="Baskerville Old Face"/>
          <w:i/>
          <w:iCs/>
        </w:rPr>
        <w:t>f(</w:t>
      </w:r>
      <w:proofErr w:type="gramEnd"/>
      <w:r w:rsidRPr="00B479AE">
        <w:rPr>
          <w:rFonts w:ascii="Baskerville Old Face" w:hAnsi="Baskerville Old Face"/>
          <w:i/>
          <w:iCs/>
        </w:rPr>
        <w:t>OHE, MRV, Methodology, Confidence, Admissibility, Governance, Legal Boundary)</w:t>
      </w:r>
    </w:p>
    <w:p w14:paraId="69FF367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Where:</w:t>
      </w:r>
    </w:p>
    <w:p w14:paraId="7ED9220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OHE means the living biological or ecological deployment unit;</w:t>
      </w:r>
    </w:p>
    <w:p w14:paraId="6AFB178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MRV means Measurement, Reporting, and Verification;</w:t>
      </w:r>
    </w:p>
    <w:p w14:paraId="3DC327E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 means the approved or applicable interpretation framework;</w:t>
      </w:r>
    </w:p>
    <w:p w14:paraId="02DEC53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Confidence means the reliability and limitations of the evidence;</w:t>
      </w:r>
    </w:p>
    <w:p w14:paraId="374102A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Admissibility means whether evidence can enter protected analytical pathways;</w:t>
      </w:r>
    </w:p>
    <w:p w14:paraId="540FD6E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means review, classification, correction, and approval discipline;</w:t>
      </w:r>
    </w:p>
    <w:p w14:paraId="7EB42DA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Boundary means the conditions under which any capital-facing use may occur.</w:t>
      </w:r>
    </w:p>
    <w:p w14:paraId="6148B31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Functional meaning:</w:t>
      </w:r>
    </w:p>
    <w:p w14:paraId="3D0C502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the conceptual abstraction through which regenerative performance may become auditable, comparable, classifiable, and institutionally intelligible.</w:t>
      </w:r>
    </w:p>
    <w:p w14:paraId="1C6BC23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a commodity by default.</w:t>
      </w:r>
    </w:p>
    <w:p w14:paraId="6D07380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a token by default.</w:t>
      </w:r>
    </w:p>
    <w:p w14:paraId="48FC981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a security by default.</w:t>
      </w:r>
    </w:p>
    <w:p w14:paraId="1D64864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a carbon credit by default.</w:t>
      </w:r>
    </w:p>
    <w:p w14:paraId="347F067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land.</w:t>
      </w:r>
    </w:p>
    <w:p w14:paraId="0826D19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biomass.</w:t>
      </w:r>
    </w:p>
    <w:p w14:paraId="5442DAE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yield.</w:t>
      </w:r>
    </w:p>
    <w:p w14:paraId="23D4BC5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investor exposure.</w:t>
      </w:r>
    </w:p>
    <w:p w14:paraId="334A291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governance rights.</w:t>
      </w:r>
    </w:p>
    <w:p w14:paraId="3F16A51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revenue rights.</w:t>
      </w:r>
    </w:p>
    <w:p w14:paraId="62C7CEA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collateral.</w:t>
      </w:r>
    </w:p>
    <w:p w14:paraId="2650979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It is not an automatic financial asset.</w:t>
      </w:r>
    </w:p>
    <w:p w14:paraId="7CD4666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the analytical interface through which verified regenerative performance can be interpreted without detaching value from its living source.</w:t>
      </w:r>
    </w:p>
    <w:p w14:paraId="7B69627E"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N.2 System Role</w:t>
      </w:r>
    </w:p>
    <w:p w14:paraId="14F47D5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Within the broader Prometheus framework, the PRU performs a strategic role.</w:t>
      </w:r>
    </w:p>
    <w:p w14:paraId="0278B53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converts living-system complexity into institutional legibility without collapsing life into a single financial metric.</w:t>
      </w:r>
    </w:p>
    <w:p w14:paraId="6BCDC81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may function as:</w:t>
      </w:r>
    </w:p>
    <w:p w14:paraId="5081050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the analytical bridge between OHE performance and capital-readiness logic;</w:t>
      </w:r>
    </w:p>
    <w:p w14:paraId="00AAA7A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the smallest candidate unit for future regenerative standardization;</w:t>
      </w:r>
    </w:p>
    <w:p w14:paraId="2DEE576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 potential component of future regenerative portfolio analysis;</w:t>
      </w:r>
    </w:p>
    <w:p w14:paraId="2B9D05C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 review-bound interface between MRV evidence and institutional diligence;</w:t>
      </w:r>
    </w:p>
    <w:p w14:paraId="41F3A16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 structured language for comparing regenerative performance across sites;</w:t>
      </w:r>
    </w:p>
    <w:p w14:paraId="3A85045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 future basis for reporting, classification, underwriting support, or legal structuring where applicable.</w:t>
      </w:r>
    </w:p>
    <w:p w14:paraId="1C054EA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role remains conditional.</w:t>
      </w:r>
    </w:p>
    <w:p w14:paraId="12A6777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depends on:</w:t>
      </w:r>
    </w:p>
    <w:p w14:paraId="1740F4A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measurement maturity;</w:t>
      </w:r>
    </w:p>
    <w:p w14:paraId="31F78DC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evidence quality;</w:t>
      </w:r>
    </w:p>
    <w:p w14:paraId="0105F71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 clarity;</w:t>
      </w:r>
    </w:p>
    <w:p w14:paraId="5CE4D5E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confidence scoring;</w:t>
      </w:r>
    </w:p>
    <w:p w14:paraId="51EE6FE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no-double-counting controls;</w:t>
      </w:r>
    </w:p>
    <w:p w14:paraId="4348FC8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public-claim discipline;</w:t>
      </w:r>
    </w:p>
    <w:p w14:paraId="620D165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governance correctness;</w:t>
      </w:r>
    </w:p>
    <w:p w14:paraId="2B2004F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admissibility;</w:t>
      </w:r>
    </w:p>
    <w:p w14:paraId="066C4CE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jurisdiction-specific review;</w:t>
      </w:r>
    </w:p>
    <w:p w14:paraId="03CE2DF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future implementation pathways.</w:t>
      </w:r>
    </w:p>
    <w:p w14:paraId="17C5B7C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therefore not an endpoint.</w:t>
      </w:r>
    </w:p>
    <w:p w14:paraId="1728AB8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an interface.</w:t>
      </w:r>
    </w:p>
    <w:p w14:paraId="0E49508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receives evidence from the living system.</w:t>
      </w:r>
    </w:p>
    <w:p w14:paraId="2DA2455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organizes that evidence through methodology.</w:t>
      </w:r>
    </w:p>
    <w:p w14:paraId="454C258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routes that evidence through review.</w:t>
      </w:r>
    </w:p>
    <w:p w14:paraId="15497C7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classifies maturity.</w:t>
      </w:r>
    </w:p>
    <w:p w14:paraId="3F38F72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supports capital-readiness interpretation.</w:t>
      </w:r>
    </w:p>
    <w:p w14:paraId="076ECB7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replace the living system, MRV, governance, legal structure, or underwriting.</w:t>
      </w:r>
    </w:p>
    <w:p w14:paraId="008DC38E" w14:textId="77777777" w:rsidR="00A97E8A"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 xml:space="preserve">N.3 </w:t>
      </w:r>
      <w:r w:rsidR="00A97E8A" w:rsidRPr="00B479AE">
        <w:rPr>
          <w:rFonts w:ascii="Baskerville Old Face" w:hAnsi="Baskerville Old Face"/>
          <w:b/>
          <w:bCs/>
          <w:i/>
          <w:iCs/>
        </w:rPr>
        <w:t xml:space="preserve">PRU as institutional interface between verified regeneration and capital </w:t>
      </w:r>
    </w:p>
    <w:p w14:paraId="41583592" w14:textId="49BA063A"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i/>
          <w:iCs/>
        </w:rPr>
        <w:t>The PRU should be understood as a value-creation interface, not because it manufactures value, but because it makes regenerative value institutionally usable.</w:t>
      </w:r>
    </w:p>
    <w:p w14:paraId="4546C3C7"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t>Durable value is ultimately downstream from the conditions that sustain life.</w:t>
      </w:r>
    </w:p>
    <w:p w14:paraId="6F109BFA"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t>Financial frameworks may recognize value.</w:t>
      </w:r>
    </w:p>
    <w:p w14:paraId="145D932D"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t>They may organize value.</w:t>
      </w:r>
    </w:p>
    <w:p w14:paraId="145264B5"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t>They may allocate value.</w:t>
      </w:r>
    </w:p>
    <w:p w14:paraId="46471566"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t>They may represent value.</w:t>
      </w:r>
    </w:p>
    <w:p w14:paraId="300CC64B" w14:textId="77777777" w:rsidR="00BA62C1" w:rsidRPr="00B479AE" w:rsidRDefault="00BA62C1" w:rsidP="00BA62C1">
      <w:pPr>
        <w:spacing w:line="360" w:lineRule="auto"/>
        <w:rPr>
          <w:rFonts w:ascii="Baskerville Old Face" w:hAnsi="Baskerville Old Face"/>
          <w:i/>
          <w:iCs/>
        </w:rPr>
      </w:pPr>
    </w:p>
    <w:p w14:paraId="751FF5B9"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lastRenderedPageBreak/>
        <w:t>But they do not originate the living systems, ecological functions, and human stewardship from which long-term value emerges.</w:t>
      </w:r>
    </w:p>
    <w:p w14:paraId="5AC0FDA3" w14:textId="77777777" w:rsidR="00BA62C1" w:rsidRPr="00B479AE" w:rsidRDefault="00BA62C1" w:rsidP="00BA62C1">
      <w:pPr>
        <w:spacing w:line="360" w:lineRule="auto"/>
        <w:rPr>
          <w:rFonts w:ascii="Baskerville Old Face" w:hAnsi="Baskerville Old Face"/>
          <w:i/>
          <w:iCs/>
        </w:rPr>
      </w:pPr>
      <w:r w:rsidRPr="00B479AE">
        <w:rPr>
          <w:rFonts w:ascii="Baskerville Old Face" w:hAnsi="Baskerville Old Face"/>
          <w:i/>
          <w:iCs/>
        </w:rPr>
        <w:t>The PRU provides that interface.</w:t>
      </w:r>
    </w:p>
    <w:p w14:paraId="69251DF1" w14:textId="7EBE42E7" w:rsidR="00BA62C1" w:rsidRPr="00B479AE" w:rsidRDefault="00BA62C1" w:rsidP="00BA62C1">
      <w:pPr>
        <w:spacing w:line="360" w:lineRule="auto"/>
        <w:rPr>
          <w:rFonts w:ascii="Baskerville Old Face" w:hAnsi="Baskerville Old Face"/>
          <w:i/>
          <w:iCs/>
          <w:highlight w:val="yellow"/>
        </w:rPr>
      </w:pPr>
      <w:r w:rsidRPr="00B479AE">
        <w:rPr>
          <w:rFonts w:ascii="Baskerville Old Face" w:hAnsi="Baskerville Old Face"/>
          <w:i/>
          <w:iCs/>
        </w:rPr>
        <w:t>It allows Prometheus to move from ecological performance to structured value interpretation without making premature financial claims.</w:t>
      </w:r>
    </w:p>
    <w:p w14:paraId="16DBF7A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However, capital systems often cannot recognize that value unless it becomes:</w:t>
      </w:r>
    </w:p>
    <w:p w14:paraId="0FB7E8E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measurable;</w:t>
      </w:r>
    </w:p>
    <w:p w14:paraId="1D6DD03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comparable;</w:t>
      </w:r>
    </w:p>
    <w:p w14:paraId="18D9849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repeatable;</w:t>
      </w:r>
    </w:p>
    <w:p w14:paraId="6BC0F1B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auditable;</w:t>
      </w:r>
    </w:p>
    <w:p w14:paraId="6406F22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bounded;</w:t>
      </w:r>
    </w:p>
    <w:p w14:paraId="7984537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legally interpretable;</w:t>
      </w:r>
    </w:p>
    <w:p w14:paraId="6483479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reviewable;</w:t>
      </w:r>
    </w:p>
    <w:p w14:paraId="1B5E1E6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reportable;</w:t>
      </w:r>
    </w:p>
    <w:p w14:paraId="04C2531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classifiable;</w:t>
      </w:r>
    </w:p>
    <w:p w14:paraId="2DFAF0E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admissible.</w:t>
      </w:r>
    </w:p>
    <w:p w14:paraId="0EF97DD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provides that interface.</w:t>
      </w:r>
    </w:p>
    <w:p w14:paraId="145CFDA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allows Prometheus to move from ecological performance to structured value interpretation without making premature financial claims.</w:t>
      </w:r>
    </w:p>
    <w:p w14:paraId="4E7C3FD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correct relationship is:</w:t>
      </w:r>
    </w:p>
    <w:p w14:paraId="0FA925B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life generates value;</w:t>
      </w:r>
    </w:p>
    <w:p w14:paraId="6717DF4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MRV observes value;</w:t>
      </w:r>
    </w:p>
    <w:p w14:paraId="19DE6B4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methodology interprets value;</w:t>
      </w:r>
    </w:p>
    <w:p w14:paraId="04C7837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governance reviews value;</w:t>
      </w:r>
    </w:p>
    <w:p w14:paraId="750BA7A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admissibility filters value;</w:t>
      </w:r>
    </w:p>
    <w:p w14:paraId="5B2A89D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logic structures value;</w:t>
      </w:r>
    </w:p>
    <w:p w14:paraId="09F668A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legal architecture determines rights;</w:t>
      </w:r>
    </w:p>
    <w:p w14:paraId="4D1991F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capital allocates only within the resulting boundary.</w:t>
      </w:r>
    </w:p>
    <w:p w14:paraId="69011BD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is the core of the PRU.</w:t>
      </w:r>
    </w:p>
    <w:p w14:paraId="6A9553D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not the engine.</w:t>
      </w:r>
    </w:p>
    <w:p w14:paraId="7DBEC91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living system is the engine.</w:t>
      </w:r>
    </w:p>
    <w:p w14:paraId="1B35F4C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the dashboard, transmission, audit channel, classification layer, and institutional connector.</w:t>
      </w:r>
    </w:p>
    <w:p w14:paraId="7FFBC2AA"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N.4 PRU Value Stack</w:t>
      </w:r>
    </w:p>
    <w:p w14:paraId="7867EE3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may integrate multiple value layers.</w:t>
      </w:r>
    </w:p>
    <w:p w14:paraId="4629A026" w14:textId="64198EC1"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These layers should be interpreted as analytical categories, not guaranteed revenue streams.</w:t>
      </w:r>
      <w:r w:rsidR="00BA62C1" w:rsidRPr="00B479AE">
        <w:rPr>
          <w:rFonts w:ascii="Baskerville Old Face" w:hAnsi="Baskerville Old Face"/>
          <w:i/>
          <w:iCs/>
        </w:rPr>
        <w:t xml:space="preserve"> </w:t>
      </w:r>
    </w:p>
    <w:p w14:paraId="1500EBA0" w14:textId="77777777" w:rsidR="00BA62C1" w:rsidRPr="00B479AE" w:rsidRDefault="00BA62C1" w:rsidP="00314051">
      <w:pPr>
        <w:spacing w:line="360" w:lineRule="auto"/>
        <w:rPr>
          <w:rFonts w:ascii="Baskerville Old Face" w:hAnsi="Baskerville Old Face"/>
          <w:i/>
          <w:iCs/>
        </w:rPr>
      </w:pPr>
    </w:p>
    <w:p w14:paraId="6ADD7049" w14:textId="77777777" w:rsidR="00BA62C1" w:rsidRPr="00B479AE" w:rsidRDefault="00BA62C1" w:rsidP="00314051">
      <w:pPr>
        <w:spacing w:line="360" w:lineRule="auto"/>
        <w:rPr>
          <w:rFonts w:ascii="Baskerville Old Face" w:hAnsi="Baskerville Old Face"/>
          <w:i/>
          <w:iCs/>
        </w:rPr>
      </w:pPr>
    </w:p>
    <w:p w14:paraId="71B1C5DA" w14:textId="77777777" w:rsidR="00BA62C1" w:rsidRPr="00B479AE" w:rsidRDefault="00BA62C1" w:rsidP="00314051">
      <w:pPr>
        <w:spacing w:line="360" w:lineRule="auto"/>
        <w:rPr>
          <w:rFonts w:ascii="Baskerville Old Face" w:hAnsi="Baskerville Old Face"/>
          <w:i/>
          <w:iCs/>
        </w:rPr>
      </w:pPr>
    </w:p>
    <w:p w14:paraId="3D4E2714" w14:textId="77777777" w:rsidR="00BA62C1" w:rsidRPr="00B479AE" w:rsidRDefault="00BA62C1" w:rsidP="00314051">
      <w:pPr>
        <w:spacing w:line="360" w:lineRule="auto"/>
        <w:rPr>
          <w:rFonts w:ascii="Baskerville Old Face" w:hAnsi="Baskerville Old Face"/>
          <w:i/>
          <w:iCs/>
        </w:rPr>
      </w:pPr>
    </w:p>
    <w:p w14:paraId="38C2EAE3" w14:textId="77777777" w:rsidR="00BA62C1" w:rsidRPr="00B479AE" w:rsidRDefault="00BA62C1" w:rsidP="00314051">
      <w:pPr>
        <w:spacing w:line="360" w:lineRule="auto"/>
        <w:rPr>
          <w:rFonts w:ascii="Baskerville Old Face" w:hAnsi="Baskerville Old Face"/>
          <w:i/>
          <w:iCs/>
        </w:rPr>
      </w:pPr>
    </w:p>
    <w:p w14:paraId="7B104256" w14:textId="77777777" w:rsidR="00BA62C1" w:rsidRPr="00B479AE" w:rsidRDefault="00BA62C1" w:rsidP="00314051">
      <w:pPr>
        <w:spacing w:line="360" w:lineRule="auto"/>
        <w:rPr>
          <w:rFonts w:ascii="Baskerville Old Face" w:hAnsi="Baskerville Old Face"/>
          <w:i/>
          <w:iCs/>
        </w:rPr>
      </w:pPr>
    </w:p>
    <w:p w14:paraId="28CF3A82" w14:textId="77777777" w:rsidR="00BA62C1" w:rsidRPr="00B479AE" w:rsidRDefault="00BA62C1" w:rsidP="00314051">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0"/>
        <w:gridCol w:w="2914"/>
        <w:gridCol w:w="2635"/>
        <w:gridCol w:w="2789"/>
      </w:tblGrid>
      <w:tr w:rsidR="00314051" w:rsidRPr="00B479AE" w14:paraId="3D2F4C8F" w14:textId="77777777" w:rsidTr="00BA62C1">
        <w:trPr>
          <w:tblHeader/>
          <w:tblCellSpacing w:w="15" w:type="dxa"/>
        </w:trPr>
        <w:tc>
          <w:tcPr>
            <w:tcW w:w="0" w:type="auto"/>
            <w:vAlign w:val="center"/>
            <w:hideMark/>
          </w:tcPr>
          <w:p w14:paraId="45F19D42"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Value layer</w:t>
            </w:r>
          </w:p>
        </w:tc>
        <w:tc>
          <w:tcPr>
            <w:tcW w:w="0" w:type="auto"/>
            <w:vAlign w:val="center"/>
            <w:hideMark/>
          </w:tcPr>
          <w:p w14:paraId="612AC371"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4098B76B"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Evidence requirement</w:t>
            </w:r>
          </w:p>
        </w:tc>
        <w:tc>
          <w:tcPr>
            <w:tcW w:w="0" w:type="auto"/>
            <w:vAlign w:val="center"/>
            <w:hideMark/>
          </w:tcPr>
          <w:p w14:paraId="3DC156E4"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Boundary</w:t>
            </w:r>
          </w:p>
        </w:tc>
      </w:tr>
      <w:tr w:rsidR="00314051" w:rsidRPr="00B479AE" w14:paraId="4706C0F7" w14:textId="77777777" w:rsidTr="00BA62C1">
        <w:trPr>
          <w:tblCellSpacing w:w="15" w:type="dxa"/>
        </w:trPr>
        <w:tc>
          <w:tcPr>
            <w:tcW w:w="0" w:type="auto"/>
            <w:vAlign w:val="center"/>
            <w:hideMark/>
          </w:tcPr>
          <w:p w14:paraId="5A98DAB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Direct productive layer</w:t>
            </w:r>
          </w:p>
        </w:tc>
        <w:tc>
          <w:tcPr>
            <w:tcW w:w="0" w:type="auto"/>
            <w:vAlign w:val="center"/>
            <w:hideMark/>
          </w:tcPr>
          <w:p w14:paraId="350BBDB4"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Food, biomass, herbs, perennials, nursery material, educational production, or other outputs where actually produced and documented</w:t>
            </w:r>
          </w:p>
        </w:tc>
        <w:tc>
          <w:tcPr>
            <w:tcW w:w="0" w:type="auto"/>
            <w:vAlign w:val="center"/>
            <w:hideMark/>
          </w:tcPr>
          <w:p w14:paraId="1E797BB5"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Production records, site logs, harvest records, use records, market or substitution data where relevant</w:t>
            </w:r>
          </w:p>
        </w:tc>
        <w:tc>
          <w:tcPr>
            <w:tcW w:w="0" w:type="auto"/>
            <w:vAlign w:val="center"/>
            <w:hideMark/>
          </w:tcPr>
          <w:p w14:paraId="358B9603"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Not guaranteed revenue; financially relevant only where outputs are used, sold, substituted, or contractually recognized</w:t>
            </w:r>
          </w:p>
        </w:tc>
      </w:tr>
      <w:tr w:rsidR="00314051" w:rsidRPr="00B479AE" w14:paraId="5A4FD8C8" w14:textId="77777777" w:rsidTr="00BA62C1">
        <w:trPr>
          <w:tblCellSpacing w:w="15" w:type="dxa"/>
        </w:trPr>
        <w:tc>
          <w:tcPr>
            <w:tcW w:w="0" w:type="auto"/>
            <w:vAlign w:val="center"/>
            <w:hideMark/>
          </w:tcPr>
          <w:p w14:paraId="69258F55"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Substitution layer</w:t>
            </w:r>
          </w:p>
        </w:tc>
        <w:tc>
          <w:tcPr>
            <w:tcW w:w="0" w:type="auto"/>
            <w:vAlign w:val="center"/>
            <w:hideMark/>
          </w:tcPr>
          <w:p w14:paraId="60F8944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Reduced external purchases, reduced dependency, local food substitution, input substitution, operational savings</w:t>
            </w:r>
          </w:p>
        </w:tc>
        <w:tc>
          <w:tcPr>
            <w:tcW w:w="0" w:type="auto"/>
            <w:vAlign w:val="center"/>
            <w:hideMark/>
          </w:tcPr>
          <w:p w14:paraId="3B5D774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Purchase records, use records, baseline comparison, operational documentation</w:t>
            </w:r>
          </w:p>
        </w:tc>
        <w:tc>
          <w:tcPr>
            <w:tcW w:w="0" w:type="auto"/>
            <w:vAlign w:val="center"/>
            <w:hideMark/>
          </w:tcPr>
          <w:p w14:paraId="0BB5D8EE"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Not automatic savings; requires documented substitution pathway</w:t>
            </w:r>
          </w:p>
        </w:tc>
      </w:tr>
      <w:tr w:rsidR="00314051" w:rsidRPr="00B479AE" w14:paraId="32AF32A3" w14:textId="77777777" w:rsidTr="00BA62C1">
        <w:trPr>
          <w:tblCellSpacing w:w="15" w:type="dxa"/>
        </w:trPr>
        <w:tc>
          <w:tcPr>
            <w:tcW w:w="0" w:type="auto"/>
            <w:vAlign w:val="center"/>
            <w:hideMark/>
          </w:tcPr>
          <w:p w14:paraId="443C64F2"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Ecological function layer</w:t>
            </w:r>
          </w:p>
        </w:tc>
        <w:tc>
          <w:tcPr>
            <w:tcW w:w="0" w:type="auto"/>
            <w:vAlign w:val="center"/>
            <w:hideMark/>
          </w:tcPr>
          <w:p w14:paraId="5BF96E2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Soil improvement, water retention, biodiversity enhancement, biomass cycling, microclimate function, reduced erosion, resilience indicators</w:t>
            </w:r>
          </w:p>
        </w:tc>
        <w:tc>
          <w:tcPr>
            <w:tcW w:w="0" w:type="auto"/>
            <w:vAlign w:val="center"/>
            <w:hideMark/>
          </w:tcPr>
          <w:p w14:paraId="0B03D0FF"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MRV evidence, monitoring, soil tests, ecological indicators, remote sensing, field observation</w:t>
            </w:r>
          </w:p>
        </w:tc>
        <w:tc>
          <w:tcPr>
            <w:tcW w:w="0" w:type="auto"/>
            <w:vAlign w:val="center"/>
            <w:hideMark/>
          </w:tcPr>
          <w:p w14:paraId="2C757FA9"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Not a credit by default; not a financial instrument by itself</w:t>
            </w:r>
          </w:p>
        </w:tc>
      </w:tr>
      <w:tr w:rsidR="00314051" w:rsidRPr="00B479AE" w14:paraId="1796F062" w14:textId="77777777" w:rsidTr="00BA62C1">
        <w:trPr>
          <w:tblCellSpacing w:w="15" w:type="dxa"/>
        </w:trPr>
        <w:tc>
          <w:tcPr>
            <w:tcW w:w="0" w:type="auto"/>
            <w:vAlign w:val="center"/>
            <w:hideMark/>
          </w:tcPr>
          <w:p w14:paraId="0636728E"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Resilience layer</w:t>
            </w:r>
          </w:p>
        </w:tc>
        <w:tc>
          <w:tcPr>
            <w:tcW w:w="0" w:type="auto"/>
            <w:vAlign w:val="center"/>
            <w:hideMark/>
          </w:tcPr>
          <w:p w14:paraId="71D5752B"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Reduced fragility, improved recovery capacity, greater ecological redundancy, lower dependency on external systems</w:t>
            </w:r>
          </w:p>
        </w:tc>
        <w:tc>
          <w:tcPr>
            <w:tcW w:w="0" w:type="auto"/>
            <w:vAlign w:val="center"/>
            <w:hideMark/>
          </w:tcPr>
          <w:p w14:paraId="24FCECAE"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Risk assessment, baseline comparison, continuity records, site performance under stress</w:t>
            </w:r>
          </w:p>
        </w:tc>
        <w:tc>
          <w:tcPr>
            <w:tcW w:w="0" w:type="auto"/>
            <w:vAlign w:val="center"/>
            <w:hideMark/>
          </w:tcPr>
          <w:p w14:paraId="1610A502"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Supports resilience interpretation, not guaranteed protection</w:t>
            </w:r>
          </w:p>
        </w:tc>
      </w:tr>
      <w:tr w:rsidR="00314051" w:rsidRPr="00B479AE" w14:paraId="162E922D" w14:textId="77777777" w:rsidTr="00BA62C1">
        <w:trPr>
          <w:tblCellSpacing w:w="15" w:type="dxa"/>
        </w:trPr>
        <w:tc>
          <w:tcPr>
            <w:tcW w:w="0" w:type="auto"/>
            <w:vAlign w:val="center"/>
            <w:hideMark/>
          </w:tcPr>
          <w:p w14:paraId="14908AFD" w14:textId="77777777" w:rsidR="00314051" w:rsidRPr="00B479AE" w:rsidRDefault="00314051" w:rsidP="00314051">
            <w:pPr>
              <w:spacing w:line="360" w:lineRule="auto"/>
              <w:rPr>
                <w:rFonts w:ascii="Baskerville Old Face" w:hAnsi="Baskerville Old Face"/>
                <w:i/>
                <w:iCs/>
                <w:sz w:val="20"/>
                <w:szCs w:val="20"/>
              </w:rPr>
            </w:pPr>
            <w:proofErr w:type="spellStart"/>
            <w:r w:rsidRPr="00B479AE">
              <w:rPr>
                <w:rFonts w:ascii="Baskerville Old Face" w:hAnsi="Baskerville Old Face"/>
                <w:i/>
                <w:iCs/>
                <w:sz w:val="20"/>
                <w:szCs w:val="20"/>
              </w:rPr>
              <w:t>SyntroGIFT</w:t>
            </w:r>
            <w:proofErr w:type="spellEnd"/>
            <w:r w:rsidRPr="00B479AE">
              <w:rPr>
                <w:rFonts w:ascii="Baskerville Old Face" w:hAnsi="Baskerville Old Face"/>
                <w:i/>
                <w:iCs/>
                <w:sz w:val="20"/>
                <w:szCs w:val="20"/>
              </w:rPr>
              <w:t xml:space="preserve"> / systemic layer</w:t>
            </w:r>
          </w:p>
        </w:tc>
        <w:tc>
          <w:tcPr>
            <w:tcW w:w="0" w:type="auto"/>
            <w:vAlign w:val="center"/>
            <w:hideMark/>
          </w:tcPr>
          <w:p w14:paraId="0830C5E9"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Nutrition, nature exposure, functional movement, education, hospitality, preventive-health relevance, community coherence</w:t>
            </w:r>
          </w:p>
        </w:tc>
        <w:tc>
          <w:tcPr>
            <w:tcW w:w="0" w:type="auto"/>
            <w:vAlign w:val="center"/>
            <w:hideMark/>
          </w:tcPr>
          <w:p w14:paraId="52251F62"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Verified data, recognized methodology, institutional arrangement, medical or public-health governance where relevant</w:t>
            </w:r>
          </w:p>
        </w:tc>
        <w:tc>
          <w:tcPr>
            <w:tcW w:w="0" w:type="auto"/>
            <w:vAlign w:val="center"/>
            <w:hideMark/>
          </w:tcPr>
          <w:p w14:paraId="7531E517"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Strategic upside only unless monetization or avoided-cost pathway is legally and methodologically supported</w:t>
            </w:r>
          </w:p>
        </w:tc>
      </w:tr>
      <w:tr w:rsidR="00314051" w:rsidRPr="00B479AE" w14:paraId="0ACC9978" w14:textId="77777777" w:rsidTr="00BA62C1">
        <w:trPr>
          <w:tblCellSpacing w:w="15" w:type="dxa"/>
        </w:trPr>
        <w:tc>
          <w:tcPr>
            <w:tcW w:w="0" w:type="auto"/>
            <w:vAlign w:val="center"/>
            <w:hideMark/>
          </w:tcPr>
          <w:p w14:paraId="13AA94B4"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Data and evidence layer</w:t>
            </w:r>
          </w:p>
        </w:tc>
        <w:tc>
          <w:tcPr>
            <w:tcW w:w="0" w:type="auto"/>
            <w:vAlign w:val="center"/>
            <w:hideMark/>
          </w:tcPr>
          <w:p w14:paraId="12177464"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Traceable records, MRV datasets, methodology references, review outcomes, confidence scoring</w:t>
            </w:r>
          </w:p>
        </w:tc>
        <w:tc>
          <w:tcPr>
            <w:tcW w:w="0" w:type="auto"/>
            <w:vAlign w:val="center"/>
            <w:hideMark/>
          </w:tcPr>
          <w:p w14:paraId="28D8E03E"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Provenance, audit trail, versioning, admissibility review</w:t>
            </w:r>
          </w:p>
        </w:tc>
        <w:tc>
          <w:tcPr>
            <w:tcW w:w="0" w:type="auto"/>
            <w:vAlign w:val="center"/>
            <w:hideMark/>
          </w:tcPr>
          <w:p w14:paraId="231F820B"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Data supports interpretation; it does not create rights by itself</w:t>
            </w:r>
          </w:p>
        </w:tc>
      </w:tr>
      <w:tr w:rsidR="00314051" w:rsidRPr="00B479AE" w14:paraId="2E40408A" w14:textId="77777777" w:rsidTr="00BA62C1">
        <w:trPr>
          <w:tblCellSpacing w:w="15" w:type="dxa"/>
        </w:trPr>
        <w:tc>
          <w:tcPr>
            <w:tcW w:w="0" w:type="auto"/>
            <w:vAlign w:val="center"/>
            <w:hideMark/>
          </w:tcPr>
          <w:p w14:paraId="6628504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Optionality layer</w:t>
            </w:r>
          </w:p>
        </w:tc>
        <w:tc>
          <w:tcPr>
            <w:tcW w:w="0" w:type="auto"/>
            <w:vAlign w:val="center"/>
            <w:hideMark/>
          </w:tcPr>
          <w:p w14:paraId="339CC322"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Future potential for legal structuring, public procurement, insurance dialogue, blended finance, portfolio aggregation, compliant representation</w:t>
            </w:r>
          </w:p>
        </w:tc>
        <w:tc>
          <w:tcPr>
            <w:tcW w:w="0" w:type="auto"/>
            <w:vAlign w:val="center"/>
            <w:hideMark/>
          </w:tcPr>
          <w:p w14:paraId="1FF6B530"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Maturity classification, governance review, legal boundary, institutional review</w:t>
            </w:r>
          </w:p>
        </w:tc>
        <w:tc>
          <w:tcPr>
            <w:tcW w:w="0" w:type="auto"/>
            <w:vAlign w:val="center"/>
            <w:hideMark/>
          </w:tcPr>
          <w:p w14:paraId="5691B100"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Optionality is not entitlement</w:t>
            </w:r>
          </w:p>
        </w:tc>
      </w:tr>
    </w:tbl>
    <w:p w14:paraId="71F8CB6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These layers do not automatically add up to financial value.</w:t>
      </w:r>
    </w:p>
    <w:p w14:paraId="70A0A72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They become analytically relevant only where evidence, methodology, confidence, legal boundary, and admissibility support their interpretation.</w:t>
      </w:r>
    </w:p>
    <w:p w14:paraId="5E3A6B59"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N.5 Cost and Resource Structure</w:t>
      </w:r>
    </w:p>
    <w:p w14:paraId="023514D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may be associated with several cost and resource categories.</w:t>
      </w:r>
    </w:p>
    <w:p w14:paraId="496E52D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These may include:</w:t>
      </w:r>
    </w:p>
    <w:p w14:paraId="286C621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field design;</w:t>
      </w:r>
    </w:p>
    <w:p w14:paraId="60FCCDD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soil preparation;</w:t>
      </w:r>
    </w:p>
    <w:p w14:paraId="5D72CDF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hydrological shaping;</w:t>
      </w:r>
    </w:p>
    <w:p w14:paraId="18542A1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planting establishment;</w:t>
      </w:r>
    </w:p>
    <w:p w14:paraId="6FDE7D8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water infrastructure;</w:t>
      </w:r>
    </w:p>
    <w:p w14:paraId="45829C7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stewardship labor;</w:t>
      </w:r>
    </w:p>
    <w:p w14:paraId="3EB8E41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maintenance;</w:t>
      </w:r>
    </w:p>
    <w:p w14:paraId="5612E09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monitoring;</w:t>
      </w:r>
    </w:p>
    <w:p w14:paraId="2D3E7DA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data management;</w:t>
      </w:r>
    </w:p>
    <w:p w14:paraId="516690F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MRV activities;</w:t>
      </w:r>
    </w:p>
    <w:p w14:paraId="66D3F06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review;</w:t>
      </w:r>
    </w:p>
    <w:p w14:paraId="6BBB753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reporting;</w:t>
      </w:r>
    </w:p>
    <w:p w14:paraId="118D97B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technical infrastructure;</w:t>
      </w:r>
    </w:p>
    <w:p w14:paraId="00028A1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and institutional structuring where relevant.</w:t>
      </w:r>
    </w:p>
    <w:p w14:paraId="7C77A3A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For high-level planning purposes, PRU-related deployment and operating costs should be expressed as broad order-of-magnitude envelopes, not precise universal values.</w:t>
      </w:r>
    </w:p>
    <w:p w14:paraId="14CE836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Costs vary by:</w:t>
      </w:r>
    </w:p>
    <w:p w14:paraId="5193FB8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geography;</w:t>
      </w:r>
    </w:p>
    <w:p w14:paraId="3525669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climate;</w:t>
      </w:r>
    </w:p>
    <w:p w14:paraId="76DCEAE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soil baseline;</w:t>
      </w:r>
    </w:p>
    <w:p w14:paraId="142C36B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water availability;</w:t>
      </w:r>
    </w:p>
    <w:p w14:paraId="7F3B2CE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labor model;</w:t>
      </w:r>
    </w:p>
    <w:p w14:paraId="1C362C0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material costs;</w:t>
      </w:r>
    </w:p>
    <w:p w14:paraId="6544C71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design intensity;</w:t>
      </w:r>
    </w:p>
    <w:p w14:paraId="1A95909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monitoring requirements;</w:t>
      </w:r>
    </w:p>
    <w:p w14:paraId="76D8101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regulatory context;</w:t>
      </w:r>
    </w:p>
    <w:p w14:paraId="59EF625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project maturity;</w:t>
      </w:r>
    </w:p>
    <w:p w14:paraId="4F9D28E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structure;</w:t>
      </w:r>
    </w:p>
    <w:p w14:paraId="5B36283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complexity.</w:t>
      </w:r>
    </w:p>
    <w:p w14:paraId="47B09B3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No PRU should be treated as having a fixed universal CAPEX, fixed universal OPEX, fixed universal payback, or fixed universal economic profile.</w:t>
      </w:r>
    </w:p>
    <w:p w14:paraId="5D3F8EC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appropriate interpretation is:</w:t>
      </w:r>
    </w:p>
    <w:p w14:paraId="6A54730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cost structure is site-specific;</w:t>
      </w:r>
    </w:p>
    <w:p w14:paraId="44CDC97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resource structure is design-specific;</w:t>
      </w:r>
    </w:p>
    <w:p w14:paraId="25B749C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performance is management-specific;</w:t>
      </w:r>
    </w:p>
    <w:p w14:paraId="039625D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financial interpretation is evidence-specific;</w:t>
      </w:r>
    </w:p>
    <w:p w14:paraId="3235AA8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capital-readiness is admissibility-specific.</w:t>
      </w:r>
    </w:p>
    <w:p w14:paraId="0F96F880" w14:textId="77777777" w:rsidR="00BA62C1" w:rsidRPr="00B479AE" w:rsidRDefault="00BA62C1" w:rsidP="00314051">
      <w:pPr>
        <w:spacing w:line="360" w:lineRule="auto"/>
        <w:rPr>
          <w:rFonts w:ascii="Baskerville Old Face" w:hAnsi="Baskerville Old Face"/>
          <w:b/>
          <w:bCs/>
          <w:i/>
          <w:iCs/>
        </w:rPr>
      </w:pPr>
    </w:p>
    <w:p w14:paraId="4FDCC514" w14:textId="31045E00"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lastRenderedPageBreak/>
        <w:t>N.6 Value-Analysis Envelope</w:t>
      </w:r>
    </w:p>
    <w:p w14:paraId="638172A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may support a conceptual value-analysis envelope when direct, indirect, ecological, resilience, systemic, and optionality layers are considered together.</w:t>
      </w:r>
    </w:p>
    <w:p w14:paraId="781810B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envelope should be expressed as a broad planning range, not as a forecast.</w:t>
      </w:r>
    </w:p>
    <w:p w14:paraId="4E46F29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For institutional language, the safer formulation is:</w:t>
      </w:r>
    </w:p>
    <w:p w14:paraId="12D61D5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mature, well-managed PRU may support a broad value-analysis envelope where productive output, substitution effects, ecological function, resilience benefits, educational or hospitality pathways, research pathways, or other monetization channels are documented and admissible.</w:t>
      </w:r>
    </w:p>
    <w:p w14:paraId="3B2F93A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value-analysis envelope should not be treated as:</w:t>
      </w:r>
    </w:p>
    <w:p w14:paraId="2B41393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guaranteed revenue;</w:t>
      </w:r>
    </w:p>
    <w:p w14:paraId="003D36B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investment return;</w:t>
      </w:r>
    </w:p>
    <w:p w14:paraId="47680F3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market value;</w:t>
      </w:r>
    </w:p>
    <w:p w14:paraId="7E1CDF4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net asset value;</w:t>
      </w:r>
    </w:p>
    <w:p w14:paraId="34AE089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token price;</w:t>
      </w:r>
    </w:p>
    <w:p w14:paraId="138CA7C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PRU issuance basis;</w:t>
      </w:r>
    </w:p>
    <w:p w14:paraId="160D611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collateral value;</w:t>
      </w:r>
    </w:p>
    <w:p w14:paraId="1A52D3D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insurance value;</w:t>
      </w:r>
    </w:p>
    <w:p w14:paraId="7695140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public reimbursement value;</w:t>
      </w:r>
    </w:p>
    <w:p w14:paraId="502E2A3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certified ecological credit;</w:t>
      </w:r>
    </w:p>
    <w:p w14:paraId="1617039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loan eligibility;</w:t>
      </w:r>
    </w:p>
    <w:p w14:paraId="0BF239E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government guarantee;</w:t>
      </w:r>
    </w:p>
    <w:p w14:paraId="66A468F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securities value.</w:t>
      </w:r>
    </w:p>
    <w:p w14:paraId="4C5CF82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value-analysis envelope is a disciplined interpretation space.</w:t>
      </w:r>
    </w:p>
    <w:p w14:paraId="25A97B4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It helps reviewers ask:</w:t>
      </w:r>
    </w:p>
    <w:p w14:paraId="71EB8E6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value is actually generated?</w:t>
      </w:r>
    </w:p>
    <w:p w14:paraId="74C34BC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evidence supports it?</w:t>
      </w:r>
    </w:p>
    <w:p w14:paraId="033DFD7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measured?</w:t>
      </w:r>
    </w:p>
    <w:p w14:paraId="7C31635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only hypothesized?</w:t>
      </w:r>
    </w:p>
    <w:p w14:paraId="0DBC174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direct?</w:t>
      </w:r>
    </w:p>
    <w:p w14:paraId="03D5211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indirect?</w:t>
      </w:r>
    </w:p>
    <w:p w14:paraId="22620D6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contractual?</w:t>
      </w:r>
    </w:p>
    <w:p w14:paraId="26A7D5F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ecological?</w:t>
      </w:r>
    </w:p>
    <w:p w14:paraId="0FC775F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systemic?</w:t>
      </w:r>
    </w:p>
    <w:p w14:paraId="720632E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legally admissible?</w:t>
      </w:r>
    </w:p>
    <w:p w14:paraId="72DC2A3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excluded from base-case financial modeling?</w:t>
      </w:r>
    </w:p>
    <w:p w14:paraId="034BD5A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should make these distinctions sharper, not blurrier.</w:t>
      </w:r>
    </w:p>
    <w:p w14:paraId="0F50032C"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N.7 Net Value Interpretation</w:t>
      </w:r>
    </w:p>
    <w:p w14:paraId="0B96558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may appear to produce a positive net value interpretation where verified value layers exceed operating burdens and where outputs or avoided costs are documented.</w:t>
      </w:r>
    </w:p>
    <w:p w14:paraId="215AE7E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However, net value interpretation must remain conditional.</w:t>
      </w:r>
    </w:p>
    <w:p w14:paraId="377FE2B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depends on:</w:t>
      </w:r>
    </w:p>
    <w:p w14:paraId="402A214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implementation quality;</w:t>
      </w:r>
    </w:p>
    <w:p w14:paraId="2B4ACE7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biological maturity;</w:t>
      </w:r>
    </w:p>
    <w:p w14:paraId="6FDED3B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production records;</w:t>
      </w:r>
    </w:p>
    <w:p w14:paraId="526CE75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operating costs;</w:t>
      </w:r>
    </w:p>
    <w:p w14:paraId="36F33EE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labor model;</w:t>
      </w:r>
    </w:p>
    <w:p w14:paraId="2CC034E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water strategy;</w:t>
      </w:r>
    </w:p>
    <w:p w14:paraId="64B947D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monitoring quality;</w:t>
      </w:r>
    </w:p>
    <w:p w14:paraId="33070F5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market access;</w:t>
      </w:r>
    </w:p>
    <w:p w14:paraId="30E3D0C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substitution pathways;</w:t>
      </w:r>
    </w:p>
    <w:p w14:paraId="2ECD0BC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institutional arrangements;</w:t>
      </w:r>
    </w:p>
    <w:p w14:paraId="0B4AA97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admissibility;</w:t>
      </w:r>
    </w:p>
    <w:p w14:paraId="4A53121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 version;</w:t>
      </w:r>
    </w:p>
    <w:p w14:paraId="6FE9E57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confidence score.</w:t>
      </w:r>
    </w:p>
    <w:p w14:paraId="7B15737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No PRU should be presented as having a guaranteed net value.</w:t>
      </w:r>
    </w:p>
    <w:p w14:paraId="00FB05F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No PRU should be presented as having a validated yield unless supported by audited operational records and lawful reporting context.</w:t>
      </w:r>
    </w:p>
    <w:p w14:paraId="392123C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correct language is:</w:t>
      </w:r>
    </w:p>
    <w:p w14:paraId="47659E7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under favorable and documented conditions, a PRU may support positive value interpretation over time.</w:t>
      </w:r>
    </w:p>
    <w:p w14:paraId="207C5FF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incorrect language is:</w:t>
      </w:r>
    </w:p>
    <w:p w14:paraId="5E7A7DC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produces a fixed return.</w:t>
      </w:r>
    </w:p>
    <w:p w14:paraId="1C38A047"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N.8 Time-Dependent Value Dynamics</w:t>
      </w:r>
    </w:p>
    <w:p w14:paraId="43697AD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value analysis should be time-aware.</w:t>
      </w:r>
    </w:p>
    <w:p w14:paraId="409B5D8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regenerative system may not reach full performance at installation.</w:t>
      </w:r>
    </w:p>
    <w:p w14:paraId="235FFDC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may move through maturity phases, such as:</w:t>
      </w:r>
    </w:p>
    <w:p w14:paraId="349881A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establishment;</w:t>
      </w:r>
    </w:p>
    <w:p w14:paraId="59B3D2B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early productive emergence;</w:t>
      </w:r>
    </w:p>
    <w:p w14:paraId="62A8976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biological acceleration;</w:t>
      </w:r>
    </w:p>
    <w:p w14:paraId="78C4C56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higher functional productivity;</w:t>
      </w:r>
    </w:p>
    <w:p w14:paraId="2FD5AD6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mature regenerative equilibrium;</w:t>
      </w:r>
    </w:p>
    <w:p w14:paraId="3369151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long-duration stewardship phase.</w:t>
      </w:r>
    </w:p>
    <w:p w14:paraId="615BE02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These phases should not be tied to rigid dates.</w:t>
      </w:r>
    </w:p>
    <w:p w14:paraId="1CB4656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Different sites mature at different speeds.</w:t>
      </w:r>
    </w:p>
    <w:p w14:paraId="4FA41E8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Maturity depends on climate, water, soil, species, design, disturbance, management, and continuity.</w:t>
      </w:r>
    </w:p>
    <w:p w14:paraId="6634EF2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intended to model a time-positive asset logic, where the quality of the underlying biological system may improve rather than erode over time.</w:t>
      </w:r>
    </w:p>
    <w:p w14:paraId="17C75C2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However, time-positive dynamics are not automatic.</w:t>
      </w:r>
    </w:p>
    <w:p w14:paraId="5627D5E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Poor stewardship, drought, salinity, fire, disease, governance failure, water stress, abandonment, or methodological error can reduce or reverse expected outcomes.</w:t>
      </w:r>
    </w:p>
    <w:p w14:paraId="5145070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should therefore treat time as a risk dimension and a value dimension.</w:t>
      </w:r>
    </w:p>
    <w:p w14:paraId="602BA62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question is not only:</w:t>
      </w:r>
    </w:p>
    <w:p w14:paraId="0591333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is the current value?</w:t>
      </w:r>
    </w:p>
    <w:p w14:paraId="2E671FD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deeper question is:</w:t>
      </w:r>
    </w:p>
    <w:p w14:paraId="453D914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Is the living system becoming more capable, more resilient, more productive, more measurable, and more admissible over time?</w:t>
      </w:r>
    </w:p>
    <w:p w14:paraId="65FA917A"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N.9 Return-Language Boundary</w:t>
      </w:r>
    </w:p>
    <w:p w14:paraId="58ABE2D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may appear attractive under favorable deployment assumptions.</w:t>
      </w:r>
    </w:p>
    <w:p w14:paraId="552B278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However, return language must be treated with strict discipline.</w:t>
      </w:r>
    </w:p>
    <w:p w14:paraId="7399424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Terms such as return, yield, payback, IRR, valuation, income, asset value, appreciation, and investment performance should not be used as default PRU language.</w:t>
      </w:r>
    </w:p>
    <w:p w14:paraId="5991B4B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Where such terms are used, they must be connected to:</w:t>
      </w:r>
    </w:p>
    <w:p w14:paraId="45CF304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documented operational data;</w:t>
      </w:r>
    </w:p>
    <w:p w14:paraId="387C763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explicit assumptions;</w:t>
      </w:r>
    </w:p>
    <w:p w14:paraId="19D065C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scenario classification;</w:t>
      </w:r>
    </w:p>
    <w:p w14:paraId="6ADCC9B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boundary;</w:t>
      </w:r>
    </w:p>
    <w:p w14:paraId="3334916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risk disclosure;</w:t>
      </w:r>
    </w:p>
    <w:p w14:paraId="02BB27B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 version;</w:t>
      </w:r>
    </w:p>
    <w:p w14:paraId="60EF3E4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admissibility status;</w:t>
      </w:r>
    </w:p>
    <w:p w14:paraId="5535A08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jurisdiction-specific review;</w:t>
      </w:r>
    </w:p>
    <w:p w14:paraId="055C77B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non-offering disclaimers.</w:t>
      </w:r>
    </w:p>
    <w:p w14:paraId="4769A06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safer language is:</w:t>
      </w:r>
    </w:p>
    <w:p w14:paraId="3A3BE2C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value-analysis potential;</w:t>
      </w:r>
    </w:p>
    <w:p w14:paraId="267848E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capital-readiness interpretation;</w:t>
      </w:r>
    </w:p>
    <w:p w14:paraId="6F90D65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maturity classification;</w:t>
      </w:r>
    </w:p>
    <w:p w14:paraId="227C02C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economic relevance;</w:t>
      </w:r>
    </w:p>
    <w:p w14:paraId="0A835C3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productive capacity;</w:t>
      </w:r>
    </w:p>
    <w:p w14:paraId="6C76891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documented output;</w:t>
      </w:r>
    </w:p>
    <w:p w14:paraId="1A763E0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substitution pathway;</w:t>
      </w:r>
    </w:p>
    <w:p w14:paraId="45356F9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resilience value;</w:t>
      </w:r>
    </w:p>
    <w:p w14:paraId="2E06319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institutional diligence support.</w:t>
      </w:r>
    </w:p>
    <w:p w14:paraId="3EAA64B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PRU analysis may support investment diligence.</w:t>
      </w:r>
    </w:p>
    <w:p w14:paraId="29E6DD6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replace underwriting.</w:t>
      </w:r>
    </w:p>
    <w:p w14:paraId="18C7B9B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replace legal review.</w:t>
      </w:r>
    </w:p>
    <w:p w14:paraId="412C756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replace investor suitability analysis.</w:t>
      </w:r>
    </w:p>
    <w:p w14:paraId="61A0B4A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offering status.</w:t>
      </w:r>
    </w:p>
    <w:p w14:paraId="6D403CE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create entitlement.</w:t>
      </w:r>
    </w:p>
    <w:p w14:paraId="546CF42F"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N.10 Risk Profile</w:t>
      </w:r>
    </w:p>
    <w:p w14:paraId="72E0849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logic should include explicit risk classification.</w:t>
      </w:r>
    </w:p>
    <w:p w14:paraId="2A4A922F" w14:textId="06966859"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Primary risk categories may include:</w:t>
      </w:r>
      <w:r w:rsidR="00806DDB" w:rsidRPr="00B479AE">
        <w:rPr>
          <w:rFonts w:ascii="Baskerville Old Face" w:hAnsi="Baskerville Old Face"/>
          <w:i/>
          <w:iCs/>
        </w:rPr>
        <w:t xml:space="preserve"> </w:t>
      </w:r>
    </w:p>
    <w:p w14:paraId="1E9A9219" w14:textId="77777777" w:rsidR="00806DDB" w:rsidRPr="00B479AE" w:rsidRDefault="00806DDB" w:rsidP="00314051">
      <w:pPr>
        <w:spacing w:line="360" w:lineRule="auto"/>
        <w:rPr>
          <w:rFonts w:ascii="Baskerville Old Face" w:hAnsi="Baskerville Old Face"/>
          <w:i/>
          <w:iCs/>
        </w:rPr>
      </w:pPr>
    </w:p>
    <w:p w14:paraId="78CE9656" w14:textId="77777777" w:rsidR="00806DDB" w:rsidRPr="00B479AE" w:rsidRDefault="00806DDB" w:rsidP="00314051">
      <w:pPr>
        <w:spacing w:line="360" w:lineRule="auto"/>
        <w:rPr>
          <w:rFonts w:ascii="Baskerville Old Face" w:hAnsi="Baskerville Old Face"/>
          <w:i/>
          <w:iCs/>
        </w:rPr>
      </w:pPr>
    </w:p>
    <w:p w14:paraId="129C7603" w14:textId="77777777" w:rsidR="00806DDB" w:rsidRPr="00B479AE" w:rsidRDefault="00806DDB" w:rsidP="00314051">
      <w:pPr>
        <w:spacing w:line="360" w:lineRule="auto"/>
        <w:rPr>
          <w:rFonts w:ascii="Baskerville Old Face" w:hAnsi="Baskerville Old Face"/>
          <w:i/>
          <w:iCs/>
        </w:rPr>
      </w:pPr>
    </w:p>
    <w:p w14:paraId="0C7B60BD" w14:textId="77777777" w:rsidR="00806DDB" w:rsidRPr="00B479AE" w:rsidRDefault="00806DDB" w:rsidP="00314051">
      <w:pPr>
        <w:spacing w:line="360" w:lineRule="auto"/>
        <w:rPr>
          <w:rFonts w:ascii="Baskerville Old Face" w:hAnsi="Baskerville Old Face"/>
          <w:i/>
          <w:iCs/>
        </w:rPr>
      </w:pPr>
    </w:p>
    <w:p w14:paraId="1464A9D4" w14:textId="77777777" w:rsidR="00806DDB" w:rsidRPr="00B479AE" w:rsidRDefault="00806DDB" w:rsidP="00314051">
      <w:pPr>
        <w:spacing w:line="360" w:lineRule="auto"/>
        <w:rPr>
          <w:rFonts w:ascii="Baskerville Old Face" w:hAnsi="Baskerville Old Face"/>
          <w:i/>
          <w:iCs/>
        </w:rPr>
      </w:pPr>
    </w:p>
    <w:p w14:paraId="7E60C264" w14:textId="77777777" w:rsidR="00806DDB" w:rsidRPr="00B479AE" w:rsidRDefault="00806DDB" w:rsidP="00314051">
      <w:pPr>
        <w:spacing w:line="360" w:lineRule="auto"/>
        <w:rPr>
          <w:rFonts w:ascii="Baskerville Old Face" w:hAnsi="Baskerville Old Face"/>
          <w:i/>
          <w:iCs/>
        </w:rPr>
      </w:pPr>
    </w:p>
    <w:p w14:paraId="027E95D0" w14:textId="77777777" w:rsidR="00806DDB" w:rsidRPr="00B479AE" w:rsidRDefault="00806DDB" w:rsidP="00314051">
      <w:pPr>
        <w:spacing w:line="360" w:lineRule="auto"/>
        <w:rPr>
          <w:rFonts w:ascii="Baskerville Old Face" w:hAnsi="Baskerville Old Face"/>
          <w:i/>
          <w:iCs/>
        </w:rPr>
      </w:pPr>
    </w:p>
    <w:p w14:paraId="11B2EEDA" w14:textId="77777777" w:rsidR="00806DDB" w:rsidRPr="00B479AE" w:rsidRDefault="00806DDB" w:rsidP="00314051">
      <w:pPr>
        <w:spacing w:line="360" w:lineRule="auto"/>
        <w:rPr>
          <w:rFonts w:ascii="Baskerville Old Face" w:hAnsi="Baskerville Old Face"/>
          <w:i/>
          <w:iCs/>
        </w:rPr>
      </w:pPr>
    </w:p>
    <w:p w14:paraId="4AED77F2" w14:textId="77777777" w:rsidR="00806DDB" w:rsidRPr="00B479AE" w:rsidRDefault="00806DDB" w:rsidP="00314051">
      <w:pPr>
        <w:spacing w:line="360" w:lineRule="auto"/>
        <w:rPr>
          <w:rFonts w:ascii="Baskerville Old Face" w:hAnsi="Baskerville Old Face"/>
          <w:i/>
          <w:iCs/>
        </w:rPr>
      </w:pPr>
    </w:p>
    <w:p w14:paraId="34187BBC" w14:textId="77777777" w:rsidR="00806DDB" w:rsidRPr="00B479AE" w:rsidRDefault="00806DDB" w:rsidP="00314051">
      <w:pPr>
        <w:spacing w:line="360" w:lineRule="auto"/>
        <w:rPr>
          <w:rFonts w:ascii="Baskerville Old Face" w:hAnsi="Baskerville Old Face"/>
          <w:i/>
          <w:iCs/>
        </w:rPr>
      </w:pPr>
    </w:p>
    <w:p w14:paraId="4E7D560B" w14:textId="77777777" w:rsidR="00806DDB" w:rsidRPr="00B479AE" w:rsidRDefault="00806DDB" w:rsidP="00314051">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6"/>
        <w:gridCol w:w="4314"/>
        <w:gridCol w:w="4048"/>
      </w:tblGrid>
      <w:tr w:rsidR="00314051" w:rsidRPr="00B479AE" w14:paraId="2DA76511" w14:textId="77777777" w:rsidTr="00806DDB">
        <w:trPr>
          <w:tblHeader/>
          <w:tblCellSpacing w:w="15" w:type="dxa"/>
        </w:trPr>
        <w:tc>
          <w:tcPr>
            <w:tcW w:w="0" w:type="auto"/>
            <w:vAlign w:val="center"/>
            <w:hideMark/>
          </w:tcPr>
          <w:p w14:paraId="09D6D0F2"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Risk category</w:t>
            </w:r>
          </w:p>
        </w:tc>
        <w:tc>
          <w:tcPr>
            <w:tcW w:w="0" w:type="auto"/>
            <w:vAlign w:val="center"/>
            <w:hideMark/>
          </w:tcPr>
          <w:p w14:paraId="111A8C6A"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Description</w:t>
            </w:r>
          </w:p>
        </w:tc>
        <w:tc>
          <w:tcPr>
            <w:tcW w:w="0" w:type="auto"/>
            <w:vAlign w:val="center"/>
            <w:hideMark/>
          </w:tcPr>
          <w:p w14:paraId="42897056" w14:textId="77777777" w:rsidR="00314051" w:rsidRPr="00B479AE" w:rsidRDefault="00314051" w:rsidP="00314051">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Mitigation pathway</w:t>
            </w:r>
          </w:p>
        </w:tc>
      </w:tr>
      <w:tr w:rsidR="00314051" w:rsidRPr="00B479AE" w14:paraId="22CDCB70" w14:textId="77777777" w:rsidTr="00806DDB">
        <w:trPr>
          <w:tblCellSpacing w:w="15" w:type="dxa"/>
        </w:trPr>
        <w:tc>
          <w:tcPr>
            <w:tcW w:w="0" w:type="auto"/>
            <w:vAlign w:val="center"/>
            <w:hideMark/>
          </w:tcPr>
          <w:p w14:paraId="09DCFE24"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Design risk</w:t>
            </w:r>
          </w:p>
        </w:tc>
        <w:tc>
          <w:tcPr>
            <w:tcW w:w="0" w:type="auto"/>
            <w:vAlign w:val="center"/>
            <w:hideMark/>
          </w:tcPr>
          <w:p w14:paraId="7E0E710F"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Weak site design, poor species selection, inadequate hydrological strategy, unsuitable layout</w:t>
            </w:r>
          </w:p>
        </w:tc>
        <w:tc>
          <w:tcPr>
            <w:tcW w:w="0" w:type="auto"/>
            <w:vAlign w:val="center"/>
            <w:hideMark/>
          </w:tcPr>
          <w:p w14:paraId="0B143F51"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Design review, ecological planning, expert validation, adaptive redesign</w:t>
            </w:r>
          </w:p>
        </w:tc>
      </w:tr>
      <w:tr w:rsidR="00314051" w:rsidRPr="00B479AE" w14:paraId="3779E1A2" w14:textId="77777777" w:rsidTr="00806DDB">
        <w:trPr>
          <w:tblCellSpacing w:w="15" w:type="dxa"/>
        </w:trPr>
        <w:tc>
          <w:tcPr>
            <w:tcW w:w="0" w:type="auto"/>
            <w:vAlign w:val="center"/>
            <w:hideMark/>
          </w:tcPr>
          <w:p w14:paraId="4C024654"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Management risk</w:t>
            </w:r>
          </w:p>
        </w:tc>
        <w:tc>
          <w:tcPr>
            <w:tcW w:w="0" w:type="auto"/>
            <w:vAlign w:val="center"/>
            <w:hideMark/>
          </w:tcPr>
          <w:p w14:paraId="0E50D8AA"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Weak stewardship, insufficient maintenance, lack of pruning, poor documentation, operational discontinuity</w:t>
            </w:r>
          </w:p>
        </w:tc>
        <w:tc>
          <w:tcPr>
            <w:tcW w:w="0" w:type="auto"/>
            <w:vAlign w:val="center"/>
            <w:hideMark/>
          </w:tcPr>
          <w:p w14:paraId="4E94A48F"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Operator training, runbooks, supervision, performance records, governance review</w:t>
            </w:r>
          </w:p>
        </w:tc>
      </w:tr>
      <w:tr w:rsidR="00314051" w:rsidRPr="00B479AE" w14:paraId="4580A365" w14:textId="77777777" w:rsidTr="00806DDB">
        <w:trPr>
          <w:tblCellSpacing w:w="15" w:type="dxa"/>
        </w:trPr>
        <w:tc>
          <w:tcPr>
            <w:tcW w:w="0" w:type="auto"/>
            <w:vAlign w:val="center"/>
            <w:hideMark/>
          </w:tcPr>
          <w:p w14:paraId="59D1DBF7"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Climate risk</w:t>
            </w:r>
          </w:p>
        </w:tc>
        <w:tc>
          <w:tcPr>
            <w:tcW w:w="0" w:type="auto"/>
            <w:vAlign w:val="center"/>
            <w:hideMark/>
          </w:tcPr>
          <w:p w14:paraId="62F083F2"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Drought, heat, flood, wind, fire, extreme weather, shifting climatic baseline</w:t>
            </w:r>
          </w:p>
        </w:tc>
        <w:tc>
          <w:tcPr>
            <w:tcW w:w="0" w:type="auto"/>
            <w:vAlign w:val="center"/>
            <w:hideMark/>
          </w:tcPr>
          <w:p w14:paraId="4002C65D"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Water strategy, species diversity, microclimate design, insurance review where applicable, stress testing</w:t>
            </w:r>
          </w:p>
        </w:tc>
      </w:tr>
      <w:tr w:rsidR="00314051" w:rsidRPr="00B479AE" w14:paraId="6EAB5290" w14:textId="77777777" w:rsidTr="00806DDB">
        <w:trPr>
          <w:tblCellSpacing w:w="15" w:type="dxa"/>
        </w:trPr>
        <w:tc>
          <w:tcPr>
            <w:tcW w:w="0" w:type="auto"/>
            <w:vAlign w:val="center"/>
            <w:hideMark/>
          </w:tcPr>
          <w:p w14:paraId="730929B6"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Biological risk</w:t>
            </w:r>
          </w:p>
        </w:tc>
        <w:tc>
          <w:tcPr>
            <w:tcW w:w="0" w:type="auto"/>
            <w:vAlign w:val="center"/>
            <w:hideMark/>
          </w:tcPr>
          <w:p w14:paraId="41922B05"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Disease, pests, invasive species, crop failure, ecological imbalance</w:t>
            </w:r>
          </w:p>
        </w:tc>
        <w:tc>
          <w:tcPr>
            <w:tcW w:w="0" w:type="auto"/>
            <w:vAlign w:val="center"/>
            <w:hideMark/>
          </w:tcPr>
          <w:p w14:paraId="1F893B0E"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Biodiversity, monitoring, adaptive management, integrated ecological response</w:t>
            </w:r>
          </w:p>
        </w:tc>
      </w:tr>
      <w:tr w:rsidR="00314051" w:rsidRPr="00B479AE" w14:paraId="7A3F8F6E" w14:textId="77777777" w:rsidTr="00806DDB">
        <w:trPr>
          <w:tblCellSpacing w:w="15" w:type="dxa"/>
        </w:trPr>
        <w:tc>
          <w:tcPr>
            <w:tcW w:w="0" w:type="auto"/>
            <w:vAlign w:val="center"/>
            <w:hideMark/>
          </w:tcPr>
          <w:p w14:paraId="3D8B4D4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MRV risk</w:t>
            </w:r>
          </w:p>
        </w:tc>
        <w:tc>
          <w:tcPr>
            <w:tcW w:w="0" w:type="auto"/>
            <w:vAlign w:val="center"/>
            <w:hideMark/>
          </w:tcPr>
          <w:p w14:paraId="24209D72"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Weak evidence, poor sensors, incomplete records, unverifiable data, low confidence</w:t>
            </w:r>
          </w:p>
        </w:tc>
        <w:tc>
          <w:tcPr>
            <w:tcW w:w="0" w:type="auto"/>
            <w:vAlign w:val="center"/>
            <w:hideMark/>
          </w:tcPr>
          <w:p w14:paraId="1244F389"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Layered MRV, provenance controls, audit trails, confidence scoring</w:t>
            </w:r>
          </w:p>
        </w:tc>
      </w:tr>
      <w:tr w:rsidR="00314051" w:rsidRPr="00B479AE" w14:paraId="3618C1CD" w14:textId="77777777" w:rsidTr="00806DDB">
        <w:trPr>
          <w:tblCellSpacing w:w="15" w:type="dxa"/>
        </w:trPr>
        <w:tc>
          <w:tcPr>
            <w:tcW w:w="0" w:type="auto"/>
            <w:vAlign w:val="center"/>
            <w:hideMark/>
          </w:tcPr>
          <w:p w14:paraId="736E65CB"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Admissibility risk</w:t>
            </w:r>
          </w:p>
        </w:tc>
        <w:tc>
          <w:tcPr>
            <w:tcW w:w="0" w:type="auto"/>
            <w:vAlign w:val="center"/>
            <w:hideMark/>
          </w:tcPr>
          <w:p w14:paraId="6D44203E"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cannot enter PRU analysis or capital-readiness pathways</w:t>
            </w:r>
          </w:p>
        </w:tc>
        <w:tc>
          <w:tcPr>
            <w:tcW w:w="0" w:type="auto"/>
            <w:vAlign w:val="center"/>
            <w:hideMark/>
          </w:tcPr>
          <w:p w14:paraId="6995E255"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Methodology review, no-double-counting controls, governance review</w:t>
            </w:r>
          </w:p>
        </w:tc>
      </w:tr>
      <w:tr w:rsidR="00314051" w:rsidRPr="00B479AE" w14:paraId="53D94CEB" w14:textId="77777777" w:rsidTr="00806DDB">
        <w:trPr>
          <w:tblCellSpacing w:w="15" w:type="dxa"/>
        </w:trPr>
        <w:tc>
          <w:tcPr>
            <w:tcW w:w="0" w:type="auto"/>
            <w:vAlign w:val="center"/>
            <w:hideMark/>
          </w:tcPr>
          <w:p w14:paraId="6ECFB707"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Legal risk</w:t>
            </w:r>
          </w:p>
        </w:tc>
        <w:tc>
          <w:tcPr>
            <w:tcW w:w="0" w:type="auto"/>
            <w:vAlign w:val="center"/>
            <w:hideMark/>
          </w:tcPr>
          <w:p w14:paraId="31AD746A"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Claims exceed legal structure, jurisdictional constraints, investor-facing overreach</w:t>
            </w:r>
          </w:p>
        </w:tc>
        <w:tc>
          <w:tcPr>
            <w:tcW w:w="0" w:type="auto"/>
            <w:vAlign w:val="center"/>
            <w:hideMark/>
          </w:tcPr>
          <w:p w14:paraId="6657DD7F"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Legal review, disclosure discipline, controlled reporting</w:t>
            </w:r>
          </w:p>
        </w:tc>
      </w:tr>
      <w:tr w:rsidR="00314051" w:rsidRPr="00B479AE" w14:paraId="7BC814F3" w14:textId="77777777" w:rsidTr="00806DDB">
        <w:trPr>
          <w:tblCellSpacing w:w="15" w:type="dxa"/>
        </w:trPr>
        <w:tc>
          <w:tcPr>
            <w:tcW w:w="0" w:type="auto"/>
            <w:vAlign w:val="center"/>
            <w:hideMark/>
          </w:tcPr>
          <w:p w14:paraId="5268AFE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Governance risk</w:t>
            </w:r>
          </w:p>
        </w:tc>
        <w:tc>
          <w:tcPr>
            <w:tcW w:w="0" w:type="auto"/>
            <w:vAlign w:val="center"/>
            <w:hideMark/>
          </w:tcPr>
          <w:p w14:paraId="15313DA3"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Category collapse, partner overreach, source-layer drift, weak review</w:t>
            </w:r>
          </w:p>
        </w:tc>
        <w:tc>
          <w:tcPr>
            <w:tcW w:w="0" w:type="auto"/>
            <w:vAlign w:val="center"/>
            <w:hideMark/>
          </w:tcPr>
          <w:p w14:paraId="1D164E57"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Source-layer governance, registry status, review pathways</w:t>
            </w:r>
          </w:p>
        </w:tc>
      </w:tr>
      <w:tr w:rsidR="00314051" w:rsidRPr="00B479AE" w14:paraId="2774C7F6" w14:textId="77777777" w:rsidTr="00806DDB">
        <w:trPr>
          <w:tblCellSpacing w:w="15" w:type="dxa"/>
        </w:trPr>
        <w:tc>
          <w:tcPr>
            <w:tcW w:w="0" w:type="auto"/>
            <w:vAlign w:val="center"/>
            <w:hideMark/>
          </w:tcPr>
          <w:p w14:paraId="45D8BB11"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Market risk</w:t>
            </w:r>
          </w:p>
        </w:tc>
        <w:tc>
          <w:tcPr>
            <w:tcW w:w="0" w:type="auto"/>
            <w:vAlign w:val="center"/>
            <w:hideMark/>
          </w:tcPr>
          <w:p w14:paraId="268D60B5"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Output cannot be sold, substituted, procured, monetized, or institutionally recognized</w:t>
            </w:r>
          </w:p>
        </w:tc>
        <w:tc>
          <w:tcPr>
            <w:tcW w:w="0" w:type="auto"/>
            <w:vAlign w:val="center"/>
            <w:hideMark/>
          </w:tcPr>
          <w:p w14:paraId="18C3B7F4"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Market analysis, contractual pathways, public procurement, partner agreements</w:t>
            </w:r>
          </w:p>
        </w:tc>
      </w:tr>
      <w:tr w:rsidR="00314051" w:rsidRPr="00B479AE" w14:paraId="206CADBC" w14:textId="77777777" w:rsidTr="00806DDB">
        <w:trPr>
          <w:tblCellSpacing w:w="15" w:type="dxa"/>
        </w:trPr>
        <w:tc>
          <w:tcPr>
            <w:tcW w:w="0" w:type="auto"/>
            <w:vAlign w:val="center"/>
            <w:hideMark/>
          </w:tcPr>
          <w:p w14:paraId="4627E44F"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Execution risk</w:t>
            </w:r>
          </w:p>
        </w:tc>
        <w:tc>
          <w:tcPr>
            <w:tcW w:w="0" w:type="auto"/>
            <w:vAlign w:val="center"/>
            <w:hideMark/>
          </w:tcPr>
          <w:p w14:paraId="036E9088"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Deployment delays, cost overruns, labor shortages, infrastructure gaps</w:t>
            </w:r>
          </w:p>
        </w:tc>
        <w:tc>
          <w:tcPr>
            <w:tcW w:w="0" w:type="auto"/>
            <w:vAlign w:val="center"/>
            <w:hideMark/>
          </w:tcPr>
          <w:p w14:paraId="43AB5F1D" w14:textId="77777777" w:rsidR="00314051" w:rsidRPr="00B479AE" w:rsidRDefault="00314051" w:rsidP="00314051">
            <w:pPr>
              <w:spacing w:line="360" w:lineRule="auto"/>
              <w:rPr>
                <w:rFonts w:ascii="Baskerville Old Face" w:hAnsi="Baskerville Old Face"/>
                <w:i/>
                <w:iCs/>
                <w:sz w:val="20"/>
                <w:szCs w:val="20"/>
              </w:rPr>
            </w:pPr>
            <w:r w:rsidRPr="00B479AE">
              <w:rPr>
                <w:rFonts w:ascii="Baskerville Old Face" w:hAnsi="Baskerville Old Face"/>
                <w:i/>
                <w:iCs/>
                <w:sz w:val="20"/>
                <w:szCs w:val="20"/>
              </w:rPr>
              <w:t>Phased execution, contingencies, procurement discipline, operational milestones</w:t>
            </w:r>
          </w:p>
        </w:tc>
      </w:tr>
    </w:tbl>
    <w:p w14:paraId="0451C2B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Mitigation pathways may include:</w:t>
      </w:r>
    </w:p>
    <w:p w14:paraId="4FA8A46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standardized design protocols;</w:t>
      </w:r>
    </w:p>
    <w:p w14:paraId="13B7D1C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operator training systems;</w:t>
      </w:r>
    </w:p>
    <w:p w14:paraId="0DF8327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geographic diversification;</w:t>
      </w:r>
    </w:p>
    <w:p w14:paraId="05B3B66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layered MRV validation;</w:t>
      </w:r>
    </w:p>
    <w:p w14:paraId="5A6A2ED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explicit review gates;</w:t>
      </w:r>
    </w:p>
    <w:p w14:paraId="3694C82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bounded deployment progression;</w:t>
      </w:r>
    </w:p>
    <w:p w14:paraId="04CE466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evidence-chain design;</w:t>
      </w:r>
    </w:p>
    <w:p w14:paraId="78706C0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public-claim discipline;</w:t>
      </w:r>
    </w:p>
    <w:p w14:paraId="0BEE589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boundary review;</w:t>
      </w:r>
    </w:p>
    <w:p w14:paraId="51C943F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escalation.</w:t>
      </w:r>
    </w:p>
    <w:p w14:paraId="3140390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Risk does not invalidate the PRU.</w:t>
      </w:r>
    </w:p>
    <w:p w14:paraId="07D8E8D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Risk defines the review pathway.</w:t>
      </w:r>
    </w:p>
    <w:p w14:paraId="276A0A8D"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N.11 MRV Integration</w:t>
      </w:r>
    </w:p>
    <w:p w14:paraId="2A2399C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cannot mature without sufficient measurement discipline.</w:t>
      </w:r>
    </w:p>
    <w:p w14:paraId="32CEC62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In mature form, PRU logic may rely on:</w:t>
      </w:r>
    </w:p>
    <w:p w14:paraId="41957B3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structured monitoring;</w:t>
      </w:r>
    </w:p>
    <w:p w14:paraId="1EA603F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traceable data layers;</w:t>
      </w:r>
    </w:p>
    <w:p w14:paraId="61F3F48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auditable ecological indicators;</w:t>
      </w:r>
    </w:p>
    <w:p w14:paraId="66F89CE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confidence-adjusted interpretation;</w:t>
      </w:r>
    </w:p>
    <w:p w14:paraId="6AA9580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admissibility filters;</w:t>
      </w:r>
    </w:p>
    <w:p w14:paraId="7DA2471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 references;</w:t>
      </w:r>
    </w:p>
    <w:p w14:paraId="558E8C6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versioned records;</w:t>
      </w:r>
    </w:p>
    <w:p w14:paraId="58AC60A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review logs;</w:t>
      </w:r>
    </w:p>
    <w:p w14:paraId="680479F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no-double-counting controls;</w:t>
      </w:r>
    </w:p>
    <w:p w14:paraId="0EC9269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review.</w:t>
      </w:r>
    </w:p>
    <w:p w14:paraId="55DA71D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Illustrative core indicators may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4805"/>
        <w:gridCol w:w="3591"/>
      </w:tblGrid>
      <w:tr w:rsidR="00314051" w:rsidRPr="00B479AE" w14:paraId="60F72398" w14:textId="77777777" w:rsidTr="00806DDB">
        <w:trPr>
          <w:tblHeader/>
          <w:tblCellSpacing w:w="15" w:type="dxa"/>
        </w:trPr>
        <w:tc>
          <w:tcPr>
            <w:tcW w:w="0" w:type="auto"/>
            <w:vAlign w:val="center"/>
            <w:hideMark/>
          </w:tcPr>
          <w:p w14:paraId="384DBF56" w14:textId="77777777" w:rsidR="00314051" w:rsidRPr="00B479AE" w:rsidRDefault="00314051" w:rsidP="0031405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Indicator area</w:t>
            </w:r>
          </w:p>
        </w:tc>
        <w:tc>
          <w:tcPr>
            <w:tcW w:w="0" w:type="auto"/>
            <w:vAlign w:val="center"/>
            <w:hideMark/>
          </w:tcPr>
          <w:p w14:paraId="19B2209C" w14:textId="77777777" w:rsidR="00314051" w:rsidRPr="00B479AE" w:rsidRDefault="00314051" w:rsidP="0031405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Examples</w:t>
            </w:r>
          </w:p>
        </w:tc>
        <w:tc>
          <w:tcPr>
            <w:tcW w:w="0" w:type="auto"/>
            <w:vAlign w:val="center"/>
            <w:hideMark/>
          </w:tcPr>
          <w:p w14:paraId="6199B665" w14:textId="77777777" w:rsidR="00314051" w:rsidRPr="00B479AE" w:rsidRDefault="00314051" w:rsidP="0031405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Role in PRU logic</w:t>
            </w:r>
          </w:p>
        </w:tc>
      </w:tr>
      <w:tr w:rsidR="00314051" w:rsidRPr="00B479AE" w14:paraId="2CC37B74" w14:textId="77777777" w:rsidTr="00806DDB">
        <w:trPr>
          <w:tblCellSpacing w:w="15" w:type="dxa"/>
        </w:trPr>
        <w:tc>
          <w:tcPr>
            <w:tcW w:w="0" w:type="auto"/>
            <w:vAlign w:val="center"/>
            <w:hideMark/>
          </w:tcPr>
          <w:p w14:paraId="041D756F"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Soil</w:t>
            </w:r>
          </w:p>
        </w:tc>
        <w:tc>
          <w:tcPr>
            <w:tcW w:w="0" w:type="auto"/>
            <w:vAlign w:val="center"/>
            <w:hideMark/>
          </w:tcPr>
          <w:p w14:paraId="792ED66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Soil organic matter, soil organic carbon, aggregation, infiltration, compaction, microbial activity</w:t>
            </w:r>
          </w:p>
        </w:tc>
        <w:tc>
          <w:tcPr>
            <w:tcW w:w="0" w:type="auto"/>
            <w:vAlign w:val="center"/>
            <w:hideMark/>
          </w:tcPr>
          <w:p w14:paraId="14E4E8CB"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soil-function and regenerative-performance interpretation</w:t>
            </w:r>
          </w:p>
        </w:tc>
      </w:tr>
      <w:tr w:rsidR="00314051" w:rsidRPr="00B479AE" w14:paraId="23A6A8DD" w14:textId="77777777" w:rsidTr="00806DDB">
        <w:trPr>
          <w:tblCellSpacing w:w="15" w:type="dxa"/>
        </w:trPr>
        <w:tc>
          <w:tcPr>
            <w:tcW w:w="0" w:type="auto"/>
            <w:vAlign w:val="center"/>
            <w:hideMark/>
          </w:tcPr>
          <w:p w14:paraId="6263E476"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Biomass</w:t>
            </w:r>
          </w:p>
        </w:tc>
        <w:tc>
          <w:tcPr>
            <w:tcW w:w="0" w:type="auto"/>
            <w:vAlign w:val="center"/>
            <w:hideMark/>
          </w:tcPr>
          <w:p w14:paraId="2D405C1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Above-ground biomass, pruning biomass, mulch production, crop biomass, root activity proxies</w:t>
            </w:r>
          </w:p>
        </w:tc>
        <w:tc>
          <w:tcPr>
            <w:tcW w:w="0" w:type="auto"/>
            <w:vAlign w:val="center"/>
            <w:hideMark/>
          </w:tcPr>
          <w:p w14:paraId="191A5E77"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productivity and biological-capacity interpretation</w:t>
            </w:r>
          </w:p>
        </w:tc>
      </w:tr>
      <w:tr w:rsidR="00314051" w:rsidRPr="00B479AE" w14:paraId="6FD224AF" w14:textId="77777777" w:rsidTr="00806DDB">
        <w:trPr>
          <w:tblCellSpacing w:w="15" w:type="dxa"/>
        </w:trPr>
        <w:tc>
          <w:tcPr>
            <w:tcW w:w="0" w:type="auto"/>
            <w:vAlign w:val="center"/>
            <w:hideMark/>
          </w:tcPr>
          <w:p w14:paraId="4BA8F183"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Water</w:t>
            </w:r>
          </w:p>
        </w:tc>
        <w:tc>
          <w:tcPr>
            <w:tcW w:w="0" w:type="auto"/>
            <w:vAlign w:val="center"/>
            <w:hideMark/>
          </w:tcPr>
          <w:p w14:paraId="2B461684"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Infiltration, retention, irrigation demand, runoff reduction, drought response</w:t>
            </w:r>
          </w:p>
        </w:tc>
        <w:tc>
          <w:tcPr>
            <w:tcW w:w="0" w:type="auto"/>
            <w:vAlign w:val="center"/>
            <w:hideMark/>
          </w:tcPr>
          <w:p w14:paraId="3ADA9D52"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water-resilience interpretation</w:t>
            </w:r>
          </w:p>
        </w:tc>
      </w:tr>
      <w:tr w:rsidR="00314051" w:rsidRPr="00B479AE" w14:paraId="38E937E6" w14:textId="77777777" w:rsidTr="00806DDB">
        <w:trPr>
          <w:tblCellSpacing w:w="15" w:type="dxa"/>
        </w:trPr>
        <w:tc>
          <w:tcPr>
            <w:tcW w:w="0" w:type="auto"/>
            <w:vAlign w:val="center"/>
            <w:hideMark/>
          </w:tcPr>
          <w:p w14:paraId="6BD63BDE"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Biodiversity</w:t>
            </w:r>
          </w:p>
        </w:tc>
        <w:tc>
          <w:tcPr>
            <w:tcW w:w="0" w:type="auto"/>
            <w:vAlign w:val="center"/>
            <w:hideMark/>
          </w:tcPr>
          <w:p w14:paraId="14C39BE0"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Species diversity, functional diversity, pollinator presence, habitat complexity</w:t>
            </w:r>
          </w:p>
        </w:tc>
        <w:tc>
          <w:tcPr>
            <w:tcW w:w="0" w:type="auto"/>
            <w:vAlign w:val="center"/>
            <w:hideMark/>
          </w:tcPr>
          <w:p w14:paraId="2F3FAD54"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ecological-resilience interpretation</w:t>
            </w:r>
          </w:p>
        </w:tc>
      </w:tr>
      <w:tr w:rsidR="00314051" w:rsidRPr="00B479AE" w14:paraId="4BC8CA04" w14:textId="77777777" w:rsidTr="00806DDB">
        <w:trPr>
          <w:tblCellSpacing w:w="15" w:type="dxa"/>
        </w:trPr>
        <w:tc>
          <w:tcPr>
            <w:tcW w:w="0" w:type="auto"/>
            <w:vAlign w:val="center"/>
            <w:hideMark/>
          </w:tcPr>
          <w:p w14:paraId="661237DD"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Productivity</w:t>
            </w:r>
          </w:p>
        </w:tc>
        <w:tc>
          <w:tcPr>
            <w:tcW w:w="0" w:type="auto"/>
            <w:vAlign w:val="center"/>
            <w:hideMark/>
          </w:tcPr>
          <w:p w14:paraId="63F5F3C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Harvest records, food output, perennial production, nursery material, substitution use</w:t>
            </w:r>
          </w:p>
        </w:tc>
        <w:tc>
          <w:tcPr>
            <w:tcW w:w="0" w:type="auto"/>
            <w:vAlign w:val="center"/>
            <w:hideMark/>
          </w:tcPr>
          <w:p w14:paraId="6D96C321"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direct productive layer</w:t>
            </w:r>
          </w:p>
        </w:tc>
      </w:tr>
      <w:tr w:rsidR="00314051" w:rsidRPr="00B479AE" w14:paraId="6E5AE7E8" w14:textId="77777777" w:rsidTr="00806DDB">
        <w:trPr>
          <w:tblCellSpacing w:w="15" w:type="dxa"/>
        </w:trPr>
        <w:tc>
          <w:tcPr>
            <w:tcW w:w="0" w:type="auto"/>
            <w:vAlign w:val="center"/>
            <w:hideMark/>
          </w:tcPr>
          <w:p w14:paraId="70FACD32"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Resilience</w:t>
            </w:r>
          </w:p>
        </w:tc>
        <w:tc>
          <w:tcPr>
            <w:tcW w:w="0" w:type="auto"/>
            <w:vAlign w:val="center"/>
            <w:hideMark/>
          </w:tcPr>
          <w:p w14:paraId="609EFDE2"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Stress recovery, disturbance response, input dependency, continuity under climate variability</w:t>
            </w:r>
          </w:p>
        </w:tc>
        <w:tc>
          <w:tcPr>
            <w:tcW w:w="0" w:type="auto"/>
            <w:vAlign w:val="center"/>
            <w:hideMark/>
          </w:tcPr>
          <w:p w14:paraId="4E7EB7B8"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risk and maturity analysis</w:t>
            </w:r>
          </w:p>
        </w:tc>
      </w:tr>
      <w:tr w:rsidR="00314051" w:rsidRPr="00B479AE" w14:paraId="034BCD92" w14:textId="77777777" w:rsidTr="00806DDB">
        <w:trPr>
          <w:tblCellSpacing w:w="15" w:type="dxa"/>
        </w:trPr>
        <w:tc>
          <w:tcPr>
            <w:tcW w:w="0" w:type="auto"/>
            <w:vAlign w:val="center"/>
            <w:hideMark/>
          </w:tcPr>
          <w:p w14:paraId="307F95D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w:t>
            </w:r>
          </w:p>
        </w:tc>
        <w:tc>
          <w:tcPr>
            <w:tcW w:w="0" w:type="auto"/>
            <w:vAlign w:val="center"/>
            <w:hideMark/>
          </w:tcPr>
          <w:p w14:paraId="29A4E606"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Stewardship records, review decisions, corrections, disputes, data-room classification</w:t>
            </w:r>
          </w:p>
        </w:tc>
        <w:tc>
          <w:tcPr>
            <w:tcW w:w="0" w:type="auto"/>
            <w:vAlign w:val="center"/>
            <w:hideMark/>
          </w:tcPr>
          <w:p w14:paraId="36194A7F"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Supports admissibility and institutional trust</w:t>
            </w:r>
          </w:p>
        </w:tc>
      </w:tr>
      <w:tr w:rsidR="00314051" w:rsidRPr="00B479AE" w14:paraId="0D270B55" w14:textId="77777777" w:rsidTr="00806DDB">
        <w:trPr>
          <w:tblCellSpacing w:w="15" w:type="dxa"/>
        </w:trPr>
        <w:tc>
          <w:tcPr>
            <w:tcW w:w="0" w:type="auto"/>
            <w:vAlign w:val="center"/>
            <w:hideMark/>
          </w:tcPr>
          <w:p w14:paraId="0E1A0EF1"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Confidence</w:t>
            </w:r>
          </w:p>
        </w:tc>
        <w:tc>
          <w:tcPr>
            <w:tcW w:w="0" w:type="auto"/>
            <w:vAlign w:val="center"/>
            <w:hideMark/>
          </w:tcPr>
          <w:p w14:paraId="18BBF02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Data quality, source reliability, audit status, methodology fit, limitations</w:t>
            </w:r>
          </w:p>
        </w:tc>
        <w:tc>
          <w:tcPr>
            <w:tcW w:w="0" w:type="auto"/>
            <w:vAlign w:val="center"/>
            <w:hideMark/>
          </w:tcPr>
          <w:p w14:paraId="7CF99070"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Conditions all PRU interpretation</w:t>
            </w:r>
          </w:p>
        </w:tc>
      </w:tr>
    </w:tbl>
    <w:p w14:paraId="2DEA6C0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MRV is not cosmetic.</w:t>
      </w:r>
    </w:p>
    <w:p w14:paraId="15404D6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MRV is the bridge between ecological reality and institutional trust.</w:t>
      </w:r>
    </w:p>
    <w:p w14:paraId="5EE6F72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Without MRV, the PRU is only a concept.</w:t>
      </w:r>
    </w:p>
    <w:p w14:paraId="5DA3B77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With weak MRV, the PRU remains under review.</w:t>
      </w:r>
    </w:p>
    <w:p w14:paraId="6CC1D0C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With strong MRV, the PRU may support value analysis.</w:t>
      </w:r>
    </w:p>
    <w:p w14:paraId="6272605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With admissible MRV, the PRU may support capital-readiness interpretation.</w:t>
      </w:r>
    </w:p>
    <w:p w14:paraId="58E7D17C"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lastRenderedPageBreak/>
        <w:t>N.12 Maturity Classification</w:t>
      </w:r>
    </w:p>
    <w:p w14:paraId="505C6BF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maturity should be classified explicitly.</w:t>
      </w:r>
    </w:p>
    <w:p w14:paraId="04A7E95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may evolve through the following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5"/>
        <w:gridCol w:w="4596"/>
        <w:gridCol w:w="3087"/>
      </w:tblGrid>
      <w:tr w:rsidR="00314051" w:rsidRPr="00B479AE" w14:paraId="7B83EB0A" w14:textId="77777777" w:rsidTr="00806DDB">
        <w:trPr>
          <w:tblHeader/>
          <w:tblCellSpacing w:w="15" w:type="dxa"/>
        </w:trPr>
        <w:tc>
          <w:tcPr>
            <w:tcW w:w="0" w:type="auto"/>
            <w:vAlign w:val="center"/>
            <w:hideMark/>
          </w:tcPr>
          <w:p w14:paraId="38AF3799" w14:textId="77777777" w:rsidR="00314051" w:rsidRPr="00B479AE" w:rsidRDefault="00314051" w:rsidP="0031405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Stage</w:t>
            </w:r>
          </w:p>
        </w:tc>
        <w:tc>
          <w:tcPr>
            <w:tcW w:w="0" w:type="auto"/>
            <w:vAlign w:val="center"/>
            <w:hideMark/>
          </w:tcPr>
          <w:p w14:paraId="34F4BAA1" w14:textId="77777777" w:rsidR="00314051" w:rsidRPr="00B479AE" w:rsidRDefault="00314051" w:rsidP="0031405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Meaning</w:t>
            </w:r>
          </w:p>
        </w:tc>
        <w:tc>
          <w:tcPr>
            <w:tcW w:w="0" w:type="auto"/>
            <w:vAlign w:val="center"/>
            <w:hideMark/>
          </w:tcPr>
          <w:p w14:paraId="2BA8885C" w14:textId="77777777" w:rsidR="00314051" w:rsidRPr="00B479AE" w:rsidRDefault="00314051" w:rsidP="00314051">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Permitted use</w:t>
            </w:r>
          </w:p>
        </w:tc>
      </w:tr>
      <w:tr w:rsidR="00314051" w:rsidRPr="00B479AE" w14:paraId="475FB4BB" w14:textId="77777777" w:rsidTr="00806DDB">
        <w:trPr>
          <w:tblCellSpacing w:w="15" w:type="dxa"/>
        </w:trPr>
        <w:tc>
          <w:tcPr>
            <w:tcW w:w="0" w:type="auto"/>
            <w:vAlign w:val="center"/>
            <w:hideMark/>
          </w:tcPr>
          <w:p w14:paraId="0EDCD2A0"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 concept</w:t>
            </w:r>
          </w:p>
        </w:tc>
        <w:tc>
          <w:tcPr>
            <w:tcW w:w="0" w:type="auto"/>
            <w:vAlign w:val="center"/>
            <w:hideMark/>
          </w:tcPr>
          <w:p w14:paraId="4888FE7E"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Theoretical structure for representing regenerative performance</w:t>
            </w:r>
          </w:p>
        </w:tc>
        <w:tc>
          <w:tcPr>
            <w:tcW w:w="0" w:type="auto"/>
            <w:vAlign w:val="center"/>
            <w:hideMark/>
          </w:tcPr>
          <w:p w14:paraId="4A9814B8"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White Paper, research, design discussion</w:t>
            </w:r>
          </w:p>
        </w:tc>
      </w:tr>
      <w:tr w:rsidR="00314051" w:rsidRPr="00B479AE" w14:paraId="20D7647F" w14:textId="77777777" w:rsidTr="00806DDB">
        <w:trPr>
          <w:tblCellSpacing w:w="15" w:type="dxa"/>
        </w:trPr>
        <w:tc>
          <w:tcPr>
            <w:tcW w:w="0" w:type="auto"/>
            <w:vAlign w:val="center"/>
            <w:hideMark/>
          </w:tcPr>
          <w:p w14:paraId="3DA53443"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 methodology draft</w:t>
            </w:r>
          </w:p>
        </w:tc>
        <w:tc>
          <w:tcPr>
            <w:tcW w:w="0" w:type="auto"/>
            <w:vAlign w:val="center"/>
            <w:hideMark/>
          </w:tcPr>
          <w:p w14:paraId="05D2CF60"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Preliminary method defining indicators, evidence, confidence, and scoring logic</w:t>
            </w:r>
          </w:p>
        </w:tc>
        <w:tc>
          <w:tcPr>
            <w:tcW w:w="0" w:type="auto"/>
            <w:vAlign w:val="center"/>
            <w:hideMark/>
          </w:tcPr>
          <w:p w14:paraId="036A51F9"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Internal review, expert feedback, pilot design</w:t>
            </w:r>
          </w:p>
        </w:tc>
      </w:tr>
      <w:tr w:rsidR="00314051" w:rsidRPr="00B479AE" w14:paraId="4FBC1A91" w14:textId="77777777" w:rsidTr="00806DDB">
        <w:trPr>
          <w:tblCellSpacing w:w="15" w:type="dxa"/>
        </w:trPr>
        <w:tc>
          <w:tcPr>
            <w:tcW w:w="0" w:type="auto"/>
            <w:vAlign w:val="center"/>
            <w:hideMark/>
          </w:tcPr>
          <w:p w14:paraId="023727F8"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Pilot PRU assessment</w:t>
            </w:r>
          </w:p>
        </w:tc>
        <w:tc>
          <w:tcPr>
            <w:tcW w:w="0" w:type="auto"/>
            <w:vAlign w:val="center"/>
            <w:hideMark/>
          </w:tcPr>
          <w:p w14:paraId="190501AE"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Application of draft methodology to a pilot or controlled deployment</w:t>
            </w:r>
          </w:p>
        </w:tc>
        <w:tc>
          <w:tcPr>
            <w:tcW w:w="0" w:type="auto"/>
            <w:vAlign w:val="center"/>
            <w:hideMark/>
          </w:tcPr>
          <w:p w14:paraId="701E269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Learning, MRV refinement, non-financial reporting</w:t>
            </w:r>
          </w:p>
        </w:tc>
      </w:tr>
      <w:tr w:rsidR="00314051" w:rsidRPr="00B479AE" w14:paraId="37947664" w14:textId="77777777" w:rsidTr="00806DDB">
        <w:trPr>
          <w:tblCellSpacing w:w="15" w:type="dxa"/>
        </w:trPr>
        <w:tc>
          <w:tcPr>
            <w:tcW w:w="0" w:type="auto"/>
            <w:vAlign w:val="center"/>
            <w:hideMark/>
          </w:tcPr>
          <w:p w14:paraId="7E541C17"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Confidence-scored PRU analysis</w:t>
            </w:r>
          </w:p>
        </w:tc>
        <w:tc>
          <w:tcPr>
            <w:tcW w:w="0" w:type="auto"/>
            <w:vAlign w:val="center"/>
            <w:hideMark/>
          </w:tcPr>
          <w:p w14:paraId="7BC6A260"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PRU-relevant evidence assessed with confidence and limitations</w:t>
            </w:r>
          </w:p>
        </w:tc>
        <w:tc>
          <w:tcPr>
            <w:tcW w:w="0" w:type="auto"/>
            <w:vAlign w:val="center"/>
            <w:hideMark/>
          </w:tcPr>
          <w:p w14:paraId="0E503F2E"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Governance review, data-room context, capital-readiness analysis</w:t>
            </w:r>
          </w:p>
        </w:tc>
      </w:tr>
      <w:tr w:rsidR="00314051" w:rsidRPr="00B479AE" w14:paraId="13E75946" w14:textId="77777777" w:rsidTr="00806DDB">
        <w:trPr>
          <w:tblCellSpacing w:w="15" w:type="dxa"/>
        </w:trPr>
        <w:tc>
          <w:tcPr>
            <w:tcW w:w="0" w:type="auto"/>
            <w:vAlign w:val="center"/>
            <w:hideMark/>
          </w:tcPr>
          <w:p w14:paraId="558EBA63"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Reviewed PRU report</w:t>
            </w:r>
          </w:p>
        </w:tc>
        <w:tc>
          <w:tcPr>
            <w:tcW w:w="0" w:type="auto"/>
            <w:vAlign w:val="center"/>
            <w:hideMark/>
          </w:tcPr>
          <w:p w14:paraId="5F913C8F"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 analysis reviewed under defined methodology</w:t>
            </w:r>
          </w:p>
        </w:tc>
        <w:tc>
          <w:tcPr>
            <w:tcW w:w="0" w:type="auto"/>
            <w:vAlign w:val="center"/>
            <w:hideMark/>
          </w:tcPr>
          <w:p w14:paraId="61CD168F"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Institutional diligence, controlled reporting, underwriting support</w:t>
            </w:r>
          </w:p>
        </w:tc>
      </w:tr>
      <w:tr w:rsidR="00314051" w:rsidRPr="00B479AE" w14:paraId="36D34A8D" w14:textId="77777777" w:rsidTr="00806DDB">
        <w:trPr>
          <w:tblCellSpacing w:w="15" w:type="dxa"/>
        </w:trPr>
        <w:tc>
          <w:tcPr>
            <w:tcW w:w="0" w:type="auto"/>
            <w:vAlign w:val="center"/>
            <w:hideMark/>
          </w:tcPr>
          <w:p w14:paraId="2D58866E"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 maturity classification</w:t>
            </w:r>
          </w:p>
        </w:tc>
        <w:tc>
          <w:tcPr>
            <w:tcW w:w="0" w:type="auto"/>
            <w:vAlign w:val="center"/>
            <w:hideMark/>
          </w:tcPr>
          <w:p w14:paraId="382A060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Comparative analytical classification of PRU maturity and reliability</w:t>
            </w:r>
          </w:p>
        </w:tc>
        <w:tc>
          <w:tcPr>
            <w:tcW w:w="0" w:type="auto"/>
            <w:vAlign w:val="center"/>
            <w:hideMark/>
          </w:tcPr>
          <w:p w14:paraId="3F36DD44"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Portfolio screening, capital-readiness discussion, risk review</w:t>
            </w:r>
          </w:p>
        </w:tc>
      </w:tr>
      <w:tr w:rsidR="00314051" w:rsidRPr="00B479AE" w14:paraId="0CF37BE7" w14:textId="77777777" w:rsidTr="00806DDB">
        <w:trPr>
          <w:tblCellSpacing w:w="15" w:type="dxa"/>
        </w:trPr>
        <w:tc>
          <w:tcPr>
            <w:tcW w:w="0" w:type="auto"/>
            <w:vAlign w:val="center"/>
            <w:hideMark/>
          </w:tcPr>
          <w:p w14:paraId="62DFDCAF"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PRU-linked legal structure</w:t>
            </w:r>
          </w:p>
        </w:tc>
        <w:tc>
          <w:tcPr>
            <w:tcW w:w="0" w:type="auto"/>
            <w:vAlign w:val="center"/>
            <w:hideMark/>
          </w:tcPr>
          <w:p w14:paraId="41222122"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 logic connected to rights through a legal instrument where applicable</w:t>
            </w:r>
          </w:p>
        </w:tc>
        <w:tc>
          <w:tcPr>
            <w:tcW w:w="0" w:type="auto"/>
            <w:vAlign w:val="center"/>
            <w:hideMark/>
          </w:tcPr>
          <w:p w14:paraId="555DDCFB"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Future regulated or contractually defined use</w:t>
            </w:r>
          </w:p>
        </w:tc>
      </w:tr>
      <w:tr w:rsidR="00314051" w:rsidRPr="00B479AE" w14:paraId="2C39BEFA" w14:textId="77777777" w:rsidTr="00806DDB">
        <w:trPr>
          <w:tblCellSpacing w:w="15" w:type="dxa"/>
        </w:trPr>
        <w:tc>
          <w:tcPr>
            <w:tcW w:w="0" w:type="auto"/>
            <w:vAlign w:val="center"/>
            <w:hideMark/>
          </w:tcPr>
          <w:p w14:paraId="73E503EA"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PRU-based instrument</w:t>
            </w:r>
          </w:p>
        </w:tc>
        <w:tc>
          <w:tcPr>
            <w:tcW w:w="0" w:type="auto"/>
            <w:vAlign w:val="center"/>
            <w:hideMark/>
          </w:tcPr>
          <w:p w14:paraId="33D40E49"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Legally structured product, note, security, fund interest, contract right, or compliant digital representation</w:t>
            </w:r>
          </w:p>
        </w:tc>
        <w:tc>
          <w:tcPr>
            <w:tcW w:w="0" w:type="auto"/>
            <w:vAlign w:val="center"/>
            <w:hideMark/>
          </w:tcPr>
          <w:p w14:paraId="6934DE1C" w14:textId="77777777" w:rsidR="00314051" w:rsidRPr="00B479AE" w:rsidRDefault="00314051" w:rsidP="00314051">
            <w:pPr>
              <w:spacing w:line="360" w:lineRule="auto"/>
              <w:rPr>
                <w:rFonts w:ascii="Baskerville Old Face" w:hAnsi="Baskerville Old Face"/>
                <w:i/>
                <w:iCs/>
                <w:sz w:val="22"/>
                <w:szCs w:val="22"/>
              </w:rPr>
            </w:pPr>
            <w:r w:rsidRPr="00B479AE">
              <w:rPr>
                <w:rFonts w:ascii="Baskerville Old Face" w:hAnsi="Baskerville Old Face"/>
                <w:i/>
                <w:iCs/>
                <w:sz w:val="22"/>
                <w:szCs w:val="22"/>
              </w:rPr>
              <w:t>Only where legally reviewed, disclosed, and compliant</w:t>
            </w:r>
          </w:p>
        </w:tc>
      </w:tr>
    </w:tbl>
    <w:p w14:paraId="3E60386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Maturity classification should not be confused with credit rating.</w:t>
      </w:r>
    </w:p>
    <w:p w14:paraId="0C60175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should not be confused with investment grade.</w:t>
      </w:r>
    </w:p>
    <w:p w14:paraId="5D6B40B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should not be confused with certification unless a separate certification framework exists.</w:t>
      </w:r>
    </w:p>
    <w:p w14:paraId="769F62F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should not automatically trigger financing.</w:t>
      </w:r>
    </w:p>
    <w:p w14:paraId="5BA52C9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Maturity informs review.</w:t>
      </w:r>
    </w:p>
    <w:p w14:paraId="6AACB55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replace underwriting.</w:t>
      </w:r>
    </w:p>
    <w:p w14:paraId="7EB57037"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N.13 Future Portfolio Aggregation Pathway</w:t>
      </w:r>
    </w:p>
    <w:p w14:paraId="119EF53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PRUs are conceptually designed to support future aggregation into regenerative infrastructure portfolios.</w:t>
      </w:r>
    </w:p>
    <w:p w14:paraId="1A3286A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possible future pathway is:</w:t>
      </w:r>
    </w:p>
    <w:p w14:paraId="1F65045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xml:space="preserve">single regenerative unit </w:t>
      </w:r>
      <w:r w:rsidRPr="00B479AE">
        <w:rPr>
          <w:rFonts w:ascii="Times New Roman" w:hAnsi="Times New Roman" w:cs="Times New Roman"/>
          <w:i/>
          <w:iCs/>
        </w:rPr>
        <w:t>→</w:t>
      </w:r>
      <w:r w:rsidRPr="00B479AE">
        <w:rPr>
          <w:rFonts w:ascii="Baskerville Old Face" w:hAnsi="Baskerville Old Face"/>
          <w:i/>
          <w:iCs/>
        </w:rPr>
        <w:t xml:space="preserve"> PRU analysis </w:t>
      </w:r>
      <w:r w:rsidRPr="00B479AE">
        <w:rPr>
          <w:rFonts w:ascii="Times New Roman" w:hAnsi="Times New Roman" w:cs="Times New Roman"/>
          <w:i/>
          <w:iCs/>
        </w:rPr>
        <w:t>→</w:t>
      </w:r>
      <w:r w:rsidRPr="00B479AE">
        <w:rPr>
          <w:rFonts w:ascii="Baskerville Old Face" w:hAnsi="Baskerville Old Face"/>
          <w:i/>
          <w:iCs/>
        </w:rPr>
        <w:t xml:space="preserve"> reviewed PRU report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clustered PRUs </w:t>
      </w:r>
      <w:r w:rsidRPr="00B479AE">
        <w:rPr>
          <w:rFonts w:ascii="Times New Roman" w:hAnsi="Times New Roman" w:cs="Times New Roman"/>
          <w:i/>
          <w:iCs/>
        </w:rPr>
        <w:t>→</w:t>
      </w:r>
      <w:r w:rsidRPr="00B479AE">
        <w:rPr>
          <w:rFonts w:ascii="Baskerville Old Face" w:hAnsi="Baskerville Old Face"/>
          <w:i/>
          <w:iCs/>
        </w:rPr>
        <w:t xml:space="preserve"> Regenerative Asset Pool </w:t>
      </w:r>
      <w:r w:rsidRPr="00B479AE">
        <w:rPr>
          <w:rFonts w:ascii="Times New Roman" w:hAnsi="Times New Roman" w:cs="Times New Roman"/>
          <w:i/>
          <w:iCs/>
        </w:rPr>
        <w:t>→</w:t>
      </w:r>
      <w:r w:rsidRPr="00B479AE">
        <w:rPr>
          <w:rFonts w:ascii="Baskerville Old Face" w:hAnsi="Baskerville Old Face"/>
          <w:i/>
          <w:iCs/>
        </w:rPr>
        <w:t xml:space="preserve"> portfolio-readiness </w:t>
      </w:r>
      <w:r w:rsidRPr="00B479AE">
        <w:rPr>
          <w:rFonts w:ascii="Times New Roman" w:hAnsi="Times New Roman" w:cs="Times New Roman"/>
          <w:i/>
          <w:iCs/>
        </w:rPr>
        <w:t>→</w:t>
      </w:r>
      <w:r w:rsidRPr="00B479AE">
        <w:rPr>
          <w:rFonts w:ascii="Baskerville Old Face" w:hAnsi="Baskerville Old Face"/>
          <w:i/>
          <w:iCs/>
        </w:rPr>
        <w:t xml:space="preserve"> capital-readiness.</w:t>
      </w:r>
    </w:p>
    <w:p w14:paraId="0165777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At portfolio scale, aggregation may support:</w:t>
      </w:r>
    </w:p>
    <w:p w14:paraId="2CA510F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diversification;</w:t>
      </w:r>
    </w:p>
    <w:p w14:paraId="5388631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risk spreading;</w:t>
      </w:r>
    </w:p>
    <w:p w14:paraId="324E57C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methodology comparison;</w:t>
      </w:r>
    </w:p>
    <w:p w14:paraId="0289B34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MRV infrastructure efficiency;</w:t>
      </w:r>
    </w:p>
    <w:p w14:paraId="77B0542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shared governance;</w:t>
      </w:r>
    </w:p>
    <w:p w14:paraId="429A664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data-room discipline;</w:t>
      </w:r>
    </w:p>
    <w:p w14:paraId="3853264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institutional reporting;</w:t>
      </w:r>
    </w:p>
    <w:p w14:paraId="68F08C9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public-sector programs;</w:t>
      </w:r>
    </w:p>
    <w:p w14:paraId="6F4E876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blended finance;</w:t>
      </w:r>
    </w:p>
    <w:p w14:paraId="32AD284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insurance review;</w:t>
      </w:r>
    </w:p>
    <w:p w14:paraId="37EEE59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future legally structured instruments.</w:t>
      </w:r>
    </w:p>
    <w:p w14:paraId="62E9A0E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Portfolio aggregation remains conditional.</w:t>
      </w:r>
    </w:p>
    <w:p w14:paraId="37CD89D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depends on:</w:t>
      </w:r>
    </w:p>
    <w:p w14:paraId="632ED0F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comparable methodology;</w:t>
      </w:r>
    </w:p>
    <w:p w14:paraId="1614040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compatible evidence;</w:t>
      </w:r>
    </w:p>
    <w:p w14:paraId="18EB480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no-double-counting controls;</w:t>
      </w:r>
    </w:p>
    <w:p w14:paraId="1536F2F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structure;</w:t>
      </w:r>
    </w:p>
    <w:p w14:paraId="7813869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review;</w:t>
      </w:r>
    </w:p>
    <w:p w14:paraId="201FCDD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asset eligibility criteria;</w:t>
      </w:r>
    </w:p>
    <w:p w14:paraId="7F28696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risk stratification;</w:t>
      </w:r>
    </w:p>
    <w:p w14:paraId="4C5F718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jurisdictional review;</w:t>
      </w:r>
    </w:p>
    <w:p w14:paraId="0493000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reporting classification.</w:t>
      </w:r>
    </w:p>
    <w:p w14:paraId="1674673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portfolio is not created by collecting projects under one label.</w:t>
      </w:r>
    </w:p>
    <w:p w14:paraId="0AA90AB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created by aligning evidence, methodology, review, legal structure, and reporting discipline.</w:t>
      </w:r>
    </w:p>
    <w:p w14:paraId="120DD95E"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N.14 Diversification Logic</w:t>
      </w:r>
    </w:p>
    <w:p w14:paraId="3858A36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Future PRU portfolio resilience may derive from:</w:t>
      </w:r>
    </w:p>
    <w:p w14:paraId="3B82298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geographic distribution;</w:t>
      </w:r>
    </w:p>
    <w:p w14:paraId="0B7FB18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species diversity;</w:t>
      </w:r>
    </w:p>
    <w:p w14:paraId="3CC961B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climate variation;</w:t>
      </w:r>
    </w:p>
    <w:p w14:paraId="14B606F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staggered maturity cycles;</w:t>
      </w:r>
    </w:p>
    <w:p w14:paraId="2635092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heterogeneous ecological niches;</w:t>
      </w:r>
    </w:p>
    <w:p w14:paraId="5BAC8FC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different operator profiles;</w:t>
      </w:r>
    </w:p>
    <w:p w14:paraId="0613CB9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different revenue or substitution pathways;</w:t>
      </w:r>
    </w:p>
    <w:p w14:paraId="4076FA1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different water strategies;</w:t>
      </w:r>
    </w:p>
    <w:p w14:paraId="2F65E73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different institutional partners;</w:t>
      </w:r>
    </w:p>
    <w:p w14:paraId="73647AD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different risk exposures.</w:t>
      </w:r>
    </w:p>
    <w:p w14:paraId="70C9F4C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suggests that portfolio quality may emerge not only from individual PRU performance, but from network-level resilience and reduced correlation.</w:t>
      </w:r>
    </w:p>
    <w:p w14:paraId="0EC0729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However, diversification should not become a rhetorical shortcut.</w:t>
      </w:r>
    </w:p>
    <w:p w14:paraId="07F93E9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Diversification must be demonstrated through portfolio analysis.</w:t>
      </w:r>
    </w:p>
    <w:p w14:paraId="7FE3B72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portfolio of weak evidence does not become strong because it is large.</w:t>
      </w:r>
    </w:p>
    <w:p w14:paraId="5DF5E36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portfolio of correlated climate risk does not become resilient because it is geographically dispersed on paper.</w:t>
      </w:r>
    </w:p>
    <w:p w14:paraId="3D22B67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portfolio of unreviewed claims does not become institutional because it has a dashboard.</w:t>
      </w:r>
    </w:p>
    <w:p w14:paraId="77BF0CA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Diversification requires evidence, independence, risk mapping, and review.</w:t>
      </w:r>
    </w:p>
    <w:p w14:paraId="77566F69"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N.15 Comparative Positioning</w:t>
      </w:r>
    </w:p>
    <w:p w14:paraId="49FD074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differs from conventional industrial agricultural assets because it is designed to interpret:</w:t>
      </w:r>
    </w:p>
    <w:p w14:paraId="0B0C290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improving soil rather than degrading soil;</w:t>
      </w:r>
    </w:p>
    <w:p w14:paraId="6C8F826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increasing biological capacity rather than exhausting productive foundations;</w:t>
      </w:r>
    </w:p>
    <w:p w14:paraId="588BA45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decreasing input dependency rather than increasing dependency;</w:t>
      </w:r>
    </w:p>
    <w:p w14:paraId="002C19C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ecological resilience rather than structural fragility;</w:t>
      </w:r>
    </w:p>
    <w:p w14:paraId="36E603B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evidence-based performance rather than narrative sustainability;</w:t>
      </w:r>
    </w:p>
    <w:p w14:paraId="312A740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living-system maturity rather than asset depletion;</w:t>
      </w:r>
    </w:p>
    <w:p w14:paraId="44B311C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value-analysis logic rather than speculative price formation.</w:t>
      </w:r>
    </w:p>
    <w:p w14:paraId="24BCFCB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also differs from traditional ESG reporting.</w:t>
      </w:r>
    </w:p>
    <w:p w14:paraId="0136FB8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ESG often describes corporate behavior.</w:t>
      </w:r>
    </w:p>
    <w:p w14:paraId="355B383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logic interprets verified regenerative performance.</w:t>
      </w:r>
    </w:p>
    <w:p w14:paraId="078954B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The PRU differs from carbon-credit logic.</w:t>
      </w:r>
    </w:p>
    <w:p w14:paraId="3A843D5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Carbon may be one indicator.</w:t>
      </w:r>
    </w:p>
    <w:p w14:paraId="7E3346E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Regeneration is multidimensional.</w:t>
      </w:r>
    </w:p>
    <w:p w14:paraId="1033145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differs from conventional real estate.</w:t>
      </w:r>
    </w:p>
    <w:p w14:paraId="129FDE9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Real estate often stores price.</w:t>
      </w:r>
    </w:p>
    <w:p w14:paraId="1A2C0FC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Regenerative infrastructure stores capacity.</w:t>
      </w:r>
    </w:p>
    <w:p w14:paraId="2766A1A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differs from token logic.</w:t>
      </w:r>
    </w:p>
    <w:p w14:paraId="27548BB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Tokens may represent defined rights where legally structured.</w:t>
      </w:r>
    </w:p>
    <w:p w14:paraId="7181A61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represents verified regenerative performance under methodology and review.</w:t>
      </w:r>
    </w:p>
    <w:p w14:paraId="15CE287C"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N.16 Capital Allocation Insight</w:t>
      </w:r>
    </w:p>
    <w:p w14:paraId="20F3EC6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central Prometheus thesis is that global capital allocation is structurally inefficient because it remains concentrated in downstream systems that treat the consequences of ecological and social degradation after they arise.</w:t>
      </w:r>
    </w:p>
    <w:p w14:paraId="48C0C63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These downstream systems may include:</w:t>
      </w:r>
    </w:p>
    <w:p w14:paraId="2682136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healthcare burden;</w:t>
      </w:r>
    </w:p>
    <w:p w14:paraId="672F89A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industrial food dependency;</w:t>
      </w:r>
    </w:p>
    <w:p w14:paraId="25C06B5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extractive infrastructure;</w:t>
      </w:r>
    </w:p>
    <w:p w14:paraId="61E3A24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ecological remediation;</w:t>
      </w:r>
    </w:p>
    <w:p w14:paraId="74D47EC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disaster response;</w:t>
      </w:r>
    </w:p>
    <w:p w14:paraId="1710E9C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insurance losses;</w:t>
      </w:r>
    </w:p>
    <w:p w14:paraId="7EE5E57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water stress mitigation;</w:t>
      </w:r>
    </w:p>
    <w:p w14:paraId="54A1D6F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social fragility management;</w:t>
      </w:r>
    </w:p>
    <w:p w14:paraId="5FC05A3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damage-control expenditure.</w:t>
      </w:r>
    </w:p>
    <w:p w14:paraId="7152727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From this perspective, regeneration is not blocked only by lack of capital.</w:t>
      </w:r>
    </w:p>
    <w:p w14:paraId="02FECBD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blocked by allocation logic.</w:t>
      </w:r>
    </w:p>
    <w:p w14:paraId="03DF24B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Capital often moves toward damage once damage is visible.</w:t>
      </w:r>
    </w:p>
    <w:p w14:paraId="2290550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Prometheus proposes that capital should become capable of moving toward verified regenerative capacity before damage becomes systemic cost.</w:t>
      </w:r>
    </w:p>
    <w:p w14:paraId="1619CDA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the interface that may help this shift occur.</w:t>
      </w:r>
    </w:p>
    <w:p w14:paraId="76F2BF5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allows capital allocators to ask:</w:t>
      </w:r>
    </w:p>
    <w:p w14:paraId="59A35BF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regenerative performance exists?</w:t>
      </w:r>
    </w:p>
    <w:p w14:paraId="6B0CC00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evidence supports it?</w:t>
      </w:r>
    </w:p>
    <w:p w14:paraId="632F41C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maturity class applies?</w:t>
      </w:r>
    </w:p>
    <w:p w14:paraId="26FA5CF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risk remains?</w:t>
      </w:r>
    </w:p>
    <w:p w14:paraId="6DCD06A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legal structure is required?</w:t>
      </w:r>
    </w:p>
    <w:p w14:paraId="6D854B3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value is admissible?</w:t>
      </w:r>
    </w:p>
    <w:p w14:paraId="2DA2BA3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What capital pathway is appropriate?</w:t>
      </w:r>
    </w:p>
    <w:p w14:paraId="56CED65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This is the capital-allocation function of the PRU.</w:t>
      </w:r>
    </w:p>
    <w:p w14:paraId="5801222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does not promise capital.</w:t>
      </w:r>
    </w:p>
    <w:p w14:paraId="3E879FD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disciplines capital.</w:t>
      </w:r>
    </w:p>
    <w:p w14:paraId="740AB524" w14:textId="77777777" w:rsidR="00314051" w:rsidRPr="00B479AE" w:rsidRDefault="00314051" w:rsidP="00314051">
      <w:pPr>
        <w:spacing w:line="360" w:lineRule="auto"/>
        <w:rPr>
          <w:rFonts w:ascii="Baskerville Old Face" w:hAnsi="Baskerville Old Face"/>
          <w:b/>
          <w:bCs/>
          <w:i/>
          <w:iCs/>
        </w:rPr>
      </w:pPr>
      <w:r w:rsidRPr="00B479AE">
        <w:rPr>
          <w:rFonts w:ascii="Baskerville Old Face" w:hAnsi="Baskerville Old Face"/>
          <w:b/>
          <w:bCs/>
          <w:i/>
          <w:iCs/>
        </w:rPr>
        <w:t>N.17 Legal and Instrument Boundary</w:t>
      </w:r>
    </w:p>
    <w:p w14:paraId="59D42A5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 PRU may support future legal structuring only where appropriate conditions exist.</w:t>
      </w:r>
    </w:p>
    <w:p w14:paraId="3B68A2E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Possible future pathways may include:</w:t>
      </w:r>
    </w:p>
    <w:p w14:paraId="383EF95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project finance;</w:t>
      </w:r>
    </w:p>
    <w:p w14:paraId="62F18FD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public procurement;</w:t>
      </w:r>
    </w:p>
    <w:p w14:paraId="6828459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blended finance;</w:t>
      </w:r>
    </w:p>
    <w:p w14:paraId="6C0339F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private credit;</w:t>
      </w:r>
    </w:p>
    <w:p w14:paraId="52D4108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grant-backed deployment;</w:t>
      </w:r>
    </w:p>
    <w:p w14:paraId="2C8AC35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revenue-linked agreements;</w:t>
      </w:r>
    </w:p>
    <w:p w14:paraId="6273BDB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fund vehicles;</w:t>
      </w:r>
    </w:p>
    <w:p w14:paraId="0D41CD4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SPVs;</w:t>
      </w:r>
    </w:p>
    <w:p w14:paraId="306DE92D"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notes;</w:t>
      </w:r>
    </w:p>
    <w:p w14:paraId="039733E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insurance-linked review;</w:t>
      </w:r>
    </w:p>
    <w:p w14:paraId="5AAEBC2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public-sector programs;</w:t>
      </w:r>
    </w:p>
    <w:p w14:paraId="7C74BD1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compliant digital representation;</w:t>
      </w:r>
    </w:p>
    <w:p w14:paraId="2588146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other legally structured pathways.</w:t>
      </w:r>
    </w:p>
    <w:p w14:paraId="7083412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However, the PRU itself does not create these pathways.</w:t>
      </w:r>
    </w:p>
    <w:p w14:paraId="7666720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legal structure creates the rights.</w:t>
      </w:r>
    </w:p>
    <w:p w14:paraId="5331EEE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may support evidence, analysis, classification, and reporting.</w:t>
      </w:r>
    </w:p>
    <w:p w14:paraId="3DA7FFB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Any capital-facing pathway requires:</w:t>
      </w:r>
    </w:p>
    <w:p w14:paraId="7109245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legal review;</w:t>
      </w:r>
    </w:p>
    <w:p w14:paraId="06C3B47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jurisdiction-specific analysis;</w:t>
      </w:r>
    </w:p>
    <w:p w14:paraId="1CEED5C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disclosure;</w:t>
      </w:r>
    </w:p>
    <w:p w14:paraId="118C150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investor suitability where applicable;</w:t>
      </w:r>
    </w:p>
    <w:p w14:paraId="460E757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contractual rights;</w:t>
      </w:r>
    </w:p>
    <w:p w14:paraId="33BC651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custody review where relevant;</w:t>
      </w:r>
    </w:p>
    <w:p w14:paraId="5D7EF28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 AML/KYC where relevant;</w:t>
      </w:r>
    </w:p>
    <w:p w14:paraId="6A2C0B3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xml:space="preserve">• sanctions </w:t>
      </w:r>
      <w:proofErr w:type="gramStart"/>
      <w:r w:rsidRPr="00B479AE">
        <w:rPr>
          <w:rFonts w:ascii="Baskerville Old Face" w:hAnsi="Baskerville Old Face"/>
          <w:i/>
          <w:iCs/>
        </w:rPr>
        <w:t>controls</w:t>
      </w:r>
      <w:proofErr w:type="gramEnd"/>
      <w:r w:rsidRPr="00B479AE">
        <w:rPr>
          <w:rFonts w:ascii="Baskerville Old Face" w:hAnsi="Baskerville Old Face"/>
          <w:i/>
          <w:iCs/>
        </w:rPr>
        <w:t xml:space="preserve"> where relevant;</w:t>
      </w:r>
    </w:p>
    <w:p w14:paraId="36B686A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tax review;</w:t>
      </w:r>
    </w:p>
    <w:p w14:paraId="1358C0C9"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reporting discipline;</w:t>
      </w:r>
    </w:p>
    <w:p w14:paraId="4EE8AC1F"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no-double-counting controls;</w:t>
      </w:r>
    </w:p>
    <w:p w14:paraId="4F1FF79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 governance approval.</w:t>
      </w:r>
    </w:p>
    <w:p w14:paraId="1869CC3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boundary is:</w:t>
      </w:r>
    </w:p>
    <w:p w14:paraId="2DCB756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logic may support legal structuring.</w:t>
      </w:r>
    </w:p>
    <w:p w14:paraId="7164B99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PRU logic does not replace legal structuring.</w:t>
      </w:r>
    </w:p>
    <w:p w14:paraId="40303A95"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N.18 Final Synthesis</w:t>
      </w:r>
    </w:p>
    <w:p w14:paraId="15443B7A"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is the proposed value-creation interface of Prometheus.</w:t>
      </w:r>
    </w:p>
    <w:p w14:paraId="75AA668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not the source of value.</w:t>
      </w:r>
    </w:p>
    <w:p w14:paraId="252C0D28"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living system is the source.</w:t>
      </w:r>
    </w:p>
    <w:p w14:paraId="26016F5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makes value visible.</w:t>
      </w:r>
    </w:p>
    <w:p w14:paraId="2019B5E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MRV makes value observable.</w:t>
      </w:r>
    </w:p>
    <w:p w14:paraId="1564091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Methodology makes value interpretable.</w:t>
      </w:r>
    </w:p>
    <w:p w14:paraId="39BE0E6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Confidence scoring makes value bounded.</w:t>
      </w:r>
    </w:p>
    <w:p w14:paraId="4B3B44B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Admissibility makes value usable.</w:t>
      </w:r>
    </w:p>
    <w:p w14:paraId="3BC8A66E"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Governance makes value reviewable.</w:t>
      </w:r>
    </w:p>
    <w:p w14:paraId="1BA5A46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Legal structure makes rights enforceable.</w:t>
      </w:r>
    </w:p>
    <w:p w14:paraId="3CA0C01C"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Capital-readiness makes allocation discussable.</w:t>
      </w:r>
    </w:p>
    <w:p w14:paraId="7DF6D0F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therefore sits between life and capital.</w:t>
      </w:r>
    </w:p>
    <w:p w14:paraId="00BB183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lastRenderedPageBreak/>
        <w:t>It protects both sides.</w:t>
      </w:r>
    </w:p>
    <w:p w14:paraId="249D3F04"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protects life from being reduced to speculative abstraction.</w:t>
      </w:r>
    </w:p>
    <w:p w14:paraId="3F873D0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protects capital from moving on unsupported ecological narratives.</w:t>
      </w:r>
    </w:p>
    <w:p w14:paraId="423DA401"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protects institutions from mistaking aspiration for evidence.</w:t>
      </w:r>
    </w:p>
    <w:p w14:paraId="51C983CB"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protects governance from confusing dashboards with authority.</w:t>
      </w:r>
    </w:p>
    <w:p w14:paraId="3AD1DCE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protects investors from mistaking maturity classification for entitlement.</w:t>
      </w:r>
    </w:p>
    <w:p w14:paraId="2013B7A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protects Prometheus from turning regeneration into a slogan.</w:t>
      </w:r>
    </w:p>
    <w:p w14:paraId="2F792436"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PRU should therefore be treated as one of the most important interfaces in the entire Prometheus architecture.</w:t>
      </w:r>
    </w:p>
    <w:p w14:paraId="556EFB5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where living performance becomes institutional language.</w:t>
      </w:r>
    </w:p>
    <w:p w14:paraId="1DAD1CA3"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where ecological improvement becomes reviewable.</w:t>
      </w:r>
    </w:p>
    <w:p w14:paraId="15305F80"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where evidence becomes comparable.</w:t>
      </w:r>
    </w:p>
    <w:p w14:paraId="7BCC7382"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where value becomes disciplined.</w:t>
      </w:r>
    </w:p>
    <w:p w14:paraId="6D784367" w14:textId="77777777"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It is where capital may begin to understand regeneration without owning it, extracting it, or falsifying it.</w:t>
      </w:r>
    </w:p>
    <w:p w14:paraId="61F14BE5" w14:textId="19D2D07D" w:rsidR="00314051" w:rsidRPr="00B479AE" w:rsidRDefault="00314051" w:rsidP="00314051">
      <w:pPr>
        <w:spacing w:line="360" w:lineRule="auto"/>
        <w:rPr>
          <w:rFonts w:ascii="Baskerville Old Face" w:hAnsi="Baskerville Old Face"/>
          <w:i/>
          <w:iCs/>
        </w:rPr>
      </w:pPr>
      <w:r w:rsidRPr="00B479AE">
        <w:rPr>
          <w:rFonts w:ascii="Baskerville Old Face" w:hAnsi="Baskerville Old Face"/>
          <w:i/>
          <w:iCs/>
        </w:rPr>
        <w:t>The final principle is:</w:t>
      </w:r>
      <w:r w:rsidR="00060E0B" w:rsidRPr="00B479AE">
        <w:rPr>
          <w:rFonts w:ascii="Baskerville Old Face" w:hAnsi="Baskerville Old Face"/>
          <w:i/>
          <w:iCs/>
        </w:rPr>
        <w:t xml:space="preserve"> </w:t>
      </w:r>
      <w:r w:rsidRPr="00B479AE">
        <w:rPr>
          <w:rFonts w:ascii="Baskerville Old Face" w:hAnsi="Baskerville Old Face"/>
          <w:i/>
          <w:iCs/>
        </w:rPr>
        <w:t>the PRU does not financialize life;</w:t>
      </w:r>
    </w:p>
    <w:p w14:paraId="288509F1" w14:textId="77777777" w:rsidR="000172EA" w:rsidRPr="00B479AE" w:rsidRDefault="00314051" w:rsidP="000172EA">
      <w:pPr>
        <w:spacing w:line="360" w:lineRule="auto"/>
        <w:rPr>
          <w:rFonts w:ascii="Baskerville Old Face" w:hAnsi="Baskerville Old Face"/>
          <w:i/>
          <w:iCs/>
        </w:rPr>
      </w:pPr>
      <w:r w:rsidRPr="00B479AE">
        <w:rPr>
          <w:rFonts w:ascii="Baskerville Old Face" w:hAnsi="Baskerville Old Face"/>
          <w:i/>
          <w:iCs/>
        </w:rPr>
        <w:t>it disciplines the path by which verified regeneration may become visible to capital without losing its living source.</w:t>
      </w:r>
      <w:r w:rsidR="000172EA" w:rsidRPr="00B479AE">
        <w:rPr>
          <w:rFonts w:ascii="Baskerville Old Face" w:hAnsi="Baskerville Old Face"/>
          <w:i/>
          <w:iCs/>
        </w:rPr>
        <w:t xml:space="preserve"> </w:t>
      </w:r>
    </w:p>
    <w:p w14:paraId="2BB41DED" w14:textId="3BC25008" w:rsidR="000172EA" w:rsidRPr="00ED0D46" w:rsidRDefault="000172EA" w:rsidP="00ED0D46">
      <w:pPr>
        <w:pStyle w:val="Titolo1"/>
        <w:rPr>
          <w:rFonts w:ascii="Baskerville Old Face" w:hAnsi="Baskerville Old Face"/>
          <w:b/>
          <w:bCs/>
          <w:i/>
          <w:iCs/>
          <w:sz w:val="24"/>
          <w:szCs w:val="24"/>
        </w:rPr>
      </w:pPr>
      <w:r w:rsidRPr="00ED0D46">
        <w:rPr>
          <w:rFonts w:ascii="Baskerville Old Face" w:hAnsi="Baskerville Old Face"/>
          <w:b/>
          <w:bCs/>
          <w:i/>
          <w:iCs/>
          <w:sz w:val="24"/>
          <w:szCs w:val="24"/>
        </w:rPr>
        <w:t>Appendix O: Capital Reallocation Scenario — From Systemic Cost to Regenerative Infrastructure</w:t>
      </w:r>
    </w:p>
    <w:p w14:paraId="37ECDC39"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 Purpose and Boundary</w:t>
      </w:r>
    </w:p>
    <w:p w14:paraId="14C9495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appendix presents a capital-reallocation scenario.</w:t>
      </w:r>
    </w:p>
    <w:p w14:paraId="090FE8F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Its purpose is to explain why regenerative infrastructure may become relevant to institutional capital allocation, public policy, resilience finance, preventive-health strategy, food-system transition, climate adaptation, and long-duration real-asset formation.</w:t>
      </w:r>
    </w:p>
    <w:p w14:paraId="4268714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This appendix does not create a financial forecast.</w:t>
      </w:r>
    </w:p>
    <w:p w14:paraId="3BCF1AD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an investment case by itself.</w:t>
      </w:r>
    </w:p>
    <w:p w14:paraId="1346A19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a public-budget proposal.</w:t>
      </w:r>
    </w:p>
    <w:p w14:paraId="17B13F9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a health-economic claim.</w:t>
      </w:r>
    </w:p>
    <w:p w14:paraId="05E1971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PRU value.</w:t>
      </w:r>
    </w:p>
    <w:p w14:paraId="3A6E244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investor entitlement.</w:t>
      </w:r>
    </w:p>
    <w:p w14:paraId="2E725FE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public reimbursement, insurance eligibility, credit eligibility, collateral recognition, token issuance, or securities status.</w:t>
      </w:r>
    </w:p>
    <w:p w14:paraId="74D51B6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All quantitative references in this appendix should be interpreted as broad order-of-magnitude scenario logic.</w:t>
      </w:r>
    </w:p>
    <w:p w14:paraId="2E88D7A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They are used to illustrate scale, not to promise outcomes.</w:t>
      </w:r>
    </w:p>
    <w:p w14:paraId="52C69D3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core question is:</w:t>
      </w:r>
    </w:p>
    <w:p w14:paraId="2889A4D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what would happen if even a small share of existing downstream cost expenditure were redirected toward upstream regenerative infrastructure?</w:t>
      </w:r>
    </w:p>
    <w:p w14:paraId="43849FFF"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O.2 Framing the Problem</w:t>
      </w:r>
    </w:p>
    <w:p w14:paraId="51FACAB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Modern economic systems allocate substantial capital toward downstream cost absorption.</w:t>
      </w:r>
    </w:p>
    <w:p w14:paraId="1D3F702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Major allocation pools include:</w:t>
      </w:r>
    </w:p>
    <w:p w14:paraId="25BD447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reactive healthcare systems;</w:t>
      </w:r>
    </w:p>
    <w:p w14:paraId="68F8054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industrialized food production;</w:t>
      </w:r>
    </w:p>
    <w:p w14:paraId="0DEE9D2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resource-extraction models;</w:t>
      </w:r>
    </w:p>
    <w:p w14:paraId="160EC0E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ecological remediation;</w:t>
      </w:r>
    </w:p>
    <w:p w14:paraId="4F0AFD1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disaster response;</w:t>
      </w:r>
    </w:p>
    <w:p w14:paraId="739C246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insurance losses;</w:t>
      </w:r>
    </w:p>
    <w:p w14:paraId="482DADC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 infrastructure repair;</w:t>
      </w:r>
    </w:p>
    <w:p w14:paraId="1B7193C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social-fragility management;</w:t>
      </w:r>
    </w:p>
    <w:p w14:paraId="6F3EE7E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emergency assistance;</w:t>
      </w:r>
    </w:p>
    <w:p w14:paraId="5B533BA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degraded-territory stabilization.</w:t>
      </w:r>
    </w:p>
    <w:p w14:paraId="232401B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These systems often share one structural property:</w:t>
      </w:r>
    </w:p>
    <w:p w14:paraId="3763462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they treat downstream effects instead of addressing upstream causes.</w:t>
      </w:r>
    </w:p>
    <w:p w14:paraId="7686996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Healthcare systems treat disease after it emerges.</w:t>
      </w:r>
    </w:p>
    <w:p w14:paraId="24B926A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Industrial food systems often optimize volume while externalizing soil, water, biodiversity, nutrition, and health costs.</w:t>
      </w:r>
    </w:p>
    <w:p w14:paraId="6E0D44F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Extractive infrastructure may generate short-term output while weakening the ecological foundations on which long-term productivity depends.</w:t>
      </w:r>
    </w:p>
    <w:p w14:paraId="0E1B7F3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systemic inefficiency is therefore not only ecological.</w:t>
      </w:r>
    </w:p>
    <w:p w14:paraId="4FEC1F8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economic.</w:t>
      </w:r>
    </w:p>
    <w:p w14:paraId="30830B0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is repeatedly used to compensate for damage generated by the same underlying system.</w:t>
      </w:r>
    </w:p>
    <w:p w14:paraId="2E4B358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Prometheus proposes a different allocation logic:</w:t>
      </w:r>
    </w:p>
    <w:p w14:paraId="165267E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should be able to move upstream into regenerative infrastructure capable of improving the conditions that reduce future systemic cost, fragility, and dependency.</w:t>
      </w:r>
    </w:p>
    <w:p w14:paraId="726897D3"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O.3 Global Baseline — Macro-Level Inefficiency</w:t>
      </w:r>
    </w:p>
    <w:p w14:paraId="31957F7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At global scale, healthcare expenditure, food-system dysfunction, ecological degradation, climate adaptation, disaster response, and resilience-related costs represent extremely large recurring expenditure pools.</w:t>
      </w:r>
    </w:p>
    <w:p w14:paraId="4F482EA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Healthcare alone absorbs a high single-digit to low double-digit share of global economic activity, depending on jurisdiction, methodology, and reporting perimeter.</w:t>
      </w:r>
    </w:p>
    <w:p w14:paraId="1F33AE5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Non-communicable diseases represent a major share of global mortality and long-duration health-system burden.</w:t>
      </w:r>
    </w:p>
    <w:p w14:paraId="1CB507D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Many of these burdens are influenced, directly or indirectly, by:</w:t>
      </w:r>
    </w:p>
    <w:p w14:paraId="67FBA09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diet quality;</w:t>
      </w:r>
    </w:p>
    <w:p w14:paraId="3B4BE17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metabolic health;</w:t>
      </w:r>
    </w:p>
    <w:p w14:paraId="6915B00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food-system structure;</w:t>
      </w:r>
    </w:p>
    <w:p w14:paraId="000EEAE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environmental degradation;</w:t>
      </w:r>
    </w:p>
    <w:p w14:paraId="5756DBD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air and water quality;</w:t>
      </w:r>
    </w:p>
    <w:p w14:paraId="3A3C8FD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sedentary lifestyles;</w:t>
      </w:r>
    </w:p>
    <w:p w14:paraId="4067E0B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stress exposure;</w:t>
      </w:r>
    </w:p>
    <w:p w14:paraId="6C246E4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social fragmentation;</w:t>
      </w:r>
    </w:p>
    <w:p w14:paraId="4CA74A3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loss of contact with living environments.</w:t>
      </w:r>
    </w:p>
    <w:p w14:paraId="48D6473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Industrial food systems also carry structural inefficiencies.</w:t>
      </w:r>
    </w:p>
    <w:p w14:paraId="5F75F34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They may depend on:</w:t>
      </w:r>
    </w:p>
    <w:p w14:paraId="4B02A16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high external inputs;</w:t>
      </w:r>
    </w:p>
    <w:p w14:paraId="3EF7494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long supply chains;</w:t>
      </w:r>
    </w:p>
    <w:p w14:paraId="2FC4217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soil depletion;</w:t>
      </w:r>
    </w:p>
    <w:p w14:paraId="1244637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 stress;</w:t>
      </w:r>
    </w:p>
    <w:p w14:paraId="64A89D8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biodiversity loss;</w:t>
      </w:r>
    </w:p>
    <w:p w14:paraId="33B020F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centralized logistics;</w:t>
      </w:r>
    </w:p>
    <w:p w14:paraId="06ED137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ultra-processed food patterns;</w:t>
      </w:r>
    </w:p>
    <w:p w14:paraId="5010D2D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public-health externalities;</w:t>
      </w:r>
    </w:p>
    <w:p w14:paraId="3075395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 ecological degradation.</w:t>
      </w:r>
    </w:p>
    <w:p w14:paraId="1C25205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core systemic inefficiency is clear:</w:t>
      </w:r>
    </w:p>
    <w:p w14:paraId="57564E6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pays for degradation downstream while too little capital is allocated to upstream systems that could reduce the probability, intensity, or cost of that degradation.</w:t>
      </w:r>
    </w:p>
    <w:p w14:paraId="250A59A7"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O.4 United States Benchmark</w:t>
      </w:r>
    </w:p>
    <w:p w14:paraId="191E10C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United States provides a useful benchmark because healthcare expenditure represents a very large share of national economic activity.</w:t>
      </w:r>
    </w:p>
    <w:p w14:paraId="31770D4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substantial portion of public, private, employer, household, and insurance expenditure is absorbed by chronic disease burden, metabolic disorders, obesity-related costs, cardiovascular disease, diabetes, and other diet- or environment-influenced conditions.</w:t>
      </w:r>
    </w:p>
    <w:p w14:paraId="3F44DB8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United States illustrates a strategic paradox:</w:t>
      </w:r>
    </w:p>
    <w:p w14:paraId="4FA653C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one of the world’s most capitalized economies allocates enormous resources to downstream treatment, while food-system resilience, soil health, ecological exposure, preventive-health environments, local production, and community-based resilience remain structurally undercapitalized relative to their systemic importance.</w:t>
      </w:r>
    </w:p>
    <w:p w14:paraId="3AE9110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insight is not that regenerative infrastructure can replace healthcare.</w:t>
      </w:r>
    </w:p>
    <w:p w14:paraId="1A3EE63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cannot.</w:t>
      </w:r>
    </w:p>
    <w:p w14:paraId="7A12164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insight is that even modest improvements in diet quality, ecological exposure, functional movement, local production, soil quality, community coherence, and preventive-health environments may become economically significant at scale.</w:t>
      </w:r>
    </w:p>
    <w:p w14:paraId="22ECB2C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Prometheus therefore treats the United States not as a guaranteed market claim, but as an example of capital-allocation inefficiency:</w:t>
      </w:r>
    </w:p>
    <w:p w14:paraId="6D92426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large downstream cost pool exists;</w:t>
      </w:r>
    </w:p>
    <w:p w14:paraId="1F0A03F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part of that cost pool may be influenced by upstream conditions;</w:t>
      </w:r>
    </w:p>
    <w:p w14:paraId="5E461A1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regenerative infrastructure may become relevant where evidence, public-health governance, institutional partnerships, and measurable pathways support such interpretation.</w:t>
      </w:r>
    </w:p>
    <w:p w14:paraId="42634FD3"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lastRenderedPageBreak/>
        <w:t>O.5 Mediterranean and Sicily Context</w:t>
      </w:r>
    </w:p>
    <w:p w14:paraId="76FA345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Mediterranean context is structurally different from the United States, but strategically important.</w:t>
      </w:r>
    </w:p>
    <w:p w14:paraId="77B6832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Sicily and the broader Mediterranean region combine:</w:t>
      </w:r>
    </w:p>
    <w:p w14:paraId="2FD387E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historically strong food culture;</w:t>
      </w:r>
    </w:p>
    <w:p w14:paraId="61117D1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high solar input;</w:t>
      </w:r>
    </w:p>
    <w:p w14:paraId="76F7A7F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long growing seasons;</w:t>
      </w:r>
    </w:p>
    <w:p w14:paraId="15F4018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deep agricultural memory;</w:t>
      </w:r>
    </w:p>
    <w:p w14:paraId="4CEA8A0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strong hospitality potential;</w:t>
      </w:r>
    </w:p>
    <w:p w14:paraId="5CBF0CE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ecological fragility;</w:t>
      </w:r>
    </w:p>
    <w:p w14:paraId="285F079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 stress;</w:t>
      </w:r>
    </w:p>
    <w:p w14:paraId="60B3B1A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soil-degradation risk;</w:t>
      </w:r>
    </w:p>
    <w:p w14:paraId="68B3468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climate exposure;</w:t>
      </w:r>
    </w:p>
    <w:p w14:paraId="40A5BAB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rural abandonment in many areas;</w:t>
      </w:r>
    </w:p>
    <w:p w14:paraId="30F8696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increasing pressure from industrialized food patterns.</w:t>
      </w:r>
    </w:p>
    <w:p w14:paraId="44F152D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Mediterranean diet is widely recognized as a high-quality dietary model.</w:t>
      </w:r>
    </w:p>
    <w:p w14:paraId="7904C11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However, social and economic transitions have weakened traditional food systems in many territories.</w:t>
      </w:r>
    </w:p>
    <w:p w14:paraId="466FD91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Industrialized consumption patterns, sedentary lifestyles, metabolic disorders, obesity, and chronic-disease pressures are increasing in many Mediterranean contexts.</w:t>
      </w:r>
    </w:p>
    <w:p w14:paraId="4BE8CD8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At the same time, Sicily has exceptional regenerative leverage.</w:t>
      </w:r>
    </w:p>
    <w:p w14:paraId="3D21A36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Its climatic conditions can support high biological productivity where water strategy, soil cover, species design, agroforestry, and stewardship are properly aligned.</w:t>
      </w:r>
    </w:p>
    <w:p w14:paraId="4E85E3A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opportunity is therefore not merely agricultural.</w:t>
      </w:r>
    </w:p>
    <w:p w14:paraId="017B83F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It is systemic.</w:t>
      </w:r>
    </w:p>
    <w:p w14:paraId="7A817B3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regenerative infrastructure strategy in Sicily may connect:</w:t>
      </w:r>
    </w:p>
    <w:p w14:paraId="5460851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food sovereignty;</w:t>
      </w:r>
    </w:p>
    <w:p w14:paraId="15DF54E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 resilience;</w:t>
      </w:r>
    </w:p>
    <w:p w14:paraId="33C99BB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soil regeneration;</w:t>
      </w:r>
    </w:p>
    <w:p w14:paraId="58681F0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hospitality;</w:t>
      </w:r>
    </w:p>
    <w:p w14:paraId="2D7B8EC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education;</w:t>
      </w:r>
    </w:p>
    <w:p w14:paraId="7820974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preventive-health relevance;</w:t>
      </w:r>
    </w:p>
    <w:p w14:paraId="15590AE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bioregional identity;</w:t>
      </w:r>
    </w:p>
    <w:p w14:paraId="14037D0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climate adaptation;</w:t>
      </w:r>
    </w:p>
    <w:p w14:paraId="64DF87B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rural revitalization;</w:t>
      </w:r>
    </w:p>
    <w:p w14:paraId="6E65ACE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capital-readiness.</w:t>
      </w:r>
    </w:p>
    <w:p w14:paraId="4DA7E43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makes Sicily a strategically suitable test region for the Prometheus thesis:</w:t>
      </w:r>
    </w:p>
    <w:p w14:paraId="3CEA6C2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territories exposed to ecological stress may also contain high regenerative potential.</w:t>
      </w:r>
    </w:p>
    <w:p w14:paraId="08438556"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O.6 Reallocation Scenario — Conservative Logic</w:t>
      </w:r>
    </w:p>
    <w:p w14:paraId="215EE91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reallocation scenario should be understood as a strategic thought experiment, not as a budget proposal, public-policy commitment, investment forecast, or public-health claim.</w:t>
      </w:r>
    </w:p>
    <w:p w14:paraId="51200D3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At global scale, healthcare expenditure and degradation-related costs represent multi-trillion-dollar annual flows.</w:t>
      </w:r>
    </w:p>
    <w:p w14:paraId="55A6C66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very small reallocation from downstream treatment, remediation, emergency response, and fragility management toward upstream regenerative infrastructure could represent a very large annual capital pool.</w:t>
      </w:r>
    </w:p>
    <w:p w14:paraId="7A1525D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For scenario purposes, a low-single-digit reallocation of major downstream cost pools may correspond to tens or hundreds of billions in annual capital capacity at global scale.</w:t>
      </w:r>
    </w:p>
    <w:p w14:paraId="1859A89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Depending on geography, land-access model, labor structure, water infrastructure, monitoring requirements, governance intensity, and deployment scope, such capital could support large numbers of local regenerative units, OHE-compatible systems, food-resilience projects, water-resilience interventions, soil-restoration programs, and community-health environments.</w:t>
      </w:r>
    </w:p>
    <w:p w14:paraId="42A44EB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does not mean that healthcare budgets should be diverted mechanically.</w:t>
      </w:r>
    </w:p>
    <w:p w14:paraId="346D8BD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mean that every regenerative unit produces health savings.</w:t>
      </w:r>
    </w:p>
    <w:p w14:paraId="699B8A0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mean that every OHE becomes a public-health asset.</w:t>
      </w:r>
    </w:p>
    <w:p w14:paraId="0F0A37B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means that the economic magnitude of downstream cost pools reveals the scale of the opportunity.</w:t>
      </w:r>
    </w:p>
    <w:p w14:paraId="1607F17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small shift in allocation logic may generate significant regenerative deployment capacity.</w:t>
      </w:r>
    </w:p>
    <w:p w14:paraId="49C6825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Prometheus interpretation is:</w:t>
      </w:r>
    </w:p>
    <w:p w14:paraId="5F8270C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capital already exists in the system;</w:t>
      </w:r>
    </w:p>
    <w:p w14:paraId="2A2E9A0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problem is that much of it is trapped downstream.</w:t>
      </w:r>
    </w:p>
    <w:p w14:paraId="58D8D14B"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O.7 Scenario Envelope</w:t>
      </w:r>
    </w:p>
    <w:p w14:paraId="10E20BA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following scenario envelope is illustrative.</w:t>
      </w:r>
    </w:p>
    <w:p w14:paraId="4AE5E49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not a financial forecast.</w:t>
      </w:r>
    </w:p>
    <w:p w14:paraId="707FC71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not an underwriting model.</w:t>
      </w:r>
    </w:p>
    <w:p w14:paraId="7106248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not a capital commitment.</w:t>
      </w:r>
    </w:p>
    <w:p w14:paraId="13B37701" w14:textId="1C6C99B8" w:rsidR="000172EA"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not a public-budget recommendation.</w:t>
      </w:r>
      <w:r w:rsidR="007A3FC5">
        <w:rPr>
          <w:rFonts w:ascii="Baskerville Old Face" w:hAnsi="Baskerville Old Face"/>
          <w:i/>
          <w:iCs/>
        </w:rPr>
        <w:t xml:space="preserve"> </w:t>
      </w:r>
    </w:p>
    <w:p w14:paraId="19491F9A" w14:textId="77777777" w:rsidR="007A3FC5" w:rsidRPr="00B479AE" w:rsidRDefault="007A3FC5" w:rsidP="000172EA">
      <w:pPr>
        <w:tabs>
          <w:tab w:val="left" w:pos="1440"/>
        </w:tabs>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3"/>
        <w:gridCol w:w="5135"/>
        <w:gridCol w:w="3030"/>
      </w:tblGrid>
      <w:tr w:rsidR="000172EA" w:rsidRPr="00B479AE" w14:paraId="7BDBB769" w14:textId="77777777" w:rsidTr="000172EA">
        <w:trPr>
          <w:tblHeader/>
          <w:tblCellSpacing w:w="15" w:type="dxa"/>
        </w:trPr>
        <w:tc>
          <w:tcPr>
            <w:tcW w:w="0" w:type="auto"/>
            <w:vAlign w:val="center"/>
            <w:hideMark/>
          </w:tcPr>
          <w:p w14:paraId="66E92ADE"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Scenario layer</w:t>
            </w:r>
          </w:p>
        </w:tc>
        <w:tc>
          <w:tcPr>
            <w:tcW w:w="0" w:type="auto"/>
            <w:vAlign w:val="center"/>
            <w:hideMark/>
          </w:tcPr>
          <w:p w14:paraId="1A1E67C2"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Conservative interpretation</w:t>
            </w:r>
          </w:p>
        </w:tc>
        <w:tc>
          <w:tcPr>
            <w:tcW w:w="0" w:type="auto"/>
            <w:vAlign w:val="center"/>
            <w:hideMark/>
          </w:tcPr>
          <w:p w14:paraId="1B7F408A"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Boundary</w:t>
            </w:r>
          </w:p>
        </w:tc>
      </w:tr>
      <w:tr w:rsidR="000172EA" w:rsidRPr="00B479AE" w14:paraId="35443D54" w14:textId="77777777" w:rsidTr="000172EA">
        <w:trPr>
          <w:tblCellSpacing w:w="15" w:type="dxa"/>
        </w:trPr>
        <w:tc>
          <w:tcPr>
            <w:tcW w:w="0" w:type="auto"/>
            <w:vAlign w:val="center"/>
            <w:hideMark/>
          </w:tcPr>
          <w:p w14:paraId="371829B6"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Downstream cost pools</w:t>
            </w:r>
          </w:p>
        </w:tc>
        <w:tc>
          <w:tcPr>
            <w:tcW w:w="0" w:type="auto"/>
            <w:vAlign w:val="center"/>
            <w:hideMark/>
          </w:tcPr>
          <w:p w14:paraId="3504FA9E"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Healthcare, food-system inefficiency, ecological degradation, disaster response, insurance losses, remediation, and resilience spending represent very large annual expenditure pools</w:t>
            </w:r>
          </w:p>
        </w:tc>
        <w:tc>
          <w:tcPr>
            <w:tcW w:w="0" w:type="auto"/>
            <w:vAlign w:val="center"/>
            <w:hideMark/>
          </w:tcPr>
          <w:p w14:paraId="1B0F4E86"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Exact values depend on jurisdiction, source, methodology, and perimeter</w:t>
            </w:r>
          </w:p>
        </w:tc>
      </w:tr>
      <w:tr w:rsidR="000172EA" w:rsidRPr="00B479AE" w14:paraId="6370FEDB" w14:textId="77777777" w:rsidTr="000172EA">
        <w:trPr>
          <w:tblCellSpacing w:w="15" w:type="dxa"/>
        </w:trPr>
        <w:tc>
          <w:tcPr>
            <w:tcW w:w="0" w:type="auto"/>
            <w:vAlign w:val="center"/>
            <w:hideMark/>
          </w:tcPr>
          <w:p w14:paraId="15F18068"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Reallocation assumption</w:t>
            </w:r>
          </w:p>
        </w:tc>
        <w:tc>
          <w:tcPr>
            <w:tcW w:w="0" w:type="auto"/>
            <w:vAlign w:val="center"/>
            <w:hideMark/>
          </w:tcPr>
          <w:p w14:paraId="6CD7D4CB"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Low-single-digit reallocation from downstream cost management toward upstream regenerative infrastructure</w:t>
            </w:r>
          </w:p>
        </w:tc>
        <w:tc>
          <w:tcPr>
            <w:tcW w:w="0" w:type="auto"/>
            <w:vAlign w:val="center"/>
            <w:hideMark/>
          </w:tcPr>
          <w:p w14:paraId="2F0B66BC"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Scenario logic only; not a policy claim</w:t>
            </w:r>
          </w:p>
        </w:tc>
      </w:tr>
      <w:tr w:rsidR="000172EA" w:rsidRPr="00B479AE" w14:paraId="5230F2F1" w14:textId="77777777" w:rsidTr="000172EA">
        <w:trPr>
          <w:tblCellSpacing w:w="15" w:type="dxa"/>
        </w:trPr>
        <w:tc>
          <w:tcPr>
            <w:tcW w:w="0" w:type="auto"/>
            <w:vAlign w:val="center"/>
            <w:hideMark/>
          </w:tcPr>
          <w:p w14:paraId="00EDF91F"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Capital magnitude</w:t>
            </w:r>
          </w:p>
        </w:tc>
        <w:tc>
          <w:tcPr>
            <w:tcW w:w="0" w:type="auto"/>
            <w:vAlign w:val="center"/>
            <w:hideMark/>
          </w:tcPr>
          <w:p w14:paraId="447ABA68"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Potentially tens to hundreds of billions globally under broad assumptions</w:t>
            </w:r>
          </w:p>
        </w:tc>
        <w:tc>
          <w:tcPr>
            <w:tcW w:w="0" w:type="auto"/>
            <w:vAlign w:val="center"/>
            <w:hideMark/>
          </w:tcPr>
          <w:p w14:paraId="334DFEB3"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Not automatically available or allocable</w:t>
            </w:r>
          </w:p>
        </w:tc>
      </w:tr>
      <w:tr w:rsidR="000172EA" w:rsidRPr="00B479AE" w14:paraId="0D62BF63" w14:textId="77777777" w:rsidTr="000172EA">
        <w:trPr>
          <w:tblCellSpacing w:w="15" w:type="dxa"/>
        </w:trPr>
        <w:tc>
          <w:tcPr>
            <w:tcW w:w="0" w:type="auto"/>
            <w:vAlign w:val="center"/>
            <w:hideMark/>
          </w:tcPr>
          <w:p w14:paraId="3AE4E031"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Deployment target</w:t>
            </w:r>
          </w:p>
        </w:tc>
        <w:tc>
          <w:tcPr>
            <w:tcW w:w="0" w:type="auto"/>
            <w:vAlign w:val="center"/>
            <w:hideMark/>
          </w:tcPr>
          <w:p w14:paraId="79798D11"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OHE-compatible systems, regenerative food infrastructure, soil and water systems, MRV infrastructure, stewardship training, local production, resilience programs</w:t>
            </w:r>
          </w:p>
        </w:tc>
        <w:tc>
          <w:tcPr>
            <w:tcW w:w="0" w:type="auto"/>
            <w:vAlign w:val="center"/>
            <w:hideMark/>
          </w:tcPr>
          <w:p w14:paraId="4725BA24"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Deployment depends on local design, governance, water, land access, operators, and evidence</w:t>
            </w:r>
          </w:p>
        </w:tc>
      </w:tr>
      <w:tr w:rsidR="000172EA" w:rsidRPr="00B479AE" w14:paraId="5BEA8F5B" w14:textId="77777777" w:rsidTr="000172EA">
        <w:trPr>
          <w:tblCellSpacing w:w="15" w:type="dxa"/>
        </w:trPr>
        <w:tc>
          <w:tcPr>
            <w:tcW w:w="0" w:type="auto"/>
            <w:vAlign w:val="center"/>
            <w:hideMark/>
          </w:tcPr>
          <w:p w14:paraId="2054F74F"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PRU role</w:t>
            </w:r>
          </w:p>
        </w:tc>
        <w:tc>
          <w:tcPr>
            <w:tcW w:w="0" w:type="auto"/>
            <w:vAlign w:val="center"/>
            <w:hideMark/>
          </w:tcPr>
          <w:p w14:paraId="76A049F8"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PRU value-analysis logic may help classify verified regenerative performance and support capital-readiness review</w:t>
            </w:r>
          </w:p>
        </w:tc>
        <w:tc>
          <w:tcPr>
            <w:tcW w:w="0" w:type="auto"/>
            <w:vAlign w:val="center"/>
            <w:hideMark/>
          </w:tcPr>
          <w:p w14:paraId="7E4298BD"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PRU does not create value, rights, credit, or financing by itself</w:t>
            </w:r>
          </w:p>
        </w:tc>
      </w:tr>
      <w:tr w:rsidR="000172EA" w:rsidRPr="00B479AE" w14:paraId="1BCD628B" w14:textId="77777777" w:rsidTr="000172EA">
        <w:trPr>
          <w:tblCellSpacing w:w="15" w:type="dxa"/>
        </w:trPr>
        <w:tc>
          <w:tcPr>
            <w:tcW w:w="0" w:type="auto"/>
            <w:vAlign w:val="center"/>
            <w:hideMark/>
          </w:tcPr>
          <w:p w14:paraId="508A8A46"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Capital pathway</w:t>
            </w:r>
          </w:p>
        </w:tc>
        <w:tc>
          <w:tcPr>
            <w:tcW w:w="0" w:type="auto"/>
            <w:vAlign w:val="center"/>
            <w:hideMark/>
          </w:tcPr>
          <w:p w14:paraId="6DE76EB4"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Public procurement, insurer partnerships, food-as-medicine programs, blended finance, private credit, municipal resilience, rural development, philanthropic capital, infrastructure finance</w:t>
            </w:r>
          </w:p>
        </w:tc>
        <w:tc>
          <w:tcPr>
            <w:tcW w:w="0" w:type="auto"/>
            <w:vAlign w:val="center"/>
            <w:hideMark/>
          </w:tcPr>
          <w:p w14:paraId="628ECFF9"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Requires legal, institutional, MRV, and governance structuring</w:t>
            </w:r>
          </w:p>
        </w:tc>
      </w:tr>
      <w:tr w:rsidR="000172EA" w:rsidRPr="00B479AE" w14:paraId="3301F193" w14:textId="77777777" w:rsidTr="000172EA">
        <w:trPr>
          <w:tblCellSpacing w:w="15" w:type="dxa"/>
        </w:trPr>
        <w:tc>
          <w:tcPr>
            <w:tcW w:w="0" w:type="auto"/>
            <w:vAlign w:val="center"/>
            <w:hideMark/>
          </w:tcPr>
          <w:p w14:paraId="314A353B"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Risk boundary</w:t>
            </w:r>
          </w:p>
        </w:tc>
        <w:tc>
          <w:tcPr>
            <w:tcW w:w="0" w:type="auto"/>
            <w:vAlign w:val="center"/>
            <w:hideMark/>
          </w:tcPr>
          <w:p w14:paraId="06E8DDE5"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Reallocation does not guarantee health savings, ecological improvement, financial return, or public reimbursement</w:t>
            </w:r>
          </w:p>
        </w:tc>
        <w:tc>
          <w:tcPr>
            <w:tcW w:w="0" w:type="auto"/>
            <w:vAlign w:val="center"/>
            <w:hideMark/>
          </w:tcPr>
          <w:p w14:paraId="2E955C48"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Evidence, methodology, governance, and legal review remain required</w:t>
            </w:r>
          </w:p>
        </w:tc>
      </w:tr>
    </w:tbl>
    <w:p w14:paraId="6C9D6FD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purpose of this table is to support institutional scale awareness without converting scenario logic into a claim of automatic feasibility.</w:t>
      </w:r>
    </w:p>
    <w:p w14:paraId="6ED76F7A"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O.8 Capital Efficiency Comparison</w:t>
      </w:r>
    </w:p>
    <w:p w14:paraId="59DC915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Different allocation pathways generate different systemic outcomes.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2568"/>
        <w:gridCol w:w="2682"/>
        <w:gridCol w:w="2648"/>
      </w:tblGrid>
      <w:tr w:rsidR="000172EA" w:rsidRPr="00B479AE" w14:paraId="38BC77EF" w14:textId="77777777" w:rsidTr="000172EA">
        <w:trPr>
          <w:tblHeader/>
          <w:tblCellSpacing w:w="15" w:type="dxa"/>
        </w:trPr>
        <w:tc>
          <w:tcPr>
            <w:tcW w:w="0" w:type="auto"/>
            <w:vAlign w:val="center"/>
            <w:hideMark/>
          </w:tcPr>
          <w:p w14:paraId="7DC04703"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Allocation type</w:t>
            </w:r>
          </w:p>
        </w:tc>
        <w:tc>
          <w:tcPr>
            <w:tcW w:w="0" w:type="auto"/>
            <w:vAlign w:val="center"/>
            <w:hideMark/>
          </w:tcPr>
          <w:p w14:paraId="547135D3"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Primary function</w:t>
            </w:r>
          </w:p>
        </w:tc>
        <w:tc>
          <w:tcPr>
            <w:tcW w:w="0" w:type="auto"/>
            <w:vAlign w:val="center"/>
            <w:hideMark/>
          </w:tcPr>
          <w:p w14:paraId="162AC3AF"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Typical limitation</w:t>
            </w:r>
          </w:p>
        </w:tc>
        <w:tc>
          <w:tcPr>
            <w:tcW w:w="0" w:type="auto"/>
            <w:vAlign w:val="center"/>
            <w:hideMark/>
          </w:tcPr>
          <w:p w14:paraId="01A1D6DC"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Prometheus interpretation</w:t>
            </w:r>
          </w:p>
        </w:tc>
      </w:tr>
      <w:tr w:rsidR="000172EA" w:rsidRPr="00B479AE" w14:paraId="209F134F" w14:textId="77777777" w:rsidTr="000172EA">
        <w:trPr>
          <w:tblCellSpacing w:w="15" w:type="dxa"/>
        </w:trPr>
        <w:tc>
          <w:tcPr>
            <w:tcW w:w="0" w:type="auto"/>
            <w:vAlign w:val="center"/>
            <w:hideMark/>
          </w:tcPr>
          <w:p w14:paraId="3151E6A4"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Reactive healthcare</w:t>
            </w:r>
          </w:p>
        </w:tc>
        <w:tc>
          <w:tcPr>
            <w:tcW w:w="0" w:type="auto"/>
            <w:vAlign w:val="center"/>
            <w:hideMark/>
          </w:tcPr>
          <w:p w14:paraId="2E09E637"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Treats disease and manages health burden after it appears</w:t>
            </w:r>
          </w:p>
        </w:tc>
        <w:tc>
          <w:tcPr>
            <w:tcW w:w="0" w:type="auto"/>
            <w:vAlign w:val="center"/>
            <w:hideMark/>
          </w:tcPr>
          <w:p w14:paraId="4CD18E24"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Often downstream, expensive, and structurally recurring</w:t>
            </w:r>
          </w:p>
        </w:tc>
        <w:tc>
          <w:tcPr>
            <w:tcW w:w="0" w:type="auto"/>
            <w:vAlign w:val="center"/>
            <w:hideMark/>
          </w:tcPr>
          <w:p w14:paraId="1E46E3D5"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Necessary, but insufficient if upstream causes remain unaddressed</w:t>
            </w:r>
          </w:p>
        </w:tc>
      </w:tr>
      <w:tr w:rsidR="000172EA" w:rsidRPr="00B479AE" w14:paraId="3CF521EF" w14:textId="77777777" w:rsidTr="000172EA">
        <w:trPr>
          <w:tblCellSpacing w:w="15" w:type="dxa"/>
        </w:trPr>
        <w:tc>
          <w:tcPr>
            <w:tcW w:w="0" w:type="auto"/>
            <w:vAlign w:val="center"/>
            <w:hideMark/>
          </w:tcPr>
          <w:p w14:paraId="11B488A1"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Industrial agriculture</w:t>
            </w:r>
          </w:p>
        </w:tc>
        <w:tc>
          <w:tcPr>
            <w:tcW w:w="0" w:type="auto"/>
            <w:vAlign w:val="center"/>
            <w:hideMark/>
          </w:tcPr>
          <w:p w14:paraId="55EA548A"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Produces large volumes of food and commodities</w:t>
            </w:r>
          </w:p>
        </w:tc>
        <w:tc>
          <w:tcPr>
            <w:tcW w:w="0" w:type="auto"/>
            <w:vAlign w:val="center"/>
            <w:hideMark/>
          </w:tcPr>
          <w:p w14:paraId="19BA19FC"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Can externalize soil, water, biodiversity, nutrition, and health costs</w:t>
            </w:r>
          </w:p>
        </w:tc>
        <w:tc>
          <w:tcPr>
            <w:tcW w:w="0" w:type="auto"/>
            <w:vAlign w:val="center"/>
            <w:hideMark/>
          </w:tcPr>
          <w:p w14:paraId="1383A8F3"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Productive, but often ecologically and metabolically incomplete</w:t>
            </w:r>
          </w:p>
        </w:tc>
      </w:tr>
      <w:tr w:rsidR="000172EA" w:rsidRPr="00B479AE" w14:paraId="11D85075" w14:textId="77777777" w:rsidTr="000172EA">
        <w:trPr>
          <w:tblCellSpacing w:w="15" w:type="dxa"/>
        </w:trPr>
        <w:tc>
          <w:tcPr>
            <w:tcW w:w="0" w:type="auto"/>
            <w:vAlign w:val="center"/>
            <w:hideMark/>
          </w:tcPr>
          <w:p w14:paraId="2323956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Extractive infrastructure</w:t>
            </w:r>
          </w:p>
        </w:tc>
        <w:tc>
          <w:tcPr>
            <w:tcW w:w="0" w:type="auto"/>
            <w:vAlign w:val="center"/>
            <w:hideMark/>
          </w:tcPr>
          <w:p w14:paraId="272695FD"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Generates output from resource extraction and linear production</w:t>
            </w:r>
          </w:p>
        </w:tc>
        <w:tc>
          <w:tcPr>
            <w:tcW w:w="0" w:type="auto"/>
            <w:vAlign w:val="center"/>
            <w:hideMark/>
          </w:tcPr>
          <w:p w14:paraId="0E54C608"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May degrade the ecological base of future productivity</w:t>
            </w:r>
          </w:p>
        </w:tc>
        <w:tc>
          <w:tcPr>
            <w:tcW w:w="0" w:type="auto"/>
            <w:vAlign w:val="center"/>
            <w:hideMark/>
          </w:tcPr>
          <w:p w14:paraId="653DE07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Short-term output may weaken long-term resilience</w:t>
            </w:r>
          </w:p>
        </w:tc>
      </w:tr>
      <w:tr w:rsidR="000172EA" w:rsidRPr="00B479AE" w14:paraId="22633EB0" w14:textId="77777777" w:rsidTr="000172EA">
        <w:trPr>
          <w:tblCellSpacing w:w="15" w:type="dxa"/>
        </w:trPr>
        <w:tc>
          <w:tcPr>
            <w:tcW w:w="0" w:type="auto"/>
            <w:vAlign w:val="center"/>
            <w:hideMark/>
          </w:tcPr>
          <w:p w14:paraId="32934038"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Regenerative OHE / PRU logic</w:t>
            </w:r>
          </w:p>
        </w:tc>
        <w:tc>
          <w:tcPr>
            <w:tcW w:w="0" w:type="auto"/>
            <w:vAlign w:val="center"/>
            <w:hideMark/>
          </w:tcPr>
          <w:p w14:paraId="56136229"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Builds productive ecological capacity while generating evidence</w:t>
            </w:r>
          </w:p>
        </w:tc>
        <w:tc>
          <w:tcPr>
            <w:tcW w:w="0" w:type="auto"/>
            <w:vAlign w:val="center"/>
            <w:hideMark/>
          </w:tcPr>
          <w:p w14:paraId="40A9931D"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Requires design quality, stewardship, MRV, and institutional adoption</w:t>
            </w:r>
          </w:p>
        </w:tc>
        <w:tc>
          <w:tcPr>
            <w:tcW w:w="0" w:type="auto"/>
            <w:vAlign w:val="center"/>
            <w:hideMark/>
          </w:tcPr>
          <w:p w14:paraId="447D9FAB"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Potential upstream infrastructure for reducing future fragility</w:t>
            </w:r>
          </w:p>
        </w:tc>
      </w:tr>
    </w:tbl>
    <w:p w14:paraId="5468981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structural difference is:</w:t>
      </w:r>
    </w:p>
    <w:p w14:paraId="4B9E8B8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reactive systems absorb cost;</w:t>
      </w:r>
    </w:p>
    <w:p w14:paraId="1C5AD11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extractive systems may create externalities;</w:t>
      </w:r>
    </w:p>
    <w:p w14:paraId="6313670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regenerative systems may increase living capacity while reducing future system fragility.</w:t>
      </w:r>
    </w:p>
    <w:p w14:paraId="7A640F9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PRU should not be described as automatically reducing future system costs.</w:t>
      </w:r>
    </w:p>
    <w:p w14:paraId="6BB71FD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stronger formulation is:</w:t>
      </w:r>
    </w:p>
    <w:p w14:paraId="6B4CA0D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PRU logic may help identify, measure, classify, and report verified regenerative performance that could reduce future system costs where evidence, methodology, institutional arrangements, and legal structures support such interpretation.</w:t>
      </w:r>
    </w:p>
    <w:p w14:paraId="75C2508F"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O.9 PRU Role in Capital Reallocation</w:t>
      </w:r>
    </w:p>
    <w:p w14:paraId="3A9967A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PRU is central to the capital-reallocation thesis, but not because it creates value by itself.</w:t>
      </w:r>
    </w:p>
    <w:p w14:paraId="2A2B16B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living system generates regenerative performance.</w:t>
      </w:r>
    </w:p>
    <w:p w14:paraId="52132D2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MRV makes that performance observable and reviewable.</w:t>
      </w:r>
    </w:p>
    <w:p w14:paraId="44B8976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PRU provides the analytical interface through which verified regenerative performance may become comparable, maturity-classified, capital-readable, and potentially eligible for further diligence.</w:t>
      </w:r>
    </w:p>
    <w:p w14:paraId="7895EB0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In a capital-reallocation context, PRU logic may help institutions ask:</w:t>
      </w:r>
    </w:p>
    <w:p w14:paraId="2A66D28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regenerative performance exists;</w:t>
      </w:r>
    </w:p>
    <w:p w14:paraId="45A81EB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evidence supports it;</w:t>
      </w:r>
    </w:p>
    <w:p w14:paraId="5DAE8AB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methodology applies;</w:t>
      </w:r>
    </w:p>
    <w:p w14:paraId="0C0BCE6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confidence level is justified;</w:t>
      </w:r>
    </w:p>
    <w:p w14:paraId="3BFAAD1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maturity class applies;</w:t>
      </w:r>
    </w:p>
    <w:p w14:paraId="1ACF63D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risk remains;</w:t>
      </w:r>
    </w:p>
    <w:p w14:paraId="2135D4B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legal structure is required;</w:t>
      </w:r>
    </w:p>
    <w:p w14:paraId="292E77B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value pathways are admissible;</w:t>
      </w:r>
    </w:p>
    <w:p w14:paraId="76B3EF1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what capital pathway is appropriate.</w:t>
      </w:r>
    </w:p>
    <w:p w14:paraId="6FE81AF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makes the PRU a discipline of translation.</w:t>
      </w:r>
    </w:p>
    <w:p w14:paraId="36609A2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translates verified regenerative performance into institutional language without turning ecological improvement into automatic financial entitlement.</w:t>
      </w:r>
    </w:p>
    <w:p w14:paraId="3306AB3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correct sequence is:</w:t>
      </w:r>
    </w:p>
    <w:p w14:paraId="21E2A5F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xml:space="preserve">downstream cost pool </w:t>
      </w:r>
      <w:r w:rsidRPr="00B479AE">
        <w:rPr>
          <w:rFonts w:ascii="Times New Roman" w:hAnsi="Times New Roman" w:cs="Times New Roman"/>
          <w:i/>
          <w:iCs/>
        </w:rPr>
        <w:t>→</w:t>
      </w:r>
      <w:r w:rsidRPr="00B479AE">
        <w:rPr>
          <w:rFonts w:ascii="Baskerville Old Face" w:hAnsi="Baskerville Old Face"/>
          <w:i/>
          <w:iCs/>
        </w:rPr>
        <w:t xml:space="preserve"> upstream regenerative deployment </w:t>
      </w:r>
      <w:r w:rsidRPr="00B479AE">
        <w:rPr>
          <w:rFonts w:ascii="Times New Roman" w:hAnsi="Times New Roman" w:cs="Times New Roman"/>
          <w:i/>
          <w:iCs/>
        </w:rPr>
        <w:t>→</w:t>
      </w:r>
      <w:r w:rsidRPr="00B479AE">
        <w:rPr>
          <w:rFonts w:ascii="Baskerville Old Face" w:hAnsi="Baskerville Old Face"/>
          <w:i/>
          <w:iCs/>
        </w:rPr>
        <w:t xml:space="preserve"> MRV evidence </w:t>
      </w:r>
      <w:r w:rsidRPr="00B479AE">
        <w:rPr>
          <w:rFonts w:ascii="Times New Roman" w:hAnsi="Times New Roman" w:cs="Times New Roman"/>
          <w:i/>
          <w:iCs/>
        </w:rPr>
        <w:t>→</w:t>
      </w:r>
      <w:r w:rsidRPr="00B479AE">
        <w:rPr>
          <w:rFonts w:ascii="Baskerville Old Face" w:hAnsi="Baskerville Old Face"/>
          <w:i/>
          <w:iCs/>
        </w:rPr>
        <w:t xml:space="preserve"> PRU value analysis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capital-readiness review </w:t>
      </w:r>
      <w:r w:rsidRPr="00B479AE">
        <w:rPr>
          <w:rFonts w:ascii="Times New Roman" w:hAnsi="Times New Roman" w:cs="Times New Roman"/>
          <w:i/>
          <w:iCs/>
        </w:rPr>
        <w:t>→</w:t>
      </w:r>
      <w:r w:rsidRPr="00B479AE">
        <w:rPr>
          <w:rFonts w:ascii="Baskerville Old Face" w:hAnsi="Baskerville Old Face"/>
          <w:i/>
          <w:iCs/>
        </w:rPr>
        <w:t xml:space="preserve"> legal or institutional pathway where applicable.</w:t>
      </w:r>
    </w:p>
    <w:p w14:paraId="0F0681F3"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O.10 System-Level Feedback Loop</w:t>
      </w:r>
    </w:p>
    <w:p w14:paraId="07B4131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Regenerative capital allocation may create a reinforcing cycle.</w:t>
      </w:r>
    </w:p>
    <w:p w14:paraId="224DC5C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conceptual sequence is:</w:t>
      </w:r>
    </w:p>
    <w:p w14:paraId="1CA859E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regenerative deployment;</w:t>
      </w:r>
    </w:p>
    <w:p w14:paraId="018CBB4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improved food and ecological conditions;</w:t>
      </w:r>
    </w:p>
    <w:p w14:paraId="0EF9183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stronger soil, water, and biodiversity function;</w:t>
      </w:r>
    </w:p>
    <w:p w14:paraId="0521C64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greater local productive capacity;</w:t>
      </w:r>
    </w:p>
    <w:p w14:paraId="7BC052C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better resilience and reduced dependency;</w:t>
      </w:r>
    </w:p>
    <w:p w14:paraId="1C35126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possible preventive-health and community benefits;</w:t>
      </w:r>
    </w:p>
    <w:p w14:paraId="3B0F8A6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lower downstream fragility where evidence supports it;</w:t>
      </w:r>
    </w:p>
    <w:p w14:paraId="5E3E5A5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more credible institutional reporting;</w:t>
      </w:r>
    </w:p>
    <w:p w14:paraId="191D17F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greater capital-readiness;</w:t>
      </w:r>
    </w:p>
    <w:p w14:paraId="0C2D66C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further regenerative investment.</w:t>
      </w:r>
    </w:p>
    <w:p w14:paraId="44CD9AE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simplified feedback loop is:</w:t>
      </w:r>
    </w:p>
    <w:p w14:paraId="1EBCF80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xml:space="preserve">regeneration </w:t>
      </w:r>
      <w:r w:rsidRPr="00B479AE">
        <w:rPr>
          <w:rFonts w:ascii="Times New Roman" w:hAnsi="Times New Roman" w:cs="Times New Roman"/>
          <w:i/>
          <w:iCs/>
        </w:rPr>
        <w:t>→</w:t>
      </w:r>
      <w:r w:rsidRPr="00B479AE">
        <w:rPr>
          <w:rFonts w:ascii="Baskerville Old Face" w:hAnsi="Baskerville Old Face"/>
          <w:i/>
          <w:iCs/>
        </w:rPr>
        <w:t xml:space="preserve"> resilience </w:t>
      </w:r>
      <w:r w:rsidRPr="00B479AE">
        <w:rPr>
          <w:rFonts w:ascii="Times New Roman" w:hAnsi="Times New Roman" w:cs="Times New Roman"/>
          <w:i/>
          <w:iCs/>
        </w:rPr>
        <w:t>→</w:t>
      </w:r>
      <w:r w:rsidRPr="00B479AE">
        <w:rPr>
          <w:rFonts w:ascii="Baskerville Old Face" w:hAnsi="Baskerville Old Face"/>
          <w:i/>
          <w:iCs/>
        </w:rPr>
        <w:t xml:space="preserve"> reduced fragility </w:t>
      </w:r>
      <w:r w:rsidRPr="00B479AE">
        <w:rPr>
          <w:rFonts w:ascii="Times New Roman" w:hAnsi="Times New Roman" w:cs="Times New Roman"/>
          <w:i/>
          <w:iCs/>
        </w:rPr>
        <w:t>→</w:t>
      </w:r>
      <w:r w:rsidRPr="00B479AE">
        <w:rPr>
          <w:rFonts w:ascii="Baskerville Old Face" w:hAnsi="Baskerville Old Face"/>
          <w:i/>
          <w:iCs/>
        </w:rPr>
        <w:t xml:space="preserve"> institutional confidence </w:t>
      </w:r>
      <w:r w:rsidRPr="00B479AE">
        <w:rPr>
          <w:rFonts w:ascii="Times New Roman" w:hAnsi="Times New Roman" w:cs="Times New Roman"/>
          <w:i/>
          <w:iCs/>
        </w:rPr>
        <w:t>→</w:t>
      </w:r>
      <w:r w:rsidRPr="00B479AE">
        <w:rPr>
          <w:rFonts w:ascii="Baskerville Old Face" w:hAnsi="Baskerville Old Face"/>
          <w:i/>
          <w:iCs/>
        </w:rPr>
        <w:t xml:space="preserve"> capital allocation </w:t>
      </w:r>
      <w:r w:rsidRPr="00B479AE">
        <w:rPr>
          <w:rFonts w:ascii="Times New Roman" w:hAnsi="Times New Roman" w:cs="Times New Roman"/>
          <w:i/>
          <w:iCs/>
        </w:rPr>
        <w:t>→</w:t>
      </w:r>
      <w:r w:rsidRPr="00B479AE">
        <w:rPr>
          <w:rFonts w:ascii="Baskerville Old Face" w:hAnsi="Baskerville Old Face"/>
          <w:i/>
          <w:iCs/>
        </w:rPr>
        <w:t xml:space="preserve"> further regeneration.</w:t>
      </w:r>
    </w:p>
    <w:p w14:paraId="5284B38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loop is not automatic.</w:t>
      </w:r>
    </w:p>
    <w:p w14:paraId="47E94E9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depends on evidence.</w:t>
      </w:r>
    </w:p>
    <w:p w14:paraId="5C77CD7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depends on governance.</w:t>
      </w:r>
    </w:p>
    <w:p w14:paraId="7B114DC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depends on law.</w:t>
      </w:r>
    </w:p>
    <w:p w14:paraId="61E2A4E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depends on execution quality.</w:t>
      </w:r>
    </w:p>
    <w:p w14:paraId="4EDE619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depends on whether value pathways are real, documented, and admissible.</w:t>
      </w:r>
    </w:p>
    <w:p w14:paraId="4452552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Prometheus does not assume that regeneration automatically releases capital.</w:t>
      </w:r>
    </w:p>
    <w:p w14:paraId="259A036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proposes that verified regeneration may create the conditions under which capital can be reallocated more intelligently.</w:t>
      </w:r>
    </w:p>
    <w:p w14:paraId="20814369"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lastRenderedPageBreak/>
        <w:t>O.11 Financial Interpretation</w:t>
      </w:r>
    </w:p>
    <w:p w14:paraId="1A03E77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From an institutional perspective, PRU-oriented deployment may be interpreted as:</w:t>
      </w:r>
    </w:p>
    <w:p w14:paraId="22D29AC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preventive infrastructure analysis;</w:t>
      </w:r>
    </w:p>
    <w:p w14:paraId="04890ED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ecological-risk reduction analysis;</w:t>
      </w:r>
    </w:p>
    <w:p w14:paraId="190A8D8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food-system resilience analysis;</w:t>
      </w:r>
    </w:p>
    <w:p w14:paraId="44E3EB2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water-resilience analysis;</w:t>
      </w:r>
    </w:p>
    <w:p w14:paraId="76C0133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productive-capacity analysis;</w:t>
      </w:r>
    </w:p>
    <w:p w14:paraId="41AE616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public-health-adjacent strategic analysis;</w:t>
      </w:r>
    </w:p>
    <w:p w14:paraId="59DC65D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multi-sector efficiency analysis;</w:t>
      </w:r>
    </w:p>
    <w:p w14:paraId="773BE1B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capital-readiness analysis.</w:t>
      </w:r>
    </w:p>
    <w:p w14:paraId="4F4FFA6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does not mean PRUs are financial instruments by default.</w:t>
      </w:r>
    </w:p>
    <w:p w14:paraId="4A47480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means that PRU logic may help translate verified regenerative performance into language that capital allocators can evaluate.</w:t>
      </w:r>
    </w:p>
    <w:p w14:paraId="2BA2BD8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correct financial interpretation is:</w:t>
      </w:r>
    </w:p>
    <w:p w14:paraId="1D4E02D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PRU analysis may inform capital allocation.</w:t>
      </w:r>
    </w:p>
    <w:p w14:paraId="54CEE1C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compel capital allocation.</w:t>
      </w:r>
    </w:p>
    <w:p w14:paraId="1FB908B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investor rights.</w:t>
      </w:r>
    </w:p>
    <w:p w14:paraId="1890BB9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market price.</w:t>
      </w:r>
    </w:p>
    <w:p w14:paraId="03783DB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public reimbursement.</w:t>
      </w:r>
    </w:p>
    <w:p w14:paraId="36E3292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securities status.</w:t>
      </w:r>
    </w:p>
    <w:p w14:paraId="43AEC16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token issuance.</w:t>
      </w:r>
    </w:p>
    <w:p w14:paraId="223EF03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does not create collateral recognition.</w:t>
      </w:r>
    </w:p>
    <w:p w14:paraId="6391B58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Financial meaning remains downstream from evidence, admissibility, legal structure, underwriting, and institutional decision-making.</w:t>
      </w:r>
    </w:p>
    <w:p w14:paraId="67EF1167"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O.12 Strategic Positioning</w:t>
      </w:r>
    </w:p>
    <w:p w14:paraId="597B902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opportunity is not primarily to create new capital.</w:t>
      </w:r>
    </w:p>
    <w:p w14:paraId="745726E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opportunity is to improve the allocation of existing capital.</w:t>
      </w:r>
    </w:p>
    <w:p w14:paraId="4E7C3ED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Modern economies already spend vast amounts on:</w:t>
      </w:r>
    </w:p>
    <w:p w14:paraId="0F84812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healthcare burden;</w:t>
      </w:r>
    </w:p>
    <w:p w14:paraId="695A5E1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food-system inefficiency;</w:t>
      </w:r>
    </w:p>
    <w:p w14:paraId="4AD9BFA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ecological degradation;</w:t>
      </w:r>
    </w:p>
    <w:p w14:paraId="1E993A5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infrastructure fragility;</w:t>
      </w:r>
    </w:p>
    <w:p w14:paraId="775FCD9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disaster response;</w:t>
      </w:r>
    </w:p>
    <w:p w14:paraId="315EACE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insurance losses;</w:t>
      </w:r>
    </w:p>
    <w:p w14:paraId="181B5FB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social and territorial breakdown;</w:t>
      </w:r>
    </w:p>
    <w:p w14:paraId="6D332AB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climate adaptation;</w:t>
      </w:r>
    </w:p>
    <w:p w14:paraId="5EF9D23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remediation.</w:t>
      </w:r>
    </w:p>
    <w:p w14:paraId="31037DC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Prometheus proposes that some portion of these flows could be better allocated upstream.</w:t>
      </w:r>
    </w:p>
    <w:p w14:paraId="6DFDDCD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strategic opportunity is therefore:</w:t>
      </w:r>
    </w:p>
    <w:p w14:paraId="3F0D125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not inventing value;</w:t>
      </w:r>
    </w:p>
    <w:p w14:paraId="7386954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but recognizing where value is being destroyed;</w:t>
      </w:r>
    </w:p>
    <w:p w14:paraId="0D19018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not creating costs;</w:t>
      </w:r>
    </w:p>
    <w:p w14:paraId="135BADD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but reducing the conditions that generate them;</w:t>
      </w:r>
    </w:p>
    <w:p w14:paraId="3F2A0F1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not replacing institutions;</w:t>
      </w:r>
    </w:p>
    <w:p w14:paraId="4B91BF5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but giving institutions better evidence for upstream investment;</w:t>
      </w:r>
    </w:p>
    <w:p w14:paraId="3166729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not financializing life;</w:t>
      </w:r>
    </w:p>
    <w:p w14:paraId="424668E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but making life-supporting systems legible to capital without allowing capital to define their meaning.</w:t>
      </w:r>
    </w:p>
    <w:p w14:paraId="2233A7FC"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O.13 Regional Application</w:t>
      </w:r>
    </w:p>
    <w:p w14:paraId="32C0334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United States.</w:t>
      </w:r>
    </w:p>
    <w:p w14:paraId="127B341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In the United States, the primary strategic frame may be preventive-health relevance, chronic-disease burden, diet-related cost pressure, food-system transition, insurer partnerships, food-as-medicine initiatives, employer wellness, public procurement, and community-health pilots.</w:t>
      </w:r>
    </w:p>
    <w:p w14:paraId="1B8AD47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Prometheus opportunity in the United States is not to claim healthcare savings automatically.</w:t>
      </w:r>
    </w:p>
    <w:p w14:paraId="3804A45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to support evidence-based pathways through which regenerative food, ecological exposure, local production, functional movement, community coherence, and preventive-health environments may become institutionally reviewable.</w:t>
      </w:r>
    </w:p>
    <w:p w14:paraId="2521FE7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Mediterranean and Sicily.</w:t>
      </w:r>
    </w:p>
    <w:p w14:paraId="242BF90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In Sicily and the Mediterranean context, the primary strategic frame may be food sovereignty, water resilience, soil regeneration, climate adaptation, rural revitalization, hospitality, education, and bioregional identity.</w:t>
      </w:r>
    </w:p>
    <w:p w14:paraId="45FDDE5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Prometheus opportunity in Sicily is not only economic.</w:t>
      </w:r>
    </w:p>
    <w:p w14:paraId="37482E3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territorial.</w:t>
      </w:r>
    </w:p>
    <w:p w14:paraId="6721AFB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regenerative infrastructure model may help transform fragile land and buildings into productive, resilient, educational, hospitality-linked, and evidence-generating assets.</w:t>
      </w:r>
    </w:p>
    <w:p w14:paraId="125E36F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makes Sicily a high-leverage territory for testing the link among:</w:t>
      </w:r>
    </w:p>
    <w:p w14:paraId="436EE8B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regenerative agriculture;</w:t>
      </w:r>
    </w:p>
    <w:p w14:paraId="10E25F3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 strategy;</w:t>
      </w:r>
    </w:p>
    <w:p w14:paraId="576AA2C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hospitality;</w:t>
      </w:r>
    </w:p>
    <w:p w14:paraId="30F4A80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 food culture;</w:t>
      </w:r>
    </w:p>
    <w:p w14:paraId="34DF03A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community resilience;</w:t>
      </w:r>
    </w:p>
    <w:p w14:paraId="6A9C528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capital-readiness.</w:t>
      </w:r>
    </w:p>
    <w:p w14:paraId="0A178AC5"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O.14 Constraint Analysis</w:t>
      </w:r>
    </w:p>
    <w:p w14:paraId="44336D1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Scaling regenerative infrastructure is not limited only by capital volume.</w:t>
      </w:r>
    </w:p>
    <w:p w14:paraId="03ED478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Primary constraints may include:</w:t>
      </w:r>
    </w:p>
    <w:p w14:paraId="40DCD72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design knowledge;</w:t>
      </w:r>
    </w:p>
    <w:p w14:paraId="73371BA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operator training;</w:t>
      </w:r>
    </w:p>
    <w:p w14:paraId="242DCF9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stewardship continuity;</w:t>
      </w:r>
    </w:p>
    <w:p w14:paraId="0C824EA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 strategy;</w:t>
      </w:r>
    </w:p>
    <w:p w14:paraId="7E0FC18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land access;</w:t>
      </w:r>
    </w:p>
    <w:p w14:paraId="3D80D4C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site-specific ecological literacy;</w:t>
      </w:r>
    </w:p>
    <w:p w14:paraId="126FA3B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technical standards;</w:t>
      </w:r>
    </w:p>
    <w:p w14:paraId="5FE7AF7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MRV systems;</w:t>
      </w:r>
    </w:p>
    <w:p w14:paraId="564447B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methodology;</w:t>
      </w:r>
    </w:p>
    <w:p w14:paraId="14803A9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data infrastructure;</w:t>
      </w:r>
    </w:p>
    <w:p w14:paraId="1655213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governance capacity;</w:t>
      </w:r>
    </w:p>
    <w:p w14:paraId="5AE79A0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institutional adoption;</w:t>
      </w:r>
    </w:p>
    <w:p w14:paraId="020C41E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legal structuring;</w:t>
      </w:r>
    </w:p>
    <w:p w14:paraId="2B49FCF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public-claim discipline;</w:t>
      </w:r>
    </w:p>
    <w:p w14:paraId="507A375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procurement pathways;</w:t>
      </w:r>
    </w:p>
    <w:p w14:paraId="7BAB055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trust.</w:t>
      </w:r>
    </w:p>
    <w:p w14:paraId="6AF9900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Land availability matters.</w:t>
      </w:r>
    </w:p>
    <w:p w14:paraId="0318703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availability matters.</w:t>
      </w:r>
    </w:p>
    <w:p w14:paraId="5B9481B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Biological feasibility matters.</w:t>
      </w:r>
    </w:p>
    <w:p w14:paraId="6B41C7C9"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But these are not the only constraints.</w:t>
      </w:r>
    </w:p>
    <w:p w14:paraId="559A6D9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deeper constraint is coordination.</w:t>
      </w:r>
    </w:p>
    <w:p w14:paraId="206B389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Prometheus addresses this coordination gap by linking:</w:t>
      </w:r>
    </w:p>
    <w:p w14:paraId="4C65A5B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OHE biological units;</w:t>
      </w:r>
    </w:p>
    <w:p w14:paraId="7292EFD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MRV evidence;</w:t>
      </w:r>
    </w:p>
    <w:p w14:paraId="0A07D1D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PRU value analysis;</w:t>
      </w:r>
    </w:p>
    <w:p w14:paraId="6909EA9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maturity classification;</w:t>
      </w:r>
    </w:p>
    <w:p w14:paraId="3C787EC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governance review;</w:t>
      </w:r>
    </w:p>
    <w:p w14:paraId="75A3E09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capital-readiness logic;</w:t>
      </w:r>
    </w:p>
    <w:p w14:paraId="2AED0F2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legal boundaries;</w:t>
      </w:r>
    </w:p>
    <w:p w14:paraId="636BFBE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canonical infrastructure;</w:t>
      </w:r>
    </w:p>
    <w:p w14:paraId="40AB9C7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runtime.</w:t>
      </w:r>
    </w:p>
    <w:p w14:paraId="129F63D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goal is not simply to deploy more projects.</w:t>
      </w:r>
    </w:p>
    <w:p w14:paraId="07C70A2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goal is to create a repeatable architecture through which regenerative projects can become credible, comparable, reviewable, and institutionally legible.</w:t>
      </w:r>
    </w:p>
    <w:p w14:paraId="79DE219B"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O.15 Transition Pathway</w:t>
      </w:r>
    </w:p>
    <w:p w14:paraId="59BC3F8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A possible transition pathway may include three broad phases.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2765"/>
        <w:gridCol w:w="2801"/>
        <w:gridCol w:w="2468"/>
      </w:tblGrid>
      <w:tr w:rsidR="000172EA" w:rsidRPr="00B479AE" w14:paraId="77693302" w14:textId="77777777" w:rsidTr="00506231">
        <w:trPr>
          <w:tblHeader/>
          <w:tblCellSpacing w:w="15" w:type="dxa"/>
        </w:trPr>
        <w:tc>
          <w:tcPr>
            <w:tcW w:w="0" w:type="auto"/>
            <w:vAlign w:val="center"/>
            <w:hideMark/>
          </w:tcPr>
          <w:p w14:paraId="25DE0093"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lastRenderedPageBreak/>
              <w:t>Phase</w:t>
            </w:r>
          </w:p>
        </w:tc>
        <w:tc>
          <w:tcPr>
            <w:tcW w:w="0" w:type="auto"/>
            <w:vAlign w:val="center"/>
            <w:hideMark/>
          </w:tcPr>
          <w:p w14:paraId="50C8DBC5"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Description</w:t>
            </w:r>
          </w:p>
        </w:tc>
        <w:tc>
          <w:tcPr>
            <w:tcW w:w="0" w:type="auto"/>
            <w:vAlign w:val="center"/>
            <w:hideMark/>
          </w:tcPr>
          <w:p w14:paraId="44A402A3"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Primary objective</w:t>
            </w:r>
          </w:p>
        </w:tc>
        <w:tc>
          <w:tcPr>
            <w:tcW w:w="0" w:type="auto"/>
            <w:vAlign w:val="center"/>
            <w:hideMark/>
          </w:tcPr>
          <w:p w14:paraId="6305FA89" w14:textId="77777777" w:rsidR="000172EA" w:rsidRPr="00B479AE" w:rsidRDefault="000172EA" w:rsidP="000172EA">
            <w:pPr>
              <w:tabs>
                <w:tab w:val="left" w:pos="1440"/>
              </w:tabs>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Boundary</w:t>
            </w:r>
          </w:p>
        </w:tc>
      </w:tr>
      <w:tr w:rsidR="000172EA" w:rsidRPr="00B479AE" w14:paraId="1F15D595" w14:textId="77777777" w:rsidTr="00506231">
        <w:trPr>
          <w:tblCellSpacing w:w="15" w:type="dxa"/>
        </w:trPr>
        <w:tc>
          <w:tcPr>
            <w:tcW w:w="0" w:type="auto"/>
            <w:vAlign w:val="center"/>
            <w:hideMark/>
          </w:tcPr>
          <w:p w14:paraId="19D6BA6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Phase 1 — Pilot deployments</w:t>
            </w:r>
          </w:p>
        </w:tc>
        <w:tc>
          <w:tcPr>
            <w:tcW w:w="0" w:type="auto"/>
            <w:vAlign w:val="center"/>
            <w:hideMark/>
          </w:tcPr>
          <w:p w14:paraId="5DB8EF6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Small, bounded deployments with strong documentation and MRV design</w:t>
            </w:r>
          </w:p>
        </w:tc>
        <w:tc>
          <w:tcPr>
            <w:tcW w:w="0" w:type="auto"/>
            <w:vAlign w:val="center"/>
            <w:hideMark/>
          </w:tcPr>
          <w:p w14:paraId="1AC45BC5"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Learn, test, observe, refine methodology</w:t>
            </w:r>
          </w:p>
        </w:tc>
        <w:tc>
          <w:tcPr>
            <w:tcW w:w="0" w:type="auto"/>
            <w:vAlign w:val="center"/>
            <w:hideMark/>
          </w:tcPr>
          <w:p w14:paraId="7A014DE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Not investment proof; not standardized issuance</w:t>
            </w:r>
          </w:p>
        </w:tc>
      </w:tr>
      <w:tr w:rsidR="000172EA" w:rsidRPr="00B479AE" w14:paraId="52858D5E" w14:textId="77777777" w:rsidTr="00506231">
        <w:trPr>
          <w:tblCellSpacing w:w="15" w:type="dxa"/>
        </w:trPr>
        <w:tc>
          <w:tcPr>
            <w:tcW w:w="0" w:type="auto"/>
            <w:vAlign w:val="center"/>
            <w:hideMark/>
          </w:tcPr>
          <w:p w14:paraId="23AF7FFC"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Phase 2 — Regional clusters</w:t>
            </w:r>
          </w:p>
        </w:tc>
        <w:tc>
          <w:tcPr>
            <w:tcW w:w="0" w:type="auto"/>
            <w:vAlign w:val="center"/>
            <w:hideMark/>
          </w:tcPr>
          <w:p w14:paraId="1ECDABA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Multiple deployments within a territory or bioregion</w:t>
            </w:r>
          </w:p>
        </w:tc>
        <w:tc>
          <w:tcPr>
            <w:tcW w:w="0" w:type="auto"/>
            <w:vAlign w:val="center"/>
            <w:hideMark/>
          </w:tcPr>
          <w:p w14:paraId="533E2B76"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Test comparability, shared MRV, operator training, governance, and cluster effects</w:t>
            </w:r>
          </w:p>
        </w:tc>
        <w:tc>
          <w:tcPr>
            <w:tcW w:w="0" w:type="auto"/>
            <w:vAlign w:val="center"/>
            <w:hideMark/>
          </w:tcPr>
          <w:p w14:paraId="13161DE5"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Requires stronger governance and data discipline</w:t>
            </w:r>
          </w:p>
        </w:tc>
      </w:tr>
      <w:tr w:rsidR="000172EA" w:rsidRPr="00B479AE" w14:paraId="6AAAA4AF" w14:textId="77777777" w:rsidTr="00506231">
        <w:trPr>
          <w:tblCellSpacing w:w="15" w:type="dxa"/>
        </w:trPr>
        <w:tc>
          <w:tcPr>
            <w:tcW w:w="0" w:type="auto"/>
            <w:vAlign w:val="center"/>
            <w:hideMark/>
          </w:tcPr>
          <w:p w14:paraId="688D2B4F"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Phase 3 — Institutional portfolios</w:t>
            </w:r>
          </w:p>
        </w:tc>
        <w:tc>
          <w:tcPr>
            <w:tcW w:w="0" w:type="auto"/>
            <w:vAlign w:val="center"/>
            <w:hideMark/>
          </w:tcPr>
          <w:p w14:paraId="0AC35F94"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Aggregated, reviewed, legally structured, and institutionally reported regenerative assets</w:t>
            </w:r>
          </w:p>
        </w:tc>
        <w:tc>
          <w:tcPr>
            <w:tcW w:w="0" w:type="auto"/>
            <w:vAlign w:val="center"/>
            <w:hideMark/>
          </w:tcPr>
          <w:p w14:paraId="04365722"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Support capital-readiness, portfolio analysis, public-sector programs, or private-credit review</w:t>
            </w:r>
          </w:p>
        </w:tc>
        <w:tc>
          <w:tcPr>
            <w:tcW w:w="0" w:type="auto"/>
            <w:vAlign w:val="center"/>
            <w:hideMark/>
          </w:tcPr>
          <w:p w14:paraId="33B966D4" w14:textId="77777777" w:rsidR="000172EA" w:rsidRPr="00B479AE" w:rsidRDefault="000172EA" w:rsidP="000172EA">
            <w:pPr>
              <w:tabs>
                <w:tab w:val="left" w:pos="1440"/>
              </w:tabs>
              <w:spacing w:line="360" w:lineRule="auto"/>
              <w:rPr>
                <w:rFonts w:ascii="Baskerville Old Face" w:hAnsi="Baskerville Old Face"/>
                <w:i/>
                <w:iCs/>
                <w:sz w:val="22"/>
                <w:szCs w:val="22"/>
              </w:rPr>
            </w:pPr>
            <w:r w:rsidRPr="00B479AE">
              <w:rPr>
                <w:rFonts w:ascii="Baskerville Old Face" w:hAnsi="Baskerville Old Face"/>
                <w:i/>
                <w:iCs/>
                <w:sz w:val="22"/>
                <w:szCs w:val="22"/>
              </w:rPr>
              <w:t>Requires legal structure, underwriting, disclosure, and institutional safeguards</w:t>
            </w:r>
          </w:p>
        </w:tc>
      </w:tr>
    </w:tbl>
    <w:p w14:paraId="2F7CCD5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transition pathway is developmental.</w:t>
      </w:r>
    </w:p>
    <w:p w14:paraId="61DDDDB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not automatic.</w:t>
      </w:r>
    </w:p>
    <w:p w14:paraId="17908DC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Pilot does not mean proof.</w:t>
      </w:r>
    </w:p>
    <w:p w14:paraId="1F9BD74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Cluster does not mean portfolio.</w:t>
      </w:r>
    </w:p>
    <w:p w14:paraId="389E52F3"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Portfolio does not mean financial instrument.</w:t>
      </w:r>
    </w:p>
    <w:p w14:paraId="2CE108C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Financial instrument does not mean ecological truth.</w:t>
      </w:r>
    </w:p>
    <w:p w14:paraId="501B4FC0"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Each stage requires its own evidence, review, governance, and legal boundary.</w:t>
      </w:r>
    </w:p>
    <w:p w14:paraId="42CF6A31"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O.16 Final Insight</w:t>
      </w:r>
    </w:p>
    <w:p w14:paraId="2A29B3CB"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limitation is not whether regeneration can improve living systems.</w:t>
      </w:r>
    </w:p>
    <w:p w14:paraId="1CE32BF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limitation is whether capital allocation can evolve fast enough, intelligently enough, and lawfully enough to support regeneration before downstream costs become overwhelming.</w:t>
      </w:r>
    </w:p>
    <w:p w14:paraId="521B806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Prometheus does not claim that regeneration solves every systemic cost.</w:t>
      </w:r>
    </w:p>
    <w:p w14:paraId="041A7E3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claims that capital allocation becomes structurally incomplete when it ignores the living systems that determine future cost, resilience, productivity, and health.</w:t>
      </w:r>
    </w:p>
    <w:p w14:paraId="0768A25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The strategic insight is:</w:t>
      </w:r>
    </w:p>
    <w:p w14:paraId="542839A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allocated downstream absorbs damage;</w:t>
      </w:r>
    </w:p>
    <w:p w14:paraId="2638539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allocated upstream may reduce fragility;</w:t>
      </w:r>
    </w:p>
    <w:p w14:paraId="59EADFB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capital allocated through verified regenerative infrastructure may become more intelligent.</w:t>
      </w:r>
    </w:p>
    <w:p w14:paraId="2294EA2A" w14:textId="77777777" w:rsidR="000172EA" w:rsidRPr="00B479AE" w:rsidRDefault="000172EA" w:rsidP="000172EA">
      <w:pPr>
        <w:tabs>
          <w:tab w:val="left" w:pos="1440"/>
        </w:tabs>
        <w:spacing w:line="360" w:lineRule="auto"/>
        <w:rPr>
          <w:rFonts w:ascii="Baskerville Old Face" w:hAnsi="Baskerville Old Face"/>
          <w:b/>
          <w:bCs/>
          <w:i/>
          <w:iCs/>
        </w:rPr>
      </w:pPr>
      <w:r w:rsidRPr="00B479AE">
        <w:rPr>
          <w:rFonts w:ascii="Baskerville Old Face" w:hAnsi="Baskerville Old Face"/>
          <w:b/>
          <w:bCs/>
          <w:i/>
          <w:iCs/>
        </w:rPr>
        <w:t>O.17 Conclusion</w:t>
      </w:r>
    </w:p>
    <w:p w14:paraId="45E804B4"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Prometheus model demonstrates a capital-allocation thesis.</w:t>
      </w:r>
    </w:p>
    <w:p w14:paraId="7109571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Small reallocations of existing downstream cost pools may support large-scale regenerative infrastructure where design, evidence, governance, legal structure, and institutional pathways mature.</w:t>
      </w:r>
    </w:p>
    <w:p w14:paraId="0E5FD8B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potential benefits may include:</w:t>
      </w:r>
    </w:p>
    <w:p w14:paraId="0E08BA2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ecological regeneration;</w:t>
      </w:r>
    </w:p>
    <w:p w14:paraId="7FDAE27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food-system resilience;</w:t>
      </w:r>
    </w:p>
    <w:p w14:paraId="0B2F60E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water resilience;</w:t>
      </w:r>
    </w:p>
    <w:p w14:paraId="33A4434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soil recovery;</w:t>
      </w:r>
    </w:p>
    <w:p w14:paraId="3FB59C5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local productive capacity;</w:t>
      </w:r>
    </w:p>
    <w:p w14:paraId="353C5DA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preventive-health relevance;</w:t>
      </w:r>
    </w:p>
    <w:p w14:paraId="67E1762E"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educational value;</w:t>
      </w:r>
    </w:p>
    <w:p w14:paraId="4F7FAA7C"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hospitality and community value;</w:t>
      </w:r>
    </w:p>
    <w:p w14:paraId="6FBC46D6"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reduced fragility;</w:t>
      </w:r>
    </w:p>
    <w:p w14:paraId="24F6803F"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 capital-readiness.</w:t>
      </w:r>
    </w:p>
    <w:p w14:paraId="1FA2B825"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This does not make regeneration a niche solution.</w:t>
      </w:r>
    </w:p>
    <w:p w14:paraId="407F3351"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positions regeneration as an upstream infrastructure category.</w:t>
      </w:r>
    </w:p>
    <w:p w14:paraId="6AE07607"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The final principle is:</w:t>
      </w:r>
    </w:p>
    <w:p w14:paraId="401CCEF2"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regeneration is not merely an ecological preference;</w:t>
      </w:r>
    </w:p>
    <w:p w14:paraId="2C3C030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it is a capital-allocation upgrade.</w:t>
      </w:r>
    </w:p>
    <w:p w14:paraId="154D6A68"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When capital learns to move upstream, the economy stops paying only for damage and begins financing the conditions that reduce damage.</w:t>
      </w:r>
    </w:p>
    <w:p w14:paraId="55F7CE1A"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That is the strategic purpose of Prometheus:</w:t>
      </w:r>
    </w:p>
    <w:p w14:paraId="1EAAAFBD" w14:textId="77777777" w:rsidR="000172EA" w:rsidRPr="00B479AE" w:rsidRDefault="000172EA" w:rsidP="000172EA">
      <w:pPr>
        <w:tabs>
          <w:tab w:val="left" w:pos="1440"/>
        </w:tabs>
        <w:spacing w:line="360" w:lineRule="auto"/>
        <w:rPr>
          <w:rFonts w:ascii="Baskerville Old Face" w:hAnsi="Baskerville Old Face"/>
          <w:i/>
          <w:iCs/>
        </w:rPr>
      </w:pPr>
      <w:r w:rsidRPr="00B479AE">
        <w:rPr>
          <w:rFonts w:ascii="Baskerville Old Face" w:hAnsi="Baskerville Old Face"/>
          <w:i/>
          <w:iCs/>
        </w:rPr>
        <w:t>to make regenerative infrastructure visible, reviewable, comparable, admissible, and eventually allocable without disconnecting capital from the living systems that make durable value possible.</w:t>
      </w:r>
    </w:p>
    <w:p w14:paraId="5418E66E" w14:textId="46529768" w:rsidR="002602C5" w:rsidRPr="00ED0D46" w:rsidRDefault="002602C5" w:rsidP="00ED0D46">
      <w:pPr>
        <w:pStyle w:val="Titolo1"/>
        <w:rPr>
          <w:rFonts w:ascii="Baskerville Old Face" w:hAnsi="Baskerville Old Face"/>
          <w:b/>
          <w:bCs/>
          <w:i/>
          <w:iCs/>
          <w:sz w:val="24"/>
          <w:szCs w:val="24"/>
        </w:rPr>
      </w:pPr>
      <w:r w:rsidRPr="00ED0D46">
        <w:rPr>
          <w:rFonts w:ascii="Baskerville Old Face" w:hAnsi="Baskerville Old Face"/>
          <w:b/>
          <w:bCs/>
          <w:i/>
          <w:iCs/>
          <w:sz w:val="24"/>
          <w:szCs w:val="24"/>
        </w:rPr>
        <w:t>Appendix P: Glossary and References</w:t>
      </w:r>
    </w:p>
    <w:p w14:paraId="5A4CF5B5" w14:textId="77777777" w:rsidR="002602C5" w:rsidRPr="00B479AE" w:rsidRDefault="002602C5" w:rsidP="002602C5">
      <w:pPr>
        <w:tabs>
          <w:tab w:val="left" w:pos="1440"/>
        </w:tabs>
        <w:spacing w:line="360" w:lineRule="auto"/>
        <w:rPr>
          <w:rFonts w:ascii="Baskerville Old Face" w:hAnsi="Baskerville Old Face"/>
          <w:b/>
          <w:bCs/>
          <w:i/>
          <w:iCs/>
        </w:rPr>
      </w:pPr>
      <w:r w:rsidRPr="00B479AE">
        <w:rPr>
          <w:rFonts w:ascii="Baskerville Old Face" w:hAnsi="Baskerville Old Face"/>
          <w:b/>
          <w:bCs/>
          <w:i/>
          <w:iCs/>
        </w:rPr>
        <w:t>P.1 Glossary of Terms</w:t>
      </w:r>
    </w:p>
    <w:p w14:paraId="557B023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This glossary defines key terms used throughout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White Paper, technical documentation, canonical appendices, and future implementation materials.</w:t>
      </w:r>
    </w:p>
    <w:p w14:paraId="6B119DB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Terms are defined within the constitutional, ecological, technical, governance, legal, and capital-readiness architecture of Prometheus.</w:t>
      </w:r>
    </w:p>
    <w:p w14:paraId="1DDBB71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Definitions should be interpreted according to the source-layer discipline of the system.</w:t>
      </w:r>
    </w:p>
    <w:p w14:paraId="110AD55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Where a term has different meanings in external fields, including finance, law, software, ecology, AI, blockchain, </w:t>
      </w:r>
      <w:proofErr w:type="spellStart"/>
      <w:r w:rsidRPr="00B479AE">
        <w:rPr>
          <w:rFonts w:ascii="Baskerville Old Face" w:hAnsi="Baskerville Old Face"/>
          <w:i/>
          <w:iCs/>
        </w:rPr>
        <w:t>Holochain</w:t>
      </w:r>
      <w:proofErr w:type="spellEnd"/>
      <w:r w:rsidRPr="00B479AE">
        <w:rPr>
          <w:rFonts w:ascii="Baskerville Old Face" w:hAnsi="Baskerville Old Face"/>
          <w:i/>
          <w:iCs/>
        </w:rPr>
        <w:t>, regenerative design, public health, or governance, the Prometheus-specific meaning controls within this White Paper unless a section expressly states otherwise.</w:t>
      </w:r>
    </w:p>
    <w:p w14:paraId="67A6BC4C" w14:textId="77777777" w:rsidR="002602C5" w:rsidRPr="00B479AE" w:rsidRDefault="002602C5" w:rsidP="002602C5">
      <w:pPr>
        <w:tabs>
          <w:tab w:val="left" w:pos="1440"/>
        </w:tabs>
        <w:spacing w:line="360" w:lineRule="auto"/>
        <w:rPr>
          <w:rFonts w:ascii="Baskerville Old Face" w:hAnsi="Baskerville Old Face"/>
          <w:b/>
          <w:bCs/>
          <w:i/>
          <w:iCs/>
        </w:rPr>
      </w:pPr>
      <w:r w:rsidRPr="00B479AE">
        <w:rPr>
          <w:rFonts w:ascii="Baskerville Old Face" w:hAnsi="Baskerville Old Face"/>
          <w:b/>
          <w:bCs/>
          <w:i/>
          <w:iCs/>
        </w:rPr>
        <w:t>Reference Convention</w:t>
      </w:r>
    </w:p>
    <w:p w14:paraId="0292A61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Glossary entries refer, wherever possible, to explicit section titles, appendices, or functional layers rather than to numerical section references alone.</w:t>
      </w:r>
    </w:p>
    <w:p w14:paraId="4EF9E10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This improves traceability across document versions, formats, pagination changes, exports, translations, repository releases, and future canonical updates.</w:t>
      </w:r>
    </w:p>
    <w:p w14:paraId="633B616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w:t>
      </w:r>
    </w:p>
    <w:p w14:paraId="7814874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Abundance, Spiral of — Foundational Prometheus principle stating that durable value emerges from regenerative processes, relational coherence, ecological capacity, care potential, and future optionality. </w:t>
      </w:r>
      <w:r w:rsidRPr="00B479AE">
        <w:rPr>
          <w:rFonts w:ascii="Baskerville Old Face" w:hAnsi="Baskerville Old Face"/>
          <w:i/>
          <w:iCs/>
        </w:rPr>
        <w:lastRenderedPageBreak/>
        <w:t>Scarcity is treated not as an immutable law of life, but as a frequent symptom of system design failure, extraction, enclosure, coordination breakdown, or degraded life-support capacity.</w:t>
      </w:r>
    </w:p>
    <w:p w14:paraId="4697A1D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Access Credential — A permission, membership, role, or access-related record that may allow participation in defined functions. An access credential does not create ownership, investor rights, PRU value, RAP exposure, land rights, constitutional authority, or financial entitlement.</w:t>
      </w:r>
    </w:p>
    <w:p w14:paraId="42287B2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Action — In </w:t>
      </w:r>
      <w:proofErr w:type="spellStart"/>
      <w:r w:rsidRPr="00B479AE">
        <w:rPr>
          <w:rFonts w:ascii="Baskerville Old Face" w:hAnsi="Baskerville Old Face"/>
          <w:i/>
          <w:iCs/>
        </w:rPr>
        <w:t>Holochain</w:t>
      </w:r>
      <w:proofErr w:type="spellEnd"/>
      <w:r w:rsidRPr="00B479AE">
        <w:rPr>
          <w:rFonts w:ascii="Baskerville Old Face" w:hAnsi="Baskerville Old Face"/>
          <w:i/>
          <w:iCs/>
        </w:rPr>
        <w:t>, a signed record on an agent’s source chain forming part of a tamper-evident sequence of operations. In Prometheus, actions affecting protected domains remain subject to source-layer, MRV, governance, legal, and admissibility boundaries.</w:t>
      </w:r>
    </w:p>
    <w:p w14:paraId="2609CDB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Admissibility — The condition under which evidence, claims, reports, PRU analysis, RAP screening, public statements, investor-facing materials, or capital-readiness interpretations may enter protected Prometheus pathways. Admissibility depends on evidence quality, methodology, confidence, review, no-double-counting controls, governance, legal boundary, and public-claim discipline.</w:t>
      </w:r>
    </w:p>
    <w:p w14:paraId="61263FB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Agent — Any entity capable of action within the system, including a human, organization, DAO, project, device, auditor, validator, laboratory, public institution, software process, or AI-assisted service operating under defined authority. In </w:t>
      </w:r>
      <w:proofErr w:type="spellStart"/>
      <w:r w:rsidRPr="00B479AE">
        <w:rPr>
          <w:rFonts w:ascii="Baskerville Old Face" w:hAnsi="Baskerville Old Face"/>
          <w:i/>
          <w:iCs/>
        </w:rPr>
        <w:t>Holochain</w:t>
      </w:r>
      <w:proofErr w:type="spellEnd"/>
      <w:r w:rsidRPr="00B479AE">
        <w:rPr>
          <w:rFonts w:ascii="Baskerville Old Face" w:hAnsi="Baskerville Old Face"/>
          <w:i/>
          <w:iCs/>
        </w:rPr>
        <w:t>, an agent maintains a source chain and is identified by a public key.</w:t>
      </w:r>
    </w:p>
    <w:p w14:paraId="136860C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Agent-Centric Architecture — Distributed system paradigm in which validation is centered on agent source chains, local rules, and peer validation rather than global consensus. Prometheus uses agent-centric logic to preserve agency, provenance, plural validation, and contextual accountability.</w:t>
      </w:r>
    </w:p>
    <w:p w14:paraId="265646D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Agency — The capacity of an entity to act within ecological, legal, computational, social, and governance constraints. In Prometheus, agency is never reduced to token balance, wallet history, reputation score, or automated authorization.</w:t>
      </w:r>
    </w:p>
    <w:p w14:paraId="56E903B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AI-Assisted Interpretation — Use of AI systems to support analysis, drafting, anomaly detection, comparison, routing, review preparation, or decision support. AI assistance does not create authority, legal rights, ecological truth, PRU value, governance decision, or investor-facing validity by itself.</w:t>
      </w:r>
    </w:p>
    <w:p w14:paraId="4441751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Albedo — Reflectivity of a surface, relevant to climate regulation, local heat dynamics, land-use planning, and planetary-boundary context.</w:t>
      </w:r>
    </w:p>
    <w:p w14:paraId="1E36418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Anthropocene — Proposed geological epoch or interpretive frame describing the dominant impact of human activity on Earth systems.</w:t>
      </w:r>
    </w:p>
    <w:p w14:paraId="227DDFF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API Boundary — The rule that technical access through an API does not create authority, rights, verification, admissibility, investment status, certification, or source-layer legitimacy.</w:t>
      </w:r>
    </w:p>
    <w:p w14:paraId="5206F35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Asset-Agnostic Architecture — Design principle allowing different forms of legal, operational, digital, ecological, financial, and governance instruments to coexist within a unified constitutional framework without collapsing their meanings.</w:t>
      </w:r>
    </w:p>
    <w:p w14:paraId="6FB1D87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Autopoietic Regenerative Intelligence Infrastructure — Recursive intelligence layer that may integrate MRV, AI, governance, data review, ecological indicators, risk signals, and decision-support systems to improve learning, reduce uncertainty, and support adaptive regenerative performance. It remains review-bound and does not operate as sovereign authority.</w:t>
      </w:r>
    </w:p>
    <w:p w14:paraId="14CA769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w:t>
      </w:r>
    </w:p>
    <w:p w14:paraId="363385F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Biogeochemical Flows — Planetary-boundary domain related especially to nitrogen and phosphorus cycles. In Prometheus, this may inform PHI, MRV prioritization, ecological-risk review, and capital-readiness caution.</w:t>
      </w:r>
    </w:p>
    <w:p w14:paraId="71A861F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Biolayer — Interface layer translating biological, ecological, physiological, or behavioral context into structured, privacy-preserving, system-relevant data where lawfully and ethically permitted. Biolayer data must never become human ranking, token value, financial modulation, or coercive profiling.</w:t>
      </w:r>
    </w:p>
    <w:p w14:paraId="63C4761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Biomass Cycling — Regenerative process through which organic matter is produced, pruned, returned, decomposed, and reintegrated into soil fertility, microbial activity, water retention, and ecological function.</w:t>
      </w:r>
    </w:p>
    <w:p w14:paraId="02F30CF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Biomimicry — Design methodology inspired by natural systems, ecological intelligence, adaptive structures, and living-system principles.</w:t>
      </w:r>
    </w:p>
    <w:p w14:paraId="4145844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Bioregional Circle — Governance or coordination unit operating at the scale of a bioregion, watershed, territory, ecological corridor, or regenerative cluster. It may coordinate MRV, stewardship, deployment, learning, and review, subject to source-layer constraints.</w:t>
      </w:r>
    </w:p>
    <w:p w14:paraId="22F046C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Biosphere Integrity — Planetary-boundary domain related to biodiversity, ecosystem function, species loss, ecological resilience, and living-system stability.</w:t>
      </w:r>
    </w:p>
    <w:p w14:paraId="76D8067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Blockchain — Data-centric distributed ledger architecture typically relying on global consensus. In Prometheus, blockchain may be used or referenced only where its function is bounded. Blockchain </w:t>
      </w:r>
      <w:r w:rsidRPr="00B479AE">
        <w:rPr>
          <w:rFonts w:ascii="Baskerville Old Face" w:hAnsi="Baskerville Old Face"/>
          <w:i/>
          <w:iCs/>
        </w:rPr>
        <w:lastRenderedPageBreak/>
        <w:t>records do not create ecological truth, legal rights, PRU value, or source-layer authority by themselves.</w:t>
      </w:r>
    </w:p>
    <w:p w14:paraId="587E3DE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Bridge — Technical, legal, or informational mechanism connecting systems, networks, records, assets, credentials, or rights. A bridge may transmit references or legally defined rights only according to what has actually been created, disclosed, and structured. A bridge cannot manufacture legitimacy.</w:t>
      </w:r>
    </w:p>
    <w:p w14:paraId="7E19CC3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Bridge Risk — Risk arising from cross-system, cross-chain, cross-ledger, wrapped, synthetic, or mapped representations, including double counting, false collateralization, legal misclassification, custody failure, user misunderstanding, and unsupported PRU or RAP claims.</w:t>
      </w:r>
    </w:p>
    <w:p w14:paraId="3EBC392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Byzantine Fault Tolerance — System property describing resilience to faulty, malicious, or inconsistent nodes. In Prometheus, technical fault tolerance does not replace legal, governance, MRV, or source-layer review.</w:t>
      </w:r>
    </w:p>
    <w:p w14:paraId="55E8E7E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w:t>
      </w:r>
    </w:p>
    <w:p w14:paraId="631664B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Canonical Registry — Official registry or registry-like system used to record canonical releases, verification artifacts, fork status, compatibility status, token integration status, public-claim boundaries, and other status information relevant to Prometheus continuity.</w:t>
      </w:r>
    </w:p>
    <w:p w14:paraId="6D2360E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Canonical Release — Identified release of Prometheus documentation, source files, manifests, checksums, signatures, and implementation references that can be verified through canonical procedures.</w:t>
      </w:r>
    </w:p>
    <w:p w14:paraId="014876C0"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Canonical Trust — Condition created by source-layer fidelity, release integrity, cryptographic verification, registry status, runtime coherence, custodial continuity, and legal admissibility.</w:t>
      </w:r>
    </w:p>
    <w:p w14:paraId="5400638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Capital-Readiness — Condition under which a project, PRU analysis, RAP logic, report, or portfolio may support further diligence by capital allocators. Capital-readiness does not create financing, investor rights, underwriting approval, securities status, or investment suitability.</w:t>
      </w:r>
    </w:p>
    <w:p w14:paraId="2DF6888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Carbon Credit — A unit representing verified carbon sequestration or emission reduction under a specific external methodology, registry, and legal framework. A carbon credit is not automatically a PRU, and a PRU is not automatically a carbon credit.</w:t>
      </w:r>
    </w:p>
    <w:p w14:paraId="65E0BCF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Category Collapse — Failure mode in which distinct layers such as MRV, PRU, RAP,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token rights, land rights, governance authority, investor rights, public claims, and legal </w:t>
      </w:r>
      <w:r w:rsidRPr="00B479AE">
        <w:rPr>
          <w:rFonts w:ascii="Baskerville Old Face" w:hAnsi="Baskerville Old Face"/>
          <w:i/>
          <w:iCs/>
        </w:rPr>
        <w:lastRenderedPageBreak/>
        <w:t>instruments are confused or merged. Prometheus treats category collapse as a core governance and legal risk.</w:t>
      </w:r>
    </w:p>
    <w:p w14:paraId="79BD6D3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Cell — Execution unit in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composed of a DNA and an agent identity.</w:t>
      </w:r>
    </w:p>
    <w:p w14:paraId="73131CD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CESI, Cooperative Ecological Surplus Index — Indicator or analytical construct describing emergent value generated through ecological cooperation, interaction density, biodiversity, network effects, and regenerative surplus. It requires methodology, evidence, and review before institutional use.</w:t>
      </w:r>
    </w:p>
    <w:p w14:paraId="3F46196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Circle —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governance unit with defined purpose, domain, roles, responsibilities, and decision process.</w:t>
      </w:r>
    </w:p>
    <w:p w14:paraId="7F487DC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Climate Change — Planetary-boundary domain associated with greenhouse gas concentrations, radiative forcing, climate instability, and systemic ecological risk.</w:t>
      </w:r>
    </w:p>
    <w:p w14:paraId="1B0DDF1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Coherence — Voluntary, privacy-first human-state or physiological-context signal that may support self-reflection, stewardship training, research, or reflective governance. Coherence must not be used for human ranking, financial modulation, MRV validity, PRU value, token rights, investor eligibility, or automatic governance authority.</w:t>
      </w:r>
    </w:p>
    <w:p w14:paraId="7E35086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Compliant Digital Instrument — Future digital representation, credential, tokenized representation, or instrument that is legally structured, disclosed, jurisdictionally reviewed, and connected to defined rights or functions. It does not arise automatically from PRU, MRV, RAP, or token logic.</w:t>
      </w:r>
    </w:p>
    <w:p w14:paraId="5390C32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Composite Instrument — Legal or financial structure combining multiple rights, cash flows, contractual claims, ecological-performance references, or value streams into a defined instrument. A composite instrument requires legal structuring and disclosure.</w:t>
      </w:r>
    </w:p>
    <w:p w14:paraId="739B26F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Consent — </w:t>
      </w:r>
      <w:proofErr w:type="spellStart"/>
      <w:r w:rsidRPr="00B479AE">
        <w:rPr>
          <w:rFonts w:ascii="Baskerville Old Face" w:hAnsi="Baskerville Old Face"/>
          <w:i/>
          <w:iCs/>
        </w:rPr>
        <w:t>Sociocratic</w:t>
      </w:r>
      <w:proofErr w:type="spellEnd"/>
      <w:r w:rsidRPr="00B479AE">
        <w:rPr>
          <w:rFonts w:ascii="Baskerville Old Face" w:hAnsi="Baskerville Old Face"/>
          <w:i/>
          <w:iCs/>
        </w:rPr>
        <w:t xml:space="preserve"> decision rule based on the absence of reasoned and paramount objections within a defined governance domain.</w:t>
      </w:r>
    </w:p>
    <w:p w14:paraId="22340C8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Constitutional Boundary — Source-layer constraint that no technical system, token, AI output, dashboard, fork, partner, investor, governance vote, or runtime process may bypass.</w:t>
      </w:r>
    </w:p>
    <w:p w14:paraId="41D2909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Contribution Record — Record of work, stewardship, service, participation, role performance, or operational contribution. Contribution may support recognition or review; it does not automatically create investor rights, PRU value, token rights, or constitutional authority.</w:t>
      </w:r>
    </w:p>
    <w:p w14:paraId="46026F2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Credit Commons — Mutual credit or internal-accounting system based on trust, reciprocity, contribution, and governance. It must remain legally, operationally, and semantically distinct from securities, bank deposits, legal tender, or investor rights unless explicitly structured.</w:t>
      </w:r>
    </w:p>
    <w:p w14:paraId="666F647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Custodial Continuity — Preservation of canonical records, release files, manifests, keys, archives, registry status, offline packages, and trusted-custodian records over time.</w:t>
      </w:r>
    </w:p>
    <w:p w14:paraId="5A6E0AA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w:t>
      </w:r>
    </w:p>
    <w:p w14:paraId="4A9AEE2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Data-Centric Architecture — System architecture enforcing global consensus or shared state across nodes, typical of many blockchain systems. Contrasted with agent-centric architecture.</w:t>
      </w:r>
    </w:p>
    <w:p w14:paraId="34AF06F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Data Room — Controlled-access environment for sharing diligence materials with investors, partners, auditors, institutions, or reviewers. Data-room access does not create investor entitlement, endorsement, offering status, or legal rights.</w:t>
      </w:r>
    </w:p>
    <w:p w14:paraId="39AAFF6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Debt-to-Regeneration Ratio — Analytical ratio comparing financial leverage or obligation structure to verified regenerative performance, resilience, or ecological output. It is a risk-analysis tool, not a credit rating by default.</w:t>
      </w:r>
    </w:p>
    <w:p w14:paraId="701606A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Decentralized Finance, DeFi — Financial systems operating through smart contracts, decentralized protocols, or non-traditional intermediaries. Prometheus may study or interoperate with DeFi only through source-layer, legal, custody, and token-boundary controls.</w:t>
      </w:r>
    </w:p>
    <w:p w14:paraId="180A6A3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Decision Log DNA — Distributed memory layer recording decisions, proposals, objections, outcomes, amendments, reviews, corrections, and governance history.</w:t>
      </w:r>
    </w:p>
    <w:p w14:paraId="6299C4A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Digital Sovereignty — Control over data, computation, communication, identity, cryptographic integrity, and digital infrastructure.</w:t>
      </w:r>
    </w:p>
    <w:p w14:paraId="401B14F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Disclosure — Formal communication of limitations, risks, rights, exclusions, assumptions, legal boundaries, and permitted uses. Disclosure is essential before any capital-facing, token-facing, investor-facing, or public-claim pathway.</w:t>
      </w:r>
    </w:p>
    <w:p w14:paraId="6A00F63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Distributed Hash Table, DHT — Peer-to-peer data storage and validation layer in </w:t>
      </w:r>
      <w:proofErr w:type="spellStart"/>
      <w:r w:rsidRPr="00B479AE">
        <w:rPr>
          <w:rFonts w:ascii="Baskerville Old Face" w:hAnsi="Baskerville Old Face"/>
          <w:i/>
          <w:iCs/>
        </w:rPr>
        <w:t>Holochain</w:t>
      </w:r>
      <w:proofErr w:type="spellEnd"/>
      <w:r w:rsidRPr="00B479AE">
        <w:rPr>
          <w:rFonts w:ascii="Baskerville Old Face" w:hAnsi="Baskerville Old Face"/>
          <w:i/>
          <w:iCs/>
        </w:rPr>
        <w:t>.</w:t>
      </w:r>
    </w:p>
    <w:p w14:paraId="41F280A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Durable Value — Value that remains compatible with the conditions that sustain life. In Prometheus, durable value is ultimately downstream from living systems, ecological function, human stewardship, legal clarity, and long-term resilience.</w:t>
      </w:r>
    </w:p>
    <w:p w14:paraId="0F3F983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E</w:t>
      </w:r>
    </w:p>
    <w:p w14:paraId="15BF12E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Ecological Claim — Statement asserting ecological improvement, performance, impact, regeneration, resilience, restoration, biodiversity benefit, carbon effect, water effect, or related outcome. Ecological claims require evidence, methodology, review, and public-claim discipline.</w:t>
      </w:r>
    </w:p>
    <w:p w14:paraId="5E45061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Ecosystem Dividend — Measurable improvement in ecosystem function generated by regenerative activity, subject to evidence, methodology, and review.</w:t>
      </w:r>
    </w:p>
    <w:p w14:paraId="1907F9A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Edge AI — AI executed locally or close to the data source to preserve sovereignty, reduce latency, and support privacy.</w:t>
      </w:r>
    </w:p>
    <w:p w14:paraId="620125D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Emerging Value — Value arising from interactions among ecological, social, technical, governance, and operational systems. It becomes institutionally relevant only when translated into measurable, reviewable, and admissible form.</w:t>
      </w:r>
    </w:p>
    <w:p w14:paraId="6116002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Entropy Tax — Conceptual mechanism discouraging destabilizing, extractive, or entropy-increasing financial flows. Any actual mechanism would require legal, governance, and economic structuring.</w:t>
      </w:r>
    </w:p>
    <w:p w14:paraId="2410977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Evidence Chain — Traceable sequence connecting observation, source, methodology, record, review, correction, admissibility, reporting, and possible value analysis.</w:t>
      </w:r>
    </w:p>
    <w:p w14:paraId="2B90362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Evidence-to-Claim Boundary — Rule that claims must not exceed the evidence, methodology, confidence, legal boundary, and review status supporting them.</w:t>
      </w:r>
    </w:p>
    <w:p w14:paraId="567B5D2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Externality — Cost or benefit generated by an activity but not reflected in the immediate transaction price. Prometheus treats many ecological and health burdens as evidence of failed allocation logic.</w:t>
      </w:r>
    </w:p>
    <w:p w14:paraId="55B15DD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F</w:t>
      </w:r>
    </w:p>
    <w:p w14:paraId="106A9FB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Fiat Currency — Government-issued currency used as payment or settlement. Fiat rails may support settlement but do not create regeneration, governance authority, verified impact, PRU value, or Prometheus legitimacy.</w:t>
      </w:r>
    </w:p>
    <w:p w14:paraId="657DB3F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Financial Abstraction — Analytical or legal representation of value within financial language. In Prometheus, financial abstraction remains downstream from evidence, admissibility, governance, and legal structure.</w:t>
      </w:r>
    </w:p>
    <w:p w14:paraId="226E53C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Financial Instrument — Legal instrument creating defined financial rights, claims, obligations, debt, equity, revenue rights, fund interests, securities, notes, or similar exposure. A PRU is not a financial instrument by default.</w:t>
      </w:r>
    </w:p>
    <w:p w14:paraId="7D9046C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Fork — Independent copy, adaptation, implementation, translation, or derivative pathway of Prometheus-related materials, code, methodology, or language. Forks require status classification and may not claim canonical lineage without source-layer fidelity and registry recognition.</w:t>
      </w:r>
    </w:p>
    <w:p w14:paraId="22F8A34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G</w:t>
      </w:r>
    </w:p>
    <w:p w14:paraId="379BAF6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Global Canonical Registry — Broader registry architecture for release status, fork status, token status, implementation status, compatibility, public verification, and canonical lineage.</w:t>
      </w:r>
    </w:p>
    <w:p w14:paraId="6AA5FF5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Governance DNA — Code or protocol layer defining governance logic, roles, proposals, consent processes, decision records, reputation context, and review pathways.</w:t>
      </w:r>
    </w:p>
    <w:p w14:paraId="7D420B3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Governance Token — Token used to participate in defined governance processes. A governance token may support signaling or bounded participation but may not override foundational articles, source-layer constraints, human dignity, MRV discipline, legal requirements, or constitutional review.</w:t>
      </w:r>
    </w:p>
    <w:p w14:paraId="69B52FE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Green Water — Soil-stored water available to plants, relevant to hydrology, regenerative design, drought resilience, and ecological performance.</w:t>
      </w:r>
    </w:p>
    <w:p w14:paraId="66FC3CC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H</w:t>
      </w:r>
    </w:p>
    <w:p w14:paraId="75B4D2DE"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Application — Modular application built on </w:t>
      </w:r>
      <w:proofErr w:type="spellStart"/>
      <w:r w:rsidRPr="00B479AE">
        <w:rPr>
          <w:rFonts w:ascii="Baskerville Old Face" w:hAnsi="Baskerville Old Face"/>
          <w:i/>
          <w:iCs/>
        </w:rPr>
        <w:t>Holochain</w:t>
      </w:r>
      <w:proofErr w:type="spellEnd"/>
      <w:r w:rsidRPr="00B479AE">
        <w:rPr>
          <w:rFonts w:ascii="Baskerville Old Face" w:hAnsi="Baskerville Old Face"/>
          <w:i/>
          <w:iCs/>
        </w:rPr>
        <w:t>.</w:t>
      </w:r>
    </w:p>
    <w:p w14:paraId="350A856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Hardware Security Module, HSM — Secure device or service used to manage cryptographic keys. Relevant to release signing, registry control, custody, and high-security operations.</w:t>
      </w:r>
    </w:p>
    <w:p w14:paraId="6FACE33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Holistic Sovereignty — Integration of biological, digital, governance, legal, and ecological autonomy without reducing sovereignty to ownership, token balance, or technical control.</w:t>
      </w:r>
    </w:p>
    <w:p w14:paraId="569669AF"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ecosystem infrastructure asset associated with hosting and transaction capacity. </w:t>
      </w:r>
      <w:proofErr w:type="spellStart"/>
      <w:r w:rsidRPr="00B479AE">
        <w:rPr>
          <w:rFonts w:ascii="Baskerville Old Face" w:hAnsi="Baskerville Old Face"/>
          <w:i/>
          <w:iCs/>
        </w:rPr>
        <w:t>HoloFuel</w:t>
      </w:r>
      <w:proofErr w:type="spellEnd"/>
      <w:r w:rsidRPr="00B479AE">
        <w:rPr>
          <w:rFonts w:ascii="Baskerville Old Face" w:hAnsi="Baskerville Old Face"/>
          <w:i/>
          <w:iCs/>
        </w:rPr>
        <w:t>-related infrastructure does not create ecological value, PRU status, investor rights, governance authority, or Prometheus legitimacy by itself.</w:t>
      </w:r>
    </w:p>
    <w:p w14:paraId="63614633"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lastRenderedPageBreak/>
        <w:t>Holochain</w:t>
      </w:r>
      <w:proofErr w:type="spellEnd"/>
      <w:r w:rsidRPr="00B479AE">
        <w:rPr>
          <w:rFonts w:ascii="Baskerville Old Face" w:hAnsi="Baskerville Old Face"/>
          <w:i/>
          <w:iCs/>
        </w:rPr>
        <w:t xml:space="preserve">-Compatible Runtime — Runtime,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conductor,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bridge, console, evaluation stack, or operational layer designed to remain compatible with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principles and Prometheus source-layer discipline.</w:t>
      </w:r>
    </w:p>
    <w:p w14:paraId="25CEF46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Human State Interface, HSI — Privacy-preserving standard or interface for representing voluntary physiological, behavioral, or coherence-related context. HSI data must not become token value, financial modulation, human ranking, medical claim, MRV proof, or automatic governance authority.</w:t>
      </w:r>
    </w:p>
    <w:p w14:paraId="0F8235F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w:t>
      </w:r>
    </w:p>
    <w:p w14:paraId="115DCAF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Impact Transparency — Capacity to trace capital deployment, operational action, or ecological intervention to measurable and reviewable outcomes.</w:t>
      </w:r>
    </w:p>
    <w:p w14:paraId="5640CF2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Institutional Admissibility — Condition under which claims, evidence, reports, PRU analysis, RAP screening, or capital-readiness materials can be used in institutional contexts under defined rules.</w:t>
      </w:r>
    </w:p>
    <w:p w14:paraId="0F571DE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Institutional Capture — Failure mode in which a powerful fund, foundation, public body, corporation, university, auditor, certifier, technology provider, or partner redirects Prometheus meaning, access, or governance toward its own institutional interests.</w:t>
      </w:r>
    </w:p>
    <w:p w14:paraId="1C23C70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Integral Regeneration Index, IRI — Composite indicator or analytical construct measuring ecological, social, governance, operational, and resilience dimensions of regenerative performance. Requires methodology and review.</w:t>
      </w:r>
    </w:p>
    <w:p w14:paraId="2396CDF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Interoperability — Ability of diverse systems to communicate or interact. In Prometheus, interoperability does not imply equivalence, authority transfer, or legal meaning transfer.</w:t>
      </w:r>
    </w:p>
    <w:p w14:paraId="6B67D9E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Investor-Review Material — Controlled material shared for diligence, review, education, or discussion with potential capital allocators. It is not an offering document unless legally structured as such.</w:t>
      </w:r>
    </w:p>
    <w:p w14:paraId="0A1EC7E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J</w:t>
      </w:r>
    </w:p>
    <w:p w14:paraId="59E8059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Jurisdiction-Specific Review — Legal, tax, securities, consumer, data, AML/KYC, sanctions, property, public-claim, or regulatory review applicable to a specific jurisdiction.</w:t>
      </w:r>
    </w:p>
    <w:p w14:paraId="352B6AC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K</w:t>
      </w:r>
    </w:p>
    <w:p w14:paraId="5DACA7A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Key Rotation — Replacement or update of cryptographic keys due to policy, compromise risk, lifecycle management, or operational discipline.</w:t>
      </w:r>
    </w:p>
    <w:p w14:paraId="43A90E4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L</w:t>
      </w:r>
    </w:p>
    <w:p w14:paraId="4794CA3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Legal Admissibility — Condition under which a claim, instrument, report, right, representation, token pathway, capital-facing material, or public statement is legally usable in the relevant context.</w:t>
      </w:r>
    </w:p>
    <w:p w14:paraId="321EDB2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Legal Wrapper — Legal structure that creates, defines, limits, discloses, and governs rights, obligations, risks, claims, participation, investor exposure, or instrument status. A legal wrapper is required before rights-bearing token or financial-instrument logic can exist.</w:t>
      </w:r>
    </w:p>
    <w:p w14:paraId="64CA36F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Life-Support System — Ecological, social, biological, water, soil, climate, food, biodiversity, and human-stewardship systems that make durable value possible.</w:t>
      </w:r>
    </w:p>
    <w:p w14:paraId="3CAB8CBB"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LoRA</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QLoRA</w:t>
      </w:r>
      <w:proofErr w:type="spellEnd"/>
      <w:r w:rsidRPr="00B479AE">
        <w:rPr>
          <w:rFonts w:ascii="Baskerville Old Face" w:hAnsi="Baskerville Old Face"/>
          <w:i/>
          <w:iCs/>
        </w:rPr>
        <w:t xml:space="preserve"> — Parameter-efficient fine-tuning techniques for large language models, relevant to AI development and model adaptation.</w:t>
      </w:r>
    </w:p>
    <w:p w14:paraId="1C42A41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w:t>
      </w:r>
    </w:p>
    <w:p w14:paraId="439E157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Maturity Classification — Review-bound classification of evidence maturity, methodology maturity, governance readiness, operational readiness, legal-readiness, and capital-readiness. It is not a credit rating, securities rating, or investment-grade label.</w:t>
      </w:r>
    </w:p>
    <w:p w14:paraId="22AA73E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Meta-Prompt — High-level synthesis output aligning system inputs into coherent prompts, decisions, interpretations, or routing pathways.</w:t>
      </w:r>
    </w:p>
    <w:p w14:paraId="002C966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Methodology — Defined framework for measurement, interpretation, scoring, confidence adjustment, admissibility review, reporting, or classification.</w:t>
      </w:r>
    </w:p>
    <w:p w14:paraId="49926CB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MRV, Measurement, Reporting, and Verification — System translating ecological, operational, and performance data into structured, reviewable evidence. MRV supports evidence quality; it does not create rights, PRU value, token issuance, investor entitlement, or legal status by itself.</w:t>
      </w:r>
    </w:p>
    <w:p w14:paraId="11629CE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MRV Admissibility — Condition under which MRV evidence may enter PRU analysis, RAP screening, public reporting, institutional review, or capital-readiness pathways.</w:t>
      </w:r>
    </w:p>
    <w:p w14:paraId="0F291C2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Mutual Credit — System where credit is created internally by participants, generally based on contribution, trust, governance, or reciprocal accounting rather than external reserves.</w:t>
      </w:r>
    </w:p>
    <w:p w14:paraId="7D12918E" w14:textId="77777777" w:rsidR="002602C5" w:rsidRPr="00B479AE" w:rsidRDefault="002602C5" w:rsidP="002602C5">
      <w:pPr>
        <w:tabs>
          <w:tab w:val="left" w:pos="1440"/>
        </w:tabs>
        <w:spacing w:line="360" w:lineRule="auto"/>
        <w:rPr>
          <w:rFonts w:ascii="Baskerville Old Face" w:hAnsi="Baskerville Old Face"/>
          <w:i/>
          <w:iCs/>
        </w:rPr>
      </w:pPr>
    </w:p>
    <w:p w14:paraId="372A221E" w14:textId="02AE8AE1"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N</w:t>
      </w:r>
    </w:p>
    <w:p w14:paraId="666BAED7"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Nature-Based Infrastructure — Infrastructure that uses living systems, ecological function, water cycles, soil, biodiversity, vegetation, and stewardship to provide productive, protective, resilience, or adaptation functions.</w:t>
      </w:r>
    </w:p>
    <w:p w14:paraId="4C1F550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Neighborhood — Validation group responsible for data verification, peer review, or local validation in distributed networks.</w:t>
      </w:r>
    </w:p>
    <w:p w14:paraId="690EE9F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No-Double-Counting Discipline — Rule preventing the same ecological performance, impact, credit, evidence, PRU-relevant result, or value claim from being counted across incompatible pathways.</w:t>
      </w:r>
    </w:p>
    <w:p w14:paraId="7C3216B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Non-Admissible — Status indicating that an output, claim, token, report, evidence bundle, pathway, fork, or representation cannot enter protected Prometheus pathways.</w:t>
      </w:r>
    </w:p>
    <w:p w14:paraId="289F86D0"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Non-Capture Principle — Constitutional principle preventing capital, AI, tokens, partners, institutions, platforms, governance shortcuts, forks, or public narratives from overriding source-layer meaning.</w:t>
      </w:r>
    </w:p>
    <w:p w14:paraId="0B03A2E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Novel Entities — Planetary-boundary domain related to synthetic substances, chemical pollution, plastics, radioactive materials, engineered organisms, and other human-made novel pressures.</w:t>
      </w:r>
    </w:p>
    <w:p w14:paraId="258DE48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O</w:t>
      </w:r>
    </w:p>
    <w:p w14:paraId="4F8573C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OHE, One Human Ecosystem — Compact syntropic agroecological unit designed as a biological, ecological, and operational base layer of Prometheus. It may support food production, soil regeneration, water retention, biodiversity, stewardship, and future MRV-based performance assessment.</w:t>
      </w:r>
    </w:p>
    <w:p w14:paraId="4DB8480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Operational Plane — Infrastructure layer handling data, governance, accounting, runtime behavior, APIs, dashboards, records, bridge functions, and system operations.</w:t>
      </w:r>
    </w:p>
    <w:p w14:paraId="31AF219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P</w:t>
      </w:r>
    </w:p>
    <w:p w14:paraId="26A92FF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Patient Capital — Long-term capital oriented toward resilience, stability, stewardship, infrastructure maturity, and regenerative outcomes rather than short-term extraction.</w:t>
      </w:r>
    </w:p>
    <w:p w14:paraId="43A11B5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PHI, Planetary Health Index — Contextual or analytical layer synthesizing planetary-boundary relevance, ecological risk, evidence signals, and review needs. PHI signals review; it does not create automatic approval, rejection, </w:t>
      </w:r>
      <w:proofErr w:type="spellStart"/>
      <w:r w:rsidRPr="00B479AE">
        <w:rPr>
          <w:rFonts w:ascii="Baskerville Old Face" w:hAnsi="Baskerville Old Face"/>
          <w:i/>
          <w:iCs/>
        </w:rPr>
        <w:t>financeability</w:t>
      </w:r>
      <w:proofErr w:type="spellEnd"/>
      <w:r w:rsidRPr="00B479AE">
        <w:rPr>
          <w:rFonts w:ascii="Baskerville Old Face" w:hAnsi="Baskerville Old Face"/>
          <w:i/>
          <w:iCs/>
        </w:rPr>
        <w:t>, or PRU value.</w:t>
      </w:r>
    </w:p>
    <w:p w14:paraId="16A212C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Planetary Boundaries — Scientific framework defining safe operating limits for Earth-system processes. In Prometheus, it acts as a context layer for ecological integrity, MRV prioritization, PHI, PRU analysis, RAP screening, and capital-readiness review.</w:t>
      </w:r>
    </w:p>
    <w:p w14:paraId="62B704A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PRMF, Prometheus Risk Management Framework — Evaluation layer governing thresholds, review triggers, admissibility criteria, risk signals, and systemic-risk management.</w:t>
      </w:r>
    </w:p>
    <w:p w14:paraId="223B5D6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PRU, Prometheus Regenerative Unit — Methodology-bound analytical representation of verified regenerative performance. The PRU supports PRU value analysis, maturity classification, capital-readiness interpretation, reporting, and possible legal structuring where applicable. It does not create automatic financial rights, token rights, land rights, investor entitlement, market price, securities status, or investment product status.</w:t>
      </w:r>
    </w:p>
    <w:p w14:paraId="5A7A27B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PRU Value Analysis — Structured interpretation of verified regenerative performance under methodology, confidence scoring, admissibility, governance review, and legal-boundary discipline. It is not market valuation by default.</w:t>
      </w:r>
    </w:p>
    <w:p w14:paraId="1B53147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Public-Claim Boundary — Discipline governing which claims may be made publicly, privately, internally, in research, in data rooms, in investor-review materials, or only after legal structuring.</w:t>
      </w:r>
    </w:p>
    <w:p w14:paraId="5D43EEE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Q</w:t>
      </w:r>
    </w:p>
    <w:p w14:paraId="12318C3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Quarantine — Protective status isolating a claim, record, fork, token, integration, report, action, release, or component due to serious risk pending review.</w:t>
      </w:r>
    </w:p>
    <w:p w14:paraId="11DD8BA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w:t>
      </w:r>
    </w:p>
    <w:p w14:paraId="7B424AF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RAP, Regenerative Asset Pool — Portfolio logic for aggregating eligible PRU-relevant units under defined evidence, methodology, governance, legal, risk, and reporting criteria. RAP is not a fund, security, or investor exposure by default.</w:t>
      </w:r>
    </w:p>
    <w:p w14:paraId="39420D3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Ravel Risk-Signaling Model — Review-bound systemic-risk framework identifying stress indicators, evidence-to-claim mismatch, capital pressure, ecological risk, governance load, semantic drift, and other risk signals. Ravel produces review triggers, not automatic enforcement.</w:t>
      </w:r>
    </w:p>
    <w:p w14:paraId="3602C99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Regenerative Finance, </w:t>
      </w:r>
      <w:proofErr w:type="spellStart"/>
      <w:r w:rsidRPr="00B479AE">
        <w:rPr>
          <w:rFonts w:ascii="Baskerville Old Face" w:hAnsi="Baskerville Old Face"/>
          <w:i/>
          <w:iCs/>
        </w:rPr>
        <w:t>ReFi</w:t>
      </w:r>
      <w:proofErr w:type="spellEnd"/>
      <w:r w:rsidRPr="00B479AE">
        <w:rPr>
          <w:rFonts w:ascii="Baskerville Old Face" w:hAnsi="Baskerville Old Face"/>
          <w:i/>
          <w:iCs/>
        </w:rPr>
        <w:t xml:space="preserve"> — Financial paradigm oriented toward restoring ecological and social capacity. In Prometheus, </w:t>
      </w:r>
      <w:proofErr w:type="spellStart"/>
      <w:r w:rsidRPr="00B479AE">
        <w:rPr>
          <w:rFonts w:ascii="Baskerville Old Face" w:hAnsi="Baskerville Old Face"/>
          <w:i/>
          <w:iCs/>
        </w:rPr>
        <w:t>ReFi</w:t>
      </w:r>
      <w:proofErr w:type="spellEnd"/>
      <w:r w:rsidRPr="00B479AE">
        <w:rPr>
          <w:rFonts w:ascii="Baskerville Old Face" w:hAnsi="Baskerville Old Face"/>
          <w:i/>
          <w:iCs/>
        </w:rPr>
        <w:t xml:space="preserve"> language remains bounded by evidence, law, governance, and public-claim discipline.</w:t>
      </w:r>
    </w:p>
    <w:p w14:paraId="23FC2C9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Regenerative Real Asset — Land, building, farm, hospitality site, productive estate, or territorial unit designed, managed, and verified as regenerative infrastructure. It may support resilience, continuity, productive capacity, and capital-readiness interpretation where evidence and legal structure allow.</w:t>
      </w:r>
    </w:p>
    <w:p w14:paraId="1C47D0C3"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Regenerative ROI, RROI — Analytical ratio or conceptual indicator of regenerative value generated relative to capital deployed. It is not an investment-return claim by default.</w:t>
      </w:r>
    </w:p>
    <w:p w14:paraId="0A2080E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Representation — Technical, legal, digital, documentary, or tokenized expression of a defined function or right. Representation must not be confused with the underlying right.</w:t>
      </w:r>
    </w:p>
    <w:p w14:paraId="1BFD593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Resource-Event-Agent, REA — Accounting and modeling framework tracking resources, events, agents, commitments, and multi-dimensional value flows.</w:t>
      </w:r>
    </w:p>
    <w:p w14:paraId="615430C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Review-Required — Status indicating that action must pause or route to the applicable review pathway before proceeding.</w:t>
      </w:r>
    </w:p>
    <w:p w14:paraId="75E10D8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RPI, Regenerative Productivity Index — Indicator measuring productive output adjusted for resilience, diversity, ecological function, or regenerative quality. Requires methodology and review.</w:t>
      </w:r>
    </w:p>
    <w:p w14:paraId="55D1B556"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Runtime Coherence — Alignment between canonical meaning, repository structure,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implementation,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behavior, bridge behavior, console behavior, evaluation stack, runbooks, APIs, and actual runtime operations.</w:t>
      </w:r>
    </w:p>
    <w:p w14:paraId="6926794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w:t>
      </w:r>
    </w:p>
    <w:p w14:paraId="0407C59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Scientific and Ecological Evidence Review Network — Review layer supporting ecological-claim assessment, method validation, uncertainty identification, confidence scoring, and MRV admissibility. It does not operate as an oracle or sovereign truth engine.</w:t>
      </w:r>
    </w:p>
    <w:p w14:paraId="3933935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Scenario-Informed Governance — Non-binding governance-support method using forecasting, scenario analysis, prediction-market research, probabilistic modeling, stress testing, or AI-assisted comparison to improve decision quality under uncertainty. It does not replace consent, governance review, legal review, MRV admissibility, or source-layer constraints.</w:t>
      </w:r>
    </w:p>
    <w:p w14:paraId="0AA90D0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Security Token — Token or digital representation that legally represents a security, investment contract, note, fund interest, equity, debt, revenue right, or similar exposure. It requires full legal structuring and jurisdictional compliance.</w:t>
      </w:r>
    </w:p>
    <w:p w14:paraId="1265D93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Settlement Rail — Payment or transaction infrastructure, including fiat, banking, electronic-money, or regulated stablecoin rails where legally available. Settlement rails move value but do not create regeneration, evidence, governance authority, or PRU value.</w:t>
      </w:r>
    </w:p>
    <w:p w14:paraId="684B606F"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Slashing — Token penalty or forfeiture mechanism. Prometheus should avoid casual use of slashing unless a legally structured staking mechanism, disclosure, consent, due process, audit, and jurisdictional review exist.</w:t>
      </w:r>
    </w:p>
    <w:p w14:paraId="2EBF5E6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Sociocracy — Governance system based on equivalence, consent, circles, feedback loops, and distributed authority within defined domains.</w:t>
      </w:r>
    </w:p>
    <w:p w14:paraId="7E95C50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Source Chain — Immutable sequence of signed agent actions in </w:t>
      </w:r>
      <w:proofErr w:type="spellStart"/>
      <w:r w:rsidRPr="00B479AE">
        <w:rPr>
          <w:rFonts w:ascii="Baskerville Old Face" w:hAnsi="Baskerville Old Face"/>
          <w:i/>
          <w:iCs/>
        </w:rPr>
        <w:t>Holochain</w:t>
      </w:r>
      <w:proofErr w:type="spellEnd"/>
      <w:r w:rsidRPr="00B479AE">
        <w:rPr>
          <w:rFonts w:ascii="Baskerville Old Face" w:hAnsi="Baskerville Old Face"/>
          <w:i/>
          <w:iCs/>
        </w:rPr>
        <w:t>.</w:t>
      </w:r>
    </w:p>
    <w:p w14:paraId="52B5549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Source Layer — Foundational constitutional meaning layer of Prometheus. It defines principles, boundaries,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and continuity. No runtime, token, AI system, partner, dashboard, repository, fork, or institution may override it.</w:t>
      </w:r>
    </w:p>
    <w:p w14:paraId="117A3E95"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Source-Layer Fidelity — Degree to which a release, fork, implementation, claim, report, runtime, or representation preserves Prometheus foundational meaning and protected boundaries.</w:t>
      </w:r>
    </w:p>
    <w:p w14:paraId="19BF8FE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SRI, Syntropic Resilience Index — Indicator measuring ecological stability, soil function, hydrological coherence, biodiversity, disturbance response, and regenerative resilience. Requires methodology and review.</w:t>
      </w:r>
    </w:p>
    <w:p w14:paraId="650160F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Stablecoin — Digital settlement instrument typically designed to maintain a stable value relative to a reference asset. In Prometheus, stablecoins may be considered only as settlement rails where legally available, issuer-reviewed, custody-reviewed, and compliant.</w:t>
      </w:r>
    </w:p>
    <w:p w14:paraId="00F1FD30"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Syntropic Agriculture — Agroecological system based on succession, stratification, biomass cycling, soil cover, pruning, biodiversity, and regenerative management.</w:t>
      </w:r>
    </w:p>
    <w:p w14:paraId="5E8ACDE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Syntropic Sovereignty Header — Cryptographic or metadata structure carrying source-layer references, release identity, constitutional constraints, verification data, or integrity information at record or data-packet level.</w:t>
      </w:r>
    </w:p>
    <w:p w14:paraId="0E0A5BAF"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 Systemic-value layer linking regenerative food systems, nutrition, functional movement, nature exposure, social coherence, preventive-health relevance, education, hospitality, wellness, research, and community resilience. It remains strategic upside unless evidence, </w:t>
      </w:r>
      <w:r w:rsidRPr="00B479AE">
        <w:rPr>
          <w:rFonts w:ascii="Baskerville Old Face" w:hAnsi="Baskerville Old Face"/>
          <w:i/>
          <w:iCs/>
        </w:rPr>
        <w:lastRenderedPageBreak/>
        <w:t>methodology, institutional arrangements, medical or public-health governance, and legal admissibility support capital-facing use.</w:t>
      </w:r>
    </w:p>
    <w:p w14:paraId="3E6C0711"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T</w:t>
      </w:r>
    </w:p>
    <w:p w14:paraId="5157DD6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Token — Digital or cryptographic unit that may represent access, settlement, governance participation, contribution, credential, accounting, reward, or legally structured rights. A token does not create ecological value, PRU value, RAP exposure, land rights, investor rights, governance authority, or human worth by itself.</w:t>
      </w:r>
    </w:p>
    <w:p w14:paraId="32D4DA02"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Token Boundary — Rule that tokens may represent defined functions but may not manufacture the underlying right, evidence, value, legal claim, governance authority, or source-layer legitimacy.</w:t>
      </w:r>
    </w:p>
    <w:p w14:paraId="2ABC5DA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Token Integration Registry — Registry recording token classification, status, approved uses, prohibited uses, legal review, MRV / PRU / RAP relationship, governance relationship, custody notes, risk class, and review date.</w:t>
      </w:r>
    </w:p>
    <w:p w14:paraId="1761FB8E"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 xml:space="preserve">TRBK,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Token — Token associated with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that may support governance, access, coordination, contribution, or ecosystem participation depending on its legal, technical, and governance structure. TRBK does not automatically create Prometheus constitutional authority, PRU value, RAP exposure, investor rights, land rights, MRV validity, HSI status, or governance supremacy.</w:t>
      </w:r>
    </w:p>
    <w:p w14:paraId="24FC444A"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U</w:t>
      </w:r>
    </w:p>
    <w:p w14:paraId="7CD48C3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Underwriting Readability — Degree to which evidence, risk, cash-flow context, legal structure, governance, reporting, and operational records can be understood by lenders, insurers, investors, or institutional reviewers. It does not imply underwriting approval.</w:t>
      </w:r>
    </w:p>
    <w:p w14:paraId="0114292C"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Unsloth</w:t>
      </w:r>
      <w:proofErr w:type="spellEnd"/>
      <w:r w:rsidRPr="00B479AE">
        <w:rPr>
          <w:rFonts w:ascii="Baskerville Old Face" w:hAnsi="Baskerville Old Face"/>
          <w:i/>
          <w:iCs/>
        </w:rPr>
        <w:t xml:space="preserve"> — Framework for efficient fine-tuning of large language models used in AI development and experimentation.</w:t>
      </w:r>
    </w:p>
    <w:p w14:paraId="7D7C34F4"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V</w:t>
      </w:r>
    </w:p>
    <w:p w14:paraId="210868C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Validation Authority — Node, reviewer, process, or role responsible for verifying data integrity or evidence quality within a defined scope. Validation authority does not create sovereign authority or legal rights by itself.</w:t>
      </w:r>
    </w:p>
    <w:p w14:paraId="5AA89480"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Value Analysis — Structured interpretation of value under methodology, evidence, admissibility, review, and legal-boundary constraints. It is not financial valuation by default.</w:t>
      </w:r>
    </w:p>
    <w:p w14:paraId="1055D62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Value Supremacy — Principle stating that outputs violating core values, source-layer constraints, human dignity, ecological integrity, or constitutional boundaries are invalid for protected Prometheus pathways.</w:t>
      </w:r>
    </w:p>
    <w:p w14:paraId="48058656"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Open vocabulary and modeling framework for economic networks based on REA concepts such as resources, events, agents, commitments, and exchanges.</w:t>
      </w:r>
    </w:p>
    <w:p w14:paraId="16FF67DD"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Verifiable Credential — Digital credential that can prove identity, role, status, qualification, authorization, or claim under defined conditions. It does not create broader authority beyond its scope.</w:t>
      </w:r>
    </w:p>
    <w:p w14:paraId="5F403BD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W</w:t>
      </w:r>
    </w:p>
    <w:p w14:paraId="3E455810"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Wallet-as-History — Concept in which a wallet or agent identity reflects contribution, participation, roles, history, and records. Wallet-as-history must not become wallet-as-human-worth.</w:t>
      </w:r>
    </w:p>
    <w:p w14:paraId="0550424C"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Warrant — Integrity record identifying alleged misbehavior, data falsification, constitutional violation, public-claim overreach, governance abuse, or other harmful acts. A warrant is not guilt by declaration; it requires review, evidence, due process, and appeal where appropriate.</w:t>
      </w:r>
    </w:p>
    <w:p w14:paraId="730C00F9"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World Model — Local representation of network behavior, ecological context, system state, or risk conditions used for validation, trust assessment, or decision support.</w:t>
      </w:r>
    </w:p>
    <w:p w14:paraId="2E8E4678"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Z</w:t>
      </w:r>
    </w:p>
    <w:p w14:paraId="233246BB" w14:textId="77777777" w:rsidR="002602C5" w:rsidRPr="00B479AE" w:rsidRDefault="002602C5" w:rsidP="002602C5">
      <w:pPr>
        <w:tabs>
          <w:tab w:val="left" w:pos="1440"/>
        </w:tabs>
        <w:spacing w:line="360" w:lineRule="auto"/>
        <w:rPr>
          <w:rFonts w:ascii="Baskerville Old Face" w:hAnsi="Baskerville Old Face"/>
          <w:i/>
          <w:iCs/>
        </w:rPr>
      </w:pPr>
      <w:r w:rsidRPr="00B479AE">
        <w:rPr>
          <w:rFonts w:ascii="Baskerville Old Face" w:hAnsi="Baskerville Old Face"/>
          <w:i/>
          <w:iCs/>
        </w:rPr>
        <w:t>Zero-Knowledge Proof, ZKP — Cryptographic method enabling verification of a statement without revealing the underlying data.</w:t>
      </w:r>
    </w:p>
    <w:p w14:paraId="5AD0454E" w14:textId="77777777" w:rsidR="002602C5" w:rsidRPr="00B479AE" w:rsidRDefault="002602C5" w:rsidP="002602C5">
      <w:pPr>
        <w:tabs>
          <w:tab w:val="left" w:pos="1440"/>
        </w:tabs>
        <w:spacing w:line="360" w:lineRule="auto"/>
        <w:rPr>
          <w:rFonts w:ascii="Baskerville Old Face" w:hAnsi="Baskerville Old Face"/>
          <w:i/>
          <w:iCs/>
        </w:rPr>
      </w:pP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 Modular execution unit in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DNA defining application logic, validation rules, entries, and functions.</w:t>
      </w:r>
    </w:p>
    <w:p w14:paraId="6A84A384"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P.2 References and Further Reading</w:t>
      </w:r>
    </w:p>
    <w:p w14:paraId="7D81ED52"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P.2.1 Foundational scientific and economic framework</w:t>
      </w:r>
    </w:p>
    <w:p w14:paraId="7C7A51FB" w14:textId="7AE17474"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This section consolidates the scientific, ecological, and economic foundations underpinning the Prometheus architecture, including MRV systems, </w:t>
      </w:r>
      <w:r w:rsidR="00BE5BB7" w:rsidRPr="00B479AE">
        <w:rPr>
          <w:rFonts w:ascii="Baskerville Old Face" w:hAnsi="Baskerville Old Face"/>
          <w:i/>
          <w:iCs/>
        </w:rPr>
        <w:t>PRU value analysis</w:t>
      </w:r>
      <w:r w:rsidRPr="00B479AE">
        <w:rPr>
          <w:rFonts w:ascii="Baskerville Old Face" w:hAnsi="Baskerville Old Face"/>
          <w:i/>
          <w:iCs/>
        </w:rPr>
        <w:t xml:space="preserve"> logic, and regenerative finance.</w:t>
      </w:r>
    </w:p>
    <w:p w14:paraId="7BA7F94D" w14:textId="270F5631" w:rsidR="00A25DE1" w:rsidRPr="00B479AE" w:rsidRDefault="00A25DE1" w:rsidP="00A25DE1">
      <w:pPr>
        <w:tabs>
          <w:tab w:val="left" w:pos="1440"/>
        </w:tabs>
        <w:spacing w:line="360" w:lineRule="auto"/>
        <w:rPr>
          <w:rFonts w:ascii="Baskerville Old Face" w:hAnsi="Baskerville Old Face"/>
          <w:i/>
          <w:iCs/>
        </w:rPr>
      </w:pPr>
    </w:p>
    <w:p w14:paraId="7613E732"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lastRenderedPageBreak/>
        <w:t>Planetary Boundaries and Earth System Science</w:t>
      </w:r>
    </w:p>
    <w:p w14:paraId="74995C7A"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Rockström</w:t>
      </w:r>
      <w:proofErr w:type="spellEnd"/>
      <w:r w:rsidRPr="00B479AE">
        <w:rPr>
          <w:rFonts w:ascii="Baskerville Old Face" w:hAnsi="Baskerville Old Face"/>
          <w:i/>
          <w:iCs/>
        </w:rPr>
        <w:t>, J., et al. (2009). A safe operating space for humanity. Nature, 461(7263), 472–475.</w:t>
      </w:r>
      <w:r w:rsidRPr="00B479AE">
        <w:rPr>
          <w:rFonts w:ascii="Baskerville Old Face" w:hAnsi="Baskerville Old Face"/>
          <w:i/>
          <w:iCs/>
        </w:rPr>
        <w:br/>
      </w:r>
      <w:hyperlink r:id="rId27" w:history="1">
        <w:r w:rsidRPr="00B479AE">
          <w:rPr>
            <w:rStyle w:val="Collegamentoipertestuale"/>
            <w:rFonts w:ascii="Baskerville Old Face" w:hAnsi="Baskerville Old Face"/>
            <w:i/>
            <w:iCs/>
          </w:rPr>
          <w:t>https://doi.org/10.1038/461472a</w:t>
        </w:r>
      </w:hyperlink>
    </w:p>
    <w:p w14:paraId="3A7DA324"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Steffen, W., et al. (2015). Planetary boundaries: Guiding human development on a changing planet. Science, 347(6223), 1259855.</w:t>
      </w:r>
      <w:r w:rsidRPr="00B479AE">
        <w:rPr>
          <w:rFonts w:ascii="Baskerville Old Face" w:hAnsi="Baskerville Old Face"/>
          <w:i/>
          <w:iCs/>
        </w:rPr>
        <w:br/>
      </w:r>
      <w:hyperlink r:id="rId28" w:history="1">
        <w:r w:rsidRPr="00B479AE">
          <w:rPr>
            <w:rStyle w:val="Collegamentoipertestuale"/>
            <w:rFonts w:ascii="Baskerville Old Face" w:hAnsi="Baskerville Old Face"/>
            <w:i/>
            <w:iCs/>
          </w:rPr>
          <w:t>https://doi.org/10.1126/science.1259855</w:t>
        </w:r>
      </w:hyperlink>
    </w:p>
    <w:p w14:paraId="00E8686F"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Richardson, K., et al. (2023). Earth beyond six of nine planetary boundaries. Science Advances, 9(37), eadh2458.</w:t>
      </w:r>
      <w:r w:rsidRPr="00B479AE">
        <w:rPr>
          <w:rFonts w:ascii="Baskerville Old Face" w:hAnsi="Baskerville Old Face"/>
          <w:i/>
          <w:iCs/>
        </w:rPr>
        <w:br/>
      </w:r>
      <w:hyperlink r:id="rId29" w:history="1">
        <w:r w:rsidRPr="00B479AE">
          <w:rPr>
            <w:rStyle w:val="Collegamentoipertestuale"/>
            <w:rFonts w:ascii="Baskerville Old Face" w:hAnsi="Baskerville Old Face"/>
            <w:i/>
            <w:iCs/>
          </w:rPr>
          <w:t>https://doi.org/10.1126/sciadv.adh2458</w:t>
        </w:r>
      </w:hyperlink>
    </w:p>
    <w:p w14:paraId="6EFB215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Persson, L., et al. (2022). Outside the safe operating space of the planetary boundary for novel entities. Environmental Science &amp; Technology.</w:t>
      </w:r>
      <w:r w:rsidRPr="00B479AE">
        <w:rPr>
          <w:rFonts w:ascii="Baskerville Old Face" w:hAnsi="Baskerville Old Face"/>
          <w:i/>
          <w:iCs/>
        </w:rPr>
        <w:br/>
      </w:r>
      <w:hyperlink r:id="rId30" w:history="1">
        <w:r w:rsidRPr="00B479AE">
          <w:rPr>
            <w:rStyle w:val="Collegamentoipertestuale"/>
            <w:rFonts w:ascii="Baskerville Old Face" w:hAnsi="Baskerville Old Face"/>
            <w:i/>
            <w:iCs/>
          </w:rPr>
          <w:t>https://doi.org/10.1021/acs.est.1c04158</w:t>
        </w:r>
      </w:hyperlink>
    </w:p>
    <w:p w14:paraId="333A2D1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Wang-Erlandsson, L., et al. (2022). A planetary boundary for green water. Nature Reviews Earth &amp; Environment.</w:t>
      </w:r>
      <w:r w:rsidRPr="00B479AE">
        <w:rPr>
          <w:rFonts w:ascii="Baskerville Old Face" w:hAnsi="Baskerville Old Face"/>
          <w:i/>
          <w:iCs/>
        </w:rPr>
        <w:br/>
      </w:r>
      <w:hyperlink r:id="rId31" w:history="1">
        <w:r w:rsidRPr="00B479AE">
          <w:rPr>
            <w:rStyle w:val="Collegamentoipertestuale"/>
            <w:rFonts w:ascii="Baskerville Old Face" w:hAnsi="Baskerville Old Face"/>
            <w:i/>
            <w:iCs/>
          </w:rPr>
          <w:t>https://doi.org/10.1038/s43017-022-00287-8</w:t>
        </w:r>
      </w:hyperlink>
    </w:p>
    <w:p w14:paraId="59DFC84E"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Stockholm Resilience Centre – Planetary Boundaries</w:t>
      </w:r>
      <w:r w:rsidRPr="00B479AE">
        <w:rPr>
          <w:rFonts w:ascii="Baskerville Old Face" w:hAnsi="Baskerville Old Face"/>
          <w:i/>
          <w:iCs/>
        </w:rPr>
        <w:br/>
      </w:r>
      <w:hyperlink r:id="rId32" w:history="1">
        <w:r w:rsidRPr="00B479AE">
          <w:rPr>
            <w:rStyle w:val="Collegamentoipertestuale"/>
            <w:rFonts w:ascii="Baskerville Old Face" w:hAnsi="Baskerville Old Face"/>
            <w:i/>
            <w:iCs/>
          </w:rPr>
          <w:t>https://www.stockholmresilience.org/research/planetary-boundaries.html</w:t>
        </w:r>
      </w:hyperlink>
    </w:p>
    <w:p w14:paraId="79143E16"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Potsdam Institute – Planetary Health Check</w:t>
      </w:r>
      <w:r w:rsidRPr="00B479AE">
        <w:rPr>
          <w:rFonts w:ascii="Baskerville Old Face" w:hAnsi="Baskerville Old Face"/>
          <w:i/>
          <w:iCs/>
        </w:rPr>
        <w:br/>
      </w:r>
      <w:hyperlink r:id="rId33" w:history="1">
        <w:r w:rsidRPr="00B479AE">
          <w:rPr>
            <w:rStyle w:val="Collegamentoipertestuale"/>
            <w:rFonts w:ascii="Baskerville Old Face" w:hAnsi="Baskerville Old Face"/>
            <w:i/>
            <w:iCs/>
          </w:rPr>
          <w:t>https://planetaryhealthcheck.org</w:t>
        </w:r>
      </w:hyperlink>
    </w:p>
    <w:p w14:paraId="189EC576"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Defines ecological constraints embedded in MRV architecture and PRU admissibility thresholds</w:t>
      </w:r>
    </w:p>
    <w:p w14:paraId="7E450E96"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Regenerative Economics and Financial Systems</w:t>
      </w:r>
    </w:p>
    <w:p w14:paraId="3A4D8DFF"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Fullerton, J. (2015). Regenerative Capitalism. Capital Institute</w:t>
      </w:r>
      <w:r w:rsidRPr="00B479AE">
        <w:rPr>
          <w:rFonts w:ascii="Baskerville Old Face" w:hAnsi="Baskerville Old Face"/>
          <w:i/>
          <w:iCs/>
        </w:rPr>
        <w:br/>
      </w:r>
      <w:hyperlink r:id="rId34" w:history="1">
        <w:r w:rsidRPr="00B479AE">
          <w:rPr>
            <w:rStyle w:val="Collegamentoipertestuale"/>
            <w:rFonts w:ascii="Baskerville Old Face" w:hAnsi="Baskerville Old Face"/>
            <w:i/>
            <w:iCs/>
          </w:rPr>
          <w:t>https://capitalinstitute.org/wp-content/uploads/2015/04/2015-Regenerative-Capitalism-4-20-15-final.pdf</w:t>
        </w:r>
      </w:hyperlink>
    </w:p>
    <w:p w14:paraId="4C4D5311"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Minsky, H. P. (1986). Stabilizing an Unstable Economy. Yale University Press</w:t>
      </w:r>
    </w:p>
    <w:p w14:paraId="4D788E70"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Keen, S. (2021). The New Economics: A Manifesto. Polity Press</w:t>
      </w:r>
    </w:p>
    <w:p w14:paraId="24FD41AB"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 Schumacher, E. F. (1973). Small Is Beautiful. Blond &amp; Briggs</w:t>
      </w:r>
    </w:p>
    <w:p w14:paraId="22CD14F0"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Informs capital cycles, systemic instability, and PRMF valuation logic</w:t>
      </w:r>
    </w:p>
    <w:p w14:paraId="60EC06F9"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Complexity Economics and Emergent Value</w:t>
      </w:r>
    </w:p>
    <w:p w14:paraId="59D468EE"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Beinhocker</w:t>
      </w:r>
      <w:proofErr w:type="spellEnd"/>
      <w:r w:rsidRPr="00B479AE">
        <w:rPr>
          <w:rFonts w:ascii="Baskerville Old Face" w:hAnsi="Baskerville Old Face"/>
          <w:i/>
          <w:iCs/>
        </w:rPr>
        <w:t>, E. (2006). The Origin of Wealth. Harvard Business School Press</w:t>
      </w:r>
    </w:p>
    <w:p w14:paraId="44CA509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Arthur, W. B. (2015). Complexity and the Economy. Oxford University Press</w:t>
      </w:r>
    </w:p>
    <w:p w14:paraId="2081D046"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Harris-Braun, E. – Center for New Economics</w:t>
      </w:r>
      <w:r w:rsidRPr="00B479AE">
        <w:rPr>
          <w:rFonts w:ascii="Baskerville Old Face" w:hAnsi="Baskerville Old Face"/>
          <w:i/>
          <w:iCs/>
        </w:rPr>
        <w:br/>
      </w:r>
      <w:hyperlink r:id="rId35" w:history="1">
        <w:r w:rsidRPr="00B479AE">
          <w:rPr>
            <w:rStyle w:val="Collegamentoipertestuale"/>
            <w:rFonts w:ascii="Baskerville Old Face" w:hAnsi="Baskerville Old Face"/>
            <w:i/>
            <w:iCs/>
          </w:rPr>
          <w:t>https://centerforneweconomics.org</w:t>
        </w:r>
      </w:hyperlink>
    </w:p>
    <w:p w14:paraId="2F1FE21A" w14:textId="67C0343B"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Establishes non-linear value generation </w:t>
      </w:r>
      <w:r w:rsidRPr="00B479AE">
        <w:rPr>
          <w:rFonts w:ascii="Times New Roman" w:hAnsi="Times New Roman" w:cs="Times New Roman"/>
          <w:i/>
          <w:iCs/>
        </w:rPr>
        <w:t>→</w:t>
      </w:r>
      <w:r w:rsidRPr="00B479AE">
        <w:rPr>
          <w:rFonts w:ascii="Baskerville Old Face" w:hAnsi="Baskerville Old Face"/>
          <w:i/>
          <w:iCs/>
        </w:rPr>
        <w:t xml:space="preserve"> foundation of CESI and </w:t>
      </w:r>
      <w:r w:rsidR="009D194F" w:rsidRPr="00B479AE">
        <w:rPr>
          <w:rFonts w:ascii="Baskerville Old Face" w:hAnsi="Baskerville Old Face"/>
          <w:i/>
          <w:iCs/>
        </w:rPr>
        <w:t xml:space="preserve">PRU maturity classification </w:t>
      </w:r>
      <w:r w:rsidR="00EE7E97" w:rsidRPr="00B479AE">
        <w:rPr>
          <w:rFonts w:ascii="Baskerville Old Face" w:hAnsi="Baskerville Old Face"/>
          <w:i/>
          <w:iCs/>
        </w:rPr>
        <w:t xml:space="preserve"> </w:t>
      </w:r>
    </w:p>
    <w:p w14:paraId="101F8899"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Syntropic Agriculture and Agroforestry Systems</w:t>
      </w:r>
    </w:p>
    <w:p w14:paraId="24C809F5"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Götsch</w:t>
      </w:r>
      <w:proofErr w:type="spellEnd"/>
      <w:r w:rsidRPr="00B479AE">
        <w:rPr>
          <w:rFonts w:ascii="Baskerville Old Face" w:hAnsi="Baskerville Old Face"/>
          <w:i/>
          <w:iCs/>
        </w:rPr>
        <w:t>, E. (1992). Natural succession in agroforestry systems</w:t>
      </w:r>
      <w:r w:rsidRPr="00B479AE">
        <w:rPr>
          <w:rFonts w:ascii="Baskerville Old Face" w:hAnsi="Baskerville Old Face"/>
          <w:i/>
          <w:iCs/>
        </w:rPr>
        <w:br/>
      </w:r>
      <w:hyperlink r:id="rId36" w:history="1">
        <w:r w:rsidRPr="00B479AE">
          <w:rPr>
            <w:rStyle w:val="Collegamentoipertestuale"/>
            <w:rFonts w:ascii="Baskerville Old Face" w:hAnsi="Baskerville Old Face"/>
            <w:i/>
            <w:iCs/>
          </w:rPr>
          <w:t>https://agendagotsch.com/en/our-videos/</w:t>
        </w:r>
      </w:hyperlink>
    </w:p>
    <w:p w14:paraId="2932D49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Schulz, B., Becker, B., &amp; </w:t>
      </w:r>
      <w:proofErr w:type="spellStart"/>
      <w:r w:rsidRPr="00B479AE">
        <w:rPr>
          <w:rFonts w:ascii="Baskerville Old Face" w:hAnsi="Baskerville Old Face"/>
          <w:i/>
          <w:iCs/>
        </w:rPr>
        <w:t>Götsch</w:t>
      </w:r>
      <w:proofErr w:type="spellEnd"/>
      <w:r w:rsidRPr="00B479AE">
        <w:rPr>
          <w:rFonts w:ascii="Baskerville Old Face" w:hAnsi="Baskerville Old Face"/>
          <w:i/>
          <w:iCs/>
        </w:rPr>
        <w:t>, E. (1994). Indigenous knowledge in agroforestry. Agroforestry Systems</w:t>
      </w:r>
      <w:r w:rsidRPr="00B479AE">
        <w:rPr>
          <w:rFonts w:ascii="Baskerville Old Face" w:hAnsi="Baskerville Old Face"/>
          <w:i/>
          <w:iCs/>
        </w:rPr>
        <w:br/>
      </w:r>
      <w:hyperlink r:id="rId37" w:history="1">
        <w:r w:rsidRPr="00B479AE">
          <w:rPr>
            <w:rStyle w:val="Collegamentoipertestuale"/>
            <w:rFonts w:ascii="Baskerville Old Face" w:hAnsi="Baskerville Old Face"/>
            <w:i/>
            <w:iCs/>
          </w:rPr>
          <w:t>https://doi.org/10.1007/BF00705143</w:t>
        </w:r>
      </w:hyperlink>
    </w:p>
    <w:p w14:paraId="1E11B357"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Armengot</w:t>
      </w:r>
      <w:proofErr w:type="spellEnd"/>
      <w:r w:rsidRPr="00B479AE">
        <w:rPr>
          <w:rFonts w:ascii="Baskerville Old Face" w:hAnsi="Baskerville Old Face"/>
          <w:i/>
          <w:iCs/>
        </w:rPr>
        <w:t>, L., et al. (2016). Agroforestry vs monoculture productivity. Agronomy for Sustainable Development</w:t>
      </w:r>
      <w:r w:rsidRPr="00B479AE">
        <w:rPr>
          <w:rFonts w:ascii="Baskerville Old Face" w:hAnsi="Baskerville Old Face"/>
          <w:i/>
          <w:iCs/>
        </w:rPr>
        <w:br/>
      </w:r>
      <w:hyperlink r:id="rId38" w:history="1">
        <w:r w:rsidRPr="00B479AE">
          <w:rPr>
            <w:rStyle w:val="Collegamentoipertestuale"/>
            <w:rFonts w:ascii="Baskerville Old Face" w:hAnsi="Baskerville Old Face"/>
            <w:i/>
            <w:iCs/>
          </w:rPr>
          <w:t>https://doi.org/10.1007/s13593-016-0407-9</w:t>
        </w:r>
      </w:hyperlink>
    </w:p>
    <w:p w14:paraId="2819E354"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Andres, C., et al. (2016). Dynamic agroforestry systems. Springer</w:t>
      </w:r>
      <w:r w:rsidRPr="00B479AE">
        <w:rPr>
          <w:rFonts w:ascii="Baskerville Old Face" w:hAnsi="Baskerville Old Face"/>
          <w:i/>
          <w:iCs/>
        </w:rPr>
        <w:br/>
      </w:r>
      <w:hyperlink r:id="rId39" w:history="1">
        <w:r w:rsidRPr="00B479AE">
          <w:rPr>
            <w:rStyle w:val="Collegamentoipertestuale"/>
            <w:rFonts w:ascii="Baskerville Old Face" w:hAnsi="Baskerville Old Face"/>
            <w:i/>
            <w:iCs/>
          </w:rPr>
          <w:t>https://doi.org/10.1007/978-3-319-26777-7_4</w:t>
        </w:r>
      </w:hyperlink>
    </w:p>
    <w:p w14:paraId="0432D560"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Jacobi, J., et al. (2025). Syntropic farming systems</w:t>
      </w:r>
    </w:p>
    <w:p w14:paraId="2D307EC5"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Mountain Time Farm. (2025). The economics of syntropic agroforestry</w:t>
      </w:r>
      <w:r w:rsidRPr="00B479AE">
        <w:rPr>
          <w:rFonts w:ascii="Baskerville Old Face" w:hAnsi="Baskerville Old Face"/>
          <w:i/>
          <w:iCs/>
        </w:rPr>
        <w:br/>
      </w:r>
      <w:hyperlink r:id="rId40" w:history="1">
        <w:r w:rsidRPr="00B479AE">
          <w:rPr>
            <w:rStyle w:val="Collegamentoipertestuale"/>
            <w:rFonts w:ascii="Baskerville Old Face" w:hAnsi="Baskerville Old Face"/>
            <w:i/>
            <w:iCs/>
          </w:rPr>
          <w:t>https://mountaintimefarm.com/pages/the-economics-of-syntropic-agroforestry</w:t>
        </w:r>
      </w:hyperlink>
    </w:p>
    <w:p w14:paraId="387C1C91"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Empirical basis for SRI (resilience), RPI (productivity), and CESI (cooperative ecological surplus)</w:t>
      </w:r>
    </w:p>
    <w:p w14:paraId="0C60A7B8" w14:textId="5F0427B8" w:rsidR="00A25DE1" w:rsidRPr="00B479AE" w:rsidRDefault="00A25DE1" w:rsidP="00A25DE1">
      <w:pPr>
        <w:tabs>
          <w:tab w:val="left" w:pos="1440"/>
        </w:tabs>
        <w:spacing w:line="360" w:lineRule="auto"/>
        <w:rPr>
          <w:rFonts w:ascii="Baskerville Old Face" w:hAnsi="Baskerville Old Face"/>
          <w:i/>
          <w:iCs/>
        </w:rPr>
      </w:pPr>
    </w:p>
    <w:p w14:paraId="730EE46E"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lastRenderedPageBreak/>
        <w:t>System-Level Productivity and Syntropic Performance Evidence</w:t>
      </w:r>
    </w:p>
    <w:p w14:paraId="1D5E3EB5"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The Lancet Planetary Health (2025). Systematic review of syntropic agroforestry systems (67 empirical studies)</w:t>
      </w:r>
    </w:p>
    <w:p w14:paraId="43986B36"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Key synthesized findings:</w:t>
      </w:r>
    </w:p>
    <w:p w14:paraId="4955DF11"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In multiple cases, total system yields and total marketable outputs exceed comparator systems, confirming superiority at system level rather than single-crop metrics</w:t>
      </w:r>
    </w:p>
    <w:p w14:paraId="7E5B70F4"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Land Equivalent Ratios (LER): 2.8–4.1, indicating significantly higher total value per unit land compared to monocultures</w:t>
      </w:r>
    </w:p>
    <w:p w14:paraId="1509426B"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System income increases: +33% to +200% relative to comparator cropping systems</w:t>
      </w:r>
    </w:p>
    <w:p w14:paraId="1F45CD6D"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Brazilian case study:</w:t>
      </w:r>
    </w:p>
    <w:p w14:paraId="53E69E2C" w14:textId="77777777" w:rsidR="00A25DE1" w:rsidRPr="00B479AE" w:rsidRDefault="00A25DE1">
      <w:pPr>
        <w:numPr>
          <w:ilvl w:val="0"/>
          <w:numId w:val="15"/>
        </w:numPr>
        <w:tabs>
          <w:tab w:val="left" w:pos="1440"/>
        </w:tabs>
        <w:spacing w:line="360" w:lineRule="auto"/>
        <w:rPr>
          <w:rFonts w:ascii="Baskerville Old Face" w:hAnsi="Baskerville Old Face"/>
          <w:i/>
          <w:iCs/>
        </w:rPr>
      </w:pPr>
      <w:r w:rsidRPr="00B479AE">
        <w:rPr>
          <w:rFonts w:ascii="Baskerville Old Face" w:hAnsi="Baskerville Old Face"/>
          <w:i/>
          <w:iCs/>
        </w:rPr>
        <w:t>biomass input: 28.6 t/ha/year</w:t>
      </w:r>
    </w:p>
    <w:p w14:paraId="514ED414" w14:textId="77777777" w:rsidR="00A25DE1" w:rsidRPr="00B479AE" w:rsidRDefault="00A25DE1">
      <w:pPr>
        <w:numPr>
          <w:ilvl w:val="0"/>
          <w:numId w:val="15"/>
        </w:numPr>
        <w:tabs>
          <w:tab w:val="left" w:pos="1440"/>
        </w:tabs>
        <w:spacing w:line="360" w:lineRule="auto"/>
        <w:rPr>
          <w:rFonts w:ascii="Baskerville Old Face" w:hAnsi="Baskerville Old Face"/>
          <w:i/>
          <w:iCs/>
        </w:rPr>
      </w:pPr>
      <w:r w:rsidRPr="00B479AE">
        <w:rPr>
          <w:rFonts w:ascii="Baskerville Old Face" w:hAnsi="Baskerville Old Face"/>
          <w:i/>
          <w:iCs/>
        </w:rPr>
        <w:t xml:space="preserve">soil organic carbon increase: 56 </w:t>
      </w:r>
      <w:r w:rsidRPr="00B479AE">
        <w:rPr>
          <w:rFonts w:ascii="Times New Roman" w:hAnsi="Times New Roman" w:cs="Times New Roman"/>
          <w:i/>
          <w:iCs/>
        </w:rPr>
        <w:t>→</w:t>
      </w:r>
      <w:r w:rsidRPr="00B479AE">
        <w:rPr>
          <w:rFonts w:ascii="Baskerville Old Face" w:hAnsi="Baskerville Old Face"/>
          <w:i/>
          <w:iCs/>
        </w:rPr>
        <w:t xml:space="preserve"> 79.6 t C/ha over 6 years</w:t>
      </w:r>
    </w:p>
    <w:p w14:paraId="582AD1CA"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These results demonstrate high performance ceilings under favorable conditions while explicitly confirming:</w:t>
      </w:r>
    </w:p>
    <w:p w14:paraId="7DBF1A01"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context dependency</w:t>
      </w:r>
      <w:r w:rsidRPr="00B479AE">
        <w:rPr>
          <w:rFonts w:ascii="Baskerville Old Face" w:hAnsi="Baskerville Old Face"/>
          <w:i/>
          <w:iCs/>
        </w:rPr>
        <w:br/>
        <w:t>• labor and knowledge intensity</w:t>
      </w:r>
      <w:r w:rsidRPr="00B479AE">
        <w:rPr>
          <w:rFonts w:ascii="Baskerville Old Face" w:hAnsi="Baskerville Old Face"/>
          <w:i/>
          <w:iCs/>
        </w:rPr>
        <w:br/>
        <w:t>• policy and enabling environment constraints</w:t>
      </w:r>
    </w:p>
    <w:p w14:paraId="2755A096" w14:textId="07C2BB2E"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Establishes system-level productivity as the correct evaluation framework for OHE and PRU valu</w:t>
      </w:r>
      <w:r w:rsidR="00C91C6A" w:rsidRPr="00B479AE">
        <w:rPr>
          <w:rFonts w:ascii="Baskerville Old Face" w:hAnsi="Baskerville Old Face"/>
          <w:i/>
          <w:iCs/>
        </w:rPr>
        <w:t>e analysis</w:t>
      </w:r>
    </w:p>
    <w:p w14:paraId="2A4F65C4"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Soil Systems, Carbon Dynamics, and Microbial Ecology</w:t>
      </w:r>
    </w:p>
    <w:p w14:paraId="42FFD7E9" w14:textId="77777777" w:rsidR="00A25DE1" w:rsidRPr="005907F1" w:rsidRDefault="00A25DE1" w:rsidP="00A25DE1">
      <w:pPr>
        <w:tabs>
          <w:tab w:val="left" w:pos="1440"/>
        </w:tabs>
        <w:spacing w:line="360" w:lineRule="auto"/>
        <w:rPr>
          <w:rFonts w:ascii="Baskerville Old Face" w:hAnsi="Baskerville Old Face"/>
          <w:i/>
          <w:iCs/>
          <w:lang w:val="it-IT"/>
        </w:rPr>
      </w:pPr>
      <w:r w:rsidRPr="005907F1">
        <w:rPr>
          <w:rFonts w:ascii="Baskerville Old Face" w:hAnsi="Baskerville Old Face"/>
          <w:i/>
          <w:iCs/>
          <w:lang w:val="it-IT"/>
        </w:rPr>
        <w:t xml:space="preserve">• Lal, R. (2004). </w:t>
      </w:r>
      <w:proofErr w:type="spellStart"/>
      <w:r w:rsidRPr="005907F1">
        <w:rPr>
          <w:rFonts w:ascii="Baskerville Old Face" w:hAnsi="Baskerville Old Face"/>
          <w:i/>
          <w:iCs/>
          <w:lang w:val="it-IT"/>
        </w:rPr>
        <w:t>Soil</w:t>
      </w:r>
      <w:proofErr w:type="spellEnd"/>
      <w:r w:rsidRPr="005907F1">
        <w:rPr>
          <w:rFonts w:ascii="Baskerville Old Face" w:hAnsi="Baskerville Old Face"/>
          <w:i/>
          <w:iCs/>
          <w:lang w:val="it-IT"/>
        </w:rPr>
        <w:t xml:space="preserve"> carbon </w:t>
      </w:r>
      <w:proofErr w:type="spellStart"/>
      <w:r w:rsidRPr="005907F1">
        <w:rPr>
          <w:rFonts w:ascii="Baskerville Old Face" w:hAnsi="Baskerville Old Face"/>
          <w:i/>
          <w:iCs/>
          <w:lang w:val="it-IT"/>
        </w:rPr>
        <w:t>sequestration</w:t>
      </w:r>
      <w:proofErr w:type="spellEnd"/>
      <w:r w:rsidRPr="005907F1">
        <w:rPr>
          <w:rFonts w:ascii="Baskerville Old Face" w:hAnsi="Baskerville Old Face"/>
          <w:i/>
          <w:iCs/>
          <w:lang w:val="it-IT"/>
        </w:rPr>
        <w:t>. Science</w:t>
      </w:r>
      <w:r w:rsidRPr="005907F1">
        <w:rPr>
          <w:rFonts w:ascii="Baskerville Old Face" w:hAnsi="Baskerville Old Face"/>
          <w:i/>
          <w:iCs/>
          <w:lang w:val="it-IT"/>
        </w:rPr>
        <w:br/>
      </w:r>
      <w:hyperlink r:id="rId41" w:history="1">
        <w:r w:rsidRPr="005907F1">
          <w:rPr>
            <w:rStyle w:val="Collegamentoipertestuale"/>
            <w:rFonts w:ascii="Baskerville Old Face" w:hAnsi="Baskerville Old Face"/>
            <w:i/>
            <w:iCs/>
            <w:lang w:val="it-IT"/>
          </w:rPr>
          <w:t>https://doi.org/10.1126/science.1097396</w:t>
        </w:r>
      </w:hyperlink>
    </w:p>
    <w:p w14:paraId="6C0AD8F6"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Lehmann, J., &amp; Kleber, M. (2015). Soil organic matter. Nature</w:t>
      </w:r>
      <w:r w:rsidRPr="00B479AE">
        <w:rPr>
          <w:rFonts w:ascii="Baskerville Old Face" w:hAnsi="Baskerville Old Face"/>
          <w:i/>
          <w:iCs/>
        </w:rPr>
        <w:br/>
      </w:r>
      <w:hyperlink r:id="rId42" w:history="1">
        <w:r w:rsidRPr="00B479AE">
          <w:rPr>
            <w:rStyle w:val="Collegamentoipertestuale"/>
            <w:rFonts w:ascii="Baskerville Old Face" w:hAnsi="Baskerville Old Face"/>
            <w:i/>
            <w:iCs/>
          </w:rPr>
          <w:t>https://doi.org/10.1038/nature16069</w:t>
        </w:r>
      </w:hyperlink>
    </w:p>
    <w:p w14:paraId="773254F8"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lastRenderedPageBreak/>
        <w:t xml:space="preserve">• Six, J., et al. (2002). Stabilization of soil organic matter. Plant and </w:t>
      </w:r>
      <w:proofErr w:type="gramStart"/>
      <w:r w:rsidRPr="00B479AE">
        <w:rPr>
          <w:rFonts w:ascii="Baskerville Old Face" w:hAnsi="Baskerville Old Face"/>
          <w:i/>
          <w:iCs/>
        </w:rPr>
        <w:t>Soil</w:t>
      </w:r>
      <w:proofErr w:type="gramEnd"/>
      <w:r w:rsidRPr="00B479AE">
        <w:rPr>
          <w:rFonts w:ascii="Baskerville Old Face" w:hAnsi="Baskerville Old Face"/>
          <w:i/>
          <w:iCs/>
        </w:rPr>
        <w:br/>
      </w:r>
      <w:hyperlink r:id="rId43" w:history="1">
        <w:r w:rsidRPr="00B479AE">
          <w:rPr>
            <w:rStyle w:val="Collegamentoipertestuale"/>
            <w:rFonts w:ascii="Baskerville Old Face" w:hAnsi="Baskerville Old Face"/>
            <w:i/>
            <w:iCs/>
          </w:rPr>
          <w:t>https://doi.org/10.1023/A:1016125726789</w:t>
        </w:r>
      </w:hyperlink>
    </w:p>
    <w:p w14:paraId="60F294D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Bardgett, R. D., &amp; van der Putten, W. H. (2014). Belowground biodiversity. Nature</w:t>
      </w:r>
      <w:r w:rsidRPr="00B479AE">
        <w:rPr>
          <w:rFonts w:ascii="Baskerville Old Face" w:hAnsi="Baskerville Old Face"/>
          <w:i/>
          <w:iCs/>
        </w:rPr>
        <w:br/>
      </w:r>
      <w:hyperlink r:id="rId44" w:history="1">
        <w:r w:rsidRPr="00B479AE">
          <w:rPr>
            <w:rStyle w:val="Collegamentoipertestuale"/>
            <w:rFonts w:ascii="Baskerville Old Face" w:hAnsi="Baskerville Old Face"/>
            <w:i/>
            <w:iCs/>
          </w:rPr>
          <w:t>https://doi.org/10.1038/nature13855</w:t>
        </w:r>
      </w:hyperlink>
    </w:p>
    <w:p w14:paraId="55441753"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Scientific basis of soil resilience, carbon dynamics, and SRI behavior</w:t>
      </w:r>
    </w:p>
    <w:p w14:paraId="18A5E80A"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Biochemical Signaling and Plant Interaction</w:t>
      </w:r>
    </w:p>
    <w:p w14:paraId="2FC3757E"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Araniti</w:t>
      </w:r>
      <w:proofErr w:type="spellEnd"/>
      <w:r w:rsidRPr="00B479AE">
        <w:rPr>
          <w:rFonts w:ascii="Baskerville Old Face" w:hAnsi="Baskerville Old Face"/>
          <w:i/>
          <w:iCs/>
        </w:rPr>
        <w:t>, F., et al. (2017). Allelopathy and plant metabolites. Agronomy for Sustainable Development</w:t>
      </w:r>
      <w:r w:rsidRPr="00B479AE">
        <w:rPr>
          <w:rFonts w:ascii="Baskerville Old Face" w:hAnsi="Baskerville Old Face"/>
          <w:i/>
          <w:iCs/>
        </w:rPr>
        <w:br/>
      </w:r>
      <w:hyperlink r:id="rId45" w:history="1">
        <w:r w:rsidRPr="00B479AE">
          <w:rPr>
            <w:rStyle w:val="Collegamentoipertestuale"/>
            <w:rFonts w:ascii="Baskerville Old Face" w:hAnsi="Baskerville Old Face"/>
            <w:i/>
            <w:iCs/>
          </w:rPr>
          <w:t>https://doi.org/10.1007/s13593-017-0429-0</w:t>
        </w:r>
      </w:hyperlink>
    </w:p>
    <w:p w14:paraId="787F1C8A" w14:textId="77777777" w:rsidR="00A25DE1" w:rsidRPr="00B479AE" w:rsidRDefault="00A25DE1" w:rsidP="00A25DE1">
      <w:pPr>
        <w:tabs>
          <w:tab w:val="left" w:pos="1440"/>
        </w:tabs>
        <w:spacing w:line="360" w:lineRule="auto"/>
        <w:rPr>
          <w:rFonts w:ascii="Baskerville Old Face" w:hAnsi="Baskerville Old Face"/>
          <w:i/>
          <w:iCs/>
        </w:rPr>
      </w:pPr>
      <w:r w:rsidRPr="005907F1">
        <w:rPr>
          <w:rFonts w:ascii="Baskerville Old Face" w:hAnsi="Baskerville Old Face"/>
          <w:i/>
          <w:iCs/>
          <w:lang w:val="it-IT"/>
        </w:rPr>
        <w:t xml:space="preserve">• Araniti, F., &amp; Abenavoli, M. R. (2015). </w:t>
      </w:r>
      <w:r w:rsidRPr="00B479AE">
        <w:rPr>
          <w:rFonts w:ascii="Baskerville Old Face" w:hAnsi="Baskerville Old Face"/>
          <w:i/>
          <w:iCs/>
        </w:rPr>
        <w:t>Allelochemical interactions. Plant Signaling &amp; Behavior</w:t>
      </w:r>
      <w:r w:rsidRPr="00B479AE">
        <w:rPr>
          <w:rFonts w:ascii="Baskerville Old Face" w:hAnsi="Baskerville Old Face"/>
          <w:i/>
          <w:iCs/>
        </w:rPr>
        <w:br/>
      </w:r>
      <w:hyperlink r:id="rId46" w:history="1">
        <w:r w:rsidRPr="00B479AE">
          <w:rPr>
            <w:rStyle w:val="Collegamentoipertestuale"/>
            <w:rFonts w:ascii="Baskerville Old Face" w:hAnsi="Baskerville Old Face"/>
            <w:i/>
            <w:iCs/>
          </w:rPr>
          <w:t>https://doi.org/10.4161/15592324.2014.991574</w:t>
        </w:r>
      </w:hyperlink>
    </w:p>
    <w:p w14:paraId="3F76DC0F"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Supports biochemical layer of ecological intelligence and adaptive response mechanisms</w:t>
      </w:r>
    </w:p>
    <w:p w14:paraId="65DABB9F"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Mycorrhizal Networks and Ecosystem Cooperation</w:t>
      </w:r>
    </w:p>
    <w:p w14:paraId="135CB7BA"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Simard, S. W., et al. (1997). Carbon transfer between tree species. Nature</w:t>
      </w:r>
      <w:r w:rsidRPr="00B479AE">
        <w:rPr>
          <w:rFonts w:ascii="Baskerville Old Face" w:hAnsi="Baskerville Old Face"/>
          <w:i/>
          <w:iCs/>
        </w:rPr>
        <w:br/>
      </w:r>
      <w:hyperlink r:id="rId47" w:history="1">
        <w:r w:rsidRPr="00B479AE">
          <w:rPr>
            <w:rStyle w:val="Collegamentoipertestuale"/>
            <w:rFonts w:ascii="Baskerville Old Face" w:hAnsi="Baskerville Old Face"/>
            <w:i/>
            <w:iCs/>
          </w:rPr>
          <w:t>https://doi.org/10.1038/41557</w:t>
        </w:r>
      </w:hyperlink>
    </w:p>
    <w:p w14:paraId="670122CD"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Simard, S. W., et al. (2012). Mycorrhizal networks. Fungal Biology Reviews</w:t>
      </w:r>
      <w:r w:rsidRPr="00B479AE">
        <w:rPr>
          <w:rFonts w:ascii="Baskerville Old Face" w:hAnsi="Baskerville Old Face"/>
          <w:i/>
          <w:iCs/>
        </w:rPr>
        <w:br/>
      </w:r>
      <w:hyperlink r:id="rId48" w:history="1">
        <w:r w:rsidRPr="00B479AE">
          <w:rPr>
            <w:rStyle w:val="Collegamentoipertestuale"/>
            <w:rFonts w:ascii="Baskerville Old Face" w:hAnsi="Baskerville Old Face"/>
            <w:i/>
            <w:iCs/>
          </w:rPr>
          <w:t>https://doi.org/10.1016/j.fbr.2012.01.001</w:t>
        </w:r>
      </w:hyperlink>
    </w:p>
    <w:p w14:paraId="31A0F036"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Empirical grounding of CESI (cooperative ecological value and network effects)</w:t>
      </w:r>
    </w:p>
    <w:p w14:paraId="61A2AA00"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Chemical Foundations of Soil Systems</w:t>
      </w:r>
    </w:p>
    <w:p w14:paraId="3860A3B5"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Meyer, L. (1870). Periodicity of chemical elements. Annalen der Chemie</w:t>
      </w:r>
    </w:p>
    <w:p w14:paraId="6E752B3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Meyer, L. (1890). Modern Theories of Chemistry. Longmans</w:t>
      </w:r>
    </w:p>
    <w:p w14:paraId="20071234"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Foundational understanding of nutrient cycles, elemental behavior, and soil chemistry</w:t>
      </w:r>
    </w:p>
    <w:p w14:paraId="3DBEE53C" w14:textId="77777777" w:rsidR="007A3FC5" w:rsidRDefault="007A3FC5" w:rsidP="00A25DE1">
      <w:pPr>
        <w:tabs>
          <w:tab w:val="left" w:pos="1440"/>
        </w:tabs>
        <w:spacing w:line="360" w:lineRule="auto"/>
        <w:rPr>
          <w:rFonts w:ascii="Baskerville Old Face" w:hAnsi="Baskerville Old Face"/>
          <w:b/>
          <w:bCs/>
          <w:i/>
          <w:iCs/>
        </w:rPr>
      </w:pPr>
    </w:p>
    <w:p w14:paraId="747E2C0F" w14:textId="77777777" w:rsidR="007A3FC5" w:rsidRDefault="007A3FC5" w:rsidP="00A25DE1">
      <w:pPr>
        <w:tabs>
          <w:tab w:val="left" w:pos="1440"/>
        </w:tabs>
        <w:spacing w:line="360" w:lineRule="auto"/>
        <w:rPr>
          <w:rFonts w:ascii="Baskerville Old Face" w:hAnsi="Baskerville Old Face"/>
          <w:b/>
          <w:bCs/>
          <w:i/>
          <w:iCs/>
        </w:rPr>
      </w:pPr>
    </w:p>
    <w:p w14:paraId="4C451FB6" w14:textId="5F6D05A3"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lastRenderedPageBreak/>
        <w:t>Ecological Degradation and Industrial Agriculture</w:t>
      </w:r>
    </w:p>
    <w:p w14:paraId="12DE6402"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Mulvaney, R. L., Khan, S. A., &amp; Ellsworth, T. R. (2009). Synthetic nitrogen fertilizers deplete soil nitrogen. Journal of Environmental Quality</w:t>
      </w:r>
    </w:p>
    <w:p w14:paraId="78AF60DD"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Evidence of systemic degradation and long-term instability in industrial agricultural systems</w:t>
      </w:r>
    </w:p>
    <w:p w14:paraId="2BEFF54D" w14:textId="77777777" w:rsidR="00A25DE1" w:rsidRPr="00B479AE" w:rsidRDefault="00A25DE1" w:rsidP="00A25DE1">
      <w:pPr>
        <w:tabs>
          <w:tab w:val="left" w:pos="1440"/>
        </w:tabs>
        <w:spacing w:line="360" w:lineRule="auto"/>
        <w:rPr>
          <w:rFonts w:ascii="Baskerville Old Face" w:hAnsi="Baskerville Old Face"/>
          <w:b/>
          <w:bCs/>
          <w:i/>
          <w:iCs/>
        </w:rPr>
      </w:pPr>
      <w:r w:rsidRPr="00B479AE">
        <w:rPr>
          <w:rFonts w:ascii="Baskerville Old Face" w:hAnsi="Baskerville Old Face"/>
          <w:b/>
          <w:bCs/>
          <w:i/>
          <w:iCs/>
        </w:rPr>
        <w:t>Indigenous Knowledge and Regenerative Intelligence</w:t>
      </w:r>
    </w:p>
    <w:p w14:paraId="2FA252D5"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CEPLAC – Brazilian Cacao Research Center</w:t>
      </w:r>
    </w:p>
    <w:p w14:paraId="01507047"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Baskerville Old Face" w:hAnsi="Baskerville Old Face"/>
          <w:i/>
          <w:iCs/>
        </w:rPr>
        <w:t xml:space="preserve">• Schulz, B., Becker, B., &amp; </w:t>
      </w:r>
      <w:proofErr w:type="spellStart"/>
      <w:r w:rsidRPr="00B479AE">
        <w:rPr>
          <w:rFonts w:ascii="Baskerville Old Face" w:hAnsi="Baskerville Old Face"/>
          <w:i/>
          <w:iCs/>
        </w:rPr>
        <w:t>Götsch</w:t>
      </w:r>
      <w:proofErr w:type="spellEnd"/>
      <w:r w:rsidRPr="00B479AE">
        <w:rPr>
          <w:rFonts w:ascii="Baskerville Old Face" w:hAnsi="Baskerville Old Face"/>
          <w:i/>
          <w:iCs/>
        </w:rPr>
        <w:t>, E. (1994)</w:t>
      </w:r>
    </w:p>
    <w:p w14:paraId="05EFFE6E" w14:textId="77777777" w:rsidR="00A25DE1" w:rsidRPr="00B479AE" w:rsidRDefault="00A25DE1" w:rsidP="00A25DE1">
      <w:pPr>
        <w:tabs>
          <w:tab w:val="left" w:pos="1440"/>
        </w:tabs>
        <w:spacing w:line="360" w:lineRule="auto"/>
        <w:rPr>
          <w:rFonts w:ascii="Baskerville Old Face" w:hAnsi="Baskerville Old Face"/>
          <w:i/>
          <w:iCs/>
        </w:rPr>
      </w:pPr>
      <w:r w:rsidRPr="00B479AE">
        <w:rPr>
          <w:rFonts w:ascii="Times New Roman" w:hAnsi="Times New Roman" w:cs="Times New Roman"/>
          <w:i/>
          <w:iCs/>
        </w:rPr>
        <w:t>→</w:t>
      </w:r>
      <w:r w:rsidRPr="00B479AE">
        <w:rPr>
          <w:rFonts w:ascii="Baskerville Old Face" w:hAnsi="Baskerville Old Face"/>
          <w:i/>
          <w:iCs/>
        </w:rPr>
        <w:t xml:space="preserve"> Demonstrates long-term ecological coherence and knowledge-driven system optimization</w:t>
      </w:r>
    </w:p>
    <w:p w14:paraId="03A4E4B2" w14:textId="5DFC9B65" w:rsidR="00FC6BCD" w:rsidRPr="00B479AE" w:rsidRDefault="00FC6BCD" w:rsidP="00FC6BCD">
      <w:pPr>
        <w:spacing w:line="360" w:lineRule="auto"/>
        <w:rPr>
          <w:rFonts w:ascii="Baskerville Old Face" w:hAnsi="Baskerville Old Face"/>
          <w:b/>
          <w:bCs/>
          <w:i/>
          <w:iCs/>
        </w:rPr>
      </w:pPr>
      <w:r w:rsidRPr="00B479AE">
        <w:rPr>
          <w:rFonts w:ascii="Baskerville Old Face" w:hAnsi="Baskerville Old Face"/>
          <w:b/>
          <w:bCs/>
          <w:i/>
          <w:iCs/>
        </w:rPr>
        <w:t xml:space="preserve">P.2.2 </w:t>
      </w:r>
      <w:proofErr w:type="spellStart"/>
      <w:r w:rsidRPr="00B479AE">
        <w:rPr>
          <w:rFonts w:ascii="Baskerville Old Face" w:hAnsi="Baskerville Old Face"/>
          <w:b/>
          <w:bCs/>
          <w:i/>
          <w:iCs/>
        </w:rPr>
        <w:t>Holochain</w:t>
      </w:r>
      <w:proofErr w:type="spellEnd"/>
      <w:r w:rsidRPr="00B479AE">
        <w:rPr>
          <w:rFonts w:ascii="Baskerville Old Face" w:hAnsi="Baskerville Old Face"/>
          <w:b/>
          <w:bCs/>
          <w:i/>
          <w:iCs/>
        </w:rPr>
        <w:t xml:space="preserve"> Technical Documentation</w:t>
      </w:r>
    </w:p>
    <w:p w14:paraId="67E6211B" w14:textId="77777777" w:rsidR="00FC6BCD" w:rsidRPr="00B479AE" w:rsidRDefault="00FC6BCD">
      <w:pPr>
        <w:numPr>
          <w:ilvl w:val="0"/>
          <w:numId w:val="11"/>
        </w:numPr>
        <w:spacing w:line="360" w:lineRule="auto"/>
        <w:rPr>
          <w:rFonts w:ascii="Baskerville Old Face" w:hAnsi="Baskerville Old Face"/>
          <w:i/>
          <w:iCs/>
        </w:rPr>
      </w:pPr>
      <w:r w:rsidRPr="00B479AE">
        <w:rPr>
          <w:rFonts w:ascii="Baskerville Old Face" w:hAnsi="Baskerville Old Face"/>
          <w:i/>
          <w:iCs/>
        </w:rPr>
        <w:t xml:space="preserve">Harris-Braun, E., Luck, N., &amp; Brock, A. (2018). </w:t>
      </w:r>
      <w:proofErr w:type="spellStart"/>
      <w:r w:rsidRPr="00B479AE">
        <w:rPr>
          <w:rFonts w:ascii="Baskerville Old Face" w:hAnsi="Baskerville Old Face"/>
          <w:i/>
          <w:iCs/>
        </w:rPr>
        <w:t>Holochain</w:t>
      </w:r>
      <w:proofErr w:type="spellEnd"/>
      <w:r w:rsidRPr="00B479AE">
        <w:rPr>
          <w:rFonts w:ascii="Baskerville Old Face" w:hAnsi="Baskerville Old Face"/>
          <w:i/>
          <w:iCs/>
        </w:rPr>
        <w:br/>
      </w:r>
      <w:hyperlink r:id="rId49" w:history="1">
        <w:r w:rsidRPr="00B479AE">
          <w:rPr>
            <w:rStyle w:val="Collegamentoipertestuale"/>
            <w:rFonts w:ascii="Baskerville Old Face" w:hAnsi="Baskerville Old Face"/>
            <w:i/>
            <w:iCs/>
          </w:rPr>
          <w:t>https://holochain.org</w:t>
        </w:r>
      </w:hyperlink>
    </w:p>
    <w:p w14:paraId="0290FB9A" w14:textId="77777777" w:rsidR="00FC6BCD" w:rsidRPr="00B479AE" w:rsidRDefault="00FC6BCD">
      <w:pPr>
        <w:numPr>
          <w:ilvl w:val="0"/>
          <w:numId w:val="11"/>
        </w:num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Developer Documentation</w:t>
      </w:r>
      <w:r w:rsidRPr="00B479AE">
        <w:rPr>
          <w:rFonts w:ascii="Baskerville Old Face" w:hAnsi="Baskerville Old Face"/>
          <w:i/>
          <w:iCs/>
        </w:rPr>
        <w:br/>
      </w:r>
      <w:hyperlink r:id="rId50" w:history="1">
        <w:r w:rsidRPr="00B479AE">
          <w:rPr>
            <w:rStyle w:val="Collegamentoipertestuale"/>
            <w:rFonts w:ascii="Baskerville Old Face" w:hAnsi="Baskerville Old Face"/>
            <w:i/>
            <w:iCs/>
          </w:rPr>
          <w:t>https://developer.holochain.org</w:t>
        </w:r>
      </w:hyperlink>
    </w:p>
    <w:p w14:paraId="0F1100EA" w14:textId="77777777" w:rsidR="00FC6BCD" w:rsidRPr="00B479AE" w:rsidRDefault="00FC6BCD">
      <w:pPr>
        <w:numPr>
          <w:ilvl w:val="0"/>
          <w:numId w:val="11"/>
        </w:num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Glossary</w:t>
      </w:r>
      <w:r w:rsidRPr="00B479AE">
        <w:rPr>
          <w:rFonts w:ascii="Baskerville Old Face" w:hAnsi="Baskerville Old Face"/>
          <w:i/>
          <w:iCs/>
        </w:rPr>
        <w:br/>
      </w:r>
      <w:hyperlink r:id="rId51" w:history="1">
        <w:r w:rsidRPr="00B479AE">
          <w:rPr>
            <w:rStyle w:val="Collegamentoipertestuale"/>
            <w:rFonts w:ascii="Baskerville Old Face" w:hAnsi="Baskerville Old Face"/>
            <w:i/>
            <w:iCs/>
          </w:rPr>
          <w:t>https://developer.holochain.org/resources/glossary</w:t>
        </w:r>
      </w:hyperlink>
    </w:p>
    <w:p w14:paraId="7529C35D" w14:textId="77777777" w:rsidR="00FC6BCD" w:rsidRPr="00B479AE" w:rsidRDefault="00FC6BCD" w:rsidP="00FC6BCD">
      <w:pPr>
        <w:spacing w:line="360" w:lineRule="auto"/>
        <w:rPr>
          <w:rFonts w:ascii="Baskerville Old Face" w:hAnsi="Baskerville Old Face"/>
          <w:b/>
          <w:bCs/>
          <w:i/>
          <w:iCs/>
        </w:rPr>
      </w:pPr>
      <w:r w:rsidRPr="00B479AE">
        <w:rPr>
          <w:rFonts w:ascii="Baskerville Old Face" w:hAnsi="Baskerville Old Face"/>
          <w:b/>
          <w:bCs/>
          <w:i/>
          <w:iCs/>
        </w:rPr>
        <w:t>P.2.3 Regenerative Finance and Web3</w:t>
      </w:r>
    </w:p>
    <w:p w14:paraId="5E38C064" w14:textId="77777777" w:rsidR="00FC6BCD" w:rsidRPr="00B479AE" w:rsidRDefault="00FC6BCD">
      <w:pPr>
        <w:numPr>
          <w:ilvl w:val="0"/>
          <w:numId w:val="12"/>
        </w:numPr>
        <w:spacing w:line="360" w:lineRule="auto"/>
        <w:rPr>
          <w:rFonts w:ascii="Baskerville Old Face" w:hAnsi="Baskerville Old Face"/>
          <w:i/>
          <w:iCs/>
        </w:rPr>
      </w:pPr>
      <w:r w:rsidRPr="00B479AE">
        <w:rPr>
          <w:rFonts w:ascii="Baskerville Old Face" w:hAnsi="Baskerville Old Face"/>
          <w:i/>
          <w:iCs/>
        </w:rPr>
        <w:t>Owocki, K., &amp; Miyazono, E. (2023). Regenerative Finance (</w:t>
      </w:r>
      <w:proofErr w:type="spellStart"/>
      <w:r w:rsidRPr="00B479AE">
        <w:rPr>
          <w:rFonts w:ascii="Baskerville Old Face" w:hAnsi="Baskerville Old Face"/>
          <w:i/>
          <w:iCs/>
        </w:rPr>
        <w:t>ReFi</w:t>
      </w:r>
      <w:proofErr w:type="spellEnd"/>
      <w:r w:rsidRPr="00B479AE">
        <w:rPr>
          <w:rFonts w:ascii="Baskerville Old Face" w:hAnsi="Baskerville Old Face"/>
          <w:i/>
          <w:iCs/>
        </w:rPr>
        <w:t>)</w:t>
      </w:r>
      <w:r w:rsidRPr="00B479AE">
        <w:rPr>
          <w:rFonts w:ascii="Baskerville Old Face" w:hAnsi="Baskerville Old Face"/>
          <w:i/>
          <w:iCs/>
        </w:rPr>
        <w:br/>
      </w:r>
      <w:hyperlink r:id="rId52" w:history="1">
        <w:r w:rsidRPr="00B479AE">
          <w:rPr>
            <w:rStyle w:val="Collegamentoipertestuale"/>
            <w:rFonts w:ascii="Baskerville Old Face" w:hAnsi="Baskerville Old Face"/>
            <w:i/>
            <w:iCs/>
          </w:rPr>
          <w:t>https://coinmarketcap.com/academy/glossary/regenerative-finance-refi</w:t>
        </w:r>
      </w:hyperlink>
    </w:p>
    <w:p w14:paraId="4239B50A" w14:textId="77777777" w:rsidR="00FC6BCD" w:rsidRPr="00B479AE" w:rsidRDefault="00FC6BCD">
      <w:pPr>
        <w:numPr>
          <w:ilvl w:val="0"/>
          <w:numId w:val="12"/>
        </w:numPr>
        <w:spacing w:line="360" w:lineRule="auto"/>
        <w:rPr>
          <w:rFonts w:ascii="Baskerville Old Face" w:hAnsi="Baskerville Old Face"/>
          <w:i/>
          <w:iCs/>
        </w:rPr>
      </w:pPr>
      <w:r w:rsidRPr="00B479AE">
        <w:rPr>
          <w:rFonts w:ascii="Baskerville Old Face" w:hAnsi="Baskerville Old Face"/>
          <w:i/>
          <w:iCs/>
        </w:rPr>
        <w:t xml:space="preserve">DeFi Planet (2025).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vs blockchain analysis</w:t>
      </w:r>
      <w:r w:rsidRPr="00B479AE">
        <w:rPr>
          <w:rFonts w:ascii="Baskerville Old Face" w:hAnsi="Baskerville Old Face"/>
          <w:i/>
          <w:iCs/>
        </w:rPr>
        <w:br/>
      </w:r>
      <w:hyperlink r:id="rId53" w:history="1">
        <w:r w:rsidRPr="00B479AE">
          <w:rPr>
            <w:rStyle w:val="Collegamentoipertestuale"/>
            <w:rFonts w:ascii="Baskerville Old Face" w:hAnsi="Baskerville Old Face"/>
            <w:i/>
            <w:iCs/>
          </w:rPr>
          <w:t>https://coinmarketcap.com/community/articles/6908eff5babf112a65445824/</w:t>
        </w:r>
      </w:hyperlink>
    </w:p>
    <w:p w14:paraId="3AE30C03" w14:textId="77777777" w:rsidR="00FC6BCD" w:rsidRPr="00B479AE" w:rsidRDefault="00FC6BCD">
      <w:pPr>
        <w:numPr>
          <w:ilvl w:val="0"/>
          <w:numId w:val="12"/>
        </w:numPr>
        <w:spacing w:line="360" w:lineRule="auto"/>
        <w:rPr>
          <w:rFonts w:ascii="Baskerville Old Face" w:hAnsi="Baskerville Old Face"/>
          <w:i/>
          <w:iCs/>
        </w:rPr>
      </w:pPr>
      <w:r w:rsidRPr="00B479AE">
        <w:rPr>
          <w:rFonts w:ascii="Baskerville Old Face" w:hAnsi="Baskerville Old Face"/>
          <w:i/>
          <w:iCs/>
        </w:rPr>
        <w:t>Grassroots Economics (2020). Food forests and syntropic currencies</w:t>
      </w:r>
      <w:r w:rsidRPr="00B479AE">
        <w:rPr>
          <w:rFonts w:ascii="Baskerville Old Face" w:hAnsi="Baskerville Old Face"/>
          <w:i/>
          <w:iCs/>
        </w:rPr>
        <w:br/>
      </w:r>
      <w:hyperlink r:id="rId54" w:history="1">
        <w:r w:rsidRPr="00B479AE">
          <w:rPr>
            <w:rStyle w:val="Collegamentoipertestuale"/>
            <w:rFonts w:ascii="Baskerville Old Face" w:hAnsi="Baskerville Old Face"/>
            <w:i/>
            <w:iCs/>
          </w:rPr>
          <w:t>https://www.grassecon.org/food-forests</w:t>
        </w:r>
      </w:hyperlink>
    </w:p>
    <w:p w14:paraId="36E0D5FB" w14:textId="77777777" w:rsidR="00FC6BCD" w:rsidRPr="00B479AE" w:rsidRDefault="00FC6BCD" w:rsidP="00FC6BCD">
      <w:pPr>
        <w:spacing w:line="360" w:lineRule="auto"/>
        <w:rPr>
          <w:rFonts w:ascii="Baskerville Old Face" w:hAnsi="Baskerville Old Face"/>
          <w:b/>
          <w:bCs/>
          <w:i/>
          <w:iCs/>
        </w:rPr>
      </w:pPr>
      <w:r w:rsidRPr="00B479AE">
        <w:rPr>
          <w:rFonts w:ascii="Baskerville Old Face" w:hAnsi="Baskerville Old Face"/>
          <w:b/>
          <w:bCs/>
          <w:i/>
          <w:iCs/>
        </w:rPr>
        <w:t>P.2.4 Standards and Certifications</w:t>
      </w:r>
    </w:p>
    <w:p w14:paraId="6A7DD0D4" w14:textId="77777777" w:rsidR="00FC6BCD" w:rsidRPr="00B479AE" w:rsidRDefault="00FC6BCD">
      <w:pPr>
        <w:numPr>
          <w:ilvl w:val="0"/>
          <w:numId w:val="13"/>
        </w:numPr>
        <w:spacing w:line="360" w:lineRule="auto"/>
        <w:rPr>
          <w:rFonts w:ascii="Baskerville Old Face" w:hAnsi="Baskerville Old Face"/>
          <w:i/>
          <w:iCs/>
        </w:rPr>
      </w:pPr>
      <w:r w:rsidRPr="00B479AE">
        <w:rPr>
          <w:rFonts w:ascii="Baskerville Old Face" w:hAnsi="Baskerville Old Face"/>
          <w:i/>
          <w:iCs/>
        </w:rPr>
        <w:t>ISO 17620:2025 – Biodiversity net gain</w:t>
      </w:r>
    </w:p>
    <w:p w14:paraId="77C13C44" w14:textId="77777777" w:rsidR="00FC6BCD" w:rsidRPr="00B479AE" w:rsidRDefault="00FC6BCD">
      <w:pPr>
        <w:numPr>
          <w:ilvl w:val="0"/>
          <w:numId w:val="13"/>
        </w:numPr>
        <w:spacing w:line="360" w:lineRule="auto"/>
        <w:rPr>
          <w:rFonts w:ascii="Baskerville Old Face" w:hAnsi="Baskerville Old Face"/>
          <w:i/>
          <w:iCs/>
        </w:rPr>
      </w:pPr>
      <w:r w:rsidRPr="00B479AE">
        <w:rPr>
          <w:rFonts w:ascii="Baskerville Old Face" w:hAnsi="Baskerville Old Face"/>
          <w:i/>
          <w:iCs/>
        </w:rPr>
        <w:lastRenderedPageBreak/>
        <w:t>Verra – Verified Carbon Standard</w:t>
      </w:r>
      <w:r w:rsidRPr="00B479AE">
        <w:rPr>
          <w:rFonts w:ascii="Baskerville Old Face" w:hAnsi="Baskerville Old Face"/>
          <w:i/>
          <w:iCs/>
        </w:rPr>
        <w:br/>
      </w:r>
      <w:hyperlink r:id="rId55" w:history="1">
        <w:r w:rsidRPr="00B479AE">
          <w:rPr>
            <w:rStyle w:val="Collegamentoipertestuale"/>
            <w:rFonts w:ascii="Baskerville Old Face" w:hAnsi="Baskerville Old Face"/>
            <w:i/>
            <w:iCs/>
          </w:rPr>
          <w:t>https://verra.org/methodologies/</w:t>
        </w:r>
      </w:hyperlink>
    </w:p>
    <w:p w14:paraId="4B31E215" w14:textId="77777777" w:rsidR="00FC6BCD" w:rsidRPr="00B479AE" w:rsidRDefault="00FC6BCD">
      <w:pPr>
        <w:numPr>
          <w:ilvl w:val="0"/>
          <w:numId w:val="13"/>
        </w:numPr>
        <w:spacing w:line="360" w:lineRule="auto"/>
        <w:rPr>
          <w:rFonts w:ascii="Baskerville Old Face" w:hAnsi="Baskerville Old Face"/>
          <w:i/>
          <w:iCs/>
        </w:rPr>
      </w:pPr>
      <w:r w:rsidRPr="00B479AE">
        <w:rPr>
          <w:rFonts w:ascii="Baskerville Old Face" w:hAnsi="Baskerville Old Face"/>
          <w:i/>
          <w:iCs/>
        </w:rPr>
        <w:t>Plan Vivo Standard</w:t>
      </w:r>
      <w:r w:rsidRPr="00B479AE">
        <w:rPr>
          <w:rFonts w:ascii="Baskerville Old Face" w:hAnsi="Baskerville Old Face"/>
          <w:i/>
          <w:iCs/>
        </w:rPr>
        <w:br/>
      </w:r>
      <w:hyperlink r:id="rId56" w:history="1">
        <w:r w:rsidRPr="00B479AE">
          <w:rPr>
            <w:rStyle w:val="Collegamentoipertestuale"/>
            <w:rFonts w:ascii="Baskerville Old Face" w:hAnsi="Baskerville Old Face"/>
            <w:i/>
            <w:iCs/>
          </w:rPr>
          <w:t>https://www.planvivo.org/</w:t>
        </w:r>
      </w:hyperlink>
    </w:p>
    <w:p w14:paraId="53BB1053" w14:textId="77777777" w:rsidR="00FC6BCD" w:rsidRPr="00B479AE" w:rsidRDefault="00FC6BCD">
      <w:pPr>
        <w:numPr>
          <w:ilvl w:val="0"/>
          <w:numId w:val="13"/>
        </w:numPr>
        <w:spacing w:line="360" w:lineRule="auto"/>
        <w:rPr>
          <w:rFonts w:ascii="Baskerville Old Face" w:hAnsi="Baskerville Old Face"/>
          <w:i/>
          <w:iCs/>
        </w:rPr>
      </w:pPr>
      <w:r w:rsidRPr="00B479AE">
        <w:rPr>
          <w:rFonts w:ascii="Baskerville Old Face" w:hAnsi="Baskerville Old Face"/>
          <w:i/>
          <w:iCs/>
        </w:rPr>
        <w:t>Alliance for Water Stewardship</w:t>
      </w:r>
      <w:r w:rsidRPr="00B479AE">
        <w:rPr>
          <w:rFonts w:ascii="Baskerville Old Face" w:hAnsi="Baskerville Old Face"/>
          <w:i/>
          <w:iCs/>
        </w:rPr>
        <w:br/>
      </w:r>
      <w:hyperlink r:id="rId57" w:history="1">
        <w:r w:rsidRPr="00B479AE">
          <w:rPr>
            <w:rStyle w:val="Collegamentoipertestuale"/>
            <w:rFonts w:ascii="Baskerville Old Face" w:hAnsi="Baskerville Old Face"/>
            <w:i/>
            <w:iCs/>
          </w:rPr>
          <w:t>https://a4ws.org/</w:t>
        </w:r>
      </w:hyperlink>
    </w:p>
    <w:p w14:paraId="4A6E320B" w14:textId="77777777" w:rsidR="00FC6BCD" w:rsidRPr="00B479AE" w:rsidRDefault="00FC6BCD">
      <w:pPr>
        <w:numPr>
          <w:ilvl w:val="0"/>
          <w:numId w:val="13"/>
        </w:numPr>
        <w:spacing w:line="360" w:lineRule="auto"/>
        <w:rPr>
          <w:rFonts w:ascii="Baskerville Old Face" w:hAnsi="Baskerville Old Face"/>
          <w:i/>
          <w:iCs/>
        </w:rPr>
      </w:pPr>
      <w:r w:rsidRPr="00B479AE">
        <w:rPr>
          <w:rFonts w:ascii="Baskerville Old Face" w:hAnsi="Baskerville Old Face"/>
          <w:i/>
          <w:iCs/>
        </w:rPr>
        <w:t>Climate Action Reserve</w:t>
      </w:r>
      <w:r w:rsidRPr="00B479AE">
        <w:rPr>
          <w:rFonts w:ascii="Baskerville Old Face" w:hAnsi="Baskerville Old Face"/>
          <w:i/>
          <w:iCs/>
        </w:rPr>
        <w:br/>
      </w:r>
      <w:hyperlink r:id="rId58" w:history="1">
        <w:r w:rsidRPr="00B479AE">
          <w:rPr>
            <w:rStyle w:val="Collegamentoipertestuale"/>
            <w:rFonts w:ascii="Baskerville Old Face" w:hAnsi="Baskerville Old Face"/>
            <w:i/>
            <w:iCs/>
          </w:rPr>
          <w:t>https://www.climateactionreserve.org/</w:t>
        </w:r>
      </w:hyperlink>
    </w:p>
    <w:p w14:paraId="30444235" w14:textId="77777777" w:rsidR="00FC6BCD" w:rsidRPr="00B479AE" w:rsidRDefault="00FC6BCD" w:rsidP="00FC6BCD">
      <w:pPr>
        <w:spacing w:line="360" w:lineRule="auto"/>
        <w:rPr>
          <w:rFonts w:ascii="Baskerville Old Face" w:hAnsi="Baskerville Old Face"/>
          <w:b/>
          <w:bCs/>
          <w:i/>
          <w:iCs/>
        </w:rPr>
      </w:pPr>
      <w:r w:rsidRPr="00B479AE">
        <w:rPr>
          <w:rFonts w:ascii="Baskerville Old Face" w:hAnsi="Baskerville Old Face"/>
          <w:b/>
          <w:bCs/>
          <w:i/>
          <w:iCs/>
        </w:rPr>
        <w:t>P.2.5 Environmental Data Sources</w:t>
      </w:r>
    </w:p>
    <w:p w14:paraId="45ACBEA6" w14:textId="77777777" w:rsidR="00FC6BCD" w:rsidRPr="00B479AE" w:rsidRDefault="00FC6BCD">
      <w:pPr>
        <w:numPr>
          <w:ilvl w:val="0"/>
          <w:numId w:val="14"/>
        </w:numPr>
        <w:spacing w:line="360" w:lineRule="auto"/>
        <w:rPr>
          <w:rFonts w:ascii="Baskerville Old Face" w:hAnsi="Baskerville Old Face"/>
          <w:i/>
          <w:iCs/>
        </w:rPr>
      </w:pPr>
      <w:r w:rsidRPr="00B479AE">
        <w:rPr>
          <w:rFonts w:ascii="Baskerville Old Face" w:hAnsi="Baskerville Old Face"/>
          <w:i/>
          <w:iCs/>
        </w:rPr>
        <w:t>NASA Earth Observatory</w:t>
      </w:r>
      <w:r w:rsidRPr="00B479AE">
        <w:rPr>
          <w:rFonts w:ascii="Baskerville Old Face" w:hAnsi="Baskerville Old Face"/>
          <w:i/>
          <w:iCs/>
        </w:rPr>
        <w:br/>
      </w:r>
      <w:hyperlink r:id="rId59" w:history="1">
        <w:r w:rsidRPr="00B479AE">
          <w:rPr>
            <w:rStyle w:val="Collegamentoipertestuale"/>
            <w:rFonts w:ascii="Baskerville Old Face" w:hAnsi="Baskerville Old Face"/>
            <w:i/>
            <w:iCs/>
          </w:rPr>
          <w:t>https://ozonewatch.gsfc.nasa.gov/</w:t>
        </w:r>
      </w:hyperlink>
    </w:p>
    <w:p w14:paraId="0F1AD204" w14:textId="77777777" w:rsidR="00FC6BCD" w:rsidRPr="005907F1" w:rsidRDefault="00FC6BCD">
      <w:pPr>
        <w:numPr>
          <w:ilvl w:val="0"/>
          <w:numId w:val="14"/>
        </w:numPr>
        <w:spacing w:line="360" w:lineRule="auto"/>
        <w:rPr>
          <w:rFonts w:ascii="Baskerville Old Face" w:hAnsi="Baskerville Old Face"/>
          <w:i/>
          <w:iCs/>
          <w:lang w:val="it-IT"/>
        </w:rPr>
      </w:pPr>
      <w:r w:rsidRPr="005907F1">
        <w:rPr>
          <w:rFonts w:ascii="Baskerville Old Face" w:hAnsi="Baskerville Old Face"/>
          <w:i/>
          <w:iCs/>
          <w:lang w:val="it-IT"/>
        </w:rPr>
        <w:t xml:space="preserve">NOAA Global Monitoring </w:t>
      </w:r>
      <w:proofErr w:type="spellStart"/>
      <w:r w:rsidRPr="005907F1">
        <w:rPr>
          <w:rFonts w:ascii="Baskerville Old Face" w:hAnsi="Baskerville Old Face"/>
          <w:i/>
          <w:iCs/>
          <w:lang w:val="it-IT"/>
        </w:rPr>
        <w:t>Laboratory</w:t>
      </w:r>
      <w:proofErr w:type="spellEnd"/>
      <w:r w:rsidRPr="005907F1">
        <w:rPr>
          <w:rFonts w:ascii="Baskerville Old Face" w:hAnsi="Baskerville Old Face"/>
          <w:i/>
          <w:iCs/>
          <w:lang w:val="it-IT"/>
        </w:rPr>
        <w:br/>
      </w:r>
      <w:hyperlink r:id="rId60" w:history="1">
        <w:r w:rsidRPr="005907F1">
          <w:rPr>
            <w:rStyle w:val="Collegamentoipertestuale"/>
            <w:rFonts w:ascii="Baskerville Old Face" w:hAnsi="Baskerville Old Face"/>
            <w:i/>
            <w:iCs/>
            <w:lang w:val="it-IT"/>
          </w:rPr>
          <w:t>https://gml.noaa.gov/</w:t>
        </w:r>
      </w:hyperlink>
    </w:p>
    <w:p w14:paraId="12F7AE3C" w14:textId="77777777" w:rsidR="00FC6BCD" w:rsidRPr="00B479AE" w:rsidRDefault="00FC6BCD">
      <w:pPr>
        <w:numPr>
          <w:ilvl w:val="0"/>
          <w:numId w:val="14"/>
        </w:numPr>
        <w:spacing w:line="360" w:lineRule="auto"/>
        <w:rPr>
          <w:rFonts w:ascii="Baskerville Old Face" w:hAnsi="Baskerville Old Face"/>
          <w:i/>
          <w:iCs/>
        </w:rPr>
      </w:pPr>
      <w:r w:rsidRPr="00B479AE">
        <w:rPr>
          <w:rFonts w:ascii="Baskerville Old Face" w:hAnsi="Baskerville Old Face"/>
          <w:i/>
          <w:iCs/>
        </w:rPr>
        <w:t>Copernicus Open Access Hub</w:t>
      </w:r>
      <w:r w:rsidRPr="00B479AE">
        <w:rPr>
          <w:rFonts w:ascii="Baskerville Old Face" w:hAnsi="Baskerville Old Face"/>
          <w:i/>
          <w:iCs/>
        </w:rPr>
        <w:br/>
      </w:r>
      <w:hyperlink r:id="rId61" w:history="1">
        <w:r w:rsidRPr="00B479AE">
          <w:rPr>
            <w:rStyle w:val="Collegamentoipertestuale"/>
            <w:rFonts w:ascii="Baskerville Old Face" w:hAnsi="Baskerville Old Face"/>
            <w:i/>
            <w:iCs/>
          </w:rPr>
          <w:t>https://scihub.copernicus.eu/</w:t>
        </w:r>
      </w:hyperlink>
    </w:p>
    <w:p w14:paraId="42E3F1EA" w14:textId="77777777" w:rsidR="00FC6BCD" w:rsidRPr="00B479AE" w:rsidRDefault="00FC6BCD">
      <w:pPr>
        <w:numPr>
          <w:ilvl w:val="0"/>
          <w:numId w:val="14"/>
        </w:numPr>
        <w:spacing w:line="360" w:lineRule="auto"/>
        <w:rPr>
          <w:rFonts w:ascii="Baskerville Old Face" w:hAnsi="Baskerville Old Face"/>
          <w:i/>
          <w:iCs/>
        </w:rPr>
      </w:pPr>
      <w:r w:rsidRPr="00B479AE">
        <w:rPr>
          <w:rFonts w:ascii="Baskerville Old Face" w:hAnsi="Baskerville Old Face"/>
          <w:i/>
          <w:iCs/>
        </w:rPr>
        <w:t xml:space="preserve">USGS </w:t>
      </w:r>
      <w:proofErr w:type="spellStart"/>
      <w:r w:rsidRPr="00B479AE">
        <w:rPr>
          <w:rFonts w:ascii="Baskerville Old Face" w:hAnsi="Baskerville Old Face"/>
          <w:i/>
          <w:iCs/>
        </w:rPr>
        <w:t>EarthExplorer</w:t>
      </w:r>
      <w:proofErr w:type="spellEnd"/>
      <w:r w:rsidRPr="00B479AE">
        <w:rPr>
          <w:rFonts w:ascii="Baskerville Old Face" w:hAnsi="Baskerville Old Face"/>
          <w:i/>
          <w:iCs/>
        </w:rPr>
        <w:br/>
      </w:r>
      <w:hyperlink r:id="rId62" w:history="1">
        <w:r w:rsidRPr="00B479AE">
          <w:rPr>
            <w:rStyle w:val="Collegamentoipertestuale"/>
            <w:rFonts w:ascii="Baskerville Old Face" w:hAnsi="Baskerville Old Face"/>
            <w:i/>
            <w:iCs/>
          </w:rPr>
          <w:t>https://earthexplorer.usgs.gov/</w:t>
        </w:r>
      </w:hyperlink>
    </w:p>
    <w:p w14:paraId="3DC467BD" w14:textId="77777777" w:rsidR="00FC6BCD" w:rsidRPr="00B479AE" w:rsidRDefault="00FC6BCD">
      <w:pPr>
        <w:numPr>
          <w:ilvl w:val="0"/>
          <w:numId w:val="14"/>
        </w:numPr>
        <w:spacing w:line="360" w:lineRule="auto"/>
        <w:rPr>
          <w:rFonts w:ascii="Baskerville Old Face" w:hAnsi="Baskerville Old Face"/>
          <w:i/>
          <w:iCs/>
        </w:rPr>
      </w:pPr>
      <w:r w:rsidRPr="00B479AE">
        <w:rPr>
          <w:rFonts w:ascii="Baskerville Old Face" w:hAnsi="Baskerville Old Face"/>
          <w:i/>
          <w:iCs/>
        </w:rPr>
        <w:t>Esri Living Atlas</w:t>
      </w:r>
      <w:r w:rsidRPr="00B479AE">
        <w:rPr>
          <w:rFonts w:ascii="Baskerville Old Face" w:hAnsi="Baskerville Old Face"/>
          <w:i/>
          <w:iCs/>
        </w:rPr>
        <w:br/>
      </w:r>
      <w:hyperlink r:id="rId63" w:history="1">
        <w:r w:rsidRPr="00B479AE">
          <w:rPr>
            <w:rStyle w:val="Collegamentoipertestuale"/>
            <w:rFonts w:ascii="Baskerville Old Face" w:hAnsi="Baskerville Old Face"/>
            <w:i/>
            <w:iCs/>
          </w:rPr>
          <w:t>https://livingatlas.arcgis.com/</w:t>
        </w:r>
      </w:hyperlink>
    </w:p>
    <w:p w14:paraId="32CC8D4F" w14:textId="77777777" w:rsidR="00FC6BCD" w:rsidRPr="00B479AE" w:rsidRDefault="00FC6BCD">
      <w:pPr>
        <w:numPr>
          <w:ilvl w:val="0"/>
          <w:numId w:val="14"/>
        </w:numPr>
        <w:spacing w:line="360" w:lineRule="auto"/>
        <w:rPr>
          <w:rFonts w:ascii="Baskerville Old Face" w:hAnsi="Baskerville Old Face"/>
          <w:i/>
          <w:iCs/>
        </w:rPr>
      </w:pPr>
      <w:r w:rsidRPr="00B479AE">
        <w:rPr>
          <w:rFonts w:ascii="Baskerville Old Face" w:hAnsi="Baskerville Old Face"/>
          <w:i/>
          <w:iCs/>
        </w:rPr>
        <w:t>World Resources Institute</w:t>
      </w:r>
      <w:r w:rsidRPr="00B479AE">
        <w:rPr>
          <w:rFonts w:ascii="Baskerville Old Face" w:hAnsi="Baskerville Old Face"/>
          <w:i/>
          <w:iCs/>
        </w:rPr>
        <w:br/>
      </w:r>
      <w:hyperlink r:id="rId64" w:history="1">
        <w:r w:rsidRPr="00B479AE">
          <w:rPr>
            <w:rStyle w:val="Collegamentoipertestuale"/>
            <w:rFonts w:ascii="Baskerville Old Face" w:hAnsi="Baskerville Old Face"/>
            <w:i/>
            <w:iCs/>
          </w:rPr>
          <w:t>https://www.climatewatchdata.org/</w:t>
        </w:r>
      </w:hyperlink>
    </w:p>
    <w:p w14:paraId="3768BF3F" w14:textId="77777777" w:rsidR="00FC6BCD" w:rsidRPr="00B479AE" w:rsidRDefault="00FC6BCD" w:rsidP="00FC6BCD">
      <w:pPr>
        <w:spacing w:line="360" w:lineRule="auto"/>
        <w:rPr>
          <w:rFonts w:ascii="Baskerville Old Face" w:hAnsi="Baskerville Old Face"/>
          <w:b/>
          <w:bCs/>
          <w:i/>
          <w:iCs/>
        </w:rPr>
      </w:pPr>
      <w:r w:rsidRPr="00B479AE">
        <w:rPr>
          <w:rFonts w:ascii="Baskerville Old Face" w:hAnsi="Baskerville Old Face"/>
          <w:b/>
          <w:bCs/>
          <w:i/>
          <w:iCs/>
        </w:rPr>
        <w:t>P.2.6 Technical and Implementation References</w:t>
      </w:r>
    </w:p>
    <w:p w14:paraId="41D37DAE" w14:textId="77777777" w:rsidR="00FC6BCD" w:rsidRPr="00B479AE" w:rsidRDefault="00FC6BCD">
      <w:pPr>
        <w:numPr>
          <w:ilvl w:val="0"/>
          <w:numId w:val="9"/>
        </w:numPr>
        <w:spacing w:line="360" w:lineRule="auto"/>
        <w:rPr>
          <w:rFonts w:ascii="Baskerville Old Face" w:hAnsi="Baskerville Old Face"/>
          <w:i/>
          <w:iCs/>
        </w:rPr>
      </w:pPr>
      <w:proofErr w:type="spellStart"/>
      <w:r w:rsidRPr="00B479AE">
        <w:rPr>
          <w:rFonts w:ascii="Baskerville Old Face" w:hAnsi="Baskerville Old Face"/>
          <w:i/>
          <w:iCs/>
        </w:rPr>
        <w:t>Unsloth</w:t>
      </w:r>
      <w:proofErr w:type="spellEnd"/>
      <w:r w:rsidRPr="00B479AE">
        <w:rPr>
          <w:rFonts w:ascii="Baskerville Old Face" w:hAnsi="Baskerville Old Face"/>
          <w:i/>
          <w:iCs/>
        </w:rPr>
        <w:t xml:space="preserve"> AI. </w:t>
      </w:r>
      <w:proofErr w:type="spellStart"/>
      <w:r w:rsidRPr="00B479AE">
        <w:rPr>
          <w:rFonts w:ascii="Baskerville Old Face" w:hAnsi="Baskerville Old Face"/>
          <w:i/>
          <w:iCs/>
        </w:rPr>
        <w:t>Unsloth</w:t>
      </w:r>
      <w:proofErr w:type="spellEnd"/>
      <w:r w:rsidRPr="00B479AE">
        <w:rPr>
          <w:rFonts w:ascii="Baskerville Old Face" w:hAnsi="Baskerville Old Face"/>
          <w:i/>
          <w:iCs/>
        </w:rPr>
        <w:t xml:space="preserve"> documentation. </w:t>
      </w:r>
      <w:hyperlink r:id="rId65" w:tgtFrame="_blank" w:history="1">
        <w:r w:rsidRPr="00B479AE">
          <w:rPr>
            <w:rStyle w:val="Collegamentoipertestuale"/>
            <w:rFonts w:ascii="Baskerville Old Face" w:hAnsi="Baskerville Old Face"/>
            <w:i/>
            <w:iCs/>
          </w:rPr>
          <w:t>https://unsloth.ai/</w:t>
        </w:r>
      </w:hyperlink>
    </w:p>
    <w:p w14:paraId="69894B2F" w14:textId="77777777" w:rsidR="00FC6BCD" w:rsidRPr="005907F1" w:rsidRDefault="00FC6BCD">
      <w:pPr>
        <w:numPr>
          <w:ilvl w:val="0"/>
          <w:numId w:val="9"/>
        </w:numPr>
        <w:spacing w:line="360" w:lineRule="auto"/>
        <w:rPr>
          <w:rFonts w:ascii="Baskerville Old Face" w:hAnsi="Baskerville Old Face"/>
          <w:i/>
          <w:iCs/>
          <w:lang w:val="it-IT"/>
        </w:rPr>
      </w:pPr>
      <w:proofErr w:type="spellStart"/>
      <w:r w:rsidRPr="005907F1">
        <w:rPr>
          <w:rFonts w:ascii="Baskerville Old Face" w:hAnsi="Baskerville Old Face"/>
          <w:i/>
          <w:iCs/>
          <w:lang w:val="it-IT"/>
        </w:rPr>
        <w:t>Dragino</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soil</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sensor</w:t>
      </w:r>
      <w:proofErr w:type="spellEnd"/>
      <w:r w:rsidRPr="005907F1">
        <w:rPr>
          <w:rFonts w:ascii="Baskerville Old Face" w:hAnsi="Baskerville Old Face"/>
          <w:i/>
          <w:iCs/>
          <w:lang w:val="it-IT"/>
        </w:rPr>
        <w:t xml:space="preserve"> specification. </w:t>
      </w:r>
      <w:hyperlink r:id="rId66" w:tgtFrame="_blank" w:history="1">
        <w:r w:rsidRPr="005907F1">
          <w:rPr>
            <w:rStyle w:val="Collegamentoipertestuale"/>
            <w:rFonts w:ascii="Baskerville Old Face" w:hAnsi="Baskerville Old Face"/>
            <w:i/>
            <w:iCs/>
            <w:lang w:val="it-IT"/>
          </w:rPr>
          <w:t>https://dragino.com/products/agriculture-weather-station/item/335-se02-lb.html</w:t>
        </w:r>
      </w:hyperlink>
    </w:p>
    <w:p w14:paraId="53163525" w14:textId="77777777" w:rsidR="00FC6BCD" w:rsidRPr="00B479AE" w:rsidRDefault="00FC6BCD">
      <w:pPr>
        <w:numPr>
          <w:ilvl w:val="0"/>
          <w:numId w:val="9"/>
        </w:numPr>
        <w:spacing w:line="360" w:lineRule="auto"/>
        <w:rPr>
          <w:rFonts w:ascii="Baskerville Old Face" w:hAnsi="Baskerville Old Face"/>
          <w:i/>
          <w:iCs/>
        </w:rPr>
      </w:pPr>
      <w:r w:rsidRPr="00B479AE">
        <w:rPr>
          <w:rFonts w:ascii="Baskerville Old Face" w:hAnsi="Baskerville Old Face"/>
          <w:i/>
          <w:iCs/>
        </w:rPr>
        <w:t>The Things Network. </w:t>
      </w:r>
      <w:proofErr w:type="spellStart"/>
      <w:r w:rsidRPr="00B479AE">
        <w:rPr>
          <w:rFonts w:ascii="Baskerville Old Face" w:hAnsi="Baskerville Old Face"/>
          <w:i/>
          <w:iCs/>
        </w:rPr>
        <w:t>LoRaWAN</w:t>
      </w:r>
      <w:proofErr w:type="spellEnd"/>
      <w:r w:rsidRPr="00B479AE">
        <w:rPr>
          <w:rFonts w:ascii="Baskerville Old Face" w:hAnsi="Baskerville Old Face"/>
          <w:i/>
          <w:iCs/>
        </w:rPr>
        <w:t xml:space="preserve"> documentation. </w:t>
      </w:r>
      <w:hyperlink r:id="rId67" w:tgtFrame="_blank" w:history="1">
        <w:r w:rsidRPr="00B479AE">
          <w:rPr>
            <w:rStyle w:val="Collegamentoipertestuale"/>
            <w:rFonts w:ascii="Baskerville Old Face" w:hAnsi="Baskerville Old Face"/>
            <w:i/>
            <w:iCs/>
          </w:rPr>
          <w:t>https://www.thethingsnetwork.org/</w:t>
        </w:r>
      </w:hyperlink>
    </w:p>
    <w:p w14:paraId="1601BBF0" w14:textId="77777777" w:rsidR="00FC6BCD" w:rsidRPr="00B479AE" w:rsidRDefault="00FC6BCD">
      <w:pPr>
        <w:numPr>
          <w:ilvl w:val="0"/>
          <w:numId w:val="9"/>
        </w:numPr>
        <w:spacing w:line="360" w:lineRule="auto"/>
        <w:rPr>
          <w:rFonts w:ascii="Baskerville Old Face" w:hAnsi="Baskerville Old Face"/>
          <w:i/>
          <w:iCs/>
        </w:rPr>
      </w:pPr>
      <w:r w:rsidRPr="00B479AE">
        <w:rPr>
          <w:rFonts w:ascii="Baskerville Old Face" w:hAnsi="Baskerville Old Face"/>
          <w:i/>
          <w:iCs/>
        </w:rPr>
        <w:lastRenderedPageBreak/>
        <w:t>Ostrom, E. (1990). Governing the commons: The evolution of institutions for collective action. Cambridge University Press.</w:t>
      </w:r>
    </w:p>
    <w:p w14:paraId="389185AA" w14:textId="77777777" w:rsidR="00F574FB" w:rsidRPr="00B479AE" w:rsidRDefault="00F574FB">
      <w:pPr>
        <w:numPr>
          <w:ilvl w:val="0"/>
          <w:numId w:val="9"/>
        </w:numPr>
        <w:spacing w:line="360" w:lineRule="auto"/>
        <w:rPr>
          <w:rFonts w:ascii="Baskerville Old Face" w:hAnsi="Baskerville Old Face"/>
          <w:i/>
          <w:iCs/>
        </w:rPr>
      </w:pPr>
      <w:proofErr w:type="spellStart"/>
      <w:r w:rsidRPr="00B479AE">
        <w:rPr>
          <w:rFonts w:ascii="Baskerville Old Face" w:hAnsi="Baskerville Old Face"/>
          <w:i/>
          <w:iCs/>
        </w:rPr>
        <w:t>HeartMath</w:t>
      </w:r>
      <w:proofErr w:type="spellEnd"/>
      <w:r w:rsidRPr="00B479AE">
        <w:rPr>
          <w:rFonts w:ascii="Baskerville Old Face" w:hAnsi="Baskerville Old Face"/>
          <w:i/>
          <w:iCs/>
        </w:rPr>
        <w:t xml:space="preserve"> Institute. Science of heart coherence. </w:t>
      </w:r>
      <w:hyperlink r:id="rId68" w:tgtFrame="_blank" w:history="1">
        <w:r w:rsidRPr="00B479AE">
          <w:rPr>
            <w:rStyle w:val="Collegamentoipertestuale"/>
            <w:rFonts w:ascii="Baskerville Old Face" w:hAnsi="Baskerville Old Face"/>
            <w:i/>
            <w:iCs/>
          </w:rPr>
          <w:t>https://www.heartmath.org/science/</w:t>
        </w:r>
      </w:hyperlink>
    </w:p>
    <w:p w14:paraId="5B93A474" w14:textId="0C3E353B" w:rsidR="00FC6BCD" w:rsidRPr="00B479AE" w:rsidRDefault="00FC6BCD">
      <w:pPr>
        <w:numPr>
          <w:ilvl w:val="0"/>
          <w:numId w:val="9"/>
        </w:numPr>
        <w:spacing w:line="360" w:lineRule="auto"/>
        <w:rPr>
          <w:rFonts w:ascii="Baskerville Old Face" w:hAnsi="Baskerville Old Face"/>
          <w:i/>
          <w:iCs/>
        </w:rPr>
      </w:pPr>
      <w:r w:rsidRPr="00B479AE">
        <w:rPr>
          <w:rFonts w:ascii="Baskerville Old Face" w:hAnsi="Baskerville Old Face"/>
          <w:i/>
          <w:iCs/>
        </w:rPr>
        <w:t xml:space="preserve">Elbers, J., &amp; </w:t>
      </w:r>
      <w:proofErr w:type="spellStart"/>
      <w:r w:rsidRPr="00B479AE">
        <w:rPr>
          <w:rFonts w:ascii="Baskerville Old Face" w:hAnsi="Baskerville Old Face"/>
          <w:i/>
          <w:iCs/>
        </w:rPr>
        <w:t>McCraty</w:t>
      </w:r>
      <w:proofErr w:type="spellEnd"/>
      <w:r w:rsidRPr="00B479AE">
        <w:rPr>
          <w:rFonts w:ascii="Baskerville Old Face" w:hAnsi="Baskerville Old Face"/>
          <w:i/>
          <w:iCs/>
        </w:rPr>
        <w:t xml:space="preserve">, R. (2025). From dysregulation to coherence: Exploring the </w:t>
      </w:r>
      <w:proofErr w:type="spellStart"/>
      <w:r w:rsidRPr="00B479AE">
        <w:rPr>
          <w:rFonts w:ascii="Baskerville Old Face" w:hAnsi="Baskerville Old Face"/>
          <w:i/>
          <w:iCs/>
        </w:rPr>
        <w:t>HeartMath</w:t>
      </w:r>
      <w:proofErr w:type="spellEnd"/>
      <w:r w:rsidRPr="00B479AE">
        <w:rPr>
          <w:rFonts w:ascii="Baskerville Old Face" w:hAnsi="Baskerville Old Face"/>
          <w:i/>
          <w:iCs/>
        </w:rPr>
        <w:t xml:space="preserve">® approach to emotional and physiological regulation. Global Advances in Integrative Medicine and Health, 14. </w:t>
      </w:r>
      <w:hyperlink r:id="rId69" w:history="1">
        <w:r w:rsidR="00F574FB" w:rsidRPr="00B479AE">
          <w:rPr>
            <w:rStyle w:val="Collegamentoipertestuale"/>
            <w:rFonts w:ascii="Baskerville Old Face" w:hAnsi="Baskerville Old Face"/>
            <w:i/>
            <w:iCs/>
          </w:rPr>
          <w:t>https://doi.org/10.1177/27536130251408821</w:t>
        </w:r>
      </w:hyperlink>
    </w:p>
    <w:p w14:paraId="1C8B65DD" w14:textId="77777777" w:rsidR="002602C5" w:rsidRPr="00ED0D46" w:rsidRDefault="002602C5" w:rsidP="00ED0D46">
      <w:pPr>
        <w:pStyle w:val="Titolo1"/>
        <w:rPr>
          <w:rFonts w:ascii="Baskerville Old Face" w:hAnsi="Baskerville Old Face"/>
          <w:b/>
          <w:bCs/>
          <w:i/>
          <w:iCs/>
          <w:sz w:val="24"/>
          <w:szCs w:val="24"/>
        </w:rPr>
      </w:pPr>
      <w:r w:rsidRPr="00ED0D46">
        <w:rPr>
          <w:rFonts w:ascii="Baskerville Old Face" w:hAnsi="Baskerville Old Face"/>
          <w:b/>
          <w:bCs/>
          <w:i/>
          <w:iCs/>
          <w:sz w:val="24"/>
          <w:szCs w:val="24"/>
        </w:rPr>
        <w:t>Appendix Q: Token Boundary, Interoperability, and Future Integration Registry</w:t>
      </w:r>
    </w:p>
    <w:p w14:paraId="2ACF8E3A"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 Purpose and Boundary</w:t>
      </w:r>
    </w:p>
    <w:p w14:paraId="779010B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Prometheus may interact with token systems, digital assets, settlement rails, governance tokens, access tokens, contribution records, accounting units, stablecoins,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-native assets, </w:t>
      </w:r>
      <w:proofErr w:type="spellStart"/>
      <w:r w:rsidRPr="00B479AE">
        <w:rPr>
          <w:rFonts w:ascii="Baskerville Old Face" w:hAnsi="Baskerville Old Face"/>
          <w:i/>
          <w:iCs/>
        </w:rPr>
        <w:t>HoloFuel</w:t>
      </w:r>
      <w:proofErr w:type="spellEnd"/>
      <w:r w:rsidRPr="00B479AE">
        <w:rPr>
          <w:rFonts w:ascii="Baskerville Old Face" w:hAnsi="Baskerville Old Face"/>
          <w:i/>
          <w:iCs/>
        </w:rPr>
        <w:t>-related infrastructure, TRBK, verifiable credentials, digital identity systems, or future legally structured instruments.</w:t>
      </w:r>
    </w:p>
    <w:p w14:paraId="6CDE784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However, token interoperability must remain strictly bounded.</w:t>
      </w:r>
    </w:p>
    <w:p w14:paraId="2DB8109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regeneration.</w:t>
      </w:r>
    </w:p>
    <w:p w14:paraId="0960FC2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evidence.</w:t>
      </w:r>
    </w:p>
    <w:p w14:paraId="68B6E7D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MRV.</w:t>
      </w:r>
    </w:p>
    <w:p w14:paraId="4BEA1F3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PRU.</w:t>
      </w:r>
    </w:p>
    <w:p w14:paraId="6FBC6C9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RAP.</w:t>
      </w:r>
    </w:p>
    <w:p w14:paraId="2A9E3D5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land.</w:t>
      </w:r>
    </w:p>
    <w:p w14:paraId="13A2EDE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food.</w:t>
      </w:r>
    </w:p>
    <w:p w14:paraId="6C8E31A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soil.</w:t>
      </w:r>
    </w:p>
    <w:p w14:paraId="2612BE7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biodiversity.</w:t>
      </w:r>
    </w:p>
    <w:p w14:paraId="3822828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human dignity.</w:t>
      </w:r>
    </w:p>
    <w:p w14:paraId="1EF6229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constitutional authority.</w:t>
      </w:r>
    </w:p>
    <w:p w14:paraId="639A323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A token is not investor exposure unless a compliant legal instrument expressly creates that exposure.</w:t>
      </w:r>
    </w:p>
    <w:p w14:paraId="2D84E0F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not a right merely because it is transferable.</w:t>
      </w:r>
    </w:p>
    <w:p w14:paraId="5DB62E2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purpose of this appendix is to define how Prometheus may evaluate, classify, document, monitor, and potentially integrate token systems without collapsing ecological value, governance participation, legal rights, financial exposure, human-state data, community meaning, or source-layer authority into a single speculative object.</w:t>
      </w:r>
    </w:p>
    <w:p w14:paraId="3116702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Tokens may be useful.</w:t>
      </w:r>
    </w:p>
    <w:p w14:paraId="44D87E8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coordinate access.</w:t>
      </w:r>
    </w:p>
    <w:p w14:paraId="407AC10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support settlement.</w:t>
      </w:r>
    </w:p>
    <w:p w14:paraId="404C2E6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record contribution.</w:t>
      </w:r>
    </w:p>
    <w:p w14:paraId="459C8E0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signal participation.</w:t>
      </w:r>
    </w:p>
    <w:p w14:paraId="2201FC1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represent legally structured rights where such rights already exist.</w:t>
      </w:r>
    </w:p>
    <w:p w14:paraId="412FB0E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connect communities, protocols, DAOs, registries, and future compliant digital-instrument pathways.</w:t>
      </w:r>
    </w:p>
    <w:p w14:paraId="5DA2658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But tokens must remain instruments.</w:t>
      </w:r>
    </w:p>
    <w:p w14:paraId="3A1D130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do not become the source of truth.</w:t>
      </w:r>
    </w:p>
    <w:p w14:paraId="086FD57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do not become the source of value.</w:t>
      </w:r>
    </w:p>
    <w:p w14:paraId="455D6C4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do not become Prometheus.</w:t>
      </w:r>
    </w:p>
    <w:p w14:paraId="1CC8A46A" w14:textId="7E2476F4"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core principle is:</w:t>
      </w:r>
      <w:r w:rsidR="00CC6E6B">
        <w:rPr>
          <w:rFonts w:ascii="Baskerville Old Face" w:hAnsi="Baskerville Old Face"/>
          <w:i/>
          <w:iCs/>
        </w:rPr>
        <w:t xml:space="preserve"> </w:t>
      </w:r>
      <w:r w:rsidRPr="00B479AE">
        <w:rPr>
          <w:rFonts w:ascii="Baskerville Old Face" w:hAnsi="Baskerville Old Face"/>
          <w:i/>
          <w:iCs/>
        </w:rPr>
        <w:t>tokens may represent bounded functions;</w:t>
      </w:r>
    </w:p>
    <w:p w14:paraId="5858458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not replace evidence, law, governance, MRV, legal structure, human dignity, or the source layer.</w:t>
      </w:r>
    </w:p>
    <w:p w14:paraId="4D714AA0" w14:textId="1F8A58C5"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Q.2 Token Boundary Doctrine</w:t>
      </w:r>
    </w:p>
    <w:p w14:paraId="7C4C1AB1" w14:textId="462F299F"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should maintain functional separation among all token-relevant domains.</w:t>
      </w:r>
      <w:r w:rsidR="007D0A8E">
        <w:rPr>
          <w:rFonts w:ascii="Baskerville Old Face" w:hAnsi="Baskerville Old Face"/>
          <w:i/>
          <w:iCs/>
        </w:rPr>
        <w:t xml:space="preserve"> </w:t>
      </w:r>
      <w:r w:rsidRPr="00B479AE">
        <w:rPr>
          <w:rFonts w:ascii="Baskerville Old Face" w:hAnsi="Baskerville Old Face"/>
          <w:i/>
          <w:iCs/>
        </w:rPr>
        <w:t>This separation prevents category collapse.</w:t>
      </w:r>
      <w:r w:rsidR="00B44F62">
        <w:rPr>
          <w:rFonts w:ascii="Baskerville Old Face" w:hAnsi="Baskerville Old Face"/>
          <w:i/>
          <w:iCs/>
        </w:rPr>
        <w:t xml:space="preserve"> </w:t>
      </w:r>
      <w:r w:rsidRPr="00B479AE">
        <w:rPr>
          <w:rFonts w:ascii="Baskerville Old Face" w:hAnsi="Baskerville Old Face"/>
          <w:i/>
          <w:iCs/>
        </w:rPr>
        <w:t xml:space="preserve">Category collapse occurs when one technical object is allowed to </w:t>
      </w:r>
      <w:r w:rsidRPr="00B479AE">
        <w:rPr>
          <w:rFonts w:ascii="Baskerville Old Face" w:hAnsi="Baskerville Old Face"/>
          <w:i/>
          <w:iCs/>
        </w:rPr>
        <w:lastRenderedPageBreak/>
        <w:t>impersonate multiple legal, ecological, governance, financial, or constitutional meanings at once.</w:t>
      </w:r>
      <w:r w:rsidR="00B44F62">
        <w:rPr>
          <w:rFonts w:ascii="Baskerville Old Face" w:hAnsi="Baskerville Old Face"/>
          <w:i/>
          <w:iCs/>
        </w:rPr>
        <w:t xml:space="preserve"> </w:t>
      </w:r>
      <w:r w:rsidRPr="00B479AE">
        <w:rPr>
          <w:rFonts w:ascii="Baskerville Old Face" w:hAnsi="Baskerville Old Face"/>
          <w:i/>
          <w:iCs/>
        </w:rPr>
        <w:t>Prometheus may integrate multiple systems.</w:t>
      </w:r>
      <w:r w:rsidR="00B44F62">
        <w:rPr>
          <w:rFonts w:ascii="Baskerville Old Face" w:hAnsi="Baskerville Old Face"/>
          <w:i/>
          <w:iCs/>
        </w:rPr>
        <w:t xml:space="preserve"> </w:t>
      </w:r>
      <w:r w:rsidRPr="00B479AE">
        <w:rPr>
          <w:rFonts w:ascii="Baskerville Old Face" w:hAnsi="Baskerville Old Face"/>
          <w:i/>
          <w:iCs/>
        </w:rPr>
        <w:t>It may not allow one system to impersonate all systems.</w:t>
      </w:r>
      <w:r w:rsidR="00716126"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3797"/>
        <w:gridCol w:w="4126"/>
      </w:tblGrid>
      <w:tr w:rsidR="002602C5" w:rsidRPr="007D0A8E" w14:paraId="25A9638E" w14:textId="77777777" w:rsidTr="002602C5">
        <w:trPr>
          <w:tblHeader/>
          <w:tblCellSpacing w:w="15" w:type="dxa"/>
        </w:trPr>
        <w:tc>
          <w:tcPr>
            <w:tcW w:w="0" w:type="auto"/>
            <w:vAlign w:val="center"/>
            <w:hideMark/>
          </w:tcPr>
          <w:p w14:paraId="0EA8F6DC" w14:textId="77777777" w:rsidR="002602C5" w:rsidRPr="007D0A8E" w:rsidRDefault="002602C5" w:rsidP="002602C5">
            <w:pPr>
              <w:spacing w:line="360" w:lineRule="auto"/>
              <w:rPr>
                <w:rFonts w:ascii="Baskerville Old Face" w:hAnsi="Baskerville Old Face"/>
                <w:b/>
                <w:bCs/>
                <w:i/>
                <w:iCs/>
                <w:sz w:val="18"/>
                <w:szCs w:val="18"/>
              </w:rPr>
            </w:pPr>
            <w:r w:rsidRPr="007D0A8E">
              <w:rPr>
                <w:rFonts w:ascii="Baskerville Old Face" w:hAnsi="Baskerville Old Face"/>
                <w:b/>
                <w:bCs/>
                <w:i/>
                <w:iCs/>
                <w:sz w:val="18"/>
                <w:szCs w:val="18"/>
              </w:rPr>
              <w:t>Domain</w:t>
            </w:r>
          </w:p>
        </w:tc>
        <w:tc>
          <w:tcPr>
            <w:tcW w:w="0" w:type="auto"/>
            <w:vAlign w:val="center"/>
            <w:hideMark/>
          </w:tcPr>
          <w:p w14:paraId="03130176" w14:textId="77777777" w:rsidR="002602C5" w:rsidRPr="007D0A8E" w:rsidRDefault="002602C5" w:rsidP="002602C5">
            <w:pPr>
              <w:spacing w:line="360" w:lineRule="auto"/>
              <w:rPr>
                <w:rFonts w:ascii="Baskerville Old Face" w:hAnsi="Baskerville Old Face"/>
                <w:b/>
                <w:bCs/>
                <w:i/>
                <w:iCs/>
                <w:sz w:val="18"/>
                <w:szCs w:val="18"/>
              </w:rPr>
            </w:pPr>
            <w:r w:rsidRPr="007D0A8E">
              <w:rPr>
                <w:rFonts w:ascii="Baskerville Old Face" w:hAnsi="Baskerville Old Face"/>
                <w:b/>
                <w:bCs/>
                <w:i/>
                <w:iCs/>
                <w:sz w:val="18"/>
                <w:szCs w:val="18"/>
              </w:rPr>
              <w:t>Meaning</w:t>
            </w:r>
          </w:p>
        </w:tc>
        <w:tc>
          <w:tcPr>
            <w:tcW w:w="0" w:type="auto"/>
            <w:vAlign w:val="center"/>
            <w:hideMark/>
          </w:tcPr>
          <w:p w14:paraId="0B2BAD70" w14:textId="77777777" w:rsidR="002602C5" w:rsidRPr="007D0A8E" w:rsidRDefault="002602C5" w:rsidP="002602C5">
            <w:pPr>
              <w:spacing w:line="360" w:lineRule="auto"/>
              <w:rPr>
                <w:rFonts w:ascii="Baskerville Old Face" w:hAnsi="Baskerville Old Face"/>
                <w:b/>
                <w:bCs/>
                <w:i/>
                <w:iCs/>
                <w:sz w:val="18"/>
                <w:szCs w:val="18"/>
              </w:rPr>
            </w:pPr>
            <w:r w:rsidRPr="007D0A8E">
              <w:rPr>
                <w:rFonts w:ascii="Baskerville Old Face" w:hAnsi="Baskerville Old Face"/>
                <w:b/>
                <w:bCs/>
                <w:i/>
                <w:iCs/>
                <w:sz w:val="18"/>
                <w:szCs w:val="18"/>
              </w:rPr>
              <w:t>Boundary</w:t>
            </w:r>
          </w:p>
        </w:tc>
      </w:tr>
      <w:tr w:rsidR="002602C5" w:rsidRPr="007D0A8E" w14:paraId="55A0041A" w14:textId="77777777" w:rsidTr="002602C5">
        <w:trPr>
          <w:tblCellSpacing w:w="15" w:type="dxa"/>
        </w:trPr>
        <w:tc>
          <w:tcPr>
            <w:tcW w:w="0" w:type="auto"/>
            <w:vAlign w:val="center"/>
            <w:hideMark/>
          </w:tcPr>
          <w:p w14:paraId="6E5CFC17"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MRV</w:t>
            </w:r>
          </w:p>
        </w:tc>
        <w:tc>
          <w:tcPr>
            <w:tcW w:w="0" w:type="auto"/>
            <w:vAlign w:val="center"/>
            <w:hideMark/>
          </w:tcPr>
          <w:p w14:paraId="003FF42F"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Measurement, Reporting, and Verification of evidence</w:t>
            </w:r>
          </w:p>
        </w:tc>
        <w:tc>
          <w:tcPr>
            <w:tcW w:w="0" w:type="auto"/>
            <w:vAlign w:val="center"/>
            <w:hideMark/>
          </w:tcPr>
          <w:p w14:paraId="308767A5"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MRV produces and reviews evidence; it does not create rights by itself</w:t>
            </w:r>
          </w:p>
        </w:tc>
      </w:tr>
      <w:tr w:rsidR="002602C5" w:rsidRPr="007D0A8E" w14:paraId="344DAA1C" w14:textId="77777777" w:rsidTr="002602C5">
        <w:trPr>
          <w:tblCellSpacing w:w="15" w:type="dxa"/>
        </w:trPr>
        <w:tc>
          <w:tcPr>
            <w:tcW w:w="0" w:type="auto"/>
            <w:vAlign w:val="center"/>
            <w:hideMark/>
          </w:tcPr>
          <w:p w14:paraId="76CA3587"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PRU</w:t>
            </w:r>
          </w:p>
        </w:tc>
        <w:tc>
          <w:tcPr>
            <w:tcW w:w="0" w:type="auto"/>
            <w:vAlign w:val="center"/>
            <w:hideMark/>
          </w:tcPr>
          <w:p w14:paraId="46748550"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Methodology-bound analysis of verified regenerative performance</w:t>
            </w:r>
          </w:p>
        </w:tc>
        <w:tc>
          <w:tcPr>
            <w:tcW w:w="0" w:type="auto"/>
            <w:vAlign w:val="center"/>
            <w:hideMark/>
          </w:tcPr>
          <w:p w14:paraId="7F2B1EE8"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PRU is evidence-derived and review-bound; it is not automatically a token</w:t>
            </w:r>
          </w:p>
        </w:tc>
      </w:tr>
      <w:tr w:rsidR="002602C5" w:rsidRPr="007D0A8E" w14:paraId="2648CD7F" w14:textId="77777777" w:rsidTr="002602C5">
        <w:trPr>
          <w:tblCellSpacing w:w="15" w:type="dxa"/>
        </w:trPr>
        <w:tc>
          <w:tcPr>
            <w:tcW w:w="0" w:type="auto"/>
            <w:vAlign w:val="center"/>
            <w:hideMark/>
          </w:tcPr>
          <w:p w14:paraId="2283C984"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RAP</w:t>
            </w:r>
          </w:p>
        </w:tc>
        <w:tc>
          <w:tcPr>
            <w:tcW w:w="0" w:type="auto"/>
            <w:vAlign w:val="center"/>
            <w:hideMark/>
          </w:tcPr>
          <w:p w14:paraId="34D6A286"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Regenerative Asset Pool logic based on eligible PRU-relevant units</w:t>
            </w:r>
          </w:p>
        </w:tc>
        <w:tc>
          <w:tcPr>
            <w:tcW w:w="0" w:type="auto"/>
            <w:vAlign w:val="center"/>
            <w:hideMark/>
          </w:tcPr>
          <w:p w14:paraId="2925B2CB"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RAP is portfolio logic; it requires legal, evidentiary, governance, and reporting structure before capital use</w:t>
            </w:r>
          </w:p>
        </w:tc>
      </w:tr>
      <w:tr w:rsidR="002602C5" w:rsidRPr="007D0A8E" w14:paraId="40267957" w14:textId="77777777" w:rsidTr="002602C5">
        <w:trPr>
          <w:tblCellSpacing w:w="15" w:type="dxa"/>
        </w:trPr>
        <w:tc>
          <w:tcPr>
            <w:tcW w:w="0" w:type="auto"/>
            <w:vAlign w:val="center"/>
            <w:hideMark/>
          </w:tcPr>
          <w:p w14:paraId="52003A02"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TRBK</w:t>
            </w:r>
          </w:p>
        </w:tc>
        <w:tc>
          <w:tcPr>
            <w:tcW w:w="0" w:type="auto"/>
            <w:vAlign w:val="center"/>
            <w:hideMark/>
          </w:tcPr>
          <w:p w14:paraId="6DBE3365"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Potential governance, coordination, access, contribution, or community token within defined boundaries</w:t>
            </w:r>
          </w:p>
        </w:tc>
        <w:tc>
          <w:tcPr>
            <w:tcW w:w="0" w:type="auto"/>
            <w:vAlign w:val="center"/>
            <w:hideMark/>
          </w:tcPr>
          <w:p w14:paraId="34C68D46"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TRBK does not automatically create PRU value, land rights, investor rights, MRV validity, or constitutional authority</w:t>
            </w:r>
          </w:p>
        </w:tc>
      </w:tr>
      <w:tr w:rsidR="002602C5" w:rsidRPr="007D0A8E" w14:paraId="3ABA6B1E" w14:textId="77777777" w:rsidTr="002602C5">
        <w:trPr>
          <w:tblCellSpacing w:w="15" w:type="dxa"/>
        </w:trPr>
        <w:tc>
          <w:tcPr>
            <w:tcW w:w="0" w:type="auto"/>
            <w:vAlign w:val="center"/>
            <w:hideMark/>
          </w:tcPr>
          <w:p w14:paraId="1F09E050" w14:textId="77777777" w:rsidR="002602C5" w:rsidRPr="007D0A8E" w:rsidRDefault="002602C5" w:rsidP="002602C5">
            <w:pPr>
              <w:spacing w:line="360" w:lineRule="auto"/>
              <w:rPr>
                <w:rFonts w:ascii="Baskerville Old Face" w:hAnsi="Baskerville Old Face"/>
                <w:i/>
                <w:iCs/>
                <w:sz w:val="18"/>
                <w:szCs w:val="18"/>
              </w:rPr>
            </w:pPr>
            <w:proofErr w:type="spellStart"/>
            <w:r w:rsidRPr="007D0A8E">
              <w:rPr>
                <w:rFonts w:ascii="Baskerville Old Face" w:hAnsi="Baskerville Old Face"/>
                <w:i/>
                <w:iCs/>
                <w:sz w:val="18"/>
                <w:szCs w:val="18"/>
              </w:rPr>
              <w:t>HoloFuel</w:t>
            </w:r>
            <w:proofErr w:type="spellEnd"/>
            <w:r w:rsidRPr="007D0A8E">
              <w:rPr>
                <w:rFonts w:ascii="Baskerville Old Face" w:hAnsi="Baskerville Old Face"/>
                <w:i/>
                <w:iCs/>
                <w:sz w:val="18"/>
                <w:szCs w:val="18"/>
              </w:rPr>
              <w:t xml:space="preserve"> / infrastructure capacity</w:t>
            </w:r>
          </w:p>
        </w:tc>
        <w:tc>
          <w:tcPr>
            <w:tcW w:w="0" w:type="auto"/>
            <w:vAlign w:val="center"/>
            <w:hideMark/>
          </w:tcPr>
          <w:p w14:paraId="58EF3181"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 xml:space="preserve">Possible transaction, hosting, or infrastructure-capacity layer within </w:t>
            </w:r>
            <w:proofErr w:type="spellStart"/>
            <w:r w:rsidRPr="007D0A8E">
              <w:rPr>
                <w:rFonts w:ascii="Baskerville Old Face" w:hAnsi="Baskerville Old Face"/>
                <w:i/>
                <w:iCs/>
                <w:sz w:val="18"/>
                <w:szCs w:val="18"/>
              </w:rPr>
              <w:t>Holochain</w:t>
            </w:r>
            <w:proofErr w:type="spellEnd"/>
            <w:r w:rsidRPr="007D0A8E">
              <w:rPr>
                <w:rFonts w:ascii="Baskerville Old Face" w:hAnsi="Baskerville Old Face"/>
                <w:i/>
                <w:iCs/>
                <w:sz w:val="18"/>
                <w:szCs w:val="18"/>
              </w:rPr>
              <w:t>-compatible systems</w:t>
            </w:r>
          </w:p>
        </w:tc>
        <w:tc>
          <w:tcPr>
            <w:tcW w:w="0" w:type="auto"/>
            <w:vAlign w:val="center"/>
            <w:hideMark/>
          </w:tcPr>
          <w:p w14:paraId="6B4B16E6"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Operational utility does not create ecological value, investor entitlement, or PRU maturity</w:t>
            </w:r>
          </w:p>
        </w:tc>
      </w:tr>
      <w:tr w:rsidR="002602C5" w:rsidRPr="007D0A8E" w14:paraId="374459E3" w14:textId="77777777" w:rsidTr="002602C5">
        <w:trPr>
          <w:tblCellSpacing w:w="15" w:type="dxa"/>
        </w:trPr>
        <w:tc>
          <w:tcPr>
            <w:tcW w:w="0" w:type="auto"/>
            <w:vAlign w:val="center"/>
            <w:hideMark/>
          </w:tcPr>
          <w:p w14:paraId="1CAC3797"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Stablecoin / fiat settlement rail</w:t>
            </w:r>
          </w:p>
        </w:tc>
        <w:tc>
          <w:tcPr>
            <w:tcW w:w="0" w:type="auto"/>
            <w:vAlign w:val="center"/>
            <w:hideMark/>
          </w:tcPr>
          <w:p w14:paraId="15DD5F98"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Payment, settlement, treasury, or transaction mechanism</w:t>
            </w:r>
          </w:p>
        </w:tc>
        <w:tc>
          <w:tcPr>
            <w:tcW w:w="0" w:type="auto"/>
            <w:vAlign w:val="center"/>
            <w:hideMark/>
          </w:tcPr>
          <w:p w14:paraId="68A9057C"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Settlement does not create regeneration, governance authority, or verified impact</w:t>
            </w:r>
          </w:p>
        </w:tc>
      </w:tr>
      <w:tr w:rsidR="002602C5" w:rsidRPr="007D0A8E" w14:paraId="66A4B910" w14:textId="77777777" w:rsidTr="002602C5">
        <w:trPr>
          <w:tblCellSpacing w:w="15" w:type="dxa"/>
        </w:trPr>
        <w:tc>
          <w:tcPr>
            <w:tcW w:w="0" w:type="auto"/>
            <w:vAlign w:val="center"/>
            <w:hideMark/>
          </w:tcPr>
          <w:p w14:paraId="54392C42"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Security token / note / fund interest</w:t>
            </w:r>
          </w:p>
        </w:tc>
        <w:tc>
          <w:tcPr>
            <w:tcW w:w="0" w:type="auto"/>
            <w:vAlign w:val="center"/>
            <w:hideMark/>
          </w:tcPr>
          <w:p w14:paraId="3063D52A"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Regulated or legally structured financial instrument</w:t>
            </w:r>
          </w:p>
        </w:tc>
        <w:tc>
          <w:tcPr>
            <w:tcW w:w="0" w:type="auto"/>
            <w:vAlign w:val="center"/>
            <w:hideMark/>
          </w:tcPr>
          <w:p w14:paraId="00F58966"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Rights arise from legal documents, disclosures, jurisdictional review, and investor protections</w:t>
            </w:r>
          </w:p>
        </w:tc>
      </w:tr>
      <w:tr w:rsidR="002602C5" w:rsidRPr="007D0A8E" w14:paraId="66CA3F4D" w14:textId="77777777" w:rsidTr="002602C5">
        <w:trPr>
          <w:tblCellSpacing w:w="15" w:type="dxa"/>
        </w:trPr>
        <w:tc>
          <w:tcPr>
            <w:tcW w:w="0" w:type="auto"/>
            <w:vAlign w:val="center"/>
            <w:hideMark/>
          </w:tcPr>
          <w:p w14:paraId="585C7EB1"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Access credential</w:t>
            </w:r>
          </w:p>
        </w:tc>
        <w:tc>
          <w:tcPr>
            <w:tcW w:w="0" w:type="auto"/>
            <w:vAlign w:val="center"/>
            <w:hideMark/>
          </w:tcPr>
          <w:p w14:paraId="6F753679"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Permission, membership, or eligibility record</w:t>
            </w:r>
          </w:p>
        </w:tc>
        <w:tc>
          <w:tcPr>
            <w:tcW w:w="0" w:type="auto"/>
            <w:vAlign w:val="center"/>
            <w:hideMark/>
          </w:tcPr>
          <w:p w14:paraId="7EB7A88E"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Access does not create ownership, financial entitlement, or PRU value</w:t>
            </w:r>
          </w:p>
        </w:tc>
      </w:tr>
      <w:tr w:rsidR="002602C5" w:rsidRPr="007D0A8E" w14:paraId="10F2B361" w14:textId="77777777" w:rsidTr="002602C5">
        <w:trPr>
          <w:tblCellSpacing w:w="15" w:type="dxa"/>
        </w:trPr>
        <w:tc>
          <w:tcPr>
            <w:tcW w:w="0" w:type="auto"/>
            <w:vAlign w:val="center"/>
            <w:hideMark/>
          </w:tcPr>
          <w:p w14:paraId="77EB6694"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Contribution record</w:t>
            </w:r>
          </w:p>
        </w:tc>
        <w:tc>
          <w:tcPr>
            <w:tcW w:w="0" w:type="auto"/>
            <w:vAlign w:val="center"/>
            <w:hideMark/>
          </w:tcPr>
          <w:p w14:paraId="1CCB3467"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Record of work, stewardship, participation, or role performance</w:t>
            </w:r>
          </w:p>
        </w:tc>
        <w:tc>
          <w:tcPr>
            <w:tcW w:w="0" w:type="auto"/>
            <w:vAlign w:val="center"/>
            <w:hideMark/>
          </w:tcPr>
          <w:p w14:paraId="3AA617FA"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Contribution may support recognition or review; it does not automatically create value rights</w:t>
            </w:r>
          </w:p>
        </w:tc>
      </w:tr>
      <w:tr w:rsidR="002602C5" w:rsidRPr="007D0A8E" w14:paraId="65DA19AD" w14:textId="77777777" w:rsidTr="002602C5">
        <w:trPr>
          <w:tblCellSpacing w:w="15" w:type="dxa"/>
        </w:trPr>
        <w:tc>
          <w:tcPr>
            <w:tcW w:w="0" w:type="auto"/>
            <w:vAlign w:val="center"/>
            <w:hideMark/>
          </w:tcPr>
          <w:p w14:paraId="49D856BF"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Reputation badge / credential</w:t>
            </w:r>
          </w:p>
        </w:tc>
        <w:tc>
          <w:tcPr>
            <w:tcW w:w="0" w:type="auto"/>
            <w:vAlign w:val="center"/>
            <w:hideMark/>
          </w:tcPr>
          <w:p w14:paraId="0B84B44F"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Signal of role, achievement, credential, or contribution</w:t>
            </w:r>
          </w:p>
        </w:tc>
        <w:tc>
          <w:tcPr>
            <w:tcW w:w="0" w:type="auto"/>
            <w:vAlign w:val="center"/>
            <w:hideMark/>
          </w:tcPr>
          <w:p w14:paraId="7D05E2C8"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Must not become human ranking, social-credit machinery, or automatic authority</w:t>
            </w:r>
          </w:p>
        </w:tc>
      </w:tr>
      <w:tr w:rsidR="002602C5" w:rsidRPr="007D0A8E" w14:paraId="503F2708" w14:textId="77777777" w:rsidTr="002602C5">
        <w:trPr>
          <w:tblCellSpacing w:w="15" w:type="dxa"/>
        </w:trPr>
        <w:tc>
          <w:tcPr>
            <w:tcW w:w="0" w:type="auto"/>
            <w:vAlign w:val="center"/>
            <w:hideMark/>
          </w:tcPr>
          <w:p w14:paraId="7B17E7F9"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HSI-related signal</w:t>
            </w:r>
          </w:p>
        </w:tc>
        <w:tc>
          <w:tcPr>
            <w:tcW w:w="0" w:type="auto"/>
            <w:vAlign w:val="center"/>
            <w:hideMark/>
          </w:tcPr>
          <w:p w14:paraId="5F2B2B66"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Voluntary human-state or coherence-related data</w:t>
            </w:r>
          </w:p>
        </w:tc>
        <w:tc>
          <w:tcPr>
            <w:tcW w:w="0" w:type="auto"/>
            <w:vAlign w:val="center"/>
            <w:hideMark/>
          </w:tcPr>
          <w:p w14:paraId="162CD048"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HSI never becomes token value, human ranking, MRV proof, PRU value, or financial entitlement</w:t>
            </w:r>
          </w:p>
        </w:tc>
      </w:tr>
      <w:tr w:rsidR="002602C5" w:rsidRPr="007D0A8E" w14:paraId="7E87D00B" w14:textId="77777777" w:rsidTr="002602C5">
        <w:trPr>
          <w:tblCellSpacing w:w="15" w:type="dxa"/>
        </w:trPr>
        <w:tc>
          <w:tcPr>
            <w:tcW w:w="0" w:type="auto"/>
            <w:vAlign w:val="center"/>
            <w:hideMark/>
          </w:tcPr>
          <w:p w14:paraId="21C945AF"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Canonical registry record</w:t>
            </w:r>
          </w:p>
        </w:tc>
        <w:tc>
          <w:tcPr>
            <w:tcW w:w="0" w:type="auto"/>
            <w:vAlign w:val="center"/>
            <w:hideMark/>
          </w:tcPr>
          <w:p w14:paraId="41831401"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Status record for release, fork, compatibility, or public verification</w:t>
            </w:r>
          </w:p>
        </w:tc>
        <w:tc>
          <w:tcPr>
            <w:tcW w:w="0" w:type="auto"/>
            <w:vAlign w:val="center"/>
            <w:hideMark/>
          </w:tcPr>
          <w:p w14:paraId="5CA34480" w14:textId="77777777" w:rsidR="002602C5" w:rsidRPr="007D0A8E" w:rsidRDefault="002602C5" w:rsidP="002602C5">
            <w:pPr>
              <w:spacing w:line="360" w:lineRule="auto"/>
              <w:rPr>
                <w:rFonts w:ascii="Baskerville Old Face" w:hAnsi="Baskerville Old Face"/>
                <w:i/>
                <w:iCs/>
                <w:sz w:val="18"/>
                <w:szCs w:val="18"/>
              </w:rPr>
            </w:pPr>
            <w:r w:rsidRPr="007D0A8E">
              <w:rPr>
                <w:rFonts w:ascii="Baskerville Old Face" w:hAnsi="Baskerville Old Face"/>
                <w:i/>
                <w:iCs/>
                <w:sz w:val="18"/>
                <w:szCs w:val="18"/>
              </w:rPr>
              <w:t>Registry status supports verification; it does not create rights unless a separate legal structure does so</w:t>
            </w:r>
          </w:p>
        </w:tc>
      </w:tr>
    </w:tbl>
    <w:p w14:paraId="3B45254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doctrine is simple:</w:t>
      </w:r>
    </w:p>
    <w:p w14:paraId="66B3718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connect systems technically;</w:t>
      </w:r>
    </w:p>
    <w:p w14:paraId="0D16268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separate meanings constitutionally.</w:t>
      </w:r>
    </w:p>
    <w:p w14:paraId="25CFBEAA"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Q.3 Token Classification Framework</w:t>
      </w:r>
    </w:p>
    <w:p w14:paraId="2DD2422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Any token, credential, digital unit, settlement asset, or blockchain-based representation seeking Prometheus interaction should be classified before integration.</w:t>
      </w:r>
    </w:p>
    <w:p w14:paraId="76405CB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Classification comes before integration.</w:t>
      </w:r>
    </w:p>
    <w:p w14:paraId="1E32633A" w14:textId="5DDB03D0" w:rsidR="002602C5" w:rsidRPr="00B479AE" w:rsidRDefault="00952316" w:rsidP="002602C5">
      <w:pPr>
        <w:spacing w:line="360" w:lineRule="auto"/>
        <w:rPr>
          <w:rFonts w:ascii="Baskerville Old Face" w:hAnsi="Baskerville Old Face"/>
          <w:i/>
          <w:iCs/>
        </w:rPr>
      </w:pPr>
      <w:r w:rsidRPr="00B479AE">
        <w:rPr>
          <w:rFonts w:ascii="Baskerville Old Face" w:hAnsi="Baskerville Old Face"/>
          <w:i/>
          <w:iCs/>
        </w:rPr>
        <w:t>Integration without prior classification creates governance ambiguity, legal uncertainty, public-claim risk, and potential source-layer contamination.</w:t>
      </w:r>
      <w:r w:rsidR="009217A9" w:rsidRPr="00B479AE">
        <w:rPr>
          <w:rFonts w:ascii="Baskerville Old Face" w:hAnsi="Baskerville Old Face"/>
          <w:i/>
          <w:iCs/>
        </w:rPr>
        <w:t xml:space="preserve"> </w:t>
      </w:r>
    </w:p>
    <w:p w14:paraId="230161B6" w14:textId="77777777" w:rsidR="009217A9" w:rsidRPr="00B479AE" w:rsidRDefault="009217A9" w:rsidP="002602C5">
      <w:pPr>
        <w:spacing w:line="360" w:lineRule="auto"/>
        <w:rPr>
          <w:rFonts w:ascii="Baskerville Old Face" w:hAnsi="Baskerville Old Face"/>
          <w:i/>
          <w:iCs/>
        </w:rPr>
      </w:pPr>
    </w:p>
    <w:p w14:paraId="4A64D374" w14:textId="77777777" w:rsidR="009217A9" w:rsidRPr="00B479AE" w:rsidRDefault="009217A9" w:rsidP="002602C5">
      <w:pPr>
        <w:spacing w:line="360" w:lineRule="auto"/>
        <w:rPr>
          <w:rFonts w:ascii="Baskerville Old Face" w:hAnsi="Baskerville Old Face"/>
          <w:i/>
          <w:iCs/>
        </w:rPr>
      </w:pPr>
    </w:p>
    <w:p w14:paraId="3B10E421" w14:textId="77777777" w:rsidR="009217A9" w:rsidRPr="00B479AE" w:rsidRDefault="009217A9" w:rsidP="002602C5">
      <w:pPr>
        <w:spacing w:line="360" w:lineRule="auto"/>
        <w:rPr>
          <w:rFonts w:ascii="Baskerville Old Face" w:hAnsi="Baskerville Old Face"/>
          <w:i/>
          <w:iCs/>
        </w:rPr>
      </w:pPr>
    </w:p>
    <w:p w14:paraId="065FBC18" w14:textId="77777777" w:rsidR="009217A9" w:rsidRPr="00B479AE" w:rsidRDefault="009217A9" w:rsidP="002602C5">
      <w:pPr>
        <w:spacing w:line="360" w:lineRule="auto"/>
        <w:rPr>
          <w:rFonts w:ascii="Baskerville Old Face" w:hAnsi="Baskerville Old Face"/>
          <w:i/>
          <w:iCs/>
        </w:rPr>
      </w:pPr>
    </w:p>
    <w:p w14:paraId="4BBAA4CE" w14:textId="77777777" w:rsidR="009217A9" w:rsidRPr="00B479AE" w:rsidRDefault="009217A9" w:rsidP="002602C5">
      <w:pPr>
        <w:spacing w:line="360" w:lineRule="auto"/>
        <w:rPr>
          <w:rFonts w:ascii="Baskerville Old Face" w:hAnsi="Baskerville Old Face"/>
          <w:i/>
          <w:iCs/>
        </w:rPr>
      </w:pPr>
    </w:p>
    <w:p w14:paraId="14421729" w14:textId="77777777" w:rsidR="009217A9" w:rsidRPr="00B479AE" w:rsidRDefault="009217A9" w:rsidP="002602C5">
      <w:pPr>
        <w:spacing w:line="360" w:lineRule="auto"/>
        <w:rPr>
          <w:rFonts w:ascii="Baskerville Old Face" w:hAnsi="Baskerville Old Face"/>
          <w:i/>
          <w:iCs/>
        </w:rPr>
      </w:pPr>
    </w:p>
    <w:p w14:paraId="1A020841" w14:textId="77777777" w:rsidR="009217A9" w:rsidRPr="00B479AE" w:rsidRDefault="009217A9" w:rsidP="002602C5">
      <w:pPr>
        <w:spacing w:line="360" w:lineRule="auto"/>
        <w:rPr>
          <w:rFonts w:ascii="Baskerville Old Face" w:hAnsi="Baskerville Old Face"/>
          <w:i/>
          <w:iCs/>
        </w:rPr>
      </w:pPr>
    </w:p>
    <w:p w14:paraId="2BE7C8BC" w14:textId="77777777" w:rsidR="009217A9" w:rsidRPr="00B479AE" w:rsidRDefault="009217A9" w:rsidP="002602C5">
      <w:pPr>
        <w:spacing w:line="360" w:lineRule="auto"/>
        <w:rPr>
          <w:rFonts w:ascii="Baskerville Old Face" w:hAnsi="Baskerville Old Face"/>
          <w:i/>
          <w:iCs/>
        </w:rPr>
      </w:pPr>
    </w:p>
    <w:p w14:paraId="5C5C6A99" w14:textId="77777777" w:rsidR="009217A9" w:rsidRPr="00B479AE" w:rsidRDefault="009217A9" w:rsidP="002602C5">
      <w:pPr>
        <w:spacing w:line="360" w:lineRule="auto"/>
        <w:rPr>
          <w:rFonts w:ascii="Baskerville Old Face" w:hAnsi="Baskerville Old Face"/>
          <w:i/>
          <w:iCs/>
        </w:rPr>
      </w:pPr>
    </w:p>
    <w:p w14:paraId="1BDF0141" w14:textId="77777777" w:rsidR="009217A9" w:rsidRPr="00B479AE" w:rsidRDefault="009217A9" w:rsidP="002602C5">
      <w:pPr>
        <w:spacing w:line="360" w:lineRule="auto"/>
        <w:rPr>
          <w:rFonts w:ascii="Baskerville Old Face" w:hAnsi="Baskerville Old Face"/>
          <w:i/>
          <w:iCs/>
        </w:rPr>
      </w:pPr>
    </w:p>
    <w:p w14:paraId="0C845203" w14:textId="77777777" w:rsidR="009217A9" w:rsidRPr="00B479AE" w:rsidRDefault="009217A9" w:rsidP="002602C5">
      <w:pPr>
        <w:spacing w:line="360" w:lineRule="auto"/>
        <w:rPr>
          <w:rFonts w:ascii="Baskerville Old Face" w:hAnsi="Baskerville Old Face"/>
          <w:i/>
          <w:iCs/>
        </w:rPr>
      </w:pPr>
    </w:p>
    <w:p w14:paraId="16DEA6A0" w14:textId="77777777" w:rsidR="009217A9" w:rsidRPr="00B479AE" w:rsidRDefault="009217A9" w:rsidP="002602C5">
      <w:pPr>
        <w:spacing w:line="360" w:lineRule="auto"/>
        <w:rPr>
          <w:rFonts w:ascii="Baskerville Old Face" w:hAnsi="Baskerville Old Face"/>
          <w:i/>
          <w:iCs/>
        </w:rPr>
      </w:pPr>
    </w:p>
    <w:p w14:paraId="182CD880" w14:textId="77777777" w:rsidR="009217A9" w:rsidRPr="00B479AE" w:rsidRDefault="009217A9" w:rsidP="002602C5">
      <w:pPr>
        <w:spacing w:line="360" w:lineRule="auto"/>
        <w:rPr>
          <w:rFonts w:ascii="Baskerville Old Face" w:hAnsi="Baskerville Old Face"/>
          <w:i/>
          <w:iCs/>
        </w:rPr>
      </w:pPr>
    </w:p>
    <w:p w14:paraId="71110F86" w14:textId="77777777" w:rsidR="009217A9" w:rsidRPr="00B479AE" w:rsidRDefault="009217A9" w:rsidP="002602C5">
      <w:pPr>
        <w:spacing w:line="360" w:lineRule="auto"/>
        <w:rPr>
          <w:rFonts w:ascii="Baskerville Old Face" w:hAnsi="Baskerville Old Face"/>
          <w:i/>
          <w:iCs/>
        </w:rPr>
      </w:pPr>
    </w:p>
    <w:p w14:paraId="6B1C2374" w14:textId="77777777" w:rsidR="009217A9" w:rsidRPr="00B479AE" w:rsidRDefault="009217A9" w:rsidP="002602C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3803"/>
        <w:gridCol w:w="4112"/>
      </w:tblGrid>
      <w:tr w:rsidR="002602C5" w:rsidRPr="00B479AE" w14:paraId="0A4827D8" w14:textId="77777777" w:rsidTr="00716126">
        <w:trPr>
          <w:tblHeader/>
          <w:tblCellSpacing w:w="15" w:type="dxa"/>
        </w:trPr>
        <w:tc>
          <w:tcPr>
            <w:tcW w:w="0" w:type="auto"/>
            <w:vAlign w:val="center"/>
            <w:hideMark/>
          </w:tcPr>
          <w:p w14:paraId="0E157420" w14:textId="77777777" w:rsidR="002602C5" w:rsidRPr="00B479AE" w:rsidRDefault="002602C5" w:rsidP="002602C5">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Classification</w:t>
            </w:r>
          </w:p>
        </w:tc>
        <w:tc>
          <w:tcPr>
            <w:tcW w:w="0" w:type="auto"/>
            <w:vAlign w:val="center"/>
            <w:hideMark/>
          </w:tcPr>
          <w:p w14:paraId="6814B11C" w14:textId="77777777" w:rsidR="002602C5" w:rsidRPr="00B479AE" w:rsidRDefault="002602C5" w:rsidP="002602C5">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Description</w:t>
            </w:r>
          </w:p>
        </w:tc>
        <w:tc>
          <w:tcPr>
            <w:tcW w:w="0" w:type="auto"/>
            <w:vAlign w:val="center"/>
            <w:hideMark/>
          </w:tcPr>
          <w:p w14:paraId="7CDB75EE" w14:textId="77777777" w:rsidR="002602C5" w:rsidRPr="00B479AE" w:rsidRDefault="002602C5" w:rsidP="002602C5">
            <w:pPr>
              <w:spacing w:line="360" w:lineRule="auto"/>
              <w:rPr>
                <w:rFonts w:ascii="Baskerville Old Face" w:hAnsi="Baskerville Old Face"/>
                <w:b/>
                <w:bCs/>
                <w:i/>
                <w:iCs/>
                <w:sz w:val="18"/>
                <w:szCs w:val="18"/>
              </w:rPr>
            </w:pPr>
            <w:r w:rsidRPr="00B479AE">
              <w:rPr>
                <w:rFonts w:ascii="Baskerville Old Face" w:hAnsi="Baskerville Old Face"/>
                <w:b/>
                <w:bCs/>
                <w:i/>
                <w:iCs/>
                <w:sz w:val="18"/>
                <w:szCs w:val="18"/>
              </w:rPr>
              <w:t>Prometheus implication</w:t>
            </w:r>
          </w:p>
        </w:tc>
      </w:tr>
      <w:tr w:rsidR="002602C5" w:rsidRPr="00B479AE" w14:paraId="770672AA" w14:textId="77777777" w:rsidTr="00716126">
        <w:trPr>
          <w:tblCellSpacing w:w="15" w:type="dxa"/>
        </w:trPr>
        <w:tc>
          <w:tcPr>
            <w:tcW w:w="0" w:type="auto"/>
            <w:vAlign w:val="center"/>
            <w:hideMark/>
          </w:tcPr>
          <w:p w14:paraId="0D2D5107"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Utility / access token</w:t>
            </w:r>
          </w:p>
        </w:tc>
        <w:tc>
          <w:tcPr>
            <w:tcW w:w="0" w:type="auto"/>
            <w:vAlign w:val="center"/>
            <w:hideMark/>
          </w:tcPr>
          <w:p w14:paraId="1E8A3EEE"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Grants access to a function, service, permission layer, or community process</w:t>
            </w:r>
          </w:p>
        </w:tc>
        <w:tc>
          <w:tcPr>
            <w:tcW w:w="0" w:type="auto"/>
            <w:vAlign w:val="center"/>
            <w:hideMark/>
          </w:tcPr>
          <w:p w14:paraId="389CEB95"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scope definition and no implied investor right</w:t>
            </w:r>
          </w:p>
        </w:tc>
      </w:tr>
      <w:tr w:rsidR="002602C5" w:rsidRPr="00B479AE" w14:paraId="22244CB1" w14:textId="77777777" w:rsidTr="00716126">
        <w:trPr>
          <w:tblCellSpacing w:w="15" w:type="dxa"/>
        </w:trPr>
        <w:tc>
          <w:tcPr>
            <w:tcW w:w="0" w:type="auto"/>
            <w:vAlign w:val="center"/>
            <w:hideMark/>
          </w:tcPr>
          <w:p w14:paraId="4D69E529"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Governance token</w:t>
            </w:r>
          </w:p>
        </w:tc>
        <w:tc>
          <w:tcPr>
            <w:tcW w:w="0" w:type="auto"/>
            <w:vAlign w:val="center"/>
            <w:hideMark/>
          </w:tcPr>
          <w:p w14:paraId="7289240B"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Participates in defined governance processes</w:t>
            </w:r>
          </w:p>
        </w:tc>
        <w:tc>
          <w:tcPr>
            <w:tcW w:w="0" w:type="auto"/>
            <w:vAlign w:val="center"/>
            <w:hideMark/>
          </w:tcPr>
          <w:p w14:paraId="1238A526"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governance boundary, anti-capture design, and constitutional limits</w:t>
            </w:r>
          </w:p>
        </w:tc>
      </w:tr>
      <w:tr w:rsidR="002602C5" w:rsidRPr="00B479AE" w14:paraId="7B4A083F" w14:textId="77777777" w:rsidTr="00716126">
        <w:trPr>
          <w:tblCellSpacing w:w="15" w:type="dxa"/>
        </w:trPr>
        <w:tc>
          <w:tcPr>
            <w:tcW w:w="0" w:type="auto"/>
            <w:vAlign w:val="center"/>
            <w:hideMark/>
          </w:tcPr>
          <w:p w14:paraId="659EEA61"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Contribution token</w:t>
            </w:r>
          </w:p>
        </w:tc>
        <w:tc>
          <w:tcPr>
            <w:tcW w:w="0" w:type="auto"/>
            <w:vAlign w:val="center"/>
            <w:hideMark/>
          </w:tcPr>
          <w:p w14:paraId="1C928167"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Recognizes contribution, participation, work, stewardship, or service</w:t>
            </w:r>
          </w:p>
        </w:tc>
        <w:tc>
          <w:tcPr>
            <w:tcW w:w="0" w:type="auto"/>
            <w:vAlign w:val="center"/>
            <w:hideMark/>
          </w:tcPr>
          <w:p w14:paraId="3B7B110E"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contribution-policy clarity and no automatic PRU, RAP, or investor conversion</w:t>
            </w:r>
          </w:p>
        </w:tc>
      </w:tr>
      <w:tr w:rsidR="002602C5" w:rsidRPr="00B479AE" w14:paraId="74D3B55D" w14:textId="77777777" w:rsidTr="00716126">
        <w:trPr>
          <w:tblCellSpacing w:w="15" w:type="dxa"/>
        </w:trPr>
        <w:tc>
          <w:tcPr>
            <w:tcW w:w="0" w:type="auto"/>
            <w:vAlign w:val="center"/>
            <w:hideMark/>
          </w:tcPr>
          <w:p w14:paraId="622B41A2"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Settlement token</w:t>
            </w:r>
          </w:p>
        </w:tc>
        <w:tc>
          <w:tcPr>
            <w:tcW w:w="0" w:type="auto"/>
            <w:vAlign w:val="center"/>
            <w:hideMark/>
          </w:tcPr>
          <w:p w14:paraId="3081E1A8"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Used for payment, settlement, or transaction accounting</w:t>
            </w:r>
          </w:p>
        </w:tc>
        <w:tc>
          <w:tcPr>
            <w:tcW w:w="0" w:type="auto"/>
            <w:vAlign w:val="center"/>
            <w:hideMark/>
          </w:tcPr>
          <w:p w14:paraId="01BAC2E6"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compliance, custody, tax, AML/KYC, sanctions, and operational review where relevant</w:t>
            </w:r>
          </w:p>
        </w:tc>
      </w:tr>
      <w:tr w:rsidR="002602C5" w:rsidRPr="00B479AE" w14:paraId="5F35EEDE" w14:textId="77777777" w:rsidTr="00716126">
        <w:trPr>
          <w:tblCellSpacing w:w="15" w:type="dxa"/>
        </w:trPr>
        <w:tc>
          <w:tcPr>
            <w:tcW w:w="0" w:type="auto"/>
            <w:vAlign w:val="center"/>
            <w:hideMark/>
          </w:tcPr>
          <w:p w14:paraId="78E19962"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Accounting unit</w:t>
            </w:r>
          </w:p>
        </w:tc>
        <w:tc>
          <w:tcPr>
            <w:tcW w:w="0" w:type="auto"/>
            <w:vAlign w:val="center"/>
            <w:hideMark/>
          </w:tcPr>
          <w:p w14:paraId="01C64B67"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Tracks internal values, balances, credits, points, or records</w:t>
            </w:r>
          </w:p>
        </w:tc>
        <w:tc>
          <w:tcPr>
            <w:tcW w:w="0" w:type="auto"/>
            <w:vAlign w:val="center"/>
            <w:hideMark/>
          </w:tcPr>
          <w:p w14:paraId="2F475934"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accounting policy and non-misrepresentation controls</w:t>
            </w:r>
          </w:p>
        </w:tc>
      </w:tr>
      <w:tr w:rsidR="002602C5" w:rsidRPr="00B479AE" w14:paraId="63299F42" w14:textId="77777777" w:rsidTr="00716126">
        <w:trPr>
          <w:tblCellSpacing w:w="15" w:type="dxa"/>
        </w:trPr>
        <w:tc>
          <w:tcPr>
            <w:tcW w:w="0" w:type="auto"/>
            <w:vAlign w:val="center"/>
            <w:hideMark/>
          </w:tcPr>
          <w:p w14:paraId="3319965D"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Reward token</w:t>
            </w:r>
          </w:p>
        </w:tc>
        <w:tc>
          <w:tcPr>
            <w:tcW w:w="0" w:type="auto"/>
            <w:vAlign w:val="center"/>
            <w:hideMark/>
          </w:tcPr>
          <w:p w14:paraId="77AA2DD9"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Provides rewards, incentives, or distribution logic</w:t>
            </w:r>
          </w:p>
        </w:tc>
        <w:tc>
          <w:tcPr>
            <w:tcW w:w="0" w:type="auto"/>
            <w:vAlign w:val="center"/>
            <w:hideMark/>
          </w:tcPr>
          <w:p w14:paraId="56ADC349"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legal, tax, labor, consumer, securities, and community-governance review</w:t>
            </w:r>
          </w:p>
        </w:tc>
      </w:tr>
      <w:tr w:rsidR="002602C5" w:rsidRPr="00B479AE" w14:paraId="1525807A" w14:textId="77777777" w:rsidTr="00716126">
        <w:trPr>
          <w:tblCellSpacing w:w="15" w:type="dxa"/>
        </w:trPr>
        <w:tc>
          <w:tcPr>
            <w:tcW w:w="0" w:type="auto"/>
            <w:vAlign w:val="center"/>
            <w:hideMark/>
          </w:tcPr>
          <w:p w14:paraId="4ECF9BB7"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Security / investment token</w:t>
            </w:r>
          </w:p>
        </w:tc>
        <w:tc>
          <w:tcPr>
            <w:tcW w:w="0" w:type="auto"/>
            <w:vAlign w:val="center"/>
            <w:hideMark/>
          </w:tcPr>
          <w:p w14:paraId="0D95952C"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Represents financial rights, revenue, debt, equity, fund interest, note, or similar exposure</w:t>
            </w:r>
          </w:p>
        </w:tc>
        <w:tc>
          <w:tcPr>
            <w:tcW w:w="0" w:type="auto"/>
            <w:vAlign w:val="center"/>
            <w:hideMark/>
          </w:tcPr>
          <w:p w14:paraId="3E887CB8"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full legal structuring, disclosure, investor suitability, and jurisdictional compliance</w:t>
            </w:r>
          </w:p>
        </w:tc>
      </w:tr>
      <w:tr w:rsidR="002602C5" w:rsidRPr="00B479AE" w14:paraId="7E31BCF1" w14:textId="77777777" w:rsidTr="00716126">
        <w:trPr>
          <w:tblCellSpacing w:w="15" w:type="dxa"/>
        </w:trPr>
        <w:tc>
          <w:tcPr>
            <w:tcW w:w="0" w:type="auto"/>
            <w:vAlign w:val="center"/>
            <w:hideMark/>
          </w:tcPr>
          <w:p w14:paraId="5ABE95CB"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Reputation token / badge</w:t>
            </w:r>
          </w:p>
        </w:tc>
        <w:tc>
          <w:tcPr>
            <w:tcW w:w="0" w:type="auto"/>
            <w:vAlign w:val="center"/>
            <w:hideMark/>
          </w:tcPr>
          <w:p w14:paraId="5C8585E7"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Signals achievement, role, credential, contribution, or community status</w:t>
            </w:r>
          </w:p>
        </w:tc>
        <w:tc>
          <w:tcPr>
            <w:tcW w:w="0" w:type="auto"/>
            <w:vAlign w:val="center"/>
            <w:hideMark/>
          </w:tcPr>
          <w:p w14:paraId="096EE41C"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Must not become human ranking or social-credit machinery</w:t>
            </w:r>
          </w:p>
        </w:tc>
      </w:tr>
      <w:tr w:rsidR="002602C5" w:rsidRPr="00B479AE" w14:paraId="4090813D" w14:textId="77777777" w:rsidTr="00716126">
        <w:trPr>
          <w:tblCellSpacing w:w="15" w:type="dxa"/>
        </w:trPr>
        <w:tc>
          <w:tcPr>
            <w:tcW w:w="0" w:type="auto"/>
            <w:vAlign w:val="center"/>
            <w:hideMark/>
          </w:tcPr>
          <w:p w14:paraId="552A6149"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Verifiable credential</w:t>
            </w:r>
          </w:p>
        </w:tc>
        <w:tc>
          <w:tcPr>
            <w:tcW w:w="0" w:type="auto"/>
            <w:vAlign w:val="center"/>
            <w:hideMark/>
          </w:tcPr>
          <w:p w14:paraId="55E3118C"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Confirms identity, role, qualification, authorization, or review status</w:t>
            </w:r>
          </w:p>
        </w:tc>
        <w:tc>
          <w:tcPr>
            <w:tcW w:w="0" w:type="auto"/>
            <w:vAlign w:val="center"/>
            <w:hideMark/>
          </w:tcPr>
          <w:p w14:paraId="03251482"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Must remain purpose-limited and revocable where appropriate</w:t>
            </w:r>
          </w:p>
        </w:tc>
      </w:tr>
      <w:tr w:rsidR="002602C5" w:rsidRPr="00B479AE" w14:paraId="493CA8AC" w14:textId="77777777" w:rsidTr="00716126">
        <w:trPr>
          <w:tblCellSpacing w:w="15" w:type="dxa"/>
        </w:trPr>
        <w:tc>
          <w:tcPr>
            <w:tcW w:w="0" w:type="auto"/>
            <w:vAlign w:val="center"/>
            <w:hideMark/>
          </w:tcPr>
          <w:p w14:paraId="02BADBFB"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MRV-linked representation</w:t>
            </w:r>
          </w:p>
        </w:tc>
        <w:tc>
          <w:tcPr>
            <w:tcW w:w="0" w:type="auto"/>
            <w:vAlign w:val="center"/>
            <w:hideMark/>
          </w:tcPr>
          <w:p w14:paraId="5595D5FE"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References evidence, indicators, ecological performance, or reporting records</w:t>
            </w:r>
          </w:p>
        </w:tc>
        <w:tc>
          <w:tcPr>
            <w:tcW w:w="0" w:type="auto"/>
            <w:vAlign w:val="center"/>
            <w:hideMark/>
          </w:tcPr>
          <w:p w14:paraId="703F58C0"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MRV admissibility and careful public-claim controls</w:t>
            </w:r>
          </w:p>
        </w:tc>
      </w:tr>
      <w:tr w:rsidR="002602C5" w:rsidRPr="00B479AE" w14:paraId="1CB5F250" w14:textId="77777777" w:rsidTr="00716126">
        <w:trPr>
          <w:tblCellSpacing w:w="15" w:type="dxa"/>
        </w:trPr>
        <w:tc>
          <w:tcPr>
            <w:tcW w:w="0" w:type="auto"/>
            <w:vAlign w:val="center"/>
            <w:hideMark/>
          </w:tcPr>
          <w:p w14:paraId="371FB01E"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PRU-referenced representation</w:t>
            </w:r>
          </w:p>
        </w:tc>
        <w:tc>
          <w:tcPr>
            <w:tcW w:w="0" w:type="auto"/>
            <w:vAlign w:val="center"/>
            <w:hideMark/>
          </w:tcPr>
          <w:p w14:paraId="55B43C60"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References PRU analysis, maturity, or reporting</w:t>
            </w:r>
          </w:p>
        </w:tc>
        <w:tc>
          <w:tcPr>
            <w:tcW w:w="0" w:type="auto"/>
            <w:vAlign w:val="center"/>
            <w:hideMark/>
          </w:tcPr>
          <w:p w14:paraId="7E7D01AB"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reviewed PRU methodology, admissibility, legal boundary, and controlled language</w:t>
            </w:r>
          </w:p>
        </w:tc>
      </w:tr>
      <w:tr w:rsidR="002602C5" w:rsidRPr="00B479AE" w14:paraId="1758D938" w14:textId="77777777" w:rsidTr="00716126">
        <w:trPr>
          <w:tblCellSpacing w:w="15" w:type="dxa"/>
        </w:trPr>
        <w:tc>
          <w:tcPr>
            <w:tcW w:w="0" w:type="auto"/>
            <w:vAlign w:val="center"/>
            <w:hideMark/>
          </w:tcPr>
          <w:p w14:paraId="0B1D9DD7"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RAP-referenced representation</w:t>
            </w:r>
          </w:p>
        </w:tc>
        <w:tc>
          <w:tcPr>
            <w:tcW w:w="0" w:type="auto"/>
            <w:vAlign w:val="center"/>
            <w:hideMark/>
          </w:tcPr>
          <w:p w14:paraId="0A3CEC1E"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References portfolio or pool logic</w:t>
            </w:r>
          </w:p>
        </w:tc>
        <w:tc>
          <w:tcPr>
            <w:tcW w:w="0" w:type="auto"/>
            <w:vAlign w:val="center"/>
            <w:hideMark/>
          </w:tcPr>
          <w:p w14:paraId="5E3AF86A"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Requires eligible underlying units, legal wrapper, disclosure, and portfolio governance</w:t>
            </w:r>
          </w:p>
        </w:tc>
      </w:tr>
      <w:tr w:rsidR="002602C5" w:rsidRPr="00B479AE" w14:paraId="2BC02958" w14:textId="77777777" w:rsidTr="00716126">
        <w:trPr>
          <w:tblCellSpacing w:w="15" w:type="dxa"/>
        </w:trPr>
        <w:tc>
          <w:tcPr>
            <w:tcW w:w="0" w:type="auto"/>
            <w:vAlign w:val="center"/>
            <w:hideMark/>
          </w:tcPr>
          <w:p w14:paraId="46920399"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Non-admissible token claim</w:t>
            </w:r>
          </w:p>
        </w:tc>
        <w:tc>
          <w:tcPr>
            <w:tcW w:w="0" w:type="auto"/>
            <w:vAlign w:val="center"/>
            <w:hideMark/>
          </w:tcPr>
          <w:p w14:paraId="6AA0DEA5"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Claims regenerative, PRU, RAP, investor, legal, or public certification meaning without basis</w:t>
            </w:r>
          </w:p>
        </w:tc>
        <w:tc>
          <w:tcPr>
            <w:tcW w:w="0" w:type="auto"/>
            <w:vAlign w:val="center"/>
            <w:hideMark/>
          </w:tcPr>
          <w:p w14:paraId="388A4685" w14:textId="77777777" w:rsidR="002602C5" w:rsidRPr="00B479AE" w:rsidRDefault="002602C5" w:rsidP="002602C5">
            <w:pPr>
              <w:spacing w:line="360" w:lineRule="auto"/>
              <w:rPr>
                <w:rFonts w:ascii="Baskerville Old Face" w:hAnsi="Baskerville Old Face"/>
                <w:i/>
                <w:iCs/>
                <w:sz w:val="18"/>
                <w:szCs w:val="18"/>
              </w:rPr>
            </w:pPr>
            <w:r w:rsidRPr="00B479AE">
              <w:rPr>
                <w:rFonts w:ascii="Baskerville Old Face" w:hAnsi="Baskerville Old Face"/>
                <w:i/>
                <w:iCs/>
                <w:sz w:val="18"/>
                <w:szCs w:val="18"/>
              </w:rPr>
              <w:t>Not eligible for protected Prometheus pathways</w:t>
            </w:r>
          </w:p>
        </w:tc>
      </w:tr>
    </w:tbl>
    <w:p w14:paraId="05FEE45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be technically sophisticated and constitutionally irrelevant.</w:t>
      </w:r>
    </w:p>
    <w:p w14:paraId="1E89DEF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A token may be liquid and legally unsafe.</w:t>
      </w:r>
    </w:p>
    <w:p w14:paraId="2A3BF7B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be popular and methodologically empty.</w:t>
      </w:r>
    </w:p>
    <w:p w14:paraId="599AC14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compatibility requires more than code.</w:t>
      </w:r>
    </w:p>
    <w:p w14:paraId="20F4C70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requires source-layer compatibility.</w:t>
      </w:r>
    </w:p>
    <w:p w14:paraId="698477BD"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Q.4 Token Integration Readiness Review</w:t>
      </w:r>
    </w:p>
    <w:p w14:paraId="19F274D7" w14:textId="63942AE7" w:rsidR="002602C5" w:rsidRDefault="002602C5" w:rsidP="002602C5">
      <w:pPr>
        <w:spacing w:line="360" w:lineRule="auto"/>
        <w:rPr>
          <w:rFonts w:ascii="Baskerville Old Face" w:hAnsi="Baskerville Old Face"/>
          <w:i/>
          <w:iCs/>
        </w:rPr>
      </w:pPr>
      <w:r w:rsidRPr="00B479AE">
        <w:rPr>
          <w:rFonts w:ascii="Baskerville Old Face" w:hAnsi="Baskerville Old Face"/>
          <w:i/>
          <w:iCs/>
        </w:rPr>
        <w:t>Before Prometheus interacts with any token system, the following review dimensions should be assessed.</w:t>
      </w:r>
      <w:r w:rsidR="00CC6E6B">
        <w:rPr>
          <w:rFonts w:ascii="Baskerville Old Face" w:hAnsi="Baskerville Old Face"/>
          <w:i/>
          <w:iCs/>
        </w:rPr>
        <w:t xml:space="preserve"> </w:t>
      </w:r>
    </w:p>
    <w:p w14:paraId="73430CC9" w14:textId="77777777" w:rsidR="00CC6E6B" w:rsidRDefault="00CC6E6B" w:rsidP="002602C5">
      <w:pPr>
        <w:spacing w:line="360" w:lineRule="auto"/>
        <w:rPr>
          <w:rFonts w:ascii="Baskerville Old Face" w:hAnsi="Baskerville Old Face"/>
          <w:i/>
          <w:iCs/>
        </w:rPr>
      </w:pPr>
    </w:p>
    <w:p w14:paraId="54ABE1F0" w14:textId="77777777" w:rsidR="00CC6E6B" w:rsidRDefault="00CC6E6B" w:rsidP="002602C5">
      <w:pPr>
        <w:spacing w:line="360" w:lineRule="auto"/>
        <w:rPr>
          <w:rFonts w:ascii="Baskerville Old Face" w:hAnsi="Baskerville Old Face"/>
          <w:i/>
          <w:iCs/>
        </w:rPr>
      </w:pPr>
    </w:p>
    <w:p w14:paraId="7ABAEA62" w14:textId="77777777" w:rsidR="00CC6E6B" w:rsidRDefault="00CC6E6B" w:rsidP="002602C5">
      <w:pPr>
        <w:spacing w:line="360" w:lineRule="auto"/>
        <w:rPr>
          <w:rFonts w:ascii="Baskerville Old Face" w:hAnsi="Baskerville Old Face"/>
          <w:i/>
          <w:iCs/>
        </w:rPr>
      </w:pPr>
    </w:p>
    <w:p w14:paraId="00B5493A" w14:textId="77777777" w:rsidR="00CC6E6B" w:rsidRDefault="00CC6E6B" w:rsidP="002602C5">
      <w:pPr>
        <w:spacing w:line="360" w:lineRule="auto"/>
        <w:rPr>
          <w:rFonts w:ascii="Baskerville Old Face" w:hAnsi="Baskerville Old Face"/>
          <w:i/>
          <w:iCs/>
        </w:rPr>
      </w:pPr>
    </w:p>
    <w:p w14:paraId="7A0EBC22" w14:textId="77777777" w:rsidR="00CC6E6B" w:rsidRDefault="00CC6E6B" w:rsidP="002602C5">
      <w:pPr>
        <w:spacing w:line="360" w:lineRule="auto"/>
        <w:rPr>
          <w:rFonts w:ascii="Baskerville Old Face" w:hAnsi="Baskerville Old Face"/>
          <w:i/>
          <w:iCs/>
        </w:rPr>
      </w:pPr>
    </w:p>
    <w:p w14:paraId="1B2F46EC" w14:textId="77777777" w:rsidR="00CC6E6B" w:rsidRDefault="00CC6E6B" w:rsidP="002602C5">
      <w:pPr>
        <w:spacing w:line="360" w:lineRule="auto"/>
        <w:rPr>
          <w:rFonts w:ascii="Baskerville Old Face" w:hAnsi="Baskerville Old Face"/>
          <w:i/>
          <w:iCs/>
        </w:rPr>
      </w:pPr>
    </w:p>
    <w:p w14:paraId="1B077C50" w14:textId="77777777" w:rsidR="00CC6E6B" w:rsidRDefault="00CC6E6B" w:rsidP="002602C5">
      <w:pPr>
        <w:spacing w:line="360" w:lineRule="auto"/>
        <w:rPr>
          <w:rFonts w:ascii="Baskerville Old Face" w:hAnsi="Baskerville Old Face"/>
          <w:i/>
          <w:iCs/>
        </w:rPr>
      </w:pPr>
    </w:p>
    <w:p w14:paraId="616F02C0" w14:textId="77777777" w:rsidR="00CC6E6B" w:rsidRDefault="00CC6E6B" w:rsidP="002602C5">
      <w:pPr>
        <w:spacing w:line="360" w:lineRule="auto"/>
        <w:rPr>
          <w:rFonts w:ascii="Baskerville Old Face" w:hAnsi="Baskerville Old Face"/>
          <w:i/>
          <w:iCs/>
        </w:rPr>
      </w:pPr>
    </w:p>
    <w:p w14:paraId="1C30A87E" w14:textId="77777777" w:rsidR="00CC6E6B" w:rsidRDefault="00CC6E6B" w:rsidP="002602C5">
      <w:pPr>
        <w:spacing w:line="360" w:lineRule="auto"/>
        <w:rPr>
          <w:rFonts w:ascii="Baskerville Old Face" w:hAnsi="Baskerville Old Face"/>
          <w:i/>
          <w:iCs/>
        </w:rPr>
      </w:pPr>
    </w:p>
    <w:p w14:paraId="0D1FE3F5" w14:textId="77777777" w:rsidR="00CC6E6B" w:rsidRDefault="00CC6E6B" w:rsidP="002602C5">
      <w:pPr>
        <w:spacing w:line="360" w:lineRule="auto"/>
        <w:rPr>
          <w:rFonts w:ascii="Baskerville Old Face" w:hAnsi="Baskerville Old Face"/>
          <w:i/>
          <w:iCs/>
        </w:rPr>
      </w:pPr>
    </w:p>
    <w:p w14:paraId="09A823C1" w14:textId="77777777" w:rsidR="00CC6E6B" w:rsidRDefault="00CC6E6B" w:rsidP="002602C5">
      <w:pPr>
        <w:spacing w:line="360" w:lineRule="auto"/>
        <w:rPr>
          <w:rFonts w:ascii="Baskerville Old Face" w:hAnsi="Baskerville Old Face"/>
          <w:i/>
          <w:iCs/>
        </w:rPr>
      </w:pPr>
    </w:p>
    <w:p w14:paraId="7918C326" w14:textId="77777777" w:rsidR="00CC6E6B" w:rsidRDefault="00CC6E6B" w:rsidP="002602C5">
      <w:pPr>
        <w:spacing w:line="360" w:lineRule="auto"/>
        <w:rPr>
          <w:rFonts w:ascii="Baskerville Old Face" w:hAnsi="Baskerville Old Face"/>
          <w:i/>
          <w:iCs/>
        </w:rPr>
      </w:pPr>
    </w:p>
    <w:p w14:paraId="0D8CC76E" w14:textId="77777777" w:rsidR="00CC6E6B" w:rsidRDefault="00CC6E6B" w:rsidP="002602C5">
      <w:pPr>
        <w:spacing w:line="360" w:lineRule="auto"/>
        <w:rPr>
          <w:rFonts w:ascii="Baskerville Old Face" w:hAnsi="Baskerville Old Face"/>
          <w:i/>
          <w:iCs/>
        </w:rPr>
      </w:pPr>
    </w:p>
    <w:p w14:paraId="5555CA29" w14:textId="77777777" w:rsidR="00CC6E6B" w:rsidRPr="00B479AE" w:rsidRDefault="00CC6E6B" w:rsidP="002602C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7900"/>
      </w:tblGrid>
      <w:tr w:rsidR="002602C5" w:rsidRPr="00CC6E6B" w14:paraId="52550531" w14:textId="77777777" w:rsidTr="002602C5">
        <w:trPr>
          <w:tblHeader/>
          <w:tblCellSpacing w:w="15" w:type="dxa"/>
        </w:trPr>
        <w:tc>
          <w:tcPr>
            <w:tcW w:w="0" w:type="auto"/>
            <w:vAlign w:val="center"/>
            <w:hideMark/>
          </w:tcPr>
          <w:p w14:paraId="05791428" w14:textId="77777777" w:rsidR="002602C5" w:rsidRPr="00CC6E6B" w:rsidRDefault="002602C5" w:rsidP="002602C5">
            <w:pPr>
              <w:spacing w:line="360" w:lineRule="auto"/>
              <w:rPr>
                <w:rFonts w:ascii="Baskerville Old Face" w:hAnsi="Baskerville Old Face"/>
                <w:b/>
                <w:bCs/>
                <w:i/>
                <w:iCs/>
                <w:sz w:val="17"/>
                <w:szCs w:val="17"/>
              </w:rPr>
            </w:pPr>
            <w:r w:rsidRPr="00CC6E6B">
              <w:rPr>
                <w:rFonts w:ascii="Baskerville Old Face" w:hAnsi="Baskerville Old Face"/>
                <w:b/>
                <w:bCs/>
                <w:i/>
                <w:iCs/>
                <w:sz w:val="17"/>
                <w:szCs w:val="17"/>
              </w:rPr>
              <w:lastRenderedPageBreak/>
              <w:t>Review dimension</w:t>
            </w:r>
          </w:p>
        </w:tc>
        <w:tc>
          <w:tcPr>
            <w:tcW w:w="0" w:type="auto"/>
            <w:vAlign w:val="center"/>
            <w:hideMark/>
          </w:tcPr>
          <w:p w14:paraId="1106F0EA" w14:textId="77777777" w:rsidR="002602C5" w:rsidRPr="00CC6E6B" w:rsidRDefault="002602C5" w:rsidP="002602C5">
            <w:pPr>
              <w:spacing w:line="360" w:lineRule="auto"/>
              <w:rPr>
                <w:rFonts w:ascii="Baskerville Old Face" w:hAnsi="Baskerville Old Face"/>
                <w:b/>
                <w:bCs/>
                <w:i/>
                <w:iCs/>
                <w:sz w:val="17"/>
                <w:szCs w:val="17"/>
              </w:rPr>
            </w:pPr>
            <w:r w:rsidRPr="00CC6E6B">
              <w:rPr>
                <w:rFonts w:ascii="Baskerville Old Face" w:hAnsi="Baskerville Old Face"/>
                <w:b/>
                <w:bCs/>
                <w:i/>
                <w:iCs/>
                <w:sz w:val="17"/>
                <w:szCs w:val="17"/>
              </w:rPr>
              <w:t>Key question</w:t>
            </w:r>
          </w:p>
        </w:tc>
      </w:tr>
      <w:tr w:rsidR="002602C5" w:rsidRPr="00CC6E6B" w14:paraId="0284BF3E" w14:textId="77777777" w:rsidTr="002602C5">
        <w:trPr>
          <w:tblCellSpacing w:w="15" w:type="dxa"/>
        </w:trPr>
        <w:tc>
          <w:tcPr>
            <w:tcW w:w="0" w:type="auto"/>
            <w:vAlign w:val="center"/>
            <w:hideMark/>
          </w:tcPr>
          <w:p w14:paraId="22B50DE2"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Purpose</w:t>
            </w:r>
          </w:p>
        </w:tc>
        <w:tc>
          <w:tcPr>
            <w:tcW w:w="0" w:type="auto"/>
            <w:vAlign w:val="center"/>
            <w:hideMark/>
          </w:tcPr>
          <w:p w14:paraId="16E24BDB"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What function does the token perform?</w:t>
            </w:r>
          </w:p>
        </w:tc>
      </w:tr>
      <w:tr w:rsidR="002602C5" w:rsidRPr="00CC6E6B" w14:paraId="484321CD" w14:textId="77777777" w:rsidTr="002602C5">
        <w:trPr>
          <w:tblCellSpacing w:w="15" w:type="dxa"/>
        </w:trPr>
        <w:tc>
          <w:tcPr>
            <w:tcW w:w="0" w:type="auto"/>
            <w:vAlign w:val="center"/>
            <w:hideMark/>
          </w:tcPr>
          <w:p w14:paraId="39A96738"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Rights</w:t>
            </w:r>
          </w:p>
        </w:tc>
        <w:tc>
          <w:tcPr>
            <w:tcW w:w="0" w:type="auto"/>
            <w:vAlign w:val="center"/>
            <w:hideMark/>
          </w:tcPr>
          <w:p w14:paraId="32E9A3F1"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What rights, if any, does the token legally confer?</w:t>
            </w:r>
          </w:p>
        </w:tc>
      </w:tr>
      <w:tr w:rsidR="002602C5" w:rsidRPr="00CC6E6B" w14:paraId="7E12A17C" w14:textId="77777777" w:rsidTr="002602C5">
        <w:trPr>
          <w:tblCellSpacing w:w="15" w:type="dxa"/>
        </w:trPr>
        <w:tc>
          <w:tcPr>
            <w:tcW w:w="0" w:type="auto"/>
            <w:vAlign w:val="center"/>
            <w:hideMark/>
          </w:tcPr>
          <w:p w14:paraId="527499BA"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Claims</w:t>
            </w:r>
          </w:p>
        </w:tc>
        <w:tc>
          <w:tcPr>
            <w:tcW w:w="0" w:type="auto"/>
            <w:vAlign w:val="center"/>
            <w:hideMark/>
          </w:tcPr>
          <w:p w14:paraId="5E3A4FC2"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What public, ecological, financial, governance, or community claims are being made?</w:t>
            </w:r>
          </w:p>
        </w:tc>
      </w:tr>
      <w:tr w:rsidR="002602C5" w:rsidRPr="00CC6E6B" w14:paraId="546C95EF" w14:textId="77777777" w:rsidTr="002602C5">
        <w:trPr>
          <w:tblCellSpacing w:w="15" w:type="dxa"/>
        </w:trPr>
        <w:tc>
          <w:tcPr>
            <w:tcW w:w="0" w:type="auto"/>
            <w:vAlign w:val="center"/>
            <w:hideMark/>
          </w:tcPr>
          <w:p w14:paraId="2BCA1459"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Legal classification</w:t>
            </w:r>
          </w:p>
        </w:tc>
        <w:tc>
          <w:tcPr>
            <w:tcW w:w="0" w:type="auto"/>
            <w:vAlign w:val="center"/>
            <w:hideMark/>
          </w:tcPr>
          <w:p w14:paraId="027B6F61"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Is the token a security, payment token, utility token, reward, credential, accounting unit, access token, or something else under relevant law?</w:t>
            </w:r>
          </w:p>
        </w:tc>
      </w:tr>
      <w:tr w:rsidR="002602C5" w:rsidRPr="00CC6E6B" w14:paraId="69987B4C" w14:textId="77777777" w:rsidTr="002602C5">
        <w:trPr>
          <w:tblCellSpacing w:w="15" w:type="dxa"/>
        </w:trPr>
        <w:tc>
          <w:tcPr>
            <w:tcW w:w="0" w:type="auto"/>
            <w:vAlign w:val="center"/>
            <w:hideMark/>
          </w:tcPr>
          <w:p w14:paraId="64C0C66B"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Jurisdiction</w:t>
            </w:r>
          </w:p>
        </w:tc>
        <w:tc>
          <w:tcPr>
            <w:tcW w:w="0" w:type="auto"/>
            <w:vAlign w:val="center"/>
            <w:hideMark/>
          </w:tcPr>
          <w:p w14:paraId="5288EA7C"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Which jurisdictions are involved?</w:t>
            </w:r>
          </w:p>
        </w:tc>
      </w:tr>
      <w:tr w:rsidR="002602C5" w:rsidRPr="00CC6E6B" w14:paraId="77E15437" w14:textId="77777777" w:rsidTr="002602C5">
        <w:trPr>
          <w:tblCellSpacing w:w="15" w:type="dxa"/>
        </w:trPr>
        <w:tc>
          <w:tcPr>
            <w:tcW w:w="0" w:type="auto"/>
            <w:vAlign w:val="center"/>
            <w:hideMark/>
          </w:tcPr>
          <w:p w14:paraId="19BF142A"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Issuer / controller</w:t>
            </w:r>
          </w:p>
        </w:tc>
        <w:tc>
          <w:tcPr>
            <w:tcW w:w="0" w:type="auto"/>
            <w:vAlign w:val="center"/>
            <w:hideMark/>
          </w:tcPr>
          <w:p w14:paraId="527544E8"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Who issues, controls, upgrades, burns, mints, pauses, or administers it?</w:t>
            </w:r>
          </w:p>
        </w:tc>
      </w:tr>
      <w:tr w:rsidR="002602C5" w:rsidRPr="00CC6E6B" w14:paraId="35A793A0" w14:textId="77777777" w:rsidTr="002602C5">
        <w:trPr>
          <w:tblCellSpacing w:w="15" w:type="dxa"/>
        </w:trPr>
        <w:tc>
          <w:tcPr>
            <w:tcW w:w="0" w:type="auto"/>
            <w:vAlign w:val="center"/>
            <w:hideMark/>
          </w:tcPr>
          <w:p w14:paraId="1A68BD51"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Governance</w:t>
            </w:r>
          </w:p>
        </w:tc>
        <w:tc>
          <w:tcPr>
            <w:tcW w:w="0" w:type="auto"/>
            <w:vAlign w:val="center"/>
            <w:hideMark/>
          </w:tcPr>
          <w:p w14:paraId="3F337F4D"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How are token decisions made?</w:t>
            </w:r>
          </w:p>
        </w:tc>
      </w:tr>
      <w:tr w:rsidR="002602C5" w:rsidRPr="00CC6E6B" w14:paraId="552EF056" w14:textId="77777777" w:rsidTr="002602C5">
        <w:trPr>
          <w:tblCellSpacing w:w="15" w:type="dxa"/>
        </w:trPr>
        <w:tc>
          <w:tcPr>
            <w:tcW w:w="0" w:type="auto"/>
            <w:vAlign w:val="center"/>
            <w:hideMark/>
          </w:tcPr>
          <w:p w14:paraId="78D7351E"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Concentration risk</w:t>
            </w:r>
          </w:p>
        </w:tc>
        <w:tc>
          <w:tcPr>
            <w:tcW w:w="0" w:type="auto"/>
            <w:vAlign w:val="center"/>
            <w:hideMark/>
          </w:tcPr>
          <w:p w14:paraId="731DB17D"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Are rights or influence concentrated among insiders, founders, investors, whales, custodians, or automated agents?</w:t>
            </w:r>
          </w:p>
        </w:tc>
      </w:tr>
      <w:tr w:rsidR="002602C5" w:rsidRPr="00CC6E6B" w14:paraId="75EAF6DC" w14:textId="77777777" w:rsidTr="002602C5">
        <w:trPr>
          <w:tblCellSpacing w:w="15" w:type="dxa"/>
        </w:trPr>
        <w:tc>
          <w:tcPr>
            <w:tcW w:w="0" w:type="auto"/>
            <w:vAlign w:val="center"/>
            <w:hideMark/>
          </w:tcPr>
          <w:p w14:paraId="04C6EAB0"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Treasury risk</w:t>
            </w:r>
          </w:p>
        </w:tc>
        <w:tc>
          <w:tcPr>
            <w:tcW w:w="0" w:type="auto"/>
            <w:vAlign w:val="center"/>
            <w:hideMark/>
          </w:tcPr>
          <w:p w14:paraId="5E261470"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How are reserves, treasuries, revenues, proceeds, or protocol funds governed?</w:t>
            </w:r>
          </w:p>
        </w:tc>
      </w:tr>
      <w:tr w:rsidR="002602C5" w:rsidRPr="00CC6E6B" w14:paraId="4C1E8071" w14:textId="77777777" w:rsidTr="002602C5">
        <w:trPr>
          <w:tblCellSpacing w:w="15" w:type="dxa"/>
        </w:trPr>
        <w:tc>
          <w:tcPr>
            <w:tcW w:w="0" w:type="auto"/>
            <w:vAlign w:val="center"/>
            <w:hideMark/>
          </w:tcPr>
          <w:p w14:paraId="520D3E85"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Bridge risk</w:t>
            </w:r>
          </w:p>
        </w:tc>
        <w:tc>
          <w:tcPr>
            <w:tcW w:w="0" w:type="auto"/>
            <w:vAlign w:val="center"/>
            <w:hideMark/>
          </w:tcPr>
          <w:p w14:paraId="61246408"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Are cross-chain or cross-system integrations involved?</w:t>
            </w:r>
          </w:p>
        </w:tc>
      </w:tr>
      <w:tr w:rsidR="002602C5" w:rsidRPr="00CC6E6B" w14:paraId="32DFDD1A" w14:textId="77777777" w:rsidTr="002602C5">
        <w:trPr>
          <w:tblCellSpacing w:w="15" w:type="dxa"/>
        </w:trPr>
        <w:tc>
          <w:tcPr>
            <w:tcW w:w="0" w:type="auto"/>
            <w:vAlign w:val="center"/>
            <w:hideMark/>
          </w:tcPr>
          <w:p w14:paraId="49323A5A"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Custody risk</w:t>
            </w:r>
          </w:p>
        </w:tc>
        <w:tc>
          <w:tcPr>
            <w:tcW w:w="0" w:type="auto"/>
            <w:vAlign w:val="center"/>
            <w:hideMark/>
          </w:tcPr>
          <w:p w14:paraId="26F57D97"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Who holds assets, credentials, wallets, keys, treasury controls, or admin privileges?</w:t>
            </w:r>
          </w:p>
        </w:tc>
      </w:tr>
      <w:tr w:rsidR="002602C5" w:rsidRPr="00CC6E6B" w14:paraId="1FEA2C3C" w14:textId="77777777" w:rsidTr="002602C5">
        <w:trPr>
          <w:tblCellSpacing w:w="15" w:type="dxa"/>
        </w:trPr>
        <w:tc>
          <w:tcPr>
            <w:tcW w:w="0" w:type="auto"/>
            <w:vAlign w:val="center"/>
            <w:hideMark/>
          </w:tcPr>
          <w:p w14:paraId="513200B7"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MRV link</w:t>
            </w:r>
          </w:p>
        </w:tc>
        <w:tc>
          <w:tcPr>
            <w:tcW w:w="0" w:type="auto"/>
            <w:vAlign w:val="center"/>
            <w:hideMark/>
          </w:tcPr>
          <w:p w14:paraId="06525742"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Does the token claim ecological performance, verification, impact, or evidence linkage?</w:t>
            </w:r>
          </w:p>
        </w:tc>
      </w:tr>
      <w:tr w:rsidR="002602C5" w:rsidRPr="00CC6E6B" w14:paraId="6108D72F" w14:textId="77777777" w:rsidTr="002602C5">
        <w:trPr>
          <w:tblCellSpacing w:w="15" w:type="dxa"/>
        </w:trPr>
        <w:tc>
          <w:tcPr>
            <w:tcW w:w="0" w:type="auto"/>
            <w:vAlign w:val="center"/>
            <w:hideMark/>
          </w:tcPr>
          <w:p w14:paraId="75AFC88B"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PRU / RAP link</w:t>
            </w:r>
          </w:p>
        </w:tc>
        <w:tc>
          <w:tcPr>
            <w:tcW w:w="0" w:type="auto"/>
            <w:vAlign w:val="center"/>
            <w:hideMark/>
          </w:tcPr>
          <w:p w14:paraId="73AD7906"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Does the token imply PRU value, PRU maturity, RAP exposure, portfolio exposure, or investor rights?</w:t>
            </w:r>
          </w:p>
        </w:tc>
      </w:tr>
      <w:tr w:rsidR="002602C5" w:rsidRPr="00CC6E6B" w14:paraId="4618F30D" w14:textId="77777777" w:rsidTr="002602C5">
        <w:trPr>
          <w:tblCellSpacing w:w="15" w:type="dxa"/>
        </w:trPr>
        <w:tc>
          <w:tcPr>
            <w:tcW w:w="0" w:type="auto"/>
            <w:vAlign w:val="center"/>
            <w:hideMark/>
          </w:tcPr>
          <w:p w14:paraId="2B341798"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HSI link</w:t>
            </w:r>
          </w:p>
        </w:tc>
        <w:tc>
          <w:tcPr>
            <w:tcW w:w="0" w:type="auto"/>
            <w:vAlign w:val="center"/>
            <w:hideMark/>
          </w:tcPr>
          <w:p w14:paraId="0879DCD1"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Does the token interact with human-state, biometric, coherence, health, behavioral, or sensitive personal data?</w:t>
            </w:r>
          </w:p>
        </w:tc>
      </w:tr>
      <w:tr w:rsidR="002602C5" w:rsidRPr="00CC6E6B" w14:paraId="45B64F13" w14:textId="77777777" w:rsidTr="002602C5">
        <w:trPr>
          <w:tblCellSpacing w:w="15" w:type="dxa"/>
        </w:trPr>
        <w:tc>
          <w:tcPr>
            <w:tcW w:w="0" w:type="auto"/>
            <w:vAlign w:val="center"/>
            <w:hideMark/>
          </w:tcPr>
          <w:p w14:paraId="46310B3F"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AI / automation</w:t>
            </w:r>
          </w:p>
        </w:tc>
        <w:tc>
          <w:tcPr>
            <w:tcW w:w="0" w:type="auto"/>
            <w:vAlign w:val="center"/>
            <w:hideMark/>
          </w:tcPr>
          <w:p w14:paraId="62893B56"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Can AI systems mint, issue, allocate, vote, modify, classify, pause, or alter token rights?</w:t>
            </w:r>
          </w:p>
        </w:tc>
      </w:tr>
      <w:tr w:rsidR="002602C5" w:rsidRPr="00CC6E6B" w14:paraId="5AB1CEB3" w14:textId="77777777" w:rsidTr="002602C5">
        <w:trPr>
          <w:tblCellSpacing w:w="15" w:type="dxa"/>
        </w:trPr>
        <w:tc>
          <w:tcPr>
            <w:tcW w:w="0" w:type="auto"/>
            <w:vAlign w:val="center"/>
            <w:hideMark/>
          </w:tcPr>
          <w:p w14:paraId="7E0456E7"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Disclosure</w:t>
            </w:r>
          </w:p>
        </w:tc>
        <w:tc>
          <w:tcPr>
            <w:tcW w:w="0" w:type="auto"/>
            <w:vAlign w:val="center"/>
            <w:hideMark/>
          </w:tcPr>
          <w:p w14:paraId="0786D54E"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Are limitations, risks, exclusions, and rights clearly disclosed?</w:t>
            </w:r>
          </w:p>
        </w:tc>
      </w:tr>
      <w:tr w:rsidR="002602C5" w:rsidRPr="00CC6E6B" w14:paraId="2831EE81" w14:textId="77777777" w:rsidTr="002602C5">
        <w:trPr>
          <w:tblCellSpacing w:w="15" w:type="dxa"/>
        </w:trPr>
        <w:tc>
          <w:tcPr>
            <w:tcW w:w="0" w:type="auto"/>
            <w:vAlign w:val="center"/>
            <w:hideMark/>
          </w:tcPr>
          <w:p w14:paraId="7253A029"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Source-layer compatibility</w:t>
            </w:r>
          </w:p>
        </w:tc>
        <w:tc>
          <w:tcPr>
            <w:tcW w:w="0" w:type="auto"/>
            <w:vAlign w:val="center"/>
            <w:hideMark/>
          </w:tcPr>
          <w:p w14:paraId="0D343DC2"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Does the token preserve Prometheus constitutional boundaries?</w:t>
            </w:r>
          </w:p>
        </w:tc>
      </w:tr>
      <w:tr w:rsidR="002602C5" w:rsidRPr="00CC6E6B" w14:paraId="7127A526" w14:textId="77777777" w:rsidTr="002602C5">
        <w:trPr>
          <w:tblCellSpacing w:w="15" w:type="dxa"/>
        </w:trPr>
        <w:tc>
          <w:tcPr>
            <w:tcW w:w="0" w:type="auto"/>
            <w:vAlign w:val="center"/>
            <w:hideMark/>
          </w:tcPr>
          <w:p w14:paraId="1E979917"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Public-claim boundary</w:t>
            </w:r>
          </w:p>
        </w:tc>
        <w:tc>
          <w:tcPr>
            <w:tcW w:w="0" w:type="auto"/>
            <w:vAlign w:val="center"/>
            <w:hideMark/>
          </w:tcPr>
          <w:p w14:paraId="38D8D31C"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Could the token’s marketing language mislead communities, investors, partners, or public users?</w:t>
            </w:r>
          </w:p>
        </w:tc>
      </w:tr>
      <w:tr w:rsidR="002602C5" w:rsidRPr="00CC6E6B" w14:paraId="5D23FD04" w14:textId="77777777" w:rsidTr="002602C5">
        <w:trPr>
          <w:tblCellSpacing w:w="15" w:type="dxa"/>
        </w:trPr>
        <w:tc>
          <w:tcPr>
            <w:tcW w:w="0" w:type="auto"/>
            <w:vAlign w:val="center"/>
            <w:hideMark/>
          </w:tcPr>
          <w:p w14:paraId="18F783B1"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Exit and incident response</w:t>
            </w:r>
          </w:p>
        </w:tc>
        <w:tc>
          <w:tcPr>
            <w:tcW w:w="0" w:type="auto"/>
            <w:vAlign w:val="center"/>
            <w:hideMark/>
          </w:tcPr>
          <w:p w14:paraId="6A83CB87" w14:textId="77777777" w:rsidR="002602C5" w:rsidRPr="00CC6E6B" w:rsidRDefault="002602C5" w:rsidP="002602C5">
            <w:pPr>
              <w:spacing w:line="360" w:lineRule="auto"/>
              <w:rPr>
                <w:rFonts w:ascii="Baskerville Old Face" w:hAnsi="Baskerville Old Face"/>
                <w:i/>
                <w:iCs/>
                <w:sz w:val="17"/>
                <w:szCs w:val="17"/>
              </w:rPr>
            </w:pPr>
            <w:r w:rsidRPr="00CC6E6B">
              <w:rPr>
                <w:rFonts w:ascii="Baskerville Old Face" w:hAnsi="Baskerville Old Face"/>
                <w:i/>
                <w:iCs/>
                <w:sz w:val="17"/>
                <w:szCs w:val="17"/>
              </w:rPr>
              <w:t>What happens if the token, bridge, issuer, key, treasury, or claim becomes unsafe?</w:t>
            </w:r>
          </w:p>
        </w:tc>
      </w:tr>
    </w:tbl>
    <w:p w14:paraId="40A87358" w14:textId="77777777" w:rsidR="00CC6E6B" w:rsidRDefault="00CC6E6B" w:rsidP="002602C5">
      <w:pPr>
        <w:spacing w:line="360" w:lineRule="auto"/>
        <w:rPr>
          <w:rFonts w:ascii="Baskerville Old Face" w:hAnsi="Baskerville Old Face"/>
          <w:i/>
          <w:iCs/>
        </w:rPr>
      </w:pPr>
    </w:p>
    <w:p w14:paraId="48AE6FC6" w14:textId="446A64C3"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A token may be technically compatible and constitutionally incompatible.</w:t>
      </w:r>
    </w:p>
    <w:p w14:paraId="6702D94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compatibility requires both.</w:t>
      </w:r>
    </w:p>
    <w:p w14:paraId="7356EE55"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Q.5 Integration Status Categories</w:t>
      </w:r>
    </w:p>
    <w:p w14:paraId="690215C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system may receive one of several Prometheus-facing statuses.</w:t>
      </w:r>
    </w:p>
    <w:p w14:paraId="100A90D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Status should be versioned.</w:t>
      </w:r>
    </w:p>
    <w:p w14:paraId="00646E1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Status should be time-bound where appropriate.</w:t>
      </w:r>
    </w:p>
    <w:p w14:paraId="27E123B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Status should be reviewable.</w:t>
      </w:r>
    </w:p>
    <w:p w14:paraId="03248492" w14:textId="31891586" w:rsidR="002602C5" w:rsidRDefault="002602C5" w:rsidP="002602C5">
      <w:pPr>
        <w:spacing w:line="360" w:lineRule="auto"/>
        <w:rPr>
          <w:rFonts w:ascii="Baskerville Old Face" w:hAnsi="Baskerville Old Face"/>
          <w:i/>
          <w:iCs/>
        </w:rPr>
      </w:pPr>
      <w:r w:rsidRPr="00B479AE">
        <w:rPr>
          <w:rFonts w:ascii="Baskerville Old Face" w:hAnsi="Baskerville Old Face"/>
          <w:i/>
          <w:iCs/>
        </w:rPr>
        <w:t>No token should receive permanent compatibility by default.</w:t>
      </w:r>
      <w:r w:rsidR="009217A9" w:rsidRPr="00B479AE">
        <w:rPr>
          <w:rFonts w:ascii="Baskerville Old Face" w:hAnsi="Baskerville Old Face"/>
          <w:i/>
          <w:iCs/>
        </w:rPr>
        <w:t xml:space="preserve"> </w:t>
      </w:r>
    </w:p>
    <w:p w14:paraId="3C298903" w14:textId="77777777" w:rsidR="00CC6E6B" w:rsidRDefault="00CC6E6B" w:rsidP="002602C5">
      <w:pPr>
        <w:spacing w:line="360" w:lineRule="auto"/>
        <w:rPr>
          <w:rFonts w:ascii="Baskerville Old Face" w:hAnsi="Baskerville Old Face"/>
          <w:i/>
          <w:iCs/>
        </w:rPr>
      </w:pPr>
    </w:p>
    <w:p w14:paraId="080E521E" w14:textId="77777777" w:rsidR="00CC6E6B" w:rsidRDefault="00CC6E6B" w:rsidP="002602C5">
      <w:pPr>
        <w:spacing w:line="360" w:lineRule="auto"/>
        <w:rPr>
          <w:rFonts w:ascii="Baskerville Old Face" w:hAnsi="Baskerville Old Face"/>
          <w:i/>
          <w:iCs/>
        </w:rPr>
      </w:pPr>
    </w:p>
    <w:p w14:paraId="10CB4958" w14:textId="77777777" w:rsidR="00CC6E6B" w:rsidRDefault="00CC6E6B" w:rsidP="002602C5">
      <w:pPr>
        <w:spacing w:line="360" w:lineRule="auto"/>
        <w:rPr>
          <w:rFonts w:ascii="Baskerville Old Face" w:hAnsi="Baskerville Old Face"/>
          <w:i/>
          <w:iCs/>
        </w:rPr>
      </w:pPr>
    </w:p>
    <w:p w14:paraId="0867DBB1" w14:textId="77777777" w:rsidR="00CC6E6B" w:rsidRDefault="00CC6E6B" w:rsidP="002602C5">
      <w:pPr>
        <w:spacing w:line="360" w:lineRule="auto"/>
        <w:rPr>
          <w:rFonts w:ascii="Baskerville Old Face" w:hAnsi="Baskerville Old Face"/>
          <w:i/>
          <w:iCs/>
        </w:rPr>
      </w:pPr>
    </w:p>
    <w:p w14:paraId="7562543D" w14:textId="77777777" w:rsidR="00CC6E6B" w:rsidRDefault="00CC6E6B" w:rsidP="002602C5">
      <w:pPr>
        <w:spacing w:line="360" w:lineRule="auto"/>
        <w:rPr>
          <w:rFonts w:ascii="Baskerville Old Face" w:hAnsi="Baskerville Old Face"/>
          <w:i/>
          <w:iCs/>
        </w:rPr>
      </w:pPr>
    </w:p>
    <w:p w14:paraId="28EC9296" w14:textId="77777777" w:rsidR="00CC6E6B" w:rsidRDefault="00CC6E6B" w:rsidP="002602C5">
      <w:pPr>
        <w:spacing w:line="360" w:lineRule="auto"/>
        <w:rPr>
          <w:rFonts w:ascii="Baskerville Old Face" w:hAnsi="Baskerville Old Face"/>
          <w:i/>
          <w:iCs/>
        </w:rPr>
      </w:pPr>
    </w:p>
    <w:p w14:paraId="6B26A91C" w14:textId="77777777" w:rsidR="00CC6E6B" w:rsidRDefault="00CC6E6B" w:rsidP="002602C5">
      <w:pPr>
        <w:spacing w:line="360" w:lineRule="auto"/>
        <w:rPr>
          <w:rFonts w:ascii="Baskerville Old Face" w:hAnsi="Baskerville Old Face"/>
          <w:i/>
          <w:iCs/>
        </w:rPr>
      </w:pPr>
    </w:p>
    <w:p w14:paraId="414AAB2C" w14:textId="77777777" w:rsidR="00CC6E6B" w:rsidRDefault="00CC6E6B" w:rsidP="002602C5">
      <w:pPr>
        <w:spacing w:line="360" w:lineRule="auto"/>
        <w:rPr>
          <w:rFonts w:ascii="Baskerville Old Face" w:hAnsi="Baskerville Old Face"/>
          <w:i/>
          <w:iCs/>
        </w:rPr>
      </w:pPr>
    </w:p>
    <w:p w14:paraId="4A88FB5A" w14:textId="77777777" w:rsidR="00CC6E6B" w:rsidRDefault="00CC6E6B" w:rsidP="002602C5">
      <w:pPr>
        <w:spacing w:line="360" w:lineRule="auto"/>
        <w:rPr>
          <w:rFonts w:ascii="Baskerville Old Face" w:hAnsi="Baskerville Old Face"/>
          <w:i/>
          <w:iCs/>
        </w:rPr>
      </w:pPr>
    </w:p>
    <w:p w14:paraId="4AD96D58" w14:textId="77777777" w:rsidR="00CC6E6B" w:rsidRDefault="00CC6E6B" w:rsidP="002602C5">
      <w:pPr>
        <w:spacing w:line="360" w:lineRule="auto"/>
        <w:rPr>
          <w:rFonts w:ascii="Baskerville Old Face" w:hAnsi="Baskerville Old Face"/>
          <w:i/>
          <w:iCs/>
        </w:rPr>
      </w:pPr>
    </w:p>
    <w:p w14:paraId="6D1B5CE5" w14:textId="77777777" w:rsidR="00CC6E6B" w:rsidRDefault="00CC6E6B" w:rsidP="002602C5">
      <w:pPr>
        <w:spacing w:line="360" w:lineRule="auto"/>
        <w:rPr>
          <w:rFonts w:ascii="Baskerville Old Face" w:hAnsi="Baskerville Old Face"/>
          <w:i/>
          <w:iCs/>
        </w:rPr>
      </w:pPr>
    </w:p>
    <w:p w14:paraId="0299FECA" w14:textId="77777777" w:rsidR="00CC6E6B" w:rsidRPr="00B479AE" w:rsidRDefault="00CC6E6B" w:rsidP="002602C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7584"/>
      </w:tblGrid>
      <w:tr w:rsidR="002602C5" w:rsidRPr="00B479AE" w14:paraId="1C403E35" w14:textId="77777777" w:rsidTr="002602C5">
        <w:trPr>
          <w:tblHeader/>
          <w:tblCellSpacing w:w="15" w:type="dxa"/>
        </w:trPr>
        <w:tc>
          <w:tcPr>
            <w:tcW w:w="0" w:type="auto"/>
            <w:vAlign w:val="center"/>
            <w:hideMark/>
          </w:tcPr>
          <w:p w14:paraId="2AFE896A" w14:textId="77777777" w:rsidR="002602C5" w:rsidRPr="00B479AE" w:rsidRDefault="002602C5" w:rsidP="002602C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Status</w:t>
            </w:r>
          </w:p>
        </w:tc>
        <w:tc>
          <w:tcPr>
            <w:tcW w:w="0" w:type="auto"/>
            <w:vAlign w:val="center"/>
            <w:hideMark/>
          </w:tcPr>
          <w:p w14:paraId="01EA8014" w14:textId="77777777" w:rsidR="002602C5" w:rsidRPr="00B479AE" w:rsidRDefault="002602C5" w:rsidP="002602C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Meaning</w:t>
            </w:r>
          </w:p>
        </w:tc>
      </w:tr>
      <w:tr w:rsidR="002602C5" w:rsidRPr="00B479AE" w14:paraId="41BB10A2" w14:textId="77777777" w:rsidTr="002602C5">
        <w:trPr>
          <w:tblCellSpacing w:w="15" w:type="dxa"/>
        </w:trPr>
        <w:tc>
          <w:tcPr>
            <w:tcW w:w="0" w:type="auto"/>
            <w:vAlign w:val="center"/>
            <w:hideMark/>
          </w:tcPr>
          <w:p w14:paraId="679F40E9"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Observed</w:t>
            </w:r>
          </w:p>
        </w:tc>
        <w:tc>
          <w:tcPr>
            <w:tcW w:w="0" w:type="auto"/>
            <w:vAlign w:val="center"/>
            <w:hideMark/>
          </w:tcPr>
          <w:p w14:paraId="638A0A5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is known to Prometheus but not integrated</w:t>
            </w:r>
          </w:p>
        </w:tc>
      </w:tr>
      <w:tr w:rsidR="002602C5" w:rsidRPr="00B479AE" w14:paraId="5E517AB6" w14:textId="77777777" w:rsidTr="002602C5">
        <w:trPr>
          <w:tblCellSpacing w:w="15" w:type="dxa"/>
        </w:trPr>
        <w:tc>
          <w:tcPr>
            <w:tcW w:w="0" w:type="auto"/>
            <w:vAlign w:val="center"/>
            <w:hideMark/>
          </w:tcPr>
          <w:p w14:paraId="4079E1B5"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Research / sandbox</w:t>
            </w:r>
          </w:p>
        </w:tc>
        <w:tc>
          <w:tcPr>
            <w:tcW w:w="0" w:type="auto"/>
            <w:vAlign w:val="center"/>
            <w:hideMark/>
          </w:tcPr>
          <w:p w14:paraId="1ED4A1D7"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be studied or tested in controlled, non-sensitive conditions</w:t>
            </w:r>
          </w:p>
        </w:tc>
      </w:tr>
      <w:tr w:rsidR="002602C5" w:rsidRPr="00B479AE" w14:paraId="146B7FA8" w14:textId="77777777" w:rsidTr="002602C5">
        <w:trPr>
          <w:tblCellSpacing w:w="15" w:type="dxa"/>
        </w:trPr>
        <w:tc>
          <w:tcPr>
            <w:tcW w:w="0" w:type="auto"/>
            <w:vAlign w:val="center"/>
            <w:hideMark/>
          </w:tcPr>
          <w:p w14:paraId="76DD8E80"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Compatible for limited use</w:t>
            </w:r>
          </w:p>
        </w:tc>
        <w:tc>
          <w:tcPr>
            <w:tcW w:w="0" w:type="auto"/>
            <w:vAlign w:val="center"/>
            <w:hideMark/>
          </w:tcPr>
          <w:p w14:paraId="2CB0C467"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interact with specific non-sensitive functions under defined limits</w:t>
            </w:r>
          </w:p>
        </w:tc>
      </w:tr>
      <w:tr w:rsidR="002602C5" w:rsidRPr="00B479AE" w14:paraId="75124473" w14:textId="77777777" w:rsidTr="002602C5">
        <w:trPr>
          <w:tblCellSpacing w:w="15" w:type="dxa"/>
        </w:trPr>
        <w:tc>
          <w:tcPr>
            <w:tcW w:w="0" w:type="auto"/>
            <w:vAlign w:val="center"/>
            <w:hideMark/>
          </w:tcPr>
          <w:p w14:paraId="7B0D1A8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Operationally compatible</w:t>
            </w:r>
          </w:p>
        </w:tc>
        <w:tc>
          <w:tcPr>
            <w:tcW w:w="0" w:type="auto"/>
            <w:vAlign w:val="center"/>
            <w:hideMark/>
          </w:tcPr>
          <w:p w14:paraId="40BEDC3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support defined operational workflows after technical, governance, and legal review</w:t>
            </w:r>
          </w:p>
        </w:tc>
      </w:tr>
      <w:tr w:rsidR="002602C5" w:rsidRPr="00B479AE" w14:paraId="114638D7" w14:textId="77777777" w:rsidTr="002602C5">
        <w:trPr>
          <w:tblCellSpacing w:w="15" w:type="dxa"/>
        </w:trPr>
        <w:tc>
          <w:tcPr>
            <w:tcW w:w="0" w:type="auto"/>
            <w:vAlign w:val="center"/>
            <w:hideMark/>
          </w:tcPr>
          <w:p w14:paraId="58D8EB4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Governance-compatible</w:t>
            </w:r>
          </w:p>
        </w:tc>
        <w:tc>
          <w:tcPr>
            <w:tcW w:w="0" w:type="auto"/>
            <w:vAlign w:val="center"/>
            <w:hideMark/>
          </w:tcPr>
          <w:p w14:paraId="14C62A0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participate in defined governance functions without overriding source-layer constraints</w:t>
            </w:r>
          </w:p>
        </w:tc>
      </w:tr>
      <w:tr w:rsidR="002602C5" w:rsidRPr="00B479AE" w14:paraId="74DDFD44" w14:textId="77777777" w:rsidTr="002602C5">
        <w:trPr>
          <w:tblCellSpacing w:w="15" w:type="dxa"/>
        </w:trPr>
        <w:tc>
          <w:tcPr>
            <w:tcW w:w="0" w:type="auto"/>
            <w:vAlign w:val="center"/>
            <w:hideMark/>
          </w:tcPr>
          <w:p w14:paraId="4DFF46B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Settlement-compatible</w:t>
            </w:r>
          </w:p>
        </w:tc>
        <w:tc>
          <w:tcPr>
            <w:tcW w:w="0" w:type="auto"/>
            <w:vAlign w:val="center"/>
            <w:hideMark/>
          </w:tcPr>
          <w:p w14:paraId="5549375E"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support payment or settlement functions where legally reviewed</w:t>
            </w:r>
          </w:p>
        </w:tc>
      </w:tr>
      <w:tr w:rsidR="002602C5" w:rsidRPr="00B479AE" w14:paraId="2D61ABC3" w14:textId="77777777" w:rsidTr="002602C5">
        <w:trPr>
          <w:tblCellSpacing w:w="15" w:type="dxa"/>
        </w:trPr>
        <w:tc>
          <w:tcPr>
            <w:tcW w:w="0" w:type="auto"/>
            <w:vAlign w:val="center"/>
            <w:hideMark/>
          </w:tcPr>
          <w:p w14:paraId="034A1E08"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MRV-reference compatible</w:t>
            </w:r>
          </w:p>
        </w:tc>
        <w:tc>
          <w:tcPr>
            <w:tcW w:w="0" w:type="auto"/>
            <w:vAlign w:val="center"/>
            <w:hideMark/>
          </w:tcPr>
          <w:p w14:paraId="4D6EC3FD"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reference MRV records only under strict admissibility and public-claim controls</w:t>
            </w:r>
          </w:p>
        </w:tc>
      </w:tr>
      <w:tr w:rsidR="002602C5" w:rsidRPr="00B479AE" w14:paraId="31575BD0" w14:textId="77777777" w:rsidTr="002602C5">
        <w:trPr>
          <w:tblCellSpacing w:w="15" w:type="dxa"/>
        </w:trPr>
        <w:tc>
          <w:tcPr>
            <w:tcW w:w="0" w:type="auto"/>
            <w:vAlign w:val="center"/>
            <w:hideMark/>
          </w:tcPr>
          <w:p w14:paraId="1707231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PRU-reference compatible</w:t>
            </w:r>
          </w:p>
        </w:tc>
        <w:tc>
          <w:tcPr>
            <w:tcW w:w="0" w:type="auto"/>
            <w:vAlign w:val="center"/>
            <w:hideMark/>
          </w:tcPr>
          <w:p w14:paraId="07D92B1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reference PRU analysis only where PRU methodology, evidence, admissibility, and language boundaries are reviewed</w:t>
            </w:r>
          </w:p>
        </w:tc>
      </w:tr>
      <w:tr w:rsidR="002602C5" w:rsidRPr="00B479AE" w14:paraId="43DFC456" w14:textId="77777777" w:rsidTr="002602C5">
        <w:trPr>
          <w:tblCellSpacing w:w="15" w:type="dxa"/>
        </w:trPr>
        <w:tc>
          <w:tcPr>
            <w:tcW w:w="0" w:type="auto"/>
            <w:vAlign w:val="center"/>
            <w:hideMark/>
          </w:tcPr>
          <w:p w14:paraId="7F6A0C75"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RAP-reference compatible</w:t>
            </w:r>
          </w:p>
        </w:tc>
        <w:tc>
          <w:tcPr>
            <w:tcW w:w="0" w:type="auto"/>
            <w:vAlign w:val="center"/>
            <w:hideMark/>
          </w:tcPr>
          <w:p w14:paraId="226CD2CD"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reference RAP logic only where legal wrapper, eligible units, disclosures, and portfolio governance exist</w:t>
            </w:r>
          </w:p>
        </w:tc>
      </w:tr>
      <w:tr w:rsidR="002602C5" w:rsidRPr="00B479AE" w14:paraId="4436C85A" w14:textId="77777777" w:rsidTr="002602C5">
        <w:trPr>
          <w:tblCellSpacing w:w="15" w:type="dxa"/>
        </w:trPr>
        <w:tc>
          <w:tcPr>
            <w:tcW w:w="0" w:type="auto"/>
            <w:vAlign w:val="center"/>
            <w:hideMark/>
          </w:tcPr>
          <w:p w14:paraId="7A7BE41E"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Investor-structure compatible</w:t>
            </w:r>
          </w:p>
        </w:tc>
        <w:tc>
          <w:tcPr>
            <w:tcW w:w="0" w:type="auto"/>
            <w:vAlign w:val="center"/>
            <w:hideMark/>
          </w:tcPr>
          <w:p w14:paraId="7DEB3AAC"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may be used only inside a compliant legal wrapper with disclosures and jurisdiction-specific review</w:t>
            </w:r>
          </w:p>
        </w:tc>
      </w:tr>
      <w:tr w:rsidR="002602C5" w:rsidRPr="00B479AE" w14:paraId="7CE314B9" w14:textId="77777777" w:rsidTr="002602C5">
        <w:trPr>
          <w:tblCellSpacing w:w="15" w:type="dxa"/>
        </w:trPr>
        <w:tc>
          <w:tcPr>
            <w:tcW w:w="0" w:type="auto"/>
            <w:vAlign w:val="center"/>
            <w:hideMark/>
          </w:tcPr>
          <w:p w14:paraId="04B105E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Review required</w:t>
            </w:r>
          </w:p>
        </w:tc>
        <w:tc>
          <w:tcPr>
            <w:tcW w:w="0" w:type="auto"/>
            <w:vAlign w:val="center"/>
            <w:hideMark/>
          </w:tcPr>
          <w:p w14:paraId="163B52C5"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Additional legal, technical, MRV, governance, or constitutional review is needed</w:t>
            </w:r>
          </w:p>
        </w:tc>
      </w:tr>
      <w:tr w:rsidR="002602C5" w:rsidRPr="00B479AE" w14:paraId="316D9269" w14:textId="77777777" w:rsidTr="002602C5">
        <w:trPr>
          <w:tblCellSpacing w:w="15" w:type="dxa"/>
        </w:trPr>
        <w:tc>
          <w:tcPr>
            <w:tcW w:w="0" w:type="auto"/>
            <w:vAlign w:val="center"/>
            <w:hideMark/>
          </w:tcPr>
          <w:p w14:paraId="2E9EF026"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Non-admissible</w:t>
            </w:r>
          </w:p>
        </w:tc>
        <w:tc>
          <w:tcPr>
            <w:tcW w:w="0" w:type="auto"/>
            <w:vAlign w:val="center"/>
            <w:hideMark/>
          </w:tcPr>
          <w:p w14:paraId="226FADDC"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claim or pathway cannot enter protected Prometheus pathways</w:t>
            </w:r>
          </w:p>
        </w:tc>
      </w:tr>
      <w:tr w:rsidR="002602C5" w:rsidRPr="00B479AE" w14:paraId="2D911783" w14:textId="77777777" w:rsidTr="002602C5">
        <w:trPr>
          <w:tblCellSpacing w:w="15" w:type="dxa"/>
        </w:trPr>
        <w:tc>
          <w:tcPr>
            <w:tcW w:w="0" w:type="auto"/>
            <w:vAlign w:val="center"/>
            <w:hideMark/>
          </w:tcPr>
          <w:p w14:paraId="5396968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Quarantined</w:t>
            </w:r>
          </w:p>
        </w:tc>
        <w:tc>
          <w:tcPr>
            <w:tcW w:w="0" w:type="auto"/>
            <w:vAlign w:val="center"/>
            <w:hideMark/>
          </w:tcPr>
          <w:p w14:paraId="531A288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presents serious legal, ecological, financial, technical, governance, custody, bridge, or source-layer risk</w:t>
            </w:r>
          </w:p>
        </w:tc>
      </w:tr>
      <w:tr w:rsidR="002602C5" w:rsidRPr="00B479AE" w14:paraId="743E3316" w14:textId="77777777" w:rsidTr="002602C5">
        <w:trPr>
          <w:tblCellSpacing w:w="15" w:type="dxa"/>
        </w:trPr>
        <w:tc>
          <w:tcPr>
            <w:tcW w:w="0" w:type="auto"/>
            <w:vAlign w:val="center"/>
            <w:hideMark/>
          </w:tcPr>
          <w:p w14:paraId="323FC1F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Revoked</w:t>
            </w:r>
          </w:p>
        </w:tc>
        <w:tc>
          <w:tcPr>
            <w:tcW w:w="0" w:type="auto"/>
            <w:vAlign w:val="center"/>
            <w:hideMark/>
          </w:tcPr>
          <w:p w14:paraId="53014EF0"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Previous compatibility status has been withdrawn due to risk, misuse, drift, breach, or changed conditions</w:t>
            </w:r>
          </w:p>
        </w:tc>
      </w:tr>
    </w:tbl>
    <w:p w14:paraId="113AD46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Compatibility is not a trophy.</w:t>
      </w:r>
    </w:p>
    <w:p w14:paraId="18F2F4D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It is a monitored status.</w:t>
      </w:r>
    </w:p>
    <w:p w14:paraId="3BA7C741"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Q.6 Interoperability Architecture</w:t>
      </w:r>
    </w:p>
    <w:p w14:paraId="2E93D8B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support interoperability with multiple technical and legal systems.</w:t>
      </w:r>
    </w:p>
    <w:p w14:paraId="78ED9E9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Potential integration layers may include:</w:t>
      </w:r>
    </w:p>
    <w:p w14:paraId="4EEB382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records;</w:t>
      </w:r>
    </w:p>
    <w:p w14:paraId="30D68D9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Valueflows</w:t>
      </w:r>
      <w:proofErr w:type="spellEnd"/>
      <w:r w:rsidRPr="00B479AE">
        <w:rPr>
          <w:rFonts w:ascii="Baskerville Old Face" w:hAnsi="Baskerville Old Face"/>
          <w:i/>
          <w:iCs/>
        </w:rPr>
        <w:t xml:space="preserve"> / REA-compatible accounting structures;</w:t>
      </w:r>
    </w:p>
    <w:p w14:paraId="32025D4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conventional databases for dashboards;</w:t>
      </w:r>
    </w:p>
    <w:p w14:paraId="1FC23A7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documents for enforceable rights;</w:t>
      </w:r>
    </w:p>
    <w:p w14:paraId="794921B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data-room records for diligence;</w:t>
      </w:r>
    </w:p>
    <w:p w14:paraId="059E944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fiat payment rails;</w:t>
      </w:r>
    </w:p>
    <w:p w14:paraId="2FABA0A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regulated stablecoin or electronic-money rails where legally available;</w:t>
      </w:r>
    </w:p>
    <w:p w14:paraId="663E918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token-gated access systems;</w:t>
      </w:r>
    </w:p>
    <w:p w14:paraId="09622C6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verifiable credentials;</w:t>
      </w:r>
    </w:p>
    <w:p w14:paraId="164F54E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decentralized identifiers;</w:t>
      </w:r>
    </w:p>
    <w:p w14:paraId="7C77D1D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APIs;</w:t>
      </w:r>
    </w:p>
    <w:p w14:paraId="1BBA155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bridge adapters;</w:t>
      </w:r>
    </w:p>
    <w:p w14:paraId="4CD1D51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accounting exports;</w:t>
      </w:r>
    </w:p>
    <w:p w14:paraId="28E7CFE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custody or settlement providers;</w:t>
      </w:r>
    </w:p>
    <w:p w14:paraId="6020C6B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institutional reporting systems;</w:t>
      </w:r>
    </w:p>
    <w:p w14:paraId="6474FC0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public verification registries.</w:t>
      </w:r>
    </w:p>
    <w:p w14:paraId="76F486C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Interoperability does not imply equivalence.</w:t>
      </w:r>
    </w:p>
    <w:p w14:paraId="1DE481E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bridge may move information or value across systems.</w:t>
      </w:r>
    </w:p>
    <w:p w14:paraId="62573DB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It does not merge the legal meaning of those systems.</w:t>
      </w:r>
    </w:p>
    <w:p w14:paraId="47E7C9C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record in one system may reference another.</w:t>
      </w:r>
    </w:p>
    <w:p w14:paraId="2233F25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automatically inherit its authority.</w:t>
      </w:r>
    </w:p>
    <w:p w14:paraId="3DE5C04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settlement rail may move money.</w:t>
      </w:r>
    </w:p>
    <w:p w14:paraId="320E9CF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verify regeneration.</w:t>
      </w:r>
    </w:p>
    <w:p w14:paraId="75A79D0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credential may prove access.</w:t>
      </w:r>
    </w:p>
    <w:p w14:paraId="3A3FAFF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create ownership.</w:t>
      </w:r>
    </w:p>
    <w:p w14:paraId="384F81C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blockchain record may preserve a timestamp.</w:t>
      </w:r>
    </w:p>
    <w:p w14:paraId="5D31CB3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establish admissibility.</w:t>
      </w:r>
    </w:p>
    <w:p w14:paraId="5A4CD6D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interoperability principle is:</w:t>
      </w:r>
    </w:p>
    <w:p w14:paraId="50DBC1B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connect systems technically;</w:t>
      </w:r>
    </w:p>
    <w:p w14:paraId="19A4474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separate meanings constitutionally;</w:t>
      </w:r>
    </w:p>
    <w:p w14:paraId="4E4E490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verify status publicly;</w:t>
      </w:r>
    </w:p>
    <w:p w14:paraId="2C5559A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route protected-domain actions through review.</w:t>
      </w:r>
    </w:p>
    <w:p w14:paraId="615D4504"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Q.7 Bridge and Cross-System Risk Controls</w:t>
      </w:r>
    </w:p>
    <w:p w14:paraId="522D932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Bridge architecture is one of the highest-risk areas in token systems.</w:t>
      </w:r>
    </w:p>
    <w:p w14:paraId="3972295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should treat bridges, wrappers, synthetic assets, mapped tokens, cross-ledger references, tokenized representations, proof bridges, oracle feeds, and cross-system rights references as protected-domain integrations.</w:t>
      </w:r>
    </w:p>
    <w:p w14:paraId="6BA7B11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Risks include:</w:t>
      </w:r>
    </w:p>
    <w:p w14:paraId="1B42713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double counting;</w:t>
      </w:r>
    </w:p>
    <w:p w14:paraId="5EFE102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unauthorized minting;</w:t>
      </w:r>
    </w:p>
    <w:p w14:paraId="53BE01A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false collateralization;</w:t>
      </w:r>
    </w:p>
    <w:p w14:paraId="3B5255E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bridge exploit;</w:t>
      </w:r>
    </w:p>
    <w:p w14:paraId="60B78BB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liquidity illusion;</w:t>
      </w:r>
    </w:p>
    <w:p w14:paraId="7C78AA4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misclassification;</w:t>
      </w:r>
    </w:p>
    <w:p w14:paraId="3C2A213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asset mismatch;</w:t>
      </w:r>
    </w:p>
    <w:p w14:paraId="374A164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governance mismatch;</w:t>
      </w:r>
    </w:p>
    <w:p w14:paraId="3045519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custody failure;</w:t>
      </w:r>
    </w:p>
    <w:p w14:paraId="6E58301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key compromise;</w:t>
      </w:r>
    </w:p>
    <w:p w14:paraId="48392C6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replay attack;</w:t>
      </w:r>
    </w:p>
    <w:p w14:paraId="5469740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synthetic PRU claim;</w:t>
      </w:r>
    </w:p>
    <w:p w14:paraId="6C9475F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unsupported RAP exposure;</w:t>
      </w:r>
    </w:p>
    <w:p w14:paraId="167DC37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false investor exposure;</w:t>
      </w:r>
    </w:p>
    <w:p w14:paraId="71C0A47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user misunderstanding;</w:t>
      </w:r>
    </w:p>
    <w:p w14:paraId="06733DB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jurisdictional ambiguity;</w:t>
      </w:r>
    </w:p>
    <w:p w14:paraId="0E130A9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public-claim drift.</w:t>
      </w:r>
    </w:p>
    <w:p w14:paraId="0B8B1C4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Bridge integration should require:</w:t>
      </w:r>
    </w:p>
    <w:p w14:paraId="72C8913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technical audit;</w:t>
      </w:r>
    </w:p>
    <w:p w14:paraId="137767B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review;</w:t>
      </w:r>
    </w:p>
    <w:p w14:paraId="66D17EB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custody review;</w:t>
      </w:r>
    </w:p>
    <w:p w14:paraId="0DF6F9A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rights mapping;</w:t>
      </w:r>
    </w:p>
    <w:p w14:paraId="56D4B7A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disclosure;</w:t>
      </w:r>
    </w:p>
    <w:p w14:paraId="3996C47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source-layer compatibility check;</w:t>
      </w:r>
    </w:p>
    <w:p w14:paraId="67FC86B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emergency pause pathway;</w:t>
      </w:r>
    </w:p>
    <w:p w14:paraId="5DC8E0C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incident response;</w:t>
      </w:r>
    </w:p>
    <w:p w14:paraId="7E63813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user-facing claim control;</w:t>
      </w:r>
    </w:p>
    <w:p w14:paraId="4A60F5C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no-double-counting controls;</w:t>
      </w:r>
    </w:p>
    <w:p w14:paraId="04C24C4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canonical registry reference;</w:t>
      </w:r>
    </w:p>
    <w:p w14:paraId="2CF5305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post-incident review pathway.</w:t>
      </w:r>
    </w:p>
    <w:p w14:paraId="554C265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correct bridge rule is:</w:t>
      </w:r>
    </w:p>
    <w:p w14:paraId="65679BF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bridges may transmit records, references, settlement instructions, or legally defined rights only according to the rights actually created, disclosed, and legally structured.</w:t>
      </w:r>
    </w:p>
    <w:p w14:paraId="52D6393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bridge cannot manufacture legitimacy.</w:t>
      </w:r>
    </w:p>
    <w:p w14:paraId="7F5D52C2"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Q.8 Token Integration Registry</w:t>
      </w:r>
    </w:p>
    <w:p w14:paraId="3A3CD8A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maintain a Token Integration Registry.</w:t>
      </w:r>
    </w:p>
    <w:p w14:paraId="4B4F97F1" w14:textId="68D04560" w:rsidR="002602C5" w:rsidRDefault="002602C5" w:rsidP="002602C5">
      <w:pPr>
        <w:spacing w:line="360" w:lineRule="auto"/>
        <w:rPr>
          <w:rFonts w:ascii="Baskerville Old Face" w:hAnsi="Baskerville Old Face"/>
          <w:i/>
          <w:iCs/>
        </w:rPr>
      </w:pPr>
      <w:r w:rsidRPr="00B479AE">
        <w:rPr>
          <w:rFonts w:ascii="Baskerville Old Face" w:hAnsi="Baskerville Old Face"/>
          <w:i/>
          <w:iCs/>
        </w:rPr>
        <w:t>The registry should record token status, classification, approved use, prohibited use, review status, risk class, and public limitations.</w:t>
      </w:r>
      <w:r w:rsidR="00CC6E6B">
        <w:rPr>
          <w:rFonts w:ascii="Baskerville Old Face" w:hAnsi="Baskerville Old Face"/>
          <w:i/>
          <w:iCs/>
        </w:rPr>
        <w:t xml:space="preserve"> </w:t>
      </w:r>
    </w:p>
    <w:p w14:paraId="0BD0671A" w14:textId="77777777" w:rsidR="00CC6E6B" w:rsidRDefault="00CC6E6B" w:rsidP="002602C5">
      <w:pPr>
        <w:spacing w:line="360" w:lineRule="auto"/>
        <w:rPr>
          <w:rFonts w:ascii="Baskerville Old Face" w:hAnsi="Baskerville Old Face"/>
          <w:i/>
          <w:iCs/>
        </w:rPr>
      </w:pPr>
    </w:p>
    <w:p w14:paraId="643C51D7" w14:textId="77777777" w:rsidR="00CC6E6B" w:rsidRDefault="00CC6E6B" w:rsidP="002602C5">
      <w:pPr>
        <w:spacing w:line="360" w:lineRule="auto"/>
        <w:rPr>
          <w:rFonts w:ascii="Baskerville Old Face" w:hAnsi="Baskerville Old Face"/>
          <w:i/>
          <w:iCs/>
        </w:rPr>
      </w:pPr>
    </w:p>
    <w:p w14:paraId="5A777F73" w14:textId="77777777" w:rsidR="00CC6E6B" w:rsidRDefault="00CC6E6B" w:rsidP="002602C5">
      <w:pPr>
        <w:spacing w:line="360" w:lineRule="auto"/>
        <w:rPr>
          <w:rFonts w:ascii="Baskerville Old Face" w:hAnsi="Baskerville Old Face"/>
          <w:i/>
          <w:iCs/>
        </w:rPr>
      </w:pPr>
    </w:p>
    <w:p w14:paraId="6DFF547B" w14:textId="77777777" w:rsidR="00CC6E6B" w:rsidRDefault="00CC6E6B" w:rsidP="002602C5">
      <w:pPr>
        <w:spacing w:line="360" w:lineRule="auto"/>
        <w:rPr>
          <w:rFonts w:ascii="Baskerville Old Face" w:hAnsi="Baskerville Old Face"/>
          <w:i/>
          <w:iCs/>
        </w:rPr>
      </w:pPr>
    </w:p>
    <w:p w14:paraId="297F0AD1" w14:textId="77777777" w:rsidR="00CC6E6B" w:rsidRDefault="00CC6E6B" w:rsidP="002602C5">
      <w:pPr>
        <w:spacing w:line="360" w:lineRule="auto"/>
        <w:rPr>
          <w:rFonts w:ascii="Baskerville Old Face" w:hAnsi="Baskerville Old Face"/>
          <w:i/>
          <w:iCs/>
        </w:rPr>
      </w:pPr>
    </w:p>
    <w:p w14:paraId="5D9BEB2B" w14:textId="77777777" w:rsidR="00CC6E6B" w:rsidRDefault="00CC6E6B" w:rsidP="002602C5">
      <w:pPr>
        <w:spacing w:line="360" w:lineRule="auto"/>
        <w:rPr>
          <w:rFonts w:ascii="Baskerville Old Face" w:hAnsi="Baskerville Old Face"/>
          <w:i/>
          <w:iCs/>
        </w:rPr>
      </w:pPr>
    </w:p>
    <w:p w14:paraId="3F893E67" w14:textId="77777777" w:rsidR="00CC6E6B" w:rsidRDefault="00CC6E6B" w:rsidP="002602C5">
      <w:pPr>
        <w:spacing w:line="360" w:lineRule="auto"/>
        <w:rPr>
          <w:rFonts w:ascii="Baskerville Old Face" w:hAnsi="Baskerville Old Face"/>
          <w:i/>
          <w:iCs/>
        </w:rPr>
      </w:pPr>
    </w:p>
    <w:p w14:paraId="1C25C665" w14:textId="77777777" w:rsidR="00CC6E6B" w:rsidRDefault="00CC6E6B" w:rsidP="002602C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9"/>
        <w:gridCol w:w="7379"/>
      </w:tblGrid>
      <w:tr w:rsidR="002602C5" w:rsidRPr="00B479AE" w14:paraId="02ED5D09" w14:textId="77777777" w:rsidTr="002602C5">
        <w:trPr>
          <w:tblHeader/>
          <w:tblCellSpacing w:w="15" w:type="dxa"/>
        </w:trPr>
        <w:tc>
          <w:tcPr>
            <w:tcW w:w="0" w:type="auto"/>
            <w:vAlign w:val="center"/>
            <w:hideMark/>
          </w:tcPr>
          <w:p w14:paraId="4784D144" w14:textId="77777777" w:rsidR="002602C5" w:rsidRPr="00B479AE" w:rsidRDefault="002602C5" w:rsidP="002602C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Registry field</w:t>
            </w:r>
          </w:p>
        </w:tc>
        <w:tc>
          <w:tcPr>
            <w:tcW w:w="0" w:type="auto"/>
            <w:vAlign w:val="center"/>
            <w:hideMark/>
          </w:tcPr>
          <w:p w14:paraId="4D5CF9F0" w14:textId="77777777" w:rsidR="002602C5" w:rsidRPr="00B479AE" w:rsidRDefault="002602C5" w:rsidP="002602C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Purpose</w:t>
            </w:r>
          </w:p>
        </w:tc>
      </w:tr>
      <w:tr w:rsidR="002602C5" w:rsidRPr="00B479AE" w14:paraId="43CE56FD" w14:textId="77777777" w:rsidTr="002602C5">
        <w:trPr>
          <w:tblCellSpacing w:w="15" w:type="dxa"/>
        </w:trPr>
        <w:tc>
          <w:tcPr>
            <w:tcW w:w="0" w:type="auto"/>
            <w:vAlign w:val="center"/>
            <w:hideMark/>
          </w:tcPr>
          <w:p w14:paraId="6716C48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name / symbol</w:t>
            </w:r>
          </w:p>
        </w:tc>
        <w:tc>
          <w:tcPr>
            <w:tcW w:w="0" w:type="auto"/>
            <w:vAlign w:val="center"/>
            <w:hideMark/>
          </w:tcPr>
          <w:p w14:paraId="6F7DAFCE"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Identifies the token</w:t>
            </w:r>
          </w:p>
        </w:tc>
      </w:tr>
      <w:tr w:rsidR="002602C5" w:rsidRPr="00B479AE" w14:paraId="1E7B0061" w14:textId="77777777" w:rsidTr="002602C5">
        <w:trPr>
          <w:tblCellSpacing w:w="15" w:type="dxa"/>
        </w:trPr>
        <w:tc>
          <w:tcPr>
            <w:tcW w:w="0" w:type="auto"/>
            <w:vAlign w:val="center"/>
            <w:hideMark/>
          </w:tcPr>
          <w:p w14:paraId="5DEC0A24"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Issuer / controller</w:t>
            </w:r>
          </w:p>
        </w:tc>
        <w:tc>
          <w:tcPr>
            <w:tcW w:w="0" w:type="auto"/>
            <w:vAlign w:val="center"/>
            <w:hideMark/>
          </w:tcPr>
          <w:p w14:paraId="434DE5F0"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Identifies who controls issuance, upgrades, governance, treasury, or administration</w:t>
            </w:r>
          </w:p>
        </w:tc>
      </w:tr>
      <w:tr w:rsidR="002602C5" w:rsidRPr="00B479AE" w14:paraId="3F5FD95A" w14:textId="77777777" w:rsidTr="002602C5">
        <w:trPr>
          <w:tblCellSpacing w:w="15" w:type="dxa"/>
        </w:trPr>
        <w:tc>
          <w:tcPr>
            <w:tcW w:w="0" w:type="auto"/>
            <w:vAlign w:val="center"/>
            <w:hideMark/>
          </w:tcPr>
          <w:p w14:paraId="6FCA5B0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Network / infrastructure</w:t>
            </w:r>
          </w:p>
        </w:tc>
        <w:tc>
          <w:tcPr>
            <w:tcW w:w="0" w:type="auto"/>
            <w:vAlign w:val="center"/>
            <w:hideMark/>
          </w:tcPr>
          <w:p w14:paraId="411435C7"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Identifies the technical substrate</w:t>
            </w:r>
          </w:p>
        </w:tc>
      </w:tr>
      <w:tr w:rsidR="002602C5" w:rsidRPr="00B479AE" w14:paraId="28A2B7BC" w14:textId="77777777" w:rsidTr="002602C5">
        <w:trPr>
          <w:tblCellSpacing w:w="15" w:type="dxa"/>
        </w:trPr>
        <w:tc>
          <w:tcPr>
            <w:tcW w:w="0" w:type="auto"/>
            <w:vAlign w:val="center"/>
            <w:hideMark/>
          </w:tcPr>
          <w:p w14:paraId="5B22252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classification</w:t>
            </w:r>
          </w:p>
        </w:tc>
        <w:tc>
          <w:tcPr>
            <w:tcW w:w="0" w:type="auto"/>
            <w:vAlign w:val="center"/>
            <w:hideMark/>
          </w:tcPr>
          <w:p w14:paraId="47F8A36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Utility, governance, settlement, contribution, credential, security, or other</w:t>
            </w:r>
          </w:p>
        </w:tc>
      </w:tr>
      <w:tr w:rsidR="002602C5" w:rsidRPr="00B479AE" w14:paraId="2A20A7CA" w14:textId="77777777" w:rsidTr="002602C5">
        <w:trPr>
          <w:tblCellSpacing w:w="15" w:type="dxa"/>
        </w:trPr>
        <w:tc>
          <w:tcPr>
            <w:tcW w:w="0" w:type="auto"/>
            <w:vAlign w:val="center"/>
            <w:hideMark/>
          </w:tcPr>
          <w:p w14:paraId="056F7C0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Prometheus status</w:t>
            </w:r>
          </w:p>
        </w:tc>
        <w:tc>
          <w:tcPr>
            <w:tcW w:w="0" w:type="auto"/>
            <w:vAlign w:val="center"/>
            <w:hideMark/>
          </w:tcPr>
          <w:p w14:paraId="20F6762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Observed, sandbox, limited, operational, review-required, non-admissible, quarantined, revoked</w:t>
            </w:r>
          </w:p>
        </w:tc>
      </w:tr>
      <w:tr w:rsidR="002602C5" w:rsidRPr="00B479AE" w14:paraId="360C70C5" w14:textId="77777777" w:rsidTr="002602C5">
        <w:trPr>
          <w:tblCellSpacing w:w="15" w:type="dxa"/>
        </w:trPr>
        <w:tc>
          <w:tcPr>
            <w:tcW w:w="0" w:type="auto"/>
            <w:vAlign w:val="center"/>
            <w:hideMark/>
          </w:tcPr>
          <w:p w14:paraId="41D1CB7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Approved use</w:t>
            </w:r>
          </w:p>
        </w:tc>
        <w:tc>
          <w:tcPr>
            <w:tcW w:w="0" w:type="auto"/>
            <w:vAlign w:val="center"/>
            <w:hideMark/>
          </w:tcPr>
          <w:p w14:paraId="28789C2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permitted Prometheus-facing functions</w:t>
            </w:r>
          </w:p>
        </w:tc>
      </w:tr>
      <w:tr w:rsidR="002602C5" w:rsidRPr="00B479AE" w14:paraId="179E7930" w14:textId="77777777" w:rsidTr="002602C5">
        <w:trPr>
          <w:tblCellSpacing w:w="15" w:type="dxa"/>
        </w:trPr>
        <w:tc>
          <w:tcPr>
            <w:tcW w:w="0" w:type="auto"/>
            <w:vAlign w:val="center"/>
            <w:hideMark/>
          </w:tcPr>
          <w:p w14:paraId="164F0A2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Prohibited use</w:t>
            </w:r>
          </w:p>
        </w:tc>
        <w:tc>
          <w:tcPr>
            <w:tcW w:w="0" w:type="auto"/>
            <w:vAlign w:val="center"/>
            <w:hideMark/>
          </w:tcPr>
          <w:p w14:paraId="7145A381"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what the token may not claim or perform</w:t>
            </w:r>
          </w:p>
        </w:tc>
      </w:tr>
      <w:tr w:rsidR="002602C5" w:rsidRPr="00B479AE" w14:paraId="16DDB6BB" w14:textId="77777777" w:rsidTr="002602C5">
        <w:trPr>
          <w:tblCellSpacing w:w="15" w:type="dxa"/>
        </w:trPr>
        <w:tc>
          <w:tcPr>
            <w:tcW w:w="0" w:type="auto"/>
            <w:vAlign w:val="center"/>
            <w:hideMark/>
          </w:tcPr>
          <w:p w14:paraId="359BDA8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Legal review status</w:t>
            </w:r>
          </w:p>
        </w:tc>
        <w:tc>
          <w:tcPr>
            <w:tcW w:w="0" w:type="auto"/>
            <w:vAlign w:val="center"/>
            <w:hideMark/>
          </w:tcPr>
          <w:p w14:paraId="371AB6A5"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Records whether jurisdictional review has occurred</w:t>
            </w:r>
          </w:p>
        </w:tc>
      </w:tr>
      <w:tr w:rsidR="002602C5" w:rsidRPr="00B479AE" w14:paraId="3CEAA1E4" w14:textId="77777777" w:rsidTr="002602C5">
        <w:trPr>
          <w:tblCellSpacing w:w="15" w:type="dxa"/>
        </w:trPr>
        <w:tc>
          <w:tcPr>
            <w:tcW w:w="0" w:type="auto"/>
            <w:vAlign w:val="center"/>
            <w:hideMark/>
          </w:tcPr>
          <w:p w14:paraId="52B7CEC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MRV relationship</w:t>
            </w:r>
          </w:p>
        </w:tc>
        <w:tc>
          <w:tcPr>
            <w:tcW w:w="0" w:type="auto"/>
            <w:vAlign w:val="center"/>
            <w:hideMark/>
          </w:tcPr>
          <w:p w14:paraId="708517B0"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whether and how the token may reference evidence</w:t>
            </w:r>
          </w:p>
        </w:tc>
      </w:tr>
      <w:tr w:rsidR="002602C5" w:rsidRPr="00B479AE" w14:paraId="5CBA42C0" w14:textId="77777777" w:rsidTr="002602C5">
        <w:trPr>
          <w:tblCellSpacing w:w="15" w:type="dxa"/>
        </w:trPr>
        <w:tc>
          <w:tcPr>
            <w:tcW w:w="0" w:type="auto"/>
            <w:vAlign w:val="center"/>
            <w:hideMark/>
          </w:tcPr>
          <w:p w14:paraId="1051717C"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PRU relationship</w:t>
            </w:r>
          </w:p>
        </w:tc>
        <w:tc>
          <w:tcPr>
            <w:tcW w:w="0" w:type="auto"/>
            <w:vAlign w:val="center"/>
            <w:hideMark/>
          </w:tcPr>
          <w:p w14:paraId="1F7B6AB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whether and how the token may reference PRU analysis</w:t>
            </w:r>
          </w:p>
        </w:tc>
      </w:tr>
      <w:tr w:rsidR="002602C5" w:rsidRPr="00B479AE" w14:paraId="4AFC2099" w14:textId="77777777" w:rsidTr="002602C5">
        <w:trPr>
          <w:tblCellSpacing w:w="15" w:type="dxa"/>
        </w:trPr>
        <w:tc>
          <w:tcPr>
            <w:tcW w:w="0" w:type="auto"/>
            <w:vAlign w:val="center"/>
            <w:hideMark/>
          </w:tcPr>
          <w:p w14:paraId="709FB024"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RAP relationship</w:t>
            </w:r>
          </w:p>
        </w:tc>
        <w:tc>
          <w:tcPr>
            <w:tcW w:w="0" w:type="auto"/>
            <w:vAlign w:val="center"/>
            <w:hideMark/>
          </w:tcPr>
          <w:p w14:paraId="3935409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whether and how the token may reference RAP logic</w:t>
            </w:r>
          </w:p>
        </w:tc>
      </w:tr>
      <w:tr w:rsidR="002602C5" w:rsidRPr="00B479AE" w14:paraId="351304D7" w14:textId="77777777" w:rsidTr="002602C5">
        <w:trPr>
          <w:tblCellSpacing w:w="15" w:type="dxa"/>
        </w:trPr>
        <w:tc>
          <w:tcPr>
            <w:tcW w:w="0" w:type="auto"/>
            <w:vAlign w:val="center"/>
            <w:hideMark/>
          </w:tcPr>
          <w:p w14:paraId="457B6074"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Governance relationship</w:t>
            </w:r>
          </w:p>
        </w:tc>
        <w:tc>
          <w:tcPr>
            <w:tcW w:w="0" w:type="auto"/>
            <w:vAlign w:val="center"/>
            <w:hideMark/>
          </w:tcPr>
          <w:p w14:paraId="293017E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whether token participates in governance and under what limits</w:t>
            </w:r>
          </w:p>
        </w:tc>
      </w:tr>
      <w:tr w:rsidR="002602C5" w:rsidRPr="00B479AE" w14:paraId="3ACFB5B1" w14:textId="77777777" w:rsidTr="002602C5">
        <w:trPr>
          <w:tblCellSpacing w:w="15" w:type="dxa"/>
        </w:trPr>
        <w:tc>
          <w:tcPr>
            <w:tcW w:w="0" w:type="auto"/>
            <w:vAlign w:val="center"/>
            <w:hideMark/>
          </w:tcPr>
          <w:p w14:paraId="35AD7DD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Custody / treasury notes</w:t>
            </w:r>
          </w:p>
        </w:tc>
        <w:tc>
          <w:tcPr>
            <w:tcW w:w="0" w:type="auto"/>
            <w:vAlign w:val="center"/>
            <w:hideMark/>
          </w:tcPr>
          <w:p w14:paraId="5BC1F48D"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Records key custody, treasury, reserve, or admin-control considerations</w:t>
            </w:r>
          </w:p>
        </w:tc>
      </w:tr>
      <w:tr w:rsidR="002602C5" w:rsidRPr="00B479AE" w14:paraId="6EB67425" w14:textId="77777777" w:rsidTr="002602C5">
        <w:trPr>
          <w:tblCellSpacing w:w="15" w:type="dxa"/>
        </w:trPr>
        <w:tc>
          <w:tcPr>
            <w:tcW w:w="0" w:type="auto"/>
            <w:vAlign w:val="center"/>
            <w:hideMark/>
          </w:tcPr>
          <w:p w14:paraId="4D7A136D"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Bridge exposure</w:t>
            </w:r>
          </w:p>
        </w:tc>
        <w:tc>
          <w:tcPr>
            <w:tcW w:w="0" w:type="auto"/>
            <w:vAlign w:val="center"/>
            <w:hideMark/>
          </w:tcPr>
          <w:p w14:paraId="5F482B6A"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Records whether bridge, wrapper, cross-chain, or synthetic exposure exists</w:t>
            </w:r>
          </w:p>
        </w:tc>
      </w:tr>
      <w:tr w:rsidR="002602C5" w:rsidRPr="00B479AE" w14:paraId="31241F53" w14:textId="77777777" w:rsidTr="002602C5">
        <w:trPr>
          <w:tblCellSpacing w:w="15" w:type="dxa"/>
        </w:trPr>
        <w:tc>
          <w:tcPr>
            <w:tcW w:w="0" w:type="auto"/>
            <w:vAlign w:val="center"/>
            <w:hideMark/>
          </w:tcPr>
          <w:p w14:paraId="6892AC3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AI / automation exposure</w:t>
            </w:r>
          </w:p>
        </w:tc>
        <w:tc>
          <w:tcPr>
            <w:tcW w:w="0" w:type="auto"/>
            <w:vAlign w:val="center"/>
            <w:hideMark/>
          </w:tcPr>
          <w:p w14:paraId="5DE4E4A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Records whether AI systems can influence allocation, review, minting, governance, or rights</w:t>
            </w:r>
          </w:p>
        </w:tc>
      </w:tr>
      <w:tr w:rsidR="002602C5" w:rsidRPr="00B479AE" w14:paraId="318C8E6F" w14:textId="77777777" w:rsidTr="002602C5">
        <w:trPr>
          <w:tblCellSpacing w:w="15" w:type="dxa"/>
        </w:trPr>
        <w:tc>
          <w:tcPr>
            <w:tcW w:w="0" w:type="auto"/>
            <w:vAlign w:val="center"/>
            <w:hideMark/>
          </w:tcPr>
          <w:p w14:paraId="51D2926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Risk class</w:t>
            </w:r>
          </w:p>
        </w:tc>
        <w:tc>
          <w:tcPr>
            <w:tcW w:w="0" w:type="auto"/>
            <w:vAlign w:val="center"/>
            <w:hideMark/>
          </w:tcPr>
          <w:p w14:paraId="1646B4A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Low, moderate, high, or critical</w:t>
            </w:r>
          </w:p>
        </w:tc>
      </w:tr>
      <w:tr w:rsidR="002602C5" w:rsidRPr="00B479AE" w14:paraId="6C39D57D" w14:textId="77777777" w:rsidTr="002602C5">
        <w:trPr>
          <w:tblCellSpacing w:w="15" w:type="dxa"/>
        </w:trPr>
        <w:tc>
          <w:tcPr>
            <w:tcW w:w="0" w:type="auto"/>
            <w:vAlign w:val="center"/>
            <w:hideMark/>
          </w:tcPr>
          <w:p w14:paraId="7840FB28"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Review date</w:t>
            </w:r>
          </w:p>
        </w:tc>
        <w:tc>
          <w:tcPr>
            <w:tcW w:w="0" w:type="auto"/>
            <w:vAlign w:val="center"/>
            <w:hideMark/>
          </w:tcPr>
          <w:p w14:paraId="6FF02EA1"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Defines when status must be reviewed</w:t>
            </w:r>
          </w:p>
        </w:tc>
      </w:tr>
      <w:tr w:rsidR="002602C5" w:rsidRPr="00B479AE" w14:paraId="1C6FFB94" w14:textId="77777777" w:rsidTr="002602C5">
        <w:trPr>
          <w:tblCellSpacing w:w="15" w:type="dxa"/>
        </w:trPr>
        <w:tc>
          <w:tcPr>
            <w:tcW w:w="0" w:type="auto"/>
            <w:vAlign w:val="center"/>
            <w:hideMark/>
          </w:tcPr>
          <w:p w14:paraId="01C0181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Public disclosure link</w:t>
            </w:r>
          </w:p>
        </w:tc>
        <w:tc>
          <w:tcPr>
            <w:tcW w:w="0" w:type="auto"/>
            <w:vAlign w:val="center"/>
            <w:hideMark/>
          </w:tcPr>
          <w:p w14:paraId="416A0C8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Links to public limitations and risk disclosures</w:t>
            </w:r>
          </w:p>
        </w:tc>
      </w:tr>
      <w:tr w:rsidR="002602C5" w:rsidRPr="00B479AE" w14:paraId="2E09E3C5" w14:textId="77777777" w:rsidTr="002602C5">
        <w:trPr>
          <w:tblCellSpacing w:w="15" w:type="dxa"/>
        </w:trPr>
        <w:tc>
          <w:tcPr>
            <w:tcW w:w="0" w:type="auto"/>
            <w:vAlign w:val="center"/>
            <w:hideMark/>
          </w:tcPr>
          <w:p w14:paraId="0F132766"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Canonical registry reference</w:t>
            </w:r>
          </w:p>
        </w:tc>
        <w:tc>
          <w:tcPr>
            <w:tcW w:w="0" w:type="auto"/>
            <w:vAlign w:val="center"/>
            <w:hideMark/>
          </w:tcPr>
          <w:p w14:paraId="6CDB243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Links to official Prometheus status verification</w:t>
            </w:r>
          </w:p>
        </w:tc>
      </w:tr>
    </w:tbl>
    <w:p w14:paraId="4C73CB9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The Token Integration Registry should be part of the broader Global Canonical Registry where public status verification is appropriate.</w:t>
      </w:r>
    </w:p>
    <w:p w14:paraId="1157381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This allows any user, investor, community, partner, reviewer, institution, or AI agent to verify whether a token claim is Prometheus-recognized, limited, under review, non-admissible, quarantined, revoked, or misleading.</w:t>
      </w:r>
    </w:p>
    <w:p w14:paraId="5A0F1C46"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Q.9 Token Claims and Public Communication</w:t>
      </w:r>
    </w:p>
    <w:p w14:paraId="10BC8E7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should tightly classify token-related language.</w:t>
      </w:r>
    </w:p>
    <w:p w14:paraId="2CB10C7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communication should distinguish:</w:t>
      </w:r>
    </w:p>
    <w:p w14:paraId="1F3830C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access;</w:t>
      </w:r>
    </w:p>
    <w:p w14:paraId="49B3622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contribution;</w:t>
      </w:r>
    </w:p>
    <w:p w14:paraId="01C9970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recognition;</w:t>
      </w:r>
    </w:p>
    <w:p w14:paraId="2DB318F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settlement;</w:t>
      </w:r>
    </w:p>
    <w:p w14:paraId="4AD0C10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governance participation;</w:t>
      </w:r>
    </w:p>
    <w:p w14:paraId="4588F99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utility;</w:t>
      </w:r>
    </w:p>
    <w:p w14:paraId="32DCC2F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accounting;</w:t>
      </w:r>
    </w:p>
    <w:p w14:paraId="5A3164A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reward;</w:t>
      </w:r>
    </w:p>
    <w:p w14:paraId="33EE9D4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investment exposure;</w:t>
      </w:r>
    </w:p>
    <w:p w14:paraId="641575E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PRU reference;</w:t>
      </w:r>
    </w:p>
    <w:p w14:paraId="2658099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RAP exposure;</w:t>
      </w:r>
    </w:p>
    <w:p w14:paraId="1A7498F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right;</w:t>
      </w:r>
    </w:p>
    <w:p w14:paraId="061CC43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public benefit claim;</w:t>
      </w:r>
    </w:p>
    <w:p w14:paraId="189FA02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certification status;</w:t>
      </w:r>
    </w:p>
    <w:p w14:paraId="3ED0113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canonical status.</w:t>
      </w:r>
    </w:p>
    <w:p w14:paraId="4F327B3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The following claims require enhanced review:</w:t>
      </w:r>
    </w:p>
    <w:p w14:paraId="5EAF062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backed by PRU;</w:t>
      </w:r>
    </w:p>
    <w:p w14:paraId="7B8C50C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linked to verified regeneration;</w:t>
      </w:r>
    </w:p>
    <w:p w14:paraId="51039BC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RAP exposure;</w:t>
      </w:r>
    </w:p>
    <w:p w14:paraId="127B6DF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impact-backed;</w:t>
      </w:r>
    </w:p>
    <w:p w14:paraId="24368CA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yield;</w:t>
      </w:r>
    </w:p>
    <w:p w14:paraId="5BBF8A8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return;</w:t>
      </w:r>
    </w:p>
    <w:p w14:paraId="5E33754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revenue share;</w:t>
      </w:r>
    </w:p>
    <w:p w14:paraId="7726084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ownership;</w:t>
      </w:r>
    </w:p>
    <w:p w14:paraId="091807C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real asset;</w:t>
      </w:r>
    </w:p>
    <w:p w14:paraId="79EE0BB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security;</w:t>
      </w:r>
    </w:p>
    <w:p w14:paraId="3C4469C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credit;</w:t>
      </w:r>
    </w:p>
    <w:p w14:paraId="279C0DA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offset;</w:t>
      </w:r>
    </w:p>
    <w:p w14:paraId="28C3B4C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guaranteed;</w:t>
      </w:r>
    </w:p>
    <w:p w14:paraId="76FA0CB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certified;</w:t>
      </w:r>
    </w:p>
    <w:p w14:paraId="71C739B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MRV-verified;</w:t>
      </w:r>
    </w:p>
    <w:p w14:paraId="02FF501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Prometheus-approved;</w:t>
      </w:r>
    </w:p>
    <w:p w14:paraId="17B07E5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Prometheus-canonical;</w:t>
      </w:r>
    </w:p>
    <w:p w14:paraId="68EC80D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-native value;</w:t>
      </w:r>
    </w:p>
    <w:p w14:paraId="54188F4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AI-validated impact;</w:t>
      </w:r>
    </w:p>
    <w:p w14:paraId="4D3D6D5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regenerative asset-backed.</w:t>
      </w:r>
    </w:p>
    <w:p w14:paraId="48984E3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Such language should not be used unless the relevant evidence, legal structure, disclosures, methodology, governance authorization, and jurisdictional review exist.</w:t>
      </w:r>
    </w:p>
    <w:p w14:paraId="15FD62E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language is powerful because markets can move faster than truth.</w:t>
      </w:r>
    </w:p>
    <w:p w14:paraId="34C735D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therefore makes token language reviewable.</w:t>
      </w:r>
    </w:p>
    <w:p w14:paraId="59696CB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public-claim rule is:</w:t>
      </w:r>
    </w:p>
    <w:p w14:paraId="3C7CB31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if token language can influence capital, governance, public trust, ecological claims, or community expectations, it belongs in a review pathway.</w:t>
      </w:r>
    </w:p>
    <w:p w14:paraId="16EFA146"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 xml:space="preserve">Q.10 PRU, RAP, TRBK, </w:t>
      </w:r>
      <w:proofErr w:type="spellStart"/>
      <w:r w:rsidRPr="00B479AE">
        <w:rPr>
          <w:rFonts w:ascii="Baskerville Old Face" w:hAnsi="Baskerville Old Face"/>
          <w:b/>
          <w:bCs/>
          <w:i/>
          <w:iCs/>
        </w:rPr>
        <w:t>HoloFuel</w:t>
      </w:r>
      <w:proofErr w:type="spellEnd"/>
      <w:r w:rsidRPr="00B479AE">
        <w:rPr>
          <w:rFonts w:ascii="Baskerville Old Face" w:hAnsi="Baskerville Old Face"/>
          <w:b/>
          <w:bCs/>
          <w:i/>
          <w:iCs/>
        </w:rPr>
        <w:t>, and Token Separation</w:t>
      </w:r>
    </w:p>
    <w:p w14:paraId="020AB01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PRU, RAP,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settlement rails, access credentials, and legally structured instruments must remain functionally distinct.</w:t>
      </w:r>
    </w:p>
    <w:p w14:paraId="6F11CB3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PRU is evidence-derived analysis.</w:t>
      </w:r>
    </w:p>
    <w:p w14:paraId="18AD5ED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RAP is portfolio logic.</w:t>
      </w:r>
    </w:p>
    <w:p w14:paraId="4E1D0E1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TRBK may support coordination, access, contribution, participation, or governance within defined boundaries.</w:t>
      </w:r>
    </w:p>
    <w:p w14:paraId="4BB25EF9"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-related infrastructure may support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ecosystem hosting or transaction capacity.</w:t>
      </w:r>
    </w:p>
    <w:p w14:paraId="14F24F6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settlement rail moves payment or value.</w:t>
      </w:r>
    </w:p>
    <w:p w14:paraId="2EDCC6D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is a technical, legal, or economic instrument.</w:t>
      </w:r>
    </w:p>
    <w:p w14:paraId="66C4BDD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legal instrument creates rights.</w:t>
      </w:r>
    </w:p>
    <w:p w14:paraId="24B46AA7" w14:textId="427CEA6A"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These may interact only through defined pathways.</w:t>
      </w:r>
      <w:r w:rsidR="00716126" w:rsidRPr="00B479AE">
        <w:rPr>
          <w:rFonts w:ascii="Baskerville Old Face" w:hAnsi="Baskerville Old Face"/>
          <w:i/>
          <w:iCs/>
        </w:rPr>
        <w:t xml:space="preserve"> </w:t>
      </w:r>
    </w:p>
    <w:p w14:paraId="3CD207C0" w14:textId="77777777" w:rsidR="00716126" w:rsidRPr="00B479AE" w:rsidRDefault="00716126" w:rsidP="002602C5">
      <w:pPr>
        <w:spacing w:line="360" w:lineRule="auto"/>
        <w:rPr>
          <w:rFonts w:ascii="Baskerville Old Face" w:hAnsi="Baskerville Old Face"/>
          <w:i/>
          <w:iCs/>
        </w:rPr>
      </w:pPr>
    </w:p>
    <w:p w14:paraId="304AB064" w14:textId="77777777" w:rsidR="00716126" w:rsidRPr="00B479AE" w:rsidRDefault="00716126" w:rsidP="002602C5">
      <w:pPr>
        <w:spacing w:line="360" w:lineRule="auto"/>
        <w:rPr>
          <w:rFonts w:ascii="Baskerville Old Face" w:hAnsi="Baskerville Old Face"/>
          <w:i/>
          <w:iCs/>
        </w:rPr>
      </w:pPr>
    </w:p>
    <w:p w14:paraId="71F30F09" w14:textId="77777777" w:rsidR="00716126" w:rsidRPr="00B479AE" w:rsidRDefault="00716126" w:rsidP="002602C5">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6593"/>
      </w:tblGrid>
      <w:tr w:rsidR="002602C5" w:rsidRPr="00B479AE" w14:paraId="1B3D9DD1" w14:textId="77777777" w:rsidTr="002602C5">
        <w:trPr>
          <w:tblHeader/>
          <w:tblCellSpacing w:w="15" w:type="dxa"/>
        </w:trPr>
        <w:tc>
          <w:tcPr>
            <w:tcW w:w="0" w:type="auto"/>
            <w:vAlign w:val="center"/>
            <w:hideMark/>
          </w:tcPr>
          <w:p w14:paraId="386C5851" w14:textId="77777777" w:rsidR="002602C5" w:rsidRPr="00B479AE" w:rsidRDefault="002602C5" w:rsidP="002602C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Interaction</w:t>
            </w:r>
          </w:p>
        </w:tc>
        <w:tc>
          <w:tcPr>
            <w:tcW w:w="0" w:type="auto"/>
            <w:vAlign w:val="center"/>
            <w:hideMark/>
          </w:tcPr>
          <w:p w14:paraId="2F84F87D" w14:textId="77777777" w:rsidR="002602C5" w:rsidRPr="00B479AE" w:rsidRDefault="002602C5" w:rsidP="002602C5">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Permitted only if</w:t>
            </w:r>
          </w:p>
        </w:tc>
      </w:tr>
      <w:tr w:rsidR="002602C5" w:rsidRPr="00B479AE" w14:paraId="32131415" w14:textId="77777777" w:rsidTr="002602C5">
        <w:trPr>
          <w:tblCellSpacing w:w="15" w:type="dxa"/>
        </w:trPr>
        <w:tc>
          <w:tcPr>
            <w:tcW w:w="0" w:type="auto"/>
            <w:vAlign w:val="center"/>
            <w:hideMark/>
          </w:tcPr>
          <w:p w14:paraId="25DC1C91"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references PRU</w:t>
            </w:r>
          </w:p>
        </w:tc>
        <w:tc>
          <w:tcPr>
            <w:tcW w:w="0" w:type="auto"/>
            <w:vAlign w:val="center"/>
            <w:hideMark/>
          </w:tcPr>
          <w:p w14:paraId="08409EA7"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PRU methodology exists, evidence is admissible, claim is reviewed, and public language is bounded</w:t>
            </w:r>
          </w:p>
        </w:tc>
      </w:tr>
      <w:tr w:rsidR="002602C5" w:rsidRPr="00B479AE" w14:paraId="692A53AD" w14:textId="77777777" w:rsidTr="002602C5">
        <w:trPr>
          <w:tblCellSpacing w:w="15" w:type="dxa"/>
        </w:trPr>
        <w:tc>
          <w:tcPr>
            <w:tcW w:w="0" w:type="auto"/>
            <w:vAlign w:val="center"/>
            <w:hideMark/>
          </w:tcPr>
          <w:p w14:paraId="20F631F0"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references RAP</w:t>
            </w:r>
          </w:p>
        </w:tc>
        <w:tc>
          <w:tcPr>
            <w:tcW w:w="0" w:type="auto"/>
            <w:vAlign w:val="center"/>
            <w:hideMark/>
          </w:tcPr>
          <w:p w14:paraId="1FE68288"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RAP structure exists, underlying units are eligible, legal wrapper exists, and disclosures are reviewed</w:t>
            </w:r>
          </w:p>
        </w:tc>
      </w:tr>
      <w:tr w:rsidR="002602C5" w:rsidRPr="00B479AE" w14:paraId="60FB62FD" w14:textId="77777777" w:rsidTr="002602C5">
        <w:trPr>
          <w:tblCellSpacing w:w="15" w:type="dxa"/>
        </w:trPr>
        <w:tc>
          <w:tcPr>
            <w:tcW w:w="0" w:type="auto"/>
            <w:vAlign w:val="center"/>
            <w:hideMark/>
          </w:tcPr>
          <w:p w14:paraId="17D8FD80"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represents investor exposure</w:t>
            </w:r>
          </w:p>
        </w:tc>
        <w:tc>
          <w:tcPr>
            <w:tcW w:w="0" w:type="auto"/>
            <w:vAlign w:val="center"/>
            <w:hideMark/>
          </w:tcPr>
          <w:p w14:paraId="7A81CF51"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Securities, fund, debt, equity, revenue-right, note, or legally structured framework exists and is disclosed</w:t>
            </w:r>
          </w:p>
        </w:tc>
      </w:tr>
      <w:tr w:rsidR="002602C5" w:rsidRPr="00B479AE" w14:paraId="29A66634" w14:textId="77777777" w:rsidTr="002602C5">
        <w:trPr>
          <w:tblCellSpacing w:w="15" w:type="dxa"/>
        </w:trPr>
        <w:tc>
          <w:tcPr>
            <w:tcW w:w="0" w:type="auto"/>
            <w:vAlign w:val="center"/>
            <w:hideMark/>
          </w:tcPr>
          <w:p w14:paraId="27117AD3"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participates in governance</w:t>
            </w:r>
          </w:p>
        </w:tc>
        <w:tc>
          <w:tcPr>
            <w:tcW w:w="0" w:type="auto"/>
            <w:vAlign w:val="center"/>
            <w:hideMark/>
          </w:tcPr>
          <w:p w14:paraId="64A1AE3E"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Governance domain is defined and bounded by source-layer constraints</w:t>
            </w:r>
          </w:p>
        </w:tc>
      </w:tr>
      <w:tr w:rsidR="002602C5" w:rsidRPr="00B479AE" w14:paraId="7CC62786" w14:textId="77777777" w:rsidTr="002602C5">
        <w:trPr>
          <w:tblCellSpacing w:w="15" w:type="dxa"/>
        </w:trPr>
        <w:tc>
          <w:tcPr>
            <w:tcW w:w="0" w:type="auto"/>
            <w:vAlign w:val="center"/>
            <w:hideMark/>
          </w:tcPr>
          <w:p w14:paraId="6FAB9F05"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grants access</w:t>
            </w:r>
          </w:p>
        </w:tc>
        <w:tc>
          <w:tcPr>
            <w:tcW w:w="0" w:type="auto"/>
            <w:vAlign w:val="center"/>
            <w:hideMark/>
          </w:tcPr>
          <w:p w14:paraId="2600839F"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Access scope is defined and does not imply ownership, PRU value, or investor rights</w:t>
            </w:r>
          </w:p>
        </w:tc>
      </w:tr>
      <w:tr w:rsidR="002602C5" w:rsidRPr="00B479AE" w14:paraId="6EEF13AC" w14:textId="77777777" w:rsidTr="002602C5">
        <w:trPr>
          <w:tblCellSpacing w:w="15" w:type="dxa"/>
        </w:trPr>
        <w:tc>
          <w:tcPr>
            <w:tcW w:w="0" w:type="auto"/>
            <w:vAlign w:val="center"/>
            <w:hideMark/>
          </w:tcPr>
          <w:p w14:paraId="58E74BCB"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rewards contribution</w:t>
            </w:r>
          </w:p>
        </w:tc>
        <w:tc>
          <w:tcPr>
            <w:tcW w:w="0" w:type="auto"/>
            <w:vAlign w:val="center"/>
            <w:hideMark/>
          </w:tcPr>
          <w:p w14:paraId="3C539E5C"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Labor, tax, securities, consumer, and community-governance issues are reviewed</w:t>
            </w:r>
          </w:p>
        </w:tc>
      </w:tr>
      <w:tr w:rsidR="002602C5" w:rsidRPr="00B479AE" w14:paraId="50C02DF7" w14:textId="77777777" w:rsidTr="002602C5">
        <w:trPr>
          <w:tblCellSpacing w:w="15" w:type="dxa"/>
        </w:trPr>
        <w:tc>
          <w:tcPr>
            <w:tcW w:w="0" w:type="auto"/>
            <w:vAlign w:val="center"/>
            <w:hideMark/>
          </w:tcPr>
          <w:p w14:paraId="64D2AF09"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supports settlement</w:t>
            </w:r>
          </w:p>
        </w:tc>
        <w:tc>
          <w:tcPr>
            <w:tcW w:w="0" w:type="auto"/>
            <w:vAlign w:val="center"/>
            <w:hideMark/>
          </w:tcPr>
          <w:p w14:paraId="0191C85C"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Payment, custody, AML/KYC, tax, sanctions, and operational issues are reviewed where applicable</w:t>
            </w:r>
          </w:p>
        </w:tc>
      </w:tr>
      <w:tr w:rsidR="002602C5" w:rsidRPr="00B479AE" w14:paraId="491D58EA" w14:textId="77777777" w:rsidTr="002602C5">
        <w:trPr>
          <w:tblCellSpacing w:w="15" w:type="dxa"/>
        </w:trPr>
        <w:tc>
          <w:tcPr>
            <w:tcW w:w="0" w:type="auto"/>
            <w:vAlign w:val="center"/>
            <w:hideMark/>
          </w:tcPr>
          <w:p w14:paraId="77B02D94"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Token uses Holochain-related infrastructure</w:t>
            </w:r>
          </w:p>
        </w:tc>
        <w:tc>
          <w:tcPr>
            <w:tcW w:w="0" w:type="auto"/>
            <w:vAlign w:val="center"/>
            <w:hideMark/>
          </w:tcPr>
          <w:p w14:paraId="3CD16BB2" w14:textId="77777777" w:rsidR="002602C5" w:rsidRPr="00B479AE" w:rsidRDefault="002602C5" w:rsidP="002602C5">
            <w:pPr>
              <w:spacing w:line="360" w:lineRule="auto"/>
              <w:rPr>
                <w:rFonts w:ascii="Baskerville Old Face" w:hAnsi="Baskerville Old Face"/>
                <w:i/>
                <w:iCs/>
                <w:sz w:val="20"/>
                <w:szCs w:val="20"/>
              </w:rPr>
            </w:pPr>
            <w:r w:rsidRPr="00B479AE">
              <w:rPr>
                <w:rFonts w:ascii="Baskerville Old Face" w:hAnsi="Baskerville Old Face"/>
                <w:i/>
                <w:iCs/>
                <w:sz w:val="20"/>
                <w:szCs w:val="20"/>
              </w:rPr>
              <w:t>Operational function is defined and does not imply ecological value, PRU status, or investor exposure</w:t>
            </w:r>
          </w:p>
        </w:tc>
      </w:tr>
    </w:tbl>
    <w:p w14:paraId="05E8ED4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separation rule is:</w:t>
      </w:r>
    </w:p>
    <w:p w14:paraId="53E2FE8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PRU may inform value;</w:t>
      </w:r>
    </w:p>
    <w:p w14:paraId="464B5D0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RAP may aggregate eligible units;</w:t>
      </w:r>
    </w:p>
    <w:p w14:paraId="543DBE0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TRBK may support bounded ecosystem functions;</w:t>
      </w:r>
    </w:p>
    <w:p w14:paraId="5FAFC126"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-related infrastructure may support operational capacity;</w:t>
      </w:r>
    </w:p>
    <w:p w14:paraId="7491A7E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settlement rails may move payment;</w:t>
      </w:r>
    </w:p>
    <w:p w14:paraId="12E2D4E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tokens may represent legally and technically defined functions;</w:t>
      </w:r>
    </w:p>
    <w:p w14:paraId="230EA48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none of them may impersonate the others.</w:t>
      </w:r>
    </w:p>
    <w:p w14:paraId="29B4A3E1" w14:textId="77777777" w:rsidR="00716126" w:rsidRPr="00B479AE" w:rsidRDefault="00716126" w:rsidP="002602C5">
      <w:pPr>
        <w:spacing w:line="360" w:lineRule="auto"/>
        <w:rPr>
          <w:rFonts w:ascii="Baskerville Old Face" w:hAnsi="Baskerville Old Face"/>
          <w:b/>
          <w:bCs/>
          <w:i/>
          <w:iCs/>
        </w:rPr>
      </w:pPr>
    </w:p>
    <w:p w14:paraId="03CA4CCD" w14:textId="1494C0C9"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lastRenderedPageBreak/>
        <w:t>Q.11 Token Boundary and Legal Wrapper Function</w:t>
      </w:r>
    </w:p>
    <w:p w14:paraId="02F0F6B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interact with tokens, digital credentials, access systems, governance signals, contribution records, settlement rails, or future legally structured digital instruments.</w:t>
      </w:r>
    </w:p>
    <w:p w14:paraId="7135A4B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However, token representation must remain downstream from evidence, methodology, governance, legal structure, disclosure, and jurisdictional review.</w:t>
      </w:r>
    </w:p>
    <w:p w14:paraId="31FC0ED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token boundary may be expressed as:</w:t>
      </w:r>
    </w:p>
    <w:p w14:paraId="2DD143B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 Value</w:t>
      </w:r>
    </w:p>
    <w:p w14:paraId="501F8A8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ecological value.</w:t>
      </w:r>
    </w:p>
    <w:p w14:paraId="6511A4E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PRU value.</w:t>
      </w:r>
    </w:p>
    <w:p w14:paraId="70F0C9B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RAP exposure.</w:t>
      </w:r>
    </w:p>
    <w:p w14:paraId="6076BB4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land ownership.</w:t>
      </w:r>
    </w:p>
    <w:p w14:paraId="45FC931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investor rights.</w:t>
      </w:r>
    </w:p>
    <w:p w14:paraId="05A4184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constitutional authority.</w:t>
      </w:r>
    </w:p>
    <w:p w14:paraId="0344086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does not create human worth.</w:t>
      </w:r>
    </w:p>
    <w:p w14:paraId="640227A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represent a defined function only when that function already exists through evidence, governance, legal structure, contract, disclosure, or technical authorization.</w:t>
      </w:r>
    </w:p>
    <w:p w14:paraId="41B76D1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correct Prometheus sequence is:</w:t>
      </w:r>
    </w:p>
    <w:p w14:paraId="34E1B44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Evidence </w:t>
      </w:r>
      <w:r w:rsidRPr="00B479AE">
        <w:rPr>
          <w:rFonts w:ascii="Times New Roman" w:hAnsi="Times New Roman" w:cs="Times New Roman"/>
          <w:i/>
          <w:iCs/>
        </w:rPr>
        <w:t>→</w:t>
      </w:r>
      <w:r w:rsidRPr="00B479AE">
        <w:rPr>
          <w:rFonts w:ascii="Baskerville Old Face" w:hAnsi="Baskerville Old Face"/>
          <w:i/>
          <w:iCs/>
        </w:rPr>
        <w:t xml:space="preserve"> Methodology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Legal Wrapper </w:t>
      </w:r>
      <w:r w:rsidRPr="00B479AE">
        <w:rPr>
          <w:rFonts w:ascii="Times New Roman" w:hAnsi="Times New Roman" w:cs="Times New Roman"/>
          <w:i/>
          <w:iCs/>
        </w:rPr>
        <w:t>→</w:t>
      </w:r>
      <w:r w:rsidRPr="00B479AE">
        <w:rPr>
          <w:rFonts w:ascii="Baskerville Old Face" w:hAnsi="Baskerville Old Face"/>
          <w:i/>
          <w:iCs/>
        </w:rPr>
        <w:t xml:space="preserve"> Defined Rights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51CE9B6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This sequence protects the system from premature tokenization.</w:t>
      </w:r>
    </w:p>
    <w:p w14:paraId="7E2BB4E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compliant representation may be considered only when:</w:t>
      </w:r>
    </w:p>
    <w:p w14:paraId="6DC8B605"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t>T_valid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E_v</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M_a</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A_r</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L_w</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D_s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C_j</w:t>
      </w:r>
      <w:proofErr w:type="spellEnd"/>
    </w:p>
    <w:p w14:paraId="47FBDA6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Where:</w:t>
      </w:r>
    </w:p>
    <w:p w14:paraId="23F73DC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r w:rsidRPr="00B479AE">
        <w:rPr>
          <w:rFonts w:ascii="Baskerville Old Face" w:hAnsi="Baskerville Old Face"/>
          <w:i/>
          <w:iCs/>
        </w:rPr>
        <w:t>T_valid</w:t>
      </w:r>
      <w:proofErr w:type="spellEnd"/>
      <w:r w:rsidRPr="00B479AE">
        <w:rPr>
          <w:rFonts w:ascii="Baskerville Old Face" w:hAnsi="Baskerville Old Face"/>
          <w:i/>
          <w:iCs/>
        </w:rPr>
        <w:t xml:space="preserve"> = representation-validity condition;</w:t>
      </w:r>
    </w:p>
    <w:p w14:paraId="5F0994E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E_v</w:t>
      </w:r>
      <w:proofErr w:type="spellEnd"/>
      <w:r w:rsidRPr="00B479AE">
        <w:rPr>
          <w:rFonts w:ascii="Baskerville Old Face" w:hAnsi="Baskerville Old Face"/>
          <w:i/>
          <w:iCs/>
        </w:rPr>
        <w:t xml:space="preserve"> = evidence verified;</w:t>
      </w:r>
    </w:p>
    <w:p w14:paraId="0DA2D9D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M_a</w:t>
      </w:r>
      <w:proofErr w:type="spellEnd"/>
      <w:r w:rsidRPr="00B479AE">
        <w:rPr>
          <w:rFonts w:ascii="Baskerville Old Face" w:hAnsi="Baskerville Old Face"/>
          <w:i/>
          <w:iCs/>
        </w:rPr>
        <w:t xml:space="preserve"> = methodology approved or applicable;</w:t>
      </w:r>
    </w:p>
    <w:p w14:paraId="3B8C824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A_r</w:t>
      </w:r>
      <w:proofErr w:type="spellEnd"/>
      <w:r w:rsidRPr="00B479AE">
        <w:rPr>
          <w:rFonts w:ascii="Baskerville Old Face" w:hAnsi="Baskerville Old Face"/>
          <w:i/>
          <w:iCs/>
        </w:rPr>
        <w:t xml:space="preserve"> = admissibility reviewed;</w:t>
      </w:r>
    </w:p>
    <w:p w14:paraId="186E777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L_w</w:t>
      </w:r>
      <w:proofErr w:type="spellEnd"/>
      <w:r w:rsidRPr="00B479AE">
        <w:rPr>
          <w:rFonts w:ascii="Baskerville Old Face" w:hAnsi="Baskerville Old Face"/>
          <w:i/>
          <w:iCs/>
        </w:rPr>
        <w:t xml:space="preserve"> = legal wrapper established;</w:t>
      </w:r>
    </w:p>
    <w:p w14:paraId="60EB023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D_s = disclosure satisfied;</w:t>
      </w:r>
    </w:p>
    <w:p w14:paraId="32C142A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C_j</w:t>
      </w:r>
      <w:proofErr w:type="spellEnd"/>
      <w:r w:rsidRPr="00B479AE">
        <w:rPr>
          <w:rFonts w:ascii="Baskerville Old Face" w:hAnsi="Baskerville Old Face"/>
          <w:i/>
          <w:iCs/>
        </w:rPr>
        <w:t xml:space="preserve"> = jurisdiction-specific compliance reviewed.</w:t>
      </w:r>
    </w:p>
    <w:p w14:paraId="3B27343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If any required factor is zero, the representation is not valid for protected Prometheus pathways.</w:t>
      </w:r>
    </w:p>
    <w:p w14:paraId="6A0A441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T_valid</w:t>
      </w:r>
      <w:proofErr w:type="spellEnd"/>
      <w:r w:rsidRPr="00B479AE">
        <w:rPr>
          <w:rFonts w:ascii="Baskerville Old Face" w:hAnsi="Baskerville Old Face"/>
          <w:i/>
          <w:iCs/>
        </w:rPr>
        <w:t xml:space="preserve"> = 0, representation is non-admissible for financial, PRU, RAP, investor-facing, or rights-bearing use.</w:t>
      </w:r>
    </w:p>
    <w:p w14:paraId="26E3361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This does not prevent research.</w:t>
      </w:r>
    </w:p>
    <w:p w14:paraId="759E12D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prevent sandbox testing.</w:t>
      </w:r>
    </w:p>
    <w:p w14:paraId="4C46058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prevent community discussion.</w:t>
      </w:r>
    </w:p>
    <w:p w14:paraId="354E8E5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prevent technical experimentation.</w:t>
      </w:r>
    </w:p>
    <w:p w14:paraId="21B877D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prevents premature claims.</w:t>
      </w:r>
    </w:p>
    <w:p w14:paraId="3CD9C50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The relationship among PRU, RAP,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legal instruments, and land rights may be expressed as:</w:t>
      </w:r>
    </w:p>
    <w:p w14:paraId="09685C3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PRU ≠ TRBK ≠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 RAP ≠ Security ≠ Land Right ≠ Governance Authority</w:t>
      </w:r>
    </w:p>
    <w:p w14:paraId="03A54B3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Each layer has a distinct function.</w:t>
      </w:r>
    </w:p>
    <w:p w14:paraId="77437C8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PRU represents methodology-bound verified regenerative performance.</w:t>
      </w:r>
    </w:p>
    <w:p w14:paraId="730C66E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RAP represents portfolio aggregation logic.</w:t>
      </w:r>
    </w:p>
    <w:p w14:paraId="3DD4D0D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TRBK may represent governance, coordination, access, contribution, or participation functions within defined boundaries.</w:t>
      </w:r>
    </w:p>
    <w:p w14:paraId="285C73A4"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lastRenderedPageBreak/>
        <w:t>HoloFuel</w:t>
      </w:r>
      <w:proofErr w:type="spellEnd"/>
      <w:r w:rsidRPr="00B479AE">
        <w:rPr>
          <w:rFonts w:ascii="Baskerville Old Face" w:hAnsi="Baskerville Old Face"/>
          <w:i/>
          <w:iCs/>
        </w:rPr>
        <w:t xml:space="preserve">-related infrastructure may support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ecosystem hosting or operational transaction capacity.</w:t>
      </w:r>
    </w:p>
    <w:p w14:paraId="7DCD228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security, note, fund interest, revenue right, debt instrument, equity interest, or investment instrument exists only where a legal structure expressly creates it.</w:t>
      </w:r>
    </w:p>
    <w:p w14:paraId="41B1BD7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Land rights arise from property law, contracts, trusts, titles, leases, easements, licenses, or other legal instruments.</w:t>
      </w:r>
    </w:p>
    <w:p w14:paraId="5ABDD81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Governance authority arises from role, mandate, process, source-layer constraints, and governance rules.</w:t>
      </w:r>
    </w:p>
    <w:p w14:paraId="4017D91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 token may impersonate all of these layers.</w:t>
      </w:r>
    </w:p>
    <w:p w14:paraId="6DF07FC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token boundary rule is:</w:t>
      </w:r>
    </w:p>
    <w:p w14:paraId="3E61E9A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tokens may represent defined functions;</w:t>
      </w:r>
    </w:p>
    <w:p w14:paraId="4D4C892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not manufacture the underlying right.</w:t>
      </w:r>
    </w:p>
    <w:p w14:paraId="0C36517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reference a PRU only if the PRU exists under methodology and evidence.</w:t>
      </w:r>
    </w:p>
    <w:p w14:paraId="1AE03A3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reference RAP exposure only if a RAP has been legally and institutionally structured.</w:t>
      </w:r>
    </w:p>
    <w:p w14:paraId="27253C3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support governance only within defined and bounded governance scope.</w:t>
      </w:r>
    </w:p>
    <w:p w14:paraId="5A84290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support contribution records only under contribution-policy rules.</w:t>
      </w:r>
    </w:p>
    <w:p w14:paraId="1B27C97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support access only within defined access conditions.</w:t>
      </w:r>
    </w:p>
    <w:p w14:paraId="6068A9B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may support investor exposure only where a legally compliant instrument creates such exposure.</w:t>
      </w:r>
    </w:p>
    <w:p w14:paraId="2A443A0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operational pathway is:</w:t>
      </w:r>
    </w:p>
    <w:p w14:paraId="1674241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claim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review </w:t>
      </w:r>
      <w:r w:rsidRPr="00B479AE">
        <w:rPr>
          <w:rFonts w:ascii="Times New Roman" w:hAnsi="Times New Roman" w:cs="Times New Roman"/>
          <w:i/>
          <w:iCs/>
        </w:rPr>
        <w:t>→</w:t>
      </w:r>
      <w:r w:rsidRPr="00B479AE">
        <w:rPr>
          <w:rFonts w:ascii="Baskerville Old Face" w:hAnsi="Baskerville Old Face"/>
          <w:i/>
          <w:iCs/>
        </w:rPr>
        <w:t xml:space="preserve"> legal meaning </w:t>
      </w:r>
      <w:r w:rsidRPr="00B479AE">
        <w:rPr>
          <w:rFonts w:ascii="Times New Roman" w:hAnsi="Times New Roman" w:cs="Times New Roman"/>
          <w:i/>
          <w:iCs/>
        </w:rPr>
        <w:t>→</w:t>
      </w:r>
      <w:r w:rsidRPr="00B479AE">
        <w:rPr>
          <w:rFonts w:ascii="Baskerville Old Face" w:hAnsi="Baskerville Old Face"/>
          <w:i/>
          <w:iCs/>
        </w:rPr>
        <w:t xml:space="preserve"> disclosure </w:t>
      </w:r>
      <w:r w:rsidRPr="00B479AE">
        <w:rPr>
          <w:rFonts w:ascii="Times New Roman" w:hAnsi="Times New Roman" w:cs="Times New Roman"/>
          <w:i/>
          <w:iCs/>
        </w:rPr>
        <w:t>→</w:t>
      </w:r>
      <w:r w:rsidRPr="00B479AE">
        <w:rPr>
          <w:rFonts w:ascii="Baskerville Old Face" w:hAnsi="Baskerville Old Face"/>
          <w:i/>
          <w:iCs/>
        </w:rPr>
        <w:t xml:space="preserve"> representation</w:t>
      </w:r>
    </w:p>
    <w:p w14:paraId="009993F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not:</w:t>
      </w:r>
    </w:p>
    <w:p w14:paraId="1ECE767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token </w:t>
      </w:r>
      <w:r w:rsidRPr="00B479AE">
        <w:rPr>
          <w:rFonts w:ascii="Times New Roman" w:hAnsi="Times New Roman" w:cs="Times New Roman"/>
          <w:i/>
          <w:iCs/>
        </w:rPr>
        <w:t>→</w:t>
      </w:r>
      <w:r w:rsidRPr="00B479AE">
        <w:rPr>
          <w:rFonts w:ascii="Baskerville Old Face" w:hAnsi="Baskerville Old Face"/>
          <w:i/>
          <w:iCs/>
        </w:rPr>
        <w:t xml:space="preserve"> value </w:t>
      </w:r>
      <w:r w:rsidRPr="00B479AE">
        <w:rPr>
          <w:rFonts w:ascii="Times New Roman" w:hAnsi="Times New Roman" w:cs="Times New Roman"/>
          <w:i/>
          <w:iCs/>
        </w:rPr>
        <w:t>→</w:t>
      </w:r>
      <w:r w:rsidRPr="00B479AE">
        <w:rPr>
          <w:rFonts w:ascii="Baskerville Old Face" w:hAnsi="Baskerville Old Face"/>
          <w:i/>
          <w:iCs/>
        </w:rPr>
        <w:t xml:space="preserve"> legitimacy.</w:t>
      </w:r>
    </w:p>
    <w:p w14:paraId="71A3D09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Prometheus therefore separates:</w:t>
      </w:r>
    </w:p>
    <w:p w14:paraId="3485B43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symbol from substance;</w:t>
      </w:r>
    </w:p>
    <w:p w14:paraId="085E85C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record from right;</w:t>
      </w:r>
    </w:p>
    <w:p w14:paraId="2D3E21A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access from ownership;</w:t>
      </w:r>
    </w:p>
    <w:p w14:paraId="439E6DD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governance signal from constitutional authority;</w:t>
      </w:r>
    </w:p>
    <w:p w14:paraId="2FE7DCD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community participation from investor exposure;</w:t>
      </w:r>
    </w:p>
    <w:p w14:paraId="6D0F1B5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verified regeneration from speculative token value.</w:t>
      </w:r>
    </w:p>
    <w:p w14:paraId="779985A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This separation protects Prometheus, </w:t>
      </w:r>
      <w:proofErr w:type="spellStart"/>
      <w:r w:rsidRPr="00B479AE">
        <w:rPr>
          <w:rFonts w:ascii="Baskerville Old Face" w:hAnsi="Baskerville Old Face"/>
          <w:i/>
          <w:iCs/>
        </w:rPr>
        <w:t>Tribeke</w:t>
      </w:r>
      <w:proofErr w:type="spellEnd"/>
      <w:r w:rsidRPr="00B479AE">
        <w:rPr>
          <w:rFonts w:ascii="Baskerville Old Face" w:hAnsi="Baskerville Old Face"/>
          <w:i/>
          <w:iCs/>
        </w:rPr>
        <w:t>, future partners, investors, communities, and stewards from category collapse.</w:t>
      </w:r>
    </w:p>
    <w:p w14:paraId="57A9C4A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Formula boundary.</w:t>
      </w:r>
    </w:p>
    <w:p w14:paraId="26EA9BFB"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t>T_valid</w:t>
      </w:r>
      <w:proofErr w:type="spellEnd"/>
      <w:r w:rsidRPr="00B479AE">
        <w:rPr>
          <w:rFonts w:ascii="Baskerville Old Face" w:hAnsi="Baskerville Old Face"/>
          <w:i/>
          <w:iCs/>
        </w:rPr>
        <w:t xml:space="preserve"> is a methodological and legal-readiness condition.</w:t>
      </w:r>
    </w:p>
    <w:p w14:paraId="116EA71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does not create automatic token issuance, investor rights, securities, legal enforceability, governance authority, PRU value, RAP exposure, land rights, or market price.</w:t>
      </w:r>
    </w:p>
    <w:p w14:paraId="5D0C7B4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defines the internal Prometheus boundary for evaluating whether a representation may enter protected pathways.</w:t>
      </w:r>
    </w:p>
    <w:p w14:paraId="42E1A0B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Formal consequences require the relevant legal, governance, technical, MRV, token, and source-layer review pathway.</w:t>
      </w:r>
    </w:p>
    <w:p w14:paraId="64E065F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Operational rule.</w:t>
      </w:r>
    </w:p>
    <w:p w14:paraId="0FB4F03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 legal wrapper, no rights-bearing token.</w:t>
      </w:r>
    </w:p>
    <w:p w14:paraId="2B6FC03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 MRV admissibility, no PRU-backed claim.</w:t>
      </w:r>
    </w:p>
    <w:p w14:paraId="792D3F0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 source-layer fidelity, no Prometheus token legitimacy.</w:t>
      </w:r>
    </w:p>
    <w:p w14:paraId="57D84CA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use tokens.</w:t>
      </w:r>
    </w:p>
    <w:p w14:paraId="2001A3C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interoperate with token ecosystems.</w:t>
      </w:r>
    </w:p>
    <w:p w14:paraId="79F4952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xml:space="preserve">Prometheus may collaborate with </w:t>
      </w:r>
      <w:proofErr w:type="spellStart"/>
      <w:r w:rsidRPr="00B479AE">
        <w:rPr>
          <w:rFonts w:ascii="Baskerville Old Face" w:hAnsi="Baskerville Old Face"/>
          <w:i/>
          <w:iCs/>
        </w:rPr>
        <w:t>Tribeke</w:t>
      </w:r>
      <w:proofErr w:type="spellEnd"/>
      <w:r w:rsidRPr="00B479AE">
        <w:rPr>
          <w:rFonts w:ascii="Baskerville Old Face" w:hAnsi="Baskerville Old Face"/>
          <w:i/>
          <w:iCs/>
        </w:rPr>
        <w:t>.</w:t>
      </w:r>
    </w:p>
    <w:p w14:paraId="370A07A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support future compliant digital instruments.</w:t>
      </w:r>
    </w:p>
    <w:p w14:paraId="16D4647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But tokens remain instruments.</w:t>
      </w:r>
    </w:p>
    <w:p w14:paraId="6D1EF80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do not become the source of truth.</w:t>
      </w:r>
    </w:p>
    <w:p w14:paraId="581F0E3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do not become the source of value.</w:t>
      </w:r>
    </w:p>
    <w:p w14:paraId="3A717228" w14:textId="60973A9B"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They do not become Prometheus. </w:t>
      </w:r>
    </w:p>
    <w:p w14:paraId="2D352D04"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Q.12 TRBK Boundary</w:t>
      </w:r>
    </w:p>
    <w:p w14:paraId="6C0CCD0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TRBK may be relevant to </w:t>
      </w:r>
      <w:proofErr w:type="spellStart"/>
      <w:r w:rsidRPr="00B479AE">
        <w:rPr>
          <w:rFonts w:ascii="Baskerville Old Face" w:hAnsi="Baskerville Old Face"/>
          <w:i/>
          <w:iCs/>
        </w:rPr>
        <w:t>Tribeke</w:t>
      </w:r>
      <w:proofErr w:type="spellEnd"/>
      <w:r w:rsidRPr="00B479AE">
        <w:rPr>
          <w:rFonts w:ascii="Baskerville Old Face" w:hAnsi="Baskerville Old Face"/>
          <w:i/>
          <w:iCs/>
        </w:rPr>
        <w:t>, community coordination, governance, access, contribution, or ecosystem participation depending on its actual legal, technical, and governance structure.</w:t>
      </w:r>
    </w:p>
    <w:p w14:paraId="4222E9A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interact with TRBK only through sovereign alignment and clearly scoped interoperability.</w:t>
      </w:r>
    </w:p>
    <w:p w14:paraId="506975A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TRBK should not be presumed to represent:</w:t>
      </w:r>
    </w:p>
    <w:p w14:paraId="78D3F31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Prometheus constitutional authority;</w:t>
      </w:r>
    </w:p>
    <w:p w14:paraId="7621AE9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PRU value;</w:t>
      </w:r>
    </w:p>
    <w:p w14:paraId="0534C79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RAP exposure;</w:t>
      </w:r>
    </w:p>
    <w:p w14:paraId="54D94D0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land ownership;</w:t>
      </w:r>
    </w:p>
    <w:p w14:paraId="2F6E1F8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investor rights;</w:t>
      </w:r>
    </w:p>
    <w:p w14:paraId="2EBD3BA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securities exposure;</w:t>
      </w:r>
    </w:p>
    <w:p w14:paraId="2CA6C1A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human worth;</w:t>
      </w:r>
    </w:p>
    <w:p w14:paraId="145EDAF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MRV validity;</w:t>
      </w:r>
    </w:p>
    <w:p w14:paraId="1601EB6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HSI status;</w:t>
      </w:r>
    </w:p>
    <w:p w14:paraId="62B17DF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automatic governance power over Prometheus.</w:t>
      </w:r>
    </w:p>
    <w:p w14:paraId="4E39CCC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xml:space="preserve">Prometheus should respect </w:t>
      </w:r>
      <w:proofErr w:type="spellStart"/>
      <w:r w:rsidRPr="00B479AE">
        <w:rPr>
          <w:rFonts w:ascii="Baskerville Old Face" w:hAnsi="Baskerville Old Face"/>
          <w:i/>
          <w:iCs/>
        </w:rPr>
        <w:t>Tribeke’s</w:t>
      </w:r>
      <w:proofErr w:type="spellEnd"/>
      <w:r w:rsidRPr="00B479AE">
        <w:rPr>
          <w:rFonts w:ascii="Baskerville Old Face" w:hAnsi="Baskerville Old Face"/>
          <w:i/>
          <w:iCs/>
        </w:rPr>
        <w:t xml:space="preserve"> own governance and token architecture.</w:t>
      </w:r>
    </w:p>
    <w:p w14:paraId="1A7312D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correct relationship is not absorption.</w:t>
      </w:r>
    </w:p>
    <w:p w14:paraId="4BA7972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is interoperability with source-layer boundaries.</w:t>
      </w:r>
    </w:p>
    <w:p w14:paraId="775F92F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Possible TRBK-Prometheus interfaces may include:</w:t>
      </w:r>
    </w:p>
    <w:p w14:paraId="2895934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access or coordination functions;</w:t>
      </w:r>
    </w:p>
    <w:p w14:paraId="0D3FCF5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contribution records;</w:t>
      </w:r>
    </w:p>
    <w:p w14:paraId="6402914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community participation pathways;</w:t>
      </w:r>
    </w:p>
    <w:p w14:paraId="518B311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role-based permissions where legally and technically appropriate;</w:t>
      </w:r>
    </w:p>
    <w:p w14:paraId="63E8492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governance signaling within defined scope;</w:t>
      </w:r>
    </w:p>
    <w:p w14:paraId="614C382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non-binding community sentiment;</w:t>
      </w:r>
    </w:p>
    <w:p w14:paraId="44135D8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settlement or reward mechanisms where legally reviewed;</w:t>
      </w:r>
    </w:p>
    <w:p w14:paraId="35F8D03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future structured integration through legal and governance review.</w:t>
      </w:r>
    </w:p>
    <w:p w14:paraId="2558168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TRBK principle is:</w:t>
      </w:r>
    </w:p>
    <w:p w14:paraId="3F654FB9"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may remain sovereign;</w:t>
      </w:r>
    </w:p>
    <w:p w14:paraId="2CB050C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may remain sovereign;</w:t>
      </w:r>
    </w:p>
    <w:p w14:paraId="0317198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interoperability may occur through alignment, not collapse.</w:t>
      </w:r>
    </w:p>
    <w:p w14:paraId="283B8EAA"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Q.13 Governance Token Boundary</w:t>
      </w:r>
    </w:p>
    <w:p w14:paraId="0FDCC6D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Token-mediated governance may exist only within defined domains.</w:t>
      </w:r>
    </w:p>
    <w:p w14:paraId="23C4B74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governance token may support:</w:t>
      </w:r>
    </w:p>
    <w:p w14:paraId="4CB7760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signaling;</w:t>
      </w:r>
    </w:p>
    <w:p w14:paraId="3537F1F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proposal prioritization;</w:t>
      </w:r>
    </w:p>
    <w:p w14:paraId="3E4966A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access to forums;</w:t>
      </w:r>
    </w:p>
    <w:p w14:paraId="20F3955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role nomination;</w:t>
      </w:r>
    </w:p>
    <w:p w14:paraId="3BB51CC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non-binding sentiment;</w:t>
      </w:r>
    </w:p>
    <w:p w14:paraId="2E1E910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bounded decision processes;</w:t>
      </w:r>
    </w:p>
    <w:p w14:paraId="65AFA2D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treasury or community processes within legal limits;</w:t>
      </w:r>
    </w:p>
    <w:p w14:paraId="1E0733B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contribution recognition where legally reviewed.</w:t>
      </w:r>
    </w:p>
    <w:p w14:paraId="155838B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governance token may not override:</w:t>
      </w:r>
    </w:p>
    <w:p w14:paraId="7483BB2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foundational articles;</w:t>
      </w:r>
    </w:p>
    <w:p w14:paraId="7CAF099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Eternity Clauses;</w:t>
      </w:r>
    </w:p>
    <w:p w14:paraId="620F40E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Access Covenant;</w:t>
      </w:r>
    </w:p>
    <w:p w14:paraId="7E3A3C3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human dignity;</w:t>
      </w:r>
    </w:p>
    <w:p w14:paraId="1B257A8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MRV methodology;</w:t>
      </w:r>
    </w:p>
    <w:p w14:paraId="07D95D0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PRU admissibility;</w:t>
      </w:r>
    </w:p>
    <w:p w14:paraId="38D3089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RAP eligibility;</w:t>
      </w:r>
    </w:p>
    <w:p w14:paraId="12FE9A4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requirements;</w:t>
      </w:r>
    </w:p>
    <w:p w14:paraId="4C703E9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HSI privacy and consent;</w:t>
      </w:r>
    </w:p>
    <w:p w14:paraId="091E5A0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constitutional interpretation;</w:t>
      </w:r>
    </w:p>
    <w:p w14:paraId="6C6FE42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1B91904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protected-domain review.</w:t>
      </w:r>
    </w:p>
    <w:p w14:paraId="3A59C0D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correct governance-token principle is:</w:t>
      </w:r>
    </w:p>
    <w:p w14:paraId="20482DB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governance may coordinate participation;</w:t>
      </w:r>
    </w:p>
    <w:p w14:paraId="0C0F442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constitutional governance preserves the source layer.</w:t>
      </w:r>
    </w:p>
    <w:p w14:paraId="1C544C3A" w14:textId="77777777" w:rsidR="00716126" w:rsidRPr="00B479AE" w:rsidRDefault="00716126" w:rsidP="002602C5">
      <w:pPr>
        <w:spacing w:line="360" w:lineRule="auto"/>
        <w:rPr>
          <w:rFonts w:ascii="Baskerville Old Face" w:hAnsi="Baskerville Old Face"/>
          <w:b/>
          <w:bCs/>
          <w:i/>
          <w:iCs/>
        </w:rPr>
      </w:pPr>
    </w:p>
    <w:p w14:paraId="40B6C1F2" w14:textId="11FFC5CF"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lastRenderedPageBreak/>
        <w:t>Q.14 Verification-Network Terminology</w:t>
      </w:r>
    </w:p>
    <w:p w14:paraId="3E3B2DB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should avoid casual reliance on the term oracle where it implies that truth is delivered automatically by a technical feed.</w:t>
      </w:r>
    </w:p>
    <w:p w14:paraId="13D93270" w14:textId="26959D7B"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stronger language is verification network, review network, evidence source, data provider, or methodology reviewer, depending on context.</w:t>
      </w:r>
      <w:r w:rsidR="00F93F8B">
        <w:rPr>
          <w:rFonts w:ascii="Baskerville Old Face" w:hAnsi="Baskerville Old Face"/>
          <w:i/>
          <w:iCs/>
        </w:rPr>
        <w:t xml:space="preserve"> </w:t>
      </w:r>
      <w:r w:rsidRPr="00B479AE">
        <w:rPr>
          <w:rFonts w:ascii="Baskerville Old Face" w:hAnsi="Baskerville Old Face"/>
          <w:i/>
          <w:iCs/>
        </w:rPr>
        <w:t>A verification network may include:</w:t>
      </w:r>
    </w:p>
    <w:p w14:paraId="0E70A62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field stewards;</w:t>
      </w:r>
    </w:p>
    <w:p w14:paraId="12A36AE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scientists;</w:t>
      </w:r>
    </w:p>
    <w:p w14:paraId="224A05D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auditors;</w:t>
      </w:r>
    </w:p>
    <w:p w14:paraId="0CCF4A6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laboratories;</w:t>
      </w:r>
    </w:p>
    <w:p w14:paraId="0766DCF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remote-sensing analysts;</w:t>
      </w:r>
    </w:p>
    <w:p w14:paraId="1038A1E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local ecological knowledge holders;</w:t>
      </w:r>
    </w:p>
    <w:p w14:paraId="67A7625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community observers;</w:t>
      </w:r>
    </w:p>
    <w:p w14:paraId="1B74C4D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methodology reviewers;</w:t>
      </w:r>
    </w:p>
    <w:p w14:paraId="69B0B4D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technical reviewers;</w:t>
      </w:r>
    </w:p>
    <w:p w14:paraId="3B16672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or reporting reviewers where necessary.</w:t>
      </w:r>
    </w:p>
    <w:p w14:paraId="6581501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network does not declare truth magically.</w:t>
      </w:r>
    </w:p>
    <w:p w14:paraId="2CE9556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reviews evidence.</w:t>
      </w:r>
    </w:p>
    <w:p w14:paraId="0E7EE16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validates methods.</w:t>
      </w:r>
    </w:p>
    <w:p w14:paraId="34993B9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assesses confidence.</w:t>
      </w:r>
    </w:p>
    <w:p w14:paraId="758F617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identifies uncertainty.</w:t>
      </w:r>
    </w:p>
    <w:p w14:paraId="189B4E7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supports admissibility.</w:t>
      </w:r>
    </w:p>
    <w:p w14:paraId="191D766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This language is scientifically and institutionally stronger.</w:t>
      </w:r>
    </w:p>
    <w:p w14:paraId="1A544B7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Prometheus does not need oracles.</w:t>
      </w:r>
    </w:p>
    <w:p w14:paraId="2EDF422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needs accountable verification.</w:t>
      </w:r>
    </w:p>
    <w:p w14:paraId="45FAE2E2"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Q.15 Token Penalty and Slashing Terminology</w:t>
      </w:r>
    </w:p>
    <w:p w14:paraId="44DEE1D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should avoid casual use of slashing, forfeiture, automatic token loss, or automatic economic penalties.</w:t>
      </w:r>
    </w:p>
    <w:p w14:paraId="358A40C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Such terms may be appropriate only where:</w:t>
      </w:r>
    </w:p>
    <w:p w14:paraId="13E500E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 legally structured staking mechanism exists;</w:t>
      </w:r>
    </w:p>
    <w:p w14:paraId="5361084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rights and risks are clearly disclosed;</w:t>
      </w:r>
    </w:p>
    <w:p w14:paraId="4C8805A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participants expressly agree;</w:t>
      </w:r>
    </w:p>
    <w:p w14:paraId="194EB54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jurisdictional review has occurred;</w:t>
      </w:r>
    </w:p>
    <w:p w14:paraId="7B8D798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due process or review pathway is defined;</w:t>
      </w:r>
    </w:p>
    <w:p w14:paraId="7D7BF8D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the technical system is implemented and audited;</w:t>
      </w:r>
    </w:p>
    <w:p w14:paraId="1807722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the consequence is proportionate;</w:t>
      </w:r>
    </w:p>
    <w:p w14:paraId="70B2443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appeal or dispute process exists where appropriate.</w:t>
      </w:r>
    </w:p>
    <w:p w14:paraId="01EFBED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In ordinary Prometheus governance, the preferred consequence vocabulary is:</w:t>
      </w:r>
    </w:p>
    <w:p w14:paraId="6579BF7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review-required;</w:t>
      </w:r>
    </w:p>
    <w:p w14:paraId="0AB3CF6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restricted;</w:t>
      </w:r>
    </w:p>
    <w:p w14:paraId="2F28FE6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suspended pending review;</w:t>
      </w:r>
    </w:p>
    <w:p w14:paraId="52B4C10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non-admissible;</w:t>
      </w:r>
    </w:p>
    <w:p w14:paraId="7B5D52C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quarantined;</w:t>
      </w:r>
    </w:p>
    <w:p w14:paraId="463D691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access-limited;</w:t>
      </w:r>
    </w:p>
    <w:p w14:paraId="3CF59E9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certification revoked;</w:t>
      </w:r>
    </w:p>
    <w:p w14:paraId="35D24E7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compatibility revoked;</w:t>
      </w:r>
    </w:p>
    <w:p w14:paraId="601900D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public correction required;</w:t>
      </w:r>
    </w:p>
    <w:p w14:paraId="3A435C7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legal escalation where necessary.</w:t>
      </w:r>
    </w:p>
    <w:p w14:paraId="453EA82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token consequence principle is:</w:t>
      </w:r>
    </w:p>
    <w:p w14:paraId="0FC4D99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economic penalties require legal structure;</w:t>
      </w:r>
    </w:p>
    <w:p w14:paraId="0DDC93B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governance consequences require due process;</w:t>
      </w:r>
    </w:p>
    <w:p w14:paraId="621C3BE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source-layer violations require canonical response.</w:t>
      </w:r>
    </w:p>
    <w:p w14:paraId="70331E5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No section, appendix, technical example, API specification, governance model, token model, or implementation note should imply automatic TRBK slashing, forfeiture, token loss, or economic penalty unless a separate legally reviewed instrument expressly creates such a mechanism, with disclosure, consent, due process, technical audit, and jurisdiction-specific compliance.</w:t>
      </w:r>
    </w:p>
    <w:p w14:paraId="74205230"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Q.16 AI and Token Systems</w:t>
      </w:r>
    </w:p>
    <w:p w14:paraId="16FDE01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AI or ASI systems may assist with token-risk review, classification, anomaly detection, compliance issue spotting, bridge-risk analysis, public-claim review, and registry consistency checks.</w:t>
      </w:r>
    </w:p>
    <w:p w14:paraId="2489C3E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AI may not autonomously:</w:t>
      </w:r>
    </w:p>
    <w:p w14:paraId="542DDCB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issue tokens;</w:t>
      </w:r>
    </w:p>
    <w:p w14:paraId="7E7A651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mint tokens;</w:t>
      </w:r>
    </w:p>
    <w:p w14:paraId="3884740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burn tokens;</w:t>
      </w:r>
    </w:p>
    <w:p w14:paraId="4C6305A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slash tokens;</w:t>
      </w:r>
    </w:p>
    <w:p w14:paraId="0DDBE55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modify token rights;</w:t>
      </w:r>
    </w:p>
    <w:p w14:paraId="47F99A5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certify token compatibility;</w:t>
      </w:r>
    </w:p>
    <w:p w14:paraId="4DA1BDE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approve token governance participation;</w:t>
      </w:r>
    </w:p>
    <w:p w14:paraId="50FE8A9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authorize PRU or RAP linkage;</w:t>
      </w:r>
    </w:p>
    <w:p w14:paraId="5018075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approve investor-facing token language;</w:t>
      </w:r>
    </w:p>
    <w:p w14:paraId="44DD924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classify a token as legally compliant;</w:t>
      </w:r>
    </w:p>
    <w:p w14:paraId="0342990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determine human eligibility through token data;</w:t>
      </w:r>
    </w:p>
    <w:p w14:paraId="2CF62B9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change registry status;</w:t>
      </w:r>
    </w:p>
    <w:p w14:paraId="7AF4001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create legal rights.</w:t>
      </w:r>
    </w:p>
    <w:p w14:paraId="7DB4BCA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AI-generated token analysis should be classified as:</w:t>
      </w:r>
    </w:p>
    <w:p w14:paraId="19B689B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draft;</w:t>
      </w:r>
    </w:p>
    <w:p w14:paraId="0ACE281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analysis;</w:t>
      </w:r>
    </w:p>
    <w:p w14:paraId="21E4E8C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risk flag;</w:t>
      </w:r>
    </w:p>
    <w:p w14:paraId="65C3D04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review-required;</w:t>
      </w:r>
    </w:p>
    <w:p w14:paraId="2419D21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non-admissible;</w:t>
      </w:r>
    </w:p>
    <w:p w14:paraId="0D9C9857"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recommendation.</w:t>
      </w:r>
    </w:p>
    <w:p w14:paraId="4B8D03F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Protected-domain token decisions require legal, governance, technical, MRV, token, and source-layer review.</w:t>
      </w:r>
    </w:p>
    <w:p w14:paraId="7BDEFE9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superintelligence may produce excellent analysis.</w:t>
      </w:r>
    </w:p>
    <w:p w14:paraId="34D8CB9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may not manufacture authorization.</w:t>
      </w:r>
    </w:p>
    <w:p w14:paraId="7C07C55C"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Q.17 Token Security and Custody</w:t>
      </w:r>
    </w:p>
    <w:p w14:paraId="512B424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Any token integration should consider:</w:t>
      </w:r>
    </w:p>
    <w:p w14:paraId="039A47F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key management;</w:t>
      </w:r>
    </w:p>
    <w:p w14:paraId="50C825C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custody model;</w:t>
      </w:r>
    </w:p>
    <w:p w14:paraId="295E029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multi-signature requirements;</w:t>
      </w:r>
    </w:p>
    <w:p w14:paraId="1696E0C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threshold signing;</w:t>
      </w:r>
    </w:p>
    <w:p w14:paraId="353B1946"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hardware security modules where appropriate;</w:t>
      </w:r>
    </w:p>
    <w:p w14:paraId="3745757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key rotation;</w:t>
      </w:r>
    </w:p>
    <w:p w14:paraId="7EB8F4D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compromised-key response;</w:t>
      </w:r>
    </w:p>
    <w:p w14:paraId="1895609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treasury controls;</w:t>
      </w:r>
    </w:p>
    <w:p w14:paraId="35A7C9E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smart contract audit;</w:t>
      </w:r>
    </w:p>
    <w:p w14:paraId="00F8F06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bridge audit;</w:t>
      </w:r>
    </w:p>
    <w:p w14:paraId="692C026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permissions;</w:t>
      </w:r>
    </w:p>
    <w:p w14:paraId="5863FDF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admin keys;</w:t>
      </w:r>
    </w:p>
    <w:p w14:paraId="0F137B1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emergency pause function;</w:t>
      </w:r>
    </w:p>
    <w:p w14:paraId="7965492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insider risk;</w:t>
      </w:r>
    </w:p>
    <w:p w14:paraId="3DB4B21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user protection;</w:t>
      </w:r>
    </w:p>
    <w:p w14:paraId="5821E51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incident response;</w:t>
      </w:r>
    </w:p>
    <w:p w14:paraId="275D918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insurance where available;</w:t>
      </w:r>
    </w:p>
    <w:p w14:paraId="4BA56F9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public disclosure of material risks.</w:t>
      </w:r>
    </w:p>
    <w:p w14:paraId="24B5E0F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systems often fail through operational control, not philosophy.</w:t>
      </w:r>
    </w:p>
    <w:p w14:paraId="70856FE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therefore treats custody and administration as governance-critical infrastructure.</w:t>
      </w:r>
    </w:p>
    <w:p w14:paraId="4A21CB07"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Q.18 Token Data Privacy</w:t>
      </w:r>
    </w:p>
    <w:p w14:paraId="1AD8FC1B" w14:textId="1B4E2AC1"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data may appear public, but interpretation of token data can still create privacy and profiling risks.</w:t>
      </w:r>
      <w:r w:rsidR="00F93F8B">
        <w:rPr>
          <w:rFonts w:ascii="Baskerville Old Face" w:hAnsi="Baskerville Old Face"/>
          <w:i/>
          <w:iCs/>
        </w:rPr>
        <w:t xml:space="preserve"> </w:t>
      </w:r>
      <w:r w:rsidRPr="00B479AE">
        <w:rPr>
          <w:rFonts w:ascii="Baskerville Old Face" w:hAnsi="Baskerville Old Face"/>
          <w:i/>
          <w:iCs/>
        </w:rPr>
        <w:t>Prometheus should avoid:</w:t>
      </w:r>
    </w:p>
    <w:p w14:paraId="114C512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behavioral profiling without consent;</w:t>
      </w:r>
    </w:p>
    <w:p w14:paraId="37D1371B"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wallet wealth as trust proxy;</w:t>
      </w:r>
    </w:p>
    <w:p w14:paraId="703BD1A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transaction history as moral rank;</w:t>
      </w:r>
    </w:p>
    <w:p w14:paraId="41E72BD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 automated access decisions based only on wallet data;</w:t>
      </w:r>
    </w:p>
    <w:p w14:paraId="5C89C33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doxxing;</w:t>
      </w:r>
    </w:p>
    <w:p w14:paraId="2C13660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unnecessary identity cross-linking;</w:t>
      </w:r>
    </w:p>
    <w:p w14:paraId="7F3E123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using token history to infer political, spiritual, medical, financial, behavioral, or personal attributes.</w:t>
      </w:r>
    </w:p>
    <w:p w14:paraId="2B7C684E" w14:textId="7A33DA04"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 data should be used with purpose limitation.</w:t>
      </w:r>
      <w:r w:rsidR="00F93F8B">
        <w:rPr>
          <w:rFonts w:ascii="Baskerville Old Face" w:hAnsi="Baskerville Old Face"/>
          <w:i/>
          <w:iCs/>
        </w:rPr>
        <w:t xml:space="preserve"> </w:t>
      </w:r>
      <w:r w:rsidRPr="00B479AE">
        <w:rPr>
          <w:rFonts w:ascii="Baskerville Old Face" w:hAnsi="Baskerville Old Face"/>
          <w:i/>
          <w:iCs/>
        </w:rPr>
        <w:t>Wallets are not souls with addresses.</w:t>
      </w:r>
    </w:p>
    <w:p w14:paraId="5EBA4237"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Q.19 Future Token Integration Pathway</w:t>
      </w:r>
    </w:p>
    <w:p w14:paraId="2A8B159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future token integration should follow a controlled sequence.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1"/>
        <w:gridCol w:w="1776"/>
        <w:gridCol w:w="7441"/>
      </w:tblGrid>
      <w:tr w:rsidR="002602C5" w:rsidRPr="00F93F8B" w14:paraId="6EB36997" w14:textId="77777777" w:rsidTr="002602C5">
        <w:trPr>
          <w:tblHeader/>
          <w:tblCellSpacing w:w="15" w:type="dxa"/>
        </w:trPr>
        <w:tc>
          <w:tcPr>
            <w:tcW w:w="0" w:type="auto"/>
            <w:vAlign w:val="center"/>
            <w:hideMark/>
          </w:tcPr>
          <w:p w14:paraId="34C7307F" w14:textId="77777777" w:rsidR="002602C5" w:rsidRPr="00F93F8B" w:rsidRDefault="002602C5" w:rsidP="002602C5">
            <w:pPr>
              <w:spacing w:line="360" w:lineRule="auto"/>
              <w:rPr>
                <w:rFonts w:ascii="Baskerville Old Face" w:hAnsi="Baskerville Old Face"/>
                <w:b/>
                <w:bCs/>
                <w:i/>
                <w:iCs/>
                <w:sz w:val="18"/>
                <w:szCs w:val="18"/>
              </w:rPr>
            </w:pPr>
            <w:r w:rsidRPr="00F93F8B">
              <w:rPr>
                <w:rFonts w:ascii="Baskerville Old Face" w:hAnsi="Baskerville Old Face"/>
                <w:b/>
                <w:bCs/>
                <w:i/>
                <w:iCs/>
                <w:sz w:val="18"/>
                <w:szCs w:val="18"/>
              </w:rPr>
              <w:t>Step</w:t>
            </w:r>
          </w:p>
        </w:tc>
        <w:tc>
          <w:tcPr>
            <w:tcW w:w="0" w:type="auto"/>
            <w:vAlign w:val="center"/>
            <w:hideMark/>
          </w:tcPr>
          <w:p w14:paraId="589C434A" w14:textId="77777777" w:rsidR="002602C5" w:rsidRPr="00F93F8B" w:rsidRDefault="002602C5" w:rsidP="002602C5">
            <w:pPr>
              <w:spacing w:line="360" w:lineRule="auto"/>
              <w:rPr>
                <w:rFonts w:ascii="Baskerville Old Face" w:hAnsi="Baskerville Old Face"/>
                <w:b/>
                <w:bCs/>
                <w:i/>
                <w:iCs/>
                <w:sz w:val="18"/>
                <w:szCs w:val="18"/>
              </w:rPr>
            </w:pPr>
            <w:r w:rsidRPr="00F93F8B">
              <w:rPr>
                <w:rFonts w:ascii="Baskerville Old Face" w:hAnsi="Baskerville Old Face"/>
                <w:b/>
                <w:bCs/>
                <w:i/>
                <w:iCs/>
                <w:sz w:val="18"/>
                <w:szCs w:val="18"/>
              </w:rPr>
              <w:t>Action</w:t>
            </w:r>
          </w:p>
        </w:tc>
        <w:tc>
          <w:tcPr>
            <w:tcW w:w="0" w:type="auto"/>
            <w:vAlign w:val="center"/>
            <w:hideMark/>
          </w:tcPr>
          <w:p w14:paraId="7DCE4ED6" w14:textId="77777777" w:rsidR="002602C5" w:rsidRPr="00F93F8B" w:rsidRDefault="002602C5" w:rsidP="002602C5">
            <w:pPr>
              <w:spacing w:line="360" w:lineRule="auto"/>
              <w:rPr>
                <w:rFonts w:ascii="Baskerville Old Face" w:hAnsi="Baskerville Old Face"/>
                <w:b/>
                <w:bCs/>
                <w:i/>
                <w:iCs/>
                <w:sz w:val="18"/>
                <w:szCs w:val="18"/>
              </w:rPr>
            </w:pPr>
            <w:r w:rsidRPr="00F93F8B">
              <w:rPr>
                <w:rFonts w:ascii="Baskerville Old Face" w:hAnsi="Baskerville Old Face"/>
                <w:b/>
                <w:bCs/>
                <w:i/>
                <w:iCs/>
                <w:sz w:val="18"/>
                <w:szCs w:val="18"/>
              </w:rPr>
              <w:t>Purpose</w:t>
            </w:r>
          </w:p>
        </w:tc>
      </w:tr>
      <w:tr w:rsidR="002602C5" w:rsidRPr="00F93F8B" w14:paraId="5A46A56C" w14:textId="77777777" w:rsidTr="002602C5">
        <w:trPr>
          <w:tblCellSpacing w:w="15" w:type="dxa"/>
        </w:trPr>
        <w:tc>
          <w:tcPr>
            <w:tcW w:w="0" w:type="auto"/>
            <w:vAlign w:val="center"/>
            <w:hideMark/>
          </w:tcPr>
          <w:p w14:paraId="73E6BDD0"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1</w:t>
            </w:r>
          </w:p>
        </w:tc>
        <w:tc>
          <w:tcPr>
            <w:tcW w:w="0" w:type="auto"/>
            <w:vAlign w:val="center"/>
            <w:hideMark/>
          </w:tcPr>
          <w:p w14:paraId="760CCD6B"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Intake</w:t>
            </w:r>
          </w:p>
        </w:tc>
        <w:tc>
          <w:tcPr>
            <w:tcW w:w="0" w:type="auto"/>
            <w:vAlign w:val="center"/>
            <w:hideMark/>
          </w:tcPr>
          <w:p w14:paraId="6431819F"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Token project or proposed integration is described</w:t>
            </w:r>
          </w:p>
        </w:tc>
      </w:tr>
      <w:tr w:rsidR="002602C5" w:rsidRPr="00F93F8B" w14:paraId="0ADC9AAE" w14:textId="77777777" w:rsidTr="002602C5">
        <w:trPr>
          <w:tblCellSpacing w:w="15" w:type="dxa"/>
        </w:trPr>
        <w:tc>
          <w:tcPr>
            <w:tcW w:w="0" w:type="auto"/>
            <w:vAlign w:val="center"/>
            <w:hideMark/>
          </w:tcPr>
          <w:p w14:paraId="63451951"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2</w:t>
            </w:r>
          </w:p>
        </w:tc>
        <w:tc>
          <w:tcPr>
            <w:tcW w:w="0" w:type="auto"/>
            <w:vAlign w:val="center"/>
            <w:hideMark/>
          </w:tcPr>
          <w:p w14:paraId="6CE926A5"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Classification</w:t>
            </w:r>
          </w:p>
        </w:tc>
        <w:tc>
          <w:tcPr>
            <w:tcW w:w="0" w:type="auto"/>
            <w:vAlign w:val="center"/>
            <w:hideMark/>
          </w:tcPr>
          <w:p w14:paraId="477C6933"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Token function, rights, claims, and status are classified</w:t>
            </w:r>
          </w:p>
        </w:tc>
      </w:tr>
      <w:tr w:rsidR="002602C5" w:rsidRPr="00F93F8B" w14:paraId="2E0EE9A4" w14:textId="77777777" w:rsidTr="002602C5">
        <w:trPr>
          <w:tblCellSpacing w:w="15" w:type="dxa"/>
        </w:trPr>
        <w:tc>
          <w:tcPr>
            <w:tcW w:w="0" w:type="auto"/>
            <w:vAlign w:val="center"/>
            <w:hideMark/>
          </w:tcPr>
          <w:p w14:paraId="4C26ADD2"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3</w:t>
            </w:r>
          </w:p>
        </w:tc>
        <w:tc>
          <w:tcPr>
            <w:tcW w:w="0" w:type="auto"/>
            <w:vAlign w:val="center"/>
            <w:hideMark/>
          </w:tcPr>
          <w:p w14:paraId="02E73C5E"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Source-layer check</w:t>
            </w:r>
          </w:p>
        </w:tc>
        <w:tc>
          <w:tcPr>
            <w:tcW w:w="0" w:type="auto"/>
            <w:vAlign w:val="center"/>
            <w:hideMark/>
          </w:tcPr>
          <w:p w14:paraId="7C0384E9"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Compatibility with foundational articles, Eternity Clauses, Access Covenant, and canonical glossary is assessed</w:t>
            </w:r>
          </w:p>
        </w:tc>
      </w:tr>
      <w:tr w:rsidR="002602C5" w:rsidRPr="00F93F8B" w14:paraId="04BEE03F" w14:textId="77777777" w:rsidTr="002602C5">
        <w:trPr>
          <w:tblCellSpacing w:w="15" w:type="dxa"/>
        </w:trPr>
        <w:tc>
          <w:tcPr>
            <w:tcW w:w="0" w:type="auto"/>
            <w:vAlign w:val="center"/>
            <w:hideMark/>
          </w:tcPr>
          <w:p w14:paraId="0D2600E3"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4</w:t>
            </w:r>
          </w:p>
        </w:tc>
        <w:tc>
          <w:tcPr>
            <w:tcW w:w="0" w:type="auto"/>
            <w:vAlign w:val="center"/>
            <w:hideMark/>
          </w:tcPr>
          <w:p w14:paraId="05FCC2CF"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Legal review</w:t>
            </w:r>
          </w:p>
        </w:tc>
        <w:tc>
          <w:tcPr>
            <w:tcW w:w="0" w:type="auto"/>
            <w:vAlign w:val="center"/>
            <w:hideMark/>
          </w:tcPr>
          <w:p w14:paraId="4CCA3778"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Jurisdictional, securities, tax, consumer, data, AML/KYC, sanctions, and contractual implications are reviewed where relevant</w:t>
            </w:r>
          </w:p>
        </w:tc>
      </w:tr>
      <w:tr w:rsidR="002602C5" w:rsidRPr="00F93F8B" w14:paraId="69EAA52D" w14:textId="77777777" w:rsidTr="002602C5">
        <w:trPr>
          <w:tblCellSpacing w:w="15" w:type="dxa"/>
        </w:trPr>
        <w:tc>
          <w:tcPr>
            <w:tcW w:w="0" w:type="auto"/>
            <w:vAlign w:val="center"/>
            <w:hideMark/>
          </w:tcPr>
          <w:p w14:paraId="29AD88B6"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5</w:t>
            </w:r>
          </w:p>
        </w:tc>
        <w:tc>
          <w:tcPr>
            <w:tcW w:w="0" w:type="auto"/>
            <w:vAlign w:val="center"/>
            <w:hideMark/>
          </w:tcPr>
          <w:p w14:paraId="01626DF6"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Technical review</w:t>
            </w:r>
          </w:p>
        </w:tc>
        <w:tc>
          <w:tcPr>
            <w:tcW w:w="0" w:type="auto"/>
            <w:vAlign w:val="center"/>
            <w:hideMark/>
          </w:tcPr>
          <w:p w14:paraId="3821208D"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Infrastructure, bridge, custody, security, and implementation risks are reviewed</w:t>
            </w:r>
          </w:p>
        </w:tc>
      </w:tr>
      <w:tr w:rsidR="002602C5" w:rsidRPr="00F93F8B" w14:paraId="5EADD899" w14:textId="77777777" w:rsidTr="002602C5">
        <w:trPr>
          <w:tblCellSpacing w:w="15" w:type="dxa"/>
        </w:trPr>
        <w:tc>
          <w:tcPr>
            <w:tcW w:w="0" w:type="auto"/>
            <w:vAlign w:val="center"/>
            <w:hideMark/>
          </w:tcPr>
          <w:p w14:paraId="69CFA07D"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6</w:t>
            </w:r>
          </w:p>
        </w:tc>
        <w:tc>
          <w:tcPr>
            <w:tcW w:w="0" w:type="auto"/>
            <w:vAlign w:val="center"/>
            <w:hideMark/>
          </w:tcPr>
          <w:p w14:paraId="5D4CBFE3"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MRV / PRU / RAP review</w:t>
            </w:r>
          </w:p>
        </w:tc>
        <w:tc>
          <w:tcPr>
            <w:tcW w:w="0" w:type="auto"/>
            <w:vAlign w:val="center"/>
            <w:hideMark/>
          </w:tcPr>
          <w:p w14:paraId="646A578E"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Any ecological, PRU, RAP, or impact claims are assessed</w:t>
            </w:r>
          </w:p>
        </w:tc>
      </w:tr>
      <w:tr w:rsidR="002602C5" w:rsidRPr="00F93F8B" w14:paraId="0B57516F" w14:textId="77777777" w:rsidTr="002602C5">
        <w:trPr>
          <w:tblCellSpacing w:w="15" w:type="dxa"/>
        </w:trPr>
        <w:tc>
          <w:tcPr>
            <w:tcW w:w="0" w:type="auto"/>
            <w:vAlign w:val="center"/>
            <w:hideMark/>
          </w:tcPr>
          <w:p w14:paraId="4E5B42A4"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7</w:t>
            </w:r>
          </w:p>
        </w:tc>
        <w:tc>
          <w:tcPr>
            <w:tcW w:w="0" w:type="auto"/>
            <w:vAlign w:val="center"/>
            <w:hideMark/>
          </w:tcPr>
          <w:p w14:paraId="1E187E59"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Governance review</w:t>
            </w:r>
          </w:p>
        </w:tc>
        <w:tc>
          <w:tcPr>
            <w:tcW w:w="0" w:type="auto"/>
            <w:vAlign w:val="center"/>
            <w:hideMark/>
          </w:tcPr>
          <w:p w14:paraId="2CB3DDF9"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Governance implications and anti-capture risks are assessed</w:t>
            </w:r>
          </w:p>
        </w:tc>
      </w:tr>
      <w:tr w:rsidR="002602C5" w:rsidRPr="00F93F8B" w14:paraId="0DA0C0F6" w14:textId="77777777" w:rsidTr="002602C5">
        <w:trPr>
          <w:tblCellSpacing w:w="15" w:type="dxa"/>
        </w:trPr>
        <w:tc>
          <w:tcPr>
            <w:tcW w:w="0" w:type="auto"/>
            <w:vAlign w:val="center"/>
            <w:hideMark/>
          </w:tcPr>
          <w:p w14:paraId="2FDBB6BD"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8</w:t>
            </w:r>
          </w:p>
        </w:tc>
        <w:tc>
          <w:tcPr>
            <w:tcW w:w="0" w:type="auto"/>
            <w:vAlign w:val="center"/>
            <w:hideMark/>
          </w:tcPr>
          <w:p w14:paraId="1AFE38F8"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Disclosure drafting</w:t>
            </w:r>
          </w:p>
        </w:tc>
        <w:tc>
          <w:tcPr>
            <w:tcW w:w="0" w:type="auto"/>
            <w:vAlign w:val="center"/>
            <w:hideMark/>
          </w:tcPr>
          <w:p w14:paraId="25DC4070"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Public language, limitations, and risks are drafted</w:t>
            </w:r>
          </w:p>
        </w:tc>
      </w:tr>
      <w:tr w:rsidR="002602C5" w:rsidRPr="00F93F8B" w14:paraId="1EBB8A8D" w14:textId="77777777" w:rsidTr="002602C5">
        <w:trPr>
          <w:tblCellSpacing w:w="15" w:type="dxa"/>
        </w:trPr>
        <w:tc>
          <w:tcPr>
            <w:tcW w:w="0" w:type="auto"/>
            <w:vAlign w:val="center"/>
            <w:hideMark/>
          </w:tcPr>
          <w:p w14:paraId="6B1760A7"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9</w:t>
            </w:r>
          </w:p>
        </w:tc>
        <w:tc>
          <w:tcPr>
            <w:tcW w:w="0" w:type="auto"/>
            <w:vAlign w:val="center"/>
            <w:hideMark/>
          </w:tcPr>
          <w:p w14:paraId="7AE3C4D9"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Sandbox</w:t>
            </w:r>
          </w:p>
        </w:tc>
        <w:tc>
          <w:tcPr>
            <w:tcW w:w="0" w:type="auto"/>
            <w:vAlign w:val="center"/>
            <w:hideMark/>
          </w:tcPr>
          <w:p w14:paraId="0F03C57A"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Integration is tested in limited, non-sensitive scope</w:t>
            </w:r>
          </w:p>
        </w:tc>
      </w:tr>
      <w:tr w:rsidR="002602C5" w:rsidRPr="00F93F8B" w14:paraId="05BF182E" w14:textId="77777777" w:rsidTr="002602C5">
        <w:trPr>
          <w:tblCellSpacing w:w="15" w:type="dxa"/>
        </w:trPr>
        <w:tc>
          <w:tcPr>
            <w:tcW w:w="0" w:type="auto"/>
            <w:vAlign w:val="center"/>
            <w:hideMark/>
          </w:tcPr>
          <w:p w14:paraId="1BBF03AA"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10</w:t>
            </w:r>
          </w:p>
        </w:tc>
        <w:tc>
          <w:tcPr>
            <w:tcW w:w="0" w:type="auto"/>
            <w:vAlign w:val="center"/>
            <w:hideMark/>
          </w:tcPr>
          <w:p w14:paraId="09FC4C54"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Decision</w:t>
            </w:r>
          </w:p>
        </w:tc>
        <w:tc>
          <w:tcPr>
            <w:tcW w:w="0" w:type="auto"/>
            <w:vAlign w:val="center"/>
            <w:hideMark/>
          </w:tcPr>
          <w:p w14:paraId="2F08F581"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Status is assigned, limited, operational, rejected, non-admissible, quarantined, or review-required</w:t>
            </w:r>
          </w:p>
        </w:tc>
      </w:tr>
      <w:tr w:rsidR="002602C5" w:rsidRPr="00F93F8B" w14:paraId="4CD382C9" w14:textId="77777777" w:rsidTr="002602C5">
        <w:trPr>
          <w:tblCellSpacing w:w="15" w:type="dxa"/>
        </w:trPr>
        <w:tc>
          <w:tcPr>
            <w:tcW w:w="0" w:type="auto"/>
            <w:vAlign w:val="center"/>
            <w:hideMark/>
          </w:tcPr>
          <w:p w14:paraId="0F0F46AD"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11</w:t>
            </w:r>
          </w:p>
        </w:tc>
        <w:tc>
          <w:tcPr>
            <w:tcW w:w="0" w:type="auto"/>
            <w:vAlign w:val="center"/>
            <w:hideMark/>
          </w:tcPr>
          <w:p w14:paraId="58170388"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Registry entry</w:t>
            </w:r>
          </w:p>
        </w:tc>
        <w:tc>
          <w:tcPr>
            <w:tcW w:w="0" w:type="auto"/>
            <w:vAlign w:val="center"/>
            <w:hideMark/>
          </w:tcPr>
          <w:p w14:paraId="05EF6A73"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Token status is published or recorded where appropriate</w:t>
            </w:r>
          </w:p>
        </w:tc>
      </w:tr>
      <w:tr w:rsidR="002602C5" w:rsidRPr="00F93F8B" w14:paraId="5B29C81C" w14:textId="77777777" w:rsidTr="002602C5">
        <w:trPr>
          <w:tblCellSpacing w:w="15" w:type="dxa"/>
        </w:trPr>
        <w:tc>
          <w:tcPr>
            <w:tcW w:w="0" w:type="auto"/>
            <w:vAlign w:val="center"/>
            <w:hideMark/>
          </w:tcPr>
          <w:p w14:paraId="694D3E05"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12</w:t>
            </w:r>
          </w:p>
        </w:tc>
        <w:tc>
          <w:tcPr>
            <w:tcW w:w="0" w:type="auto"/>
            <w:vAlign w:val="center"/>
            <w:hideMark/>
          </w:tcPr>
          <w:p w14:paraId="53514053"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Monitoring</w:t>
            </w:r>
          </w:p>
        </w:tc>
        <w:tc>
          <w:tcPr>
            <w:tcW w:w="0" w:type="auto"/>
            <w:vAlign w:val="center"/>
            <w:hideMark/>
          </w:tcPr>
          <w:p w14:paraId="6F1D8951" w14:textId="77777777" w:rsidR="002602C5" w:rsidRPr="00F93F8B" w:rsidRDefault="002602C5" w:rsidP="002602C5">
            <w:pPr>
              <w:spacing w:line="360" w:lineRule="auto"/>
              <w:rPr>
                <w:rFonts w:ascii="Baskerville Old Face" w:hAnsi="Baskerville Old Face"/>
                <w:i/>
                <w:iCs/>
                <w:sz w:val="18"/>
                <w:szCs w:val="18"/>
              </w:rPr>
            </w:pPr>
            <w:r w:rsidRPr="00F93F8B">
              <w:rPr>
                <w:rFonts w:ascii="Baskerville Old Face" w:hAnsi="Baskerville Old Face"/>
                <w:i/>
                <w:iCs/>
                <w:sz w:val="18"/>
                <w:szCs w:val="18"/>
              </w:rPr>
              <w:t>Integration is reviewed periodically</w:t>
            </w:r>
          </w:p>
        </w:tc>
      </w:tr>
    </w:tbl>
    <w:p w14:paraId="6CEEB25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This pathway preserves innovation without letting token complexity outrun constitutional clarity.</w:t>
      </w:r>
    </w:p>
    <w:p w14:paraId="1C3D6B9C"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lastRenderedPageBreak/>
        <w:t>Q.20 Minimal Token Integration Registry Schema</w:t>
      </w:r>
    </w:p>
    <w:p w14:paraId="7B5600A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 Token Integration Registry entry may include the following illustrative structure:</w:t>
      </w:r>
    </w:p>
    <w:p w14:paraId="2D633333" w14:textId="77777777" w:rsidR="002602C5" w:rsidRPr="00B479AE" w:rsidRDefault="002602C5" w:rsidP="002602C5">
      <w:pPr>
        <w:spacing w:line="360" w:lineRule="auto"/>
        <w:rPr>
          <w:rFonts w:ascii="Baskerville Old Face" w:hAnsi="Baskerville Old Face"/>
          <w:i/>
          <w:iCs/>
        </w:rPr>
      </w:pPr>
      <w:proofErr w:type="spellStart"/>
      <w:r w:rsidRPr="00B479AE">
        <w:rPr>
          <w:rFonts w:ascii="Baskerville Old Face" w:hAnsi="Baskerville Old Face"/>
          <w:i/>
          <w:iCs/>
        </w:rPr>
        <w:t>json</w:t>
      </w:r>
      <w:proofErr w:type="spellEnd"/>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token_id</w:t>
      </w:r>
      <w:proofErr w:type="spellEnd"/>
      <w:r w:rsidRPr="00B479AE">
        <w:rPr>
          <w:rFonts w:ascii="Baskerville Old Face" w:hAnsi="Baskerville Old Face"/>
          <w:i/>
          <w:iCs/>
        </w:rPr>
        <w:t>": "token_registry_entry_0001",</w:t>
      </w:r>
      <w:r w:rsidRPr="00B479AE">
        <w:rPr>
          <w:rFonts w:ascii="Baskerville Old Face" w:hAnsi="Baskerville Old Face"/>
          <w:i/>
          <w:iCs/>
        </w:rPr>
        <w:br/>
        <w:t>"name": "Token Name",</w:t>
      </w:r>
      <w:r w:rsidRPr="00B479AE">
        <w:rPr>
          <w:rFonts w:ascii="Baskerville Old Face" w:hAnsi="Baskerville Old Face"/>
          <w:i/>
          <w:iCs/>
        </w:rPr>
        <w:br/>
        <w:t>"symbol": "TKN",</w:t>
      </w:r>
      <w:r w:rsidRPr="00B479AE">
        <w:rPr>
          <w:rFonts w:ascii="Baskerville Old Face" w:hAnsi="Baskerville Old Face"/>
          <w:i/>
          <w:iCs/>
        </w:rPr>
        <w:br/>
        <w:t>"</w:t>
      </w:r>
      <w:proofErr w:type="spellStart"/>
      <w:r w:rsidRPr="00B479AE">
        <w:rPr>
          <w:rFonts w:ascii="Baskerville Old Face" w:hAnsi="Baskerville Old Face"/>
          <w:i/>
          <w:iCs/>
        </w:rPr>
        <w:t>issuer_or_controller</w:t>
      </w:r>
      <w:proofErr w:type="spellEnd"/>
      <w:r w:rsidRPr="00B479AE">
        <w:rPr>
          <w:rFonts w:ascii="Baskerville Old Face" w:hAnsi="Baskerville Old Face"/>
          <w:i/>
          <w:iCs/>
        </w:rPr>
        <w:t>": "</w:t>
      </w:r>
      <w:proofErr w:type="spellStart"/>
      <w:r w:rsidRPr="00B479AE">
        <w:rPr>
          <w:rFonts w:ascii="Baskerville Old Face" w:hAnsi="Baskerville Old Face"/>
          <w:i/>
          <w:iCs/>
        </w:rPr>
        <w:t>entity_or_protocol_reference</w:t>
      </w:r>
      <w:proofErr w:type="spellEnd"/>
      <w:r w:rsidRPr="00B479AE">
        <w:rPr>
          <w:rFonts w:ascii="Baskerville Old Face" w:hAnsi="Baskerville Old Face"/>
          <w:i/>
          <w:iCs/>
        </w:rPr>
        <w:t>",</w:t>
      </w:r>
      <w:r w:rsidRPr="00B479AE">
        <w:rPr>
          <w:rFonts w:ascii="Baskerville Old Face" w:hAnsi="Baskerville Old Face"/>
          <w:i/>
          <w:iCs/>
        </w:rPr>
        <w:br/>
        <w:t>"network": "</w:t>
      </w:r>
      <w:proofErr w:type="spellStart"/>
      <w:r w:rsidRPr="00B479AE">
        <w:rPr>
          <w:rFonts w:ascii="Baskerville Old Face" w:hAnsi="Baskerville Old Face"/>
          <w:i/>
          <w:iCs/>
        </w:rPr>
        <w:t>network_or_infrastructure_reference</w:t>
      </w:r>
      <w:proofErr w:type="spellEnd"/>
      <w:r w:rsidRPr="00B479AE">
        <w:rPr>
          <w:rFonts w:ascii="Baskerville Old Face" w:hAnsi="Baskerville Old Face"/>
          <w:i/>
          <w:iCs/>
        </w:rPr>
        <w:t>",</w:t>
      </w:r>
      <w:r w:rsidRPr="00B479AE">
        <w:rPr>
          <w:rFonts w:ascii="Baskerville Old Face" w:hAnsi="Baskerville Old Face"/>
          <w:i/>
          <w:iCs/>
        </w:rPr>
        <w:br/>
        <w:t>"classification": "utility | governance | contribution | settlement | security | credential | other",</w:t>
      </w:r>
      <w:r w:rsidRPr="00B479AE">
        <w:rPr>
          <w:rFonts w:ascii="Baskerville Old Face" w:hAnsi="Baskerville Old Face"/>
          <w:i/>
          <w:iCs/>
        </w:rPr>
        <w:br/>
        <w:t>"</w:t>
      </w:r>
      <w:proofErr w:type="spellStart"/>
      <w:r w:rsidRPr="00B479AE">
        <w:rPr>
          <w:rFonts w:ascii="Baskerville Old Face" w:hAnsi="Baskerville Old Face"/>
          <w:i/>
          <w:iCs/>
        </w:rPr>
        <w:t>prometheus_status</w:t>
      </w:r>
      <w:proofErr w:type="spellEnd"/>
      <w:r w:rsidRPr="00B479AE">
        <w:rPr>
          <w:rFonts w:ascii="Baskerville Old Face" w:hAnsi="Baskerville Old Face"/>
          <w:i/>
          <w:iCs/>
        </w:rPr>
        <w:t xml:space="preserve">": "observed | </w:t>
      </w:r>
      <w:proofErr w:type="spellStart"/>
      <w:r w:rsidRPr="00B479AE">
        <w:rPr>
          <w:rFonts w:ascii="Baskerville Old Face" w:hAnsi="Baskerville Old Face"/>
          <w:i/>
          <w:iCs/>
        </w:rPr>
        <w:t>research_sandbox</w:t>
      </w:r>
      <w:proofErr w:type="spellEnd"/>
      <w:r w:rsidRPr="00B479AE">
        <w:rPr>
          <w:rFonts w:ascii="Baskerville Old Face" w:hAnsi="Baskerville Old Face"/>
          <w:i/>
          <w:iCs/>
        </w:rPr>
        <w:t xml:space="preserve"> | limited | operational | </w:t>
      </w:r>
      <w:proofErr w:type="spellStart"/>
      <w:r w:rsidRPr="00B479AE">
        <w:rPr>
          <w:rFonts w:ascii="Baskerville Old Face" w:hAnsi="Baskerville Old Face"/>
          <w:i/>
          <w:iCs/>
        </w:rPr>
        <w:t>review_required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non_admissible</w:t>
      </w:r>
      <w:proofErr w:type="spellEnd"/>
      <w:r w:rsidRPr="00B479AE">
        <w:rPr>
          <w:rFonts w:ascii="Baskerville Old Face" w:hAnsi="Baskerville Old Face"/>
          <w:i/>
          <w:iCs/>
        </w:rPr>
        <w:t xml:space="preserve"> | quarantined | revoked",</w:t>
      </w:r>
      <w:r w:rsidRPr="00B479AE">
        <w:rPr>
          <w:rFonts w:ascii="Baskerville Old Face" w:hAnsi="Baskerville Old Face"/>
          <w:i/>
          <w:iCs/>
        </w:rPr>
        <w:br/>
        <w:t>"</w:t>
      </w:r>
      <w:proofErr w:type="spellStart"/>
      <w:r w:rsidRPr="00B479AE">
        <w:rPr>
          <w:rFonts w:ascii="Baskerville Old Face" w:hAnsi="Baskerville Old Face"/>
          <w:i/>
          <w:iCs/>
        </w:rPr>
        <w:t>approved_uses</w:t>
      </w:r>
      <w:proofErr w:type="spellEnd"/>
      <w:r w:rsidRPr="00B479AE">
        <w:rPr>
          <w:rFonts w:ascii="Baskerville Old Face" w:hAnsi="Baskerville Old Face"/>
          <w:i/>
          <w:iCs/>
        </w:rPr>
        <w:t>": [</w:t>
      </w:r>
      <w:r w:rsidRPr="00B479AE">
        <w:rPr>
          <w:rFonts w:ascii="Baskerville Old Face" w:hAnsi="Baskerville Old Face"/>
          <w:i/>
          <w:iCs/>
        </w:rPr>
        <w:br/>
        <w:t>"defined_use_1"</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prohibited_uses</w:t>
      </w:r>
      <w:proofErr w:type="spellEnd"/>
      <w:r w:rsidRPr="00B479AE">
        <w:rPr>
          <w:rFonts w:ascii="Baskerville Old Face" w:hAnsi="Baskerville Old Face"/>
          <w:i/>
          <w:iCs/>
        </w:rPr>
        <w:t>": [</w:t>
      </w:r>
      <w:r w:rsidRPr="00B479AE">
        <w:rPr>
          <w:rFonts w:ascii="Baskerville Old Face" w:hAnsi="Baskerville Old Face"/>
          <w:i/>
          <w:iCs/>
        </w:rPr>
        <w:br/>
        <w:t>"PRU value claim without admissibility",</w:t>
      </w:r>
      <w:r w:rsidRPr="00B479AE">
        <w:rPr>
          <w:rFonts w:ascii="Baskerville Old Face" w:hAnsi="Baskerville Old Face"/>
          <w:i/>
          <w:iCs/>
        </w:rPr>
        <w:br/>
        <w:t>"investor rights without legal wrapper"</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legal_review</w:t>
      </w:r>
      <w:proofErr w:type="spellEnd"/>
      <w:r w:rsidRPr="00B479AE">
        <w:rPr>
          <w:rFonts w:ascii="Baskerville Old Face" w:hAnsi="Baskerville Old Face"/>
          <w:i/>
          <w:iCs/>
        </w:rPr>
        <w:t>": {</w:t>
      </w:r>
      <w:r w:rsidRPr="00B479AE">
        <w:rPr>
          <w:rFonts w:ascii="Baskerville Old Face" w:hAnsi="Baskerville Old Face"/>
          <w:i/>
          <w:iCs/>
        </w:rPr>
        <w:br/>
        <w:t>"status": "</w:t>
      </w:r>
      <w:proofErr w:type="spellStart"/>
      <w:r w:rsidRPr="00B479AE">
        <w:rPr>
          <w:rFonts w:ascii="Baskerville Old Face" w:hAnsi="Baskerville Old Face"/>
          <w:i/>
          <w:iCs/>
        </w:rPr>
        <w:t>not_started</w:t>
      </w:r>
      <w:proofErr w:type="spellEnd"/>
      <w:r w:rsidRPr="00B479AE">
        <w:rPr>
          <w:rFonts w:ascii="Baskerville Old Face" w:hAnsi="Baskerville Old Face"/>
          <w:i/>
          <w:iCs/>
        </w:rPr>
        <w:t xml:space="preserve"> | pending | completed | </w:t>
      </w:r>
      <w:proofErr w:type="spellStart"/>
      <w:r w:rsidRPr="00B479AE">
        <w:rPr>
          <w:rFonts w:ascii="Baskerville Old Face" w:hAnsi="Baskerville Old Face"/>
          <w:i/>
          <w:iCs/>
        </w:rPr>
        <w:t>jurisdiction_specific</w:t>
      </w:r>
      <w:proofErr w:type="spellEnd"/>
      <w:r w:rsidRPr="00B479AE">
        <w:rPr>
          <w:rFonts w:ascii="Baskerville Old Face" w:hAnsi="Baskerville Old Face"/>
          <w:i/>
          <w:iCs/>
        </w:rPr>
        <w:t>",</w:t>
      </w:r>
      <w:r w:rsidRPr="00B479AE">
        <w:rPr>
          <w:rFonts w:ascii="Baskerville Old Face" w:hAnsi="Baskerville Old Face"/>
          <w:i/>
          <w:iCs/>
        </w:rPr>
        <w:br/>
        <w:t>"jurisdictions": []</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mrv_pru_rap_relationship</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may_reference_mrv</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may_reference_pru</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may_reference_rap</w:t>
      </w:r>
      <w:proofErr w:type="spellEnd"/>
      <w:r w:rsidRPr="00B479AE">
        <w:rPr>
          <w:rFonts w:ascii="Baskerville Old Face" w:hAnsi="Baskerville Old Face"/>
          <w:i/>
          <w:iCs/>
        </w:rPr>
        <w:t>": false,</w:t>
      </w:r>
      <w:r w:rsidRPr="00B479AE">
        <w:rPr>
          <w:rFonts w:ascii="Baskerville Old Face" w:hAnsi="Baskerville Old Face"/>
          <w:i/>
          <w:iCs/>
        </w:rPr>
        <w:br/>
        <w:t>"conditions": []</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governance_relationship</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may_signal</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may_vote</w:t>
      </w:r>
      <w:proofErr w:type="spellEnd"/>
      <w:r w:rsidRPr="00B479AE">
        <w:rPr>
          <w:rFonts w:ascii="Baskerville Old Face" w:hAnsi="Baskerville Old Face"/>
          <w:i/>
          <w:iCs/>
        </w:rPr>
        <w:t>": false,</w:t>
      </w:r>
      <w:r w:rsidRPr="00B479AE">
        <w:rPr>
          <w:rFonts w:ascii="Baskerville Old Face" w:hAnsi="Baskerville Old Face"/>
          <w:i/>
          <w:iCs/>
        </w:rPr>
        <w:br/>
        <w:t>"scope": "</w:t>
      </w:r>
      <w:proofErr w:type="spellStart"/>
      <w:r w:rsidRPr="00B479AE">
        <w:rPr>
          <w:rFonts w:ascii="Baskerville Old Face" w:hAnsi="Baskerville Old Face"/>
          <w:i/>
          <w:iCs/>
        </w:rPr>
        <w:t>none_or_defined_scope</w:t>
      </w:r>
      <w:proofErr w:type="spellEnd"/>
      <w:r w:rsidRPr="00B479AE">
        <w:rPr>
          <w:rFonts w:ascii="Baskerville Old Face" w:hAnsi="Baskerville Old Face"/>
          <w:i/>
          <w:iCs/>
        </w:rPr>
        <w:t>"</w:t>
      </w:r>
      <w:r w:rsidRPr="00B479AE">
        <w:rPr>
          <w:rFonts w:ascii="Baskerville Old Face" w:hAnsi="Baskerville Old Face"/>
          <w:i/>
          <w:iCs/>
        </w:rPr>
        <w:br/>
      </w:r>
      <w:r w:rsidRPr="00B479AE">
        <w:rPr>
          <w:rFonts w:ascii="Baskerville Old Face" w:hAnsi="Baskerville Old Face"/>
          <w:i/>
          <w:iCs/>
        </w:rPr>
        <w:lastRenderedPageBreak/>
        <w:t>},</w:t>
      </w:r>
      <w:r w:rsidRPr="00B479AE">
        <w:rPr>
          <w:rFonts w:ascii="Baskerville Old Face" w:hAnsi="Baskerville Old Face"/>
          <w:i/>
          <w:iCs/>
        </w:rPr>
        <w:br/>
        <w:t>"</w:t>
      </w:r>
      <w:proofErr w:type="spellStart"/>
      <w:r w:rsidRPr="00B479AE">
        <w:rPr>
          <w:rFonts w:ascii="Baskerville Old Face" w:hAnsi="Baskerville Old Face"/>
          <w:i/>
          <w:iCs/>
        </w:rPr>
        <w:t>bridge_exposure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has_bridge</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bridge_type</w:t>
      </w:r>
      <w:proofErr w:type="spellEnd"/>
      <w:r w:rsidRPr="00B479AE">
        <w:rPr>
          <w:rFonts w:ascii="Baskerville Old Face" w:hAnsi="Baskerville Old Face"/>
          <w:i/>
          <w:iCs/>
        </w:rPr>
        <w:t>": "</w:t>
      </w:r>
      <w:proofErr w:type="spellStart"/>
      <w:r w:rsidRPr="00B479AE">
        <w:rPr>
          <w:rFonts w:ascii="Baskerville Old Face" w:hAnsi="Baskerville Old Face"/>
          <w:i/>
          <w:iCs/>
        </w:rPr>
        <w:t>none_or_defined_type</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bridge_review_status</w:t>
      </w:r>
      <w:proofErr w:type="spellEnd"/>
      <w:r w:rsidRPr="00B479AE">
        <w:rPr>
          <w:rFonts w:ascii="Baskerville Old Face" w:hAnsi="Baskerville Old Face"/>
          <w:i/>
          <w:iCs/>
        </w:rPr>
        <w:t>": "</w:t>
      </w:r>
      <w:proofErr w:type="spellStart"/>
      <w:r w:rsidRPr="00B479AE">
        <w:rPr>
          <w:rFonts w:ascii="Baskerville Old Face" w:hAnsi="Baskerville Old Face"/>
          <w:i/>
          <w:iCs/>
        </w:rPr>
        <w:t>not_applicable</w:t>
      </w:r>
      <w:proofErr w:type="spellEnd"/>
      <w:r w:rsidRPr="00B479AE">
        <w:rPr>
          <w:rFonts w:ascii="Baskerville Old Face" w:hAnsi="Baskerville Old Face"/>
          <w:i/>
          <w:iCs/>
        </w:rPr>
        <w:t xml:space="preserve"> | pending | completed"</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ai_automation_exposure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ai_can_allocate</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ai_can_change_status</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ai_can_modify_rights</w:t>
      </w:r>
      <w:proofErr w:type="spellEnd"/>
      <w:r w:rsidRPr="00B479AE">
        <w:rPr>
          <w:rFonts w:ascii="Baskerville Old Face" w:hAnsi="Baskerville Old Face"/>
          <w:i/>
          <w:iCs/>
        </w:rPr>
        <w:t>": false</w:t>
      </w:r>
      <w:r w:rsidRPr="00B479AE">
        <w:rPr>
          <w:rFonts w:ascii="Baskerville Old Face" w:hAnsi="Baskerville Old Face"/>
          <w:i/>
          <w:iCs/>
        </w:rPr>
        <w:br/>
        <w:t>},</w:t>
      </w:r>
      <w:r w:rsidRPr="00B479AE">
        <w:rPr>
          <w:rFonts w:ascii="Baskerville Old Face" w:hAnsi="Baskerville Old Face"/>
          <w:i/>
          <w:iCs/>
        </w:rPr>
        <w:br/>
        <w:t>"</w:t>
      </w:r>
      <w:proofErr w:type="spellStart"/>
      <w:r w:rsidRPr="00B479AE">
        <w:rPr>
          <w:rFonts w:ascii="Baskerville Old Face" w:hAnsi="Baskerville Old Face"/>
          <w:i/>
          <w:iCs/>
        </w:rPr>
        <w:t>risk_class</w:t>
      </w:r>
      <w:proofErr w:type="spellEnd"/>
      <w:r w:rsidRPr="00B479AE">
        <w:rPr>
          <w:rFonts w:ascii="Baskerville Old Face" w:hAnsi="Baskerville Old Face"/>
          <w:i/>
          <w:iCs/>
        </w:rPr>
        <w:t>": "low | moderate | high | critical",</w:t>
      </w:r>
      <w:r w:rsidRPr="00B479AE">
        <w:rPr>
          <w:rFonts w:ascii="Baskerville Old Face" w:hAnsi="Baskerville Old Face"/>
          <w:i/>
          <w:iCs/>
        </w:rPr>
        <w:br/>
        <w:t>"</w:t>
      </w:r>
      <w:proofErr w:type="spellStart"/>
      <w:r w:rsidRPr="00B479AE">
        <w:rPr>
          <w:rFonts w:ascii="Baskerville Old Face" w:hAnsi="Baskerville Old Face"/>
          <w:i/>
          <w:iCs/>
        </w:rPr>
        <w:t>review_date</w:t>
      </w:r>
      <w:proofErr w:type="spellEnd"/>
      <w:r w:rsidRPr="00B479AE">
        <w:rPr>
          <w:rFonts w:ascii="Baskerville Old Face" w:hAnsi="Baskerville Old Face"/>
          <w:i/>
          <w:iCs/>
        </w:rPr>
        <w:t>": "YYYY-MM-DD",</w:t>
      </w:r>
      <w:r w:rsidRPr="00B479AE">
        <w:rPr>
          <w:rFonts w:ascii="Baskerville Old Face" w:hAnsi="Baskerville Old Face"/>
          <w:i/>
          <w:iCs/>
        </w:rPr>
        <w:br/>
        <w:t>"</w:t>
      </w:r>
      <w:proofErr w:type="spellStart"/>
      <w:r w:rsidRPr="00B479AE">
        <w:rPr>
          <w:rFonts w:ascii="Baskerville Old Face" w:hAnsi="Baskerville Old Face"/>
          <w:i/>
          <w:iCs/>
        </w:rPr>
        <w:t>canonical_registry_reference</w:t>
      </w:r>
      <w:proofErr w:type="spellEnd"/>
      <w:r w:rsidRPr="00B479AE">
        <w:rPr>
          <w:rFonts w:ascii="Baskerville Old Face" w:hAnsi="Baskerville Old Face"/>
          <w:i/>
          <w:iCs/>
        </w:rPr>
        <w:t>": "</w:t>
      </w:r>
      <w:proofErr w:type="spellStart"/>
      <w:r w:rsidRPr="00B479AE">
        <w:rPr>
          <w:rFonts w:ascii="Baskerville Old Face" w:hAnsi="Baskerville Old Face"/>
          <w:i/>
          <w:iCs/>
        </w:rPr>
        <w:t>registry_url_or_hash</w:t>
      </w:r>
      <w:proofErr w:type="spellEnd"/>
      <w:r w:rsidRPr="00B479AE">
        <w:rPr>
          <w:rFonts w:ascii="Baskerville Old Face" w:hAnsi="Baskerville Old Face"/>
          <w:i/>
          <w:iCs/>
        </w:rPr>
        <w:t>"</w:t>
      </w:r>
      <w:r w:rsidRPr="00B479AE">
        <w:rPr>
          <w:rFonts w:ascii="Baskerville Old Face" w:hAnsi="Baskerville Old Face"/>
          <w:i/>
          <w:iCs/>
        </w:rPr>
        <w:br/>
        <w:t>}</w:t>
      </w:r>
    </w:p>
    <w:p w14:paraId="66D0CF94" w14:textId="77FE66C8"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This schema is illustrative.</w:t>
      </w:r>
      <w:r w:rsidR="00F93F8B">
        <w:rPr>
          <w:rFonts w:ascii="Baskerville Old Face" w:hAnsi="Baskerville Old Face"/>
          <w:i/>
          <w:iCs/>
        </w:rPr>
        <w:t xml:space="preserve"> </w:t>
      </w:r>
      <w:r w:rsidRPr="00B479AE">
        <w:rPr>
          <w:rFonts w:ascii="Baskerville Old Face" w:hAnsi="Baskerville Old Face"/>
          <w:i/>
          <w:iCs/>
        </w:rPr>
        <w:t>The operative schema should be versioned, reviewed, tested, and aligned with the canonical registry before implementation.</w:t>
      </w:r>
    </w:p>
    <w:p w14:paraId="73B85CEB" w14:textId="77777777" w:rsidR="002602C5" w:rsidRPr="00B479AE" w:rsidRDefault="002602C5" w:rsidP="002602C5">
      <w:pPr>
        <w:spacing w:line="360" w:lineRule="auto"/>
        <w:rPr>
          <w:rFonts w:ascii="Baskerville Old Face" w:hAnsi="Baskerville Old Face"/>
          <w:b/>
          <w:bCs/>
          <w:i/>
          <w:iCs/>
        </w:rPr>
      </w:pPr>
      <w:r w:rsidRPr="00B479AE">
        <w:rPr>
          <w:rFonts w:ascii="Baskerville Old Face" w:hAnsi="Baskerville Old Face"/>
          <w:b/>
          <w:bCs/>
          <w:i/>
          <w:iCs/>
        </w:rPr>
        <w:t>Q.21 Final Token Boundary Principle</w:t>
      </w:r>
    </w:p>
    <w:p w14:paraId="02D1A2C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Prometheus can interoperate with tokens.</w:t>
      </w:r>
    </w:p>
    <w:p w14:paraId="3F5D717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can learn from token communities.</w:t>
      </w:r>
    </w:p>
    <w:p w14:paraId="7ED7F57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can collaborate with DAOs.</w:t>
      </w:r>
    </w:p>
    <w:p w14:paraId="3DF1EA3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can recognize contribution.</w:t>
      </w:r>
    </w:p>
    <w:p w14:paraId="04B435F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can use settlement rails.</w:t>
      </w:r>
    </w:p>
    <w:p w14:paraId="1086748F"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can support future legally structured instruments.</w:t>
      </w:r>
    </w:p>
    <w:p w14:paraId="11325E2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 xml:space="preserve">It can connect with </w:t>
      </w:r>
      <w:proofErr w:type="spellStart"/>
      <w:r w:rsidRPr="00B479AE">
        <w:rPr>
          <w:rFonts w:ascii="Baskerville Old Face" w:hAnsi="Baskerville Old Face"/>
          <w:i/>
          <w:iCs/>
        </w:rPr>
        <w:t>Tribeke</w:t>
      </w:r>
      <w:proofErr w:type="spellEnd"/>
      <w:r w:rsidRPr="00B479AE">
        <w:rPr>
          <w:rFonts w:ascii="Baskerville Old Face" w:hAnsi="Baskerville Old Face"/>
          <w:i/>
          <w:iCs/>
        </w:rPr>
        <w:t xml:space="preserve"> through sovereign alignment.</w:t>
      </w:r>
    </w:p>
    <w:p w14:paraId="07A60861" w14:textId="3A301232"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It can design future token-aware infrastructure.</w:t>
      </w:r>
      <w:r w:rsidR="00F93F8B">
        <w:rPr>
          <w:rFonts w:ascii="Baskerville Old Face" w:hAnsi="Baskerville Old Face"/>
          <w:i/>
          <w:iCs/>
        </w:rPr>
        <w:t xml:space="preserve"> </w:t>
      </w:r>
      <w:r w:rsidRPr="00B479AE">
        <w:rPr>
          <w:rFonts w:ascii="Baskerville Old Face" w:hAnsi="Baskerville Old Face"/>
          <w:i/>
          <w:iCs/>
        </w:rPr>
        <w:t>But the final boundary remains:</w:t>
      </w:r>
    </w:p>
    <w:p w14:paraId="079C21A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life is not a token;</w:t>
      </w:r>
    </w:p>
    <w:p w14:paraId="0BC37775"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lastRenderedPageBreak/>
        <w:t>dignity is not a token;</w:t>
      </w:r>
    </w:p>
    <w:p w14:paraId="64CA860A"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evidence is not a token;</w:t>
      </w:r>
    </w:p>
    <w:p w14:paraId="488512D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regeneration is not a token;</w:t>
      </w:r>
    </w:p>
    <w:p w14:paraId="34316AF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MRV is not a token;</w:t>
      </w:r>
    </w:p>
    <w:p w14:paraId="66E19F4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PRU is not automatically a token;</w:t>
      </w:r>
    </w:p>
    <w:p w14:paraId="78A787C8"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RAP is not automatically a token;</w:t>
      </w:r>
    </w:p>
    <w:p w14:paraId="4E10F792"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governance is not reducible to token weight;</w:t>
      </w:r>
    </w:p>
    <w:p w14:paraId="7BF675E0"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human continuity is not negotiable through market mechanics.</w:t>
      </w:r>
    </w:p>
    <w:p w14:paraId="39150A69"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Tokens may serve Prometheus.</w:t>
      </w:r>
    </w:p>
    <w:p w14:paraId="773D37AE"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They may not become Prometheus.</w:t>
      </w:r>
    </w:p>
    <w:p w14:paraId="028E10B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The final principle is:</w:t>
      </w:r>
    </w:p>
    <w:p w14:paraId="1F24E653"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symbols may move faster than life;</w:t>
      </w:r>
    </w:p>
    <w:p w14:paraId="65A4B274"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markets may move faster than evidence;</w:t>
      </w:r>
    </w:p>
    <w:p w14:paraId="7A5EF4BD"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code may move faster than law;</w:t>
      </w:r>
    </w:p>
    <w:p w14:paraId="27DFE661"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AI may move faster than governance;</w:t>
      </w:r>
    </w:p>
    <w:p w14:paraId="5395EA7C" w14:textId="77777777" w:rsidR="002602C5" w:rsidRPr="00B479AE" w:rsidRDefault="002602C5" w:rsidP="002602C5">
      <w:pPr>
        <w:spacing w:line="360" w:lineRule="auto"/>
        <w:rPr>
          <w:rFonts w:ascii="Baskerville Old Face" w:hAnsi="Baskerville Old Face"/>
          <w:i/>
          <w:iCs/>
        </w:rPr>
      </w:pPr>
      <w:r w:rsidRPr="00B479AE">
        <w:rPr>
          <w:rFonts w:ascii="Baskerville Old Face" w:hAnsi="Baskerville Old Face"/>
          <w:i/>
          <w:iCs/>
        </w:rPr>
        <w:t>but Prometheus must move only as fast as its source-layer fidelity, evidence discipline, legal structure, and living purpose allow.</w:t>
      </w:r>
    </w:p>
    <w:p w14:paraId="7ECE4574" w14:textId="1775E0AB" w:rsidR="009F54BC" w:rsidRPr="00ED0D46" w:rsidRDefault="009F54BC" w:rsidP="00ED0D46">
      <w:pPr>
        <w:pStyle w:val="Titolo1"/>
        <w:rPr>
          <w:rFonts w:ascii="Baskerville Old Face" w:hAnsi="Baskerville Old Face"/>
          <w:b/>
          <w:bCs/>
          <w:i/>
          <w:iCs/>
          <w:sz w:val="24"/>
          <w:szCs w:val="24"/>
        </w:rPr>
      </w:pPr>
      <w:r w:rsidRPr="00ED0D46">
        <w:rPr>
          <w:rFonts w:ascii="Baskerville Old Face" w:hAnsi="Baskerville Old Face"/>
          <w:b/>
          <w:bCs/>
          <w:i/>
          <w:iCs/>
          <w:sz w:val="24"/>
          <w:szCs w:val="24"/>
        </w:rPr>
        <w:t>Appendix R: Mathematical Formalization of PRU Value Analysis, Maturity Classification, and Capital-Readiness</w:t>
      </w:r>
    </w:p>
    <w:p w14:paraId="2A344FF3" w14:textId="37EF9FB2" w:rsidR="00A8129F" w:rsidRPr="00B479AE" w:rsidRDefault="00A8129F" w:rsidP="00A8129F">
      <w:pPr>
        <w:spacing w:line="360" w:lineRule="auto"/>
        <w:rPr>
          <w:rFonts w:ascii="Baskerville Old Face" w:hAnsi="Baskerville Old Face"/>
          <w:b/>
          <w:bCs/>
          <w:i/>
          <w:iCs/>
        </w:rPr>
      </w:pPr>
      <w:r w:rsidRPr="00B479AE">
        <w:rPr>
          <w:rFonts w:ascii="Baskerville Old Face" w:hAnsi="Baskerville Old Face"/>
          <w:b/>
          <w:bCs/>
          <w:i/>
          <w:iCs/>
        </w:rPr>
        <w:t>R.1 Purpose and Boundary</w:t>
      </w:r>
    </w:p>
    <w:p w14:paraId="6A392AD0"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This appendix formalizes the mathematical structure of the Prometheus Regenerative Unit, or PRU.</w:t>
      </w:r>
    </w:p>
    <w:p w14:paraId="777C20E4"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lastRenderedPageBreak/>
        <w:t>Its purpose is to define how verified regenerative performance may be translated into PRU value analysis, maturity classification, confidence adjustment, admissibility review, portfolio-readiness, and capital-readiness logic.</w:t>
      </w:r>
    </w:p>
    <w:p w14:paraId="5048BC69"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This appendix does not create automatic financial valuation, token issuance, investor entitlement, credit rating, securities rating, legal enforceability, market price, or financial instrument status.</w:t>
      </w:r>
    </w:p>
    <w:p w14:paraId="338047E0"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It provides a methodological language for interpreting regenerative performance only where evidence, MRV confidence, admissibility, governance review, legal boundaries, and anti-double-counting discipline support such interpretation.</w:t>
      </w:r>
    </w:p>
    <w:p w14:paraId="787B95BD"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The purpose of the mathematical framework is not to let formulas replace judgment.</w:t>
      </w:r>
    </w:p>
    <w:p w14:paraId="1E0F23E5"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The purpose is to make judgment more disciplined.</w:t>
      </w:r>
    </w:p>
    <w:p w14:paraId="5B1BEED1"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The core principle is:</w:t>
      </w:r>
    </w:p>
    <w:p w14:paraId="428F0A20"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verified regeneration may inform value;</w:t>
      </w:r>
    </w:p>
    <w:p w14:paraId="60FB9A4F"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value may inform capital;</w:t>
      </w:r>
    </w:p>
    <w:p w14:paraId="694C3BBE" w14:textId="77777777"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capital may scale regeneration;</w:t>
      </w:r>
    </w:p>
    <w:p w14:paraId="57D72B73" w14:textId="18388542" w:rsidR="00A3082F" w:rsidRPr="00B479AE" w:rsidRDefault="00A3082F" w:rsidP="00A3082F">
      <w:pPr>
        <w:spacing w:line="360" w:lineRule="auto"/>
        <w:rPr>
          <w:rFonts w:ascii="Baskerville Old Face" w:hAnsi="Baskerville Old Face"/>
          <w:i/>
          <w:iCs/>
        </w:rPr>
      </w:pPr>
      <w:r w:rsidRPr="00B479AE">
        <w:rPr>
          <w:rFonts w:ascii="Baskerville Old Face" w:hAnsi="Baskerville Old Face"/>
          <w:i/>
          <w:iCs/>
        </w:rPr>
        <w:t>but financial meaning remains downstream from evidence, law, governance, and admissibility.</w:t>
      </w:r>
    </w:p>
    <w:p w14:paraId="1AF27960" w14:textId="77777777" w:rsidR="00AD18E9" w:rsidRPr="00B479AE" w:rsidRDefault="00AD18E9" w:rsidP="00AD18E9">
      <w:pPr>
        <w:spacing w:line="360" w:lineRule="auto"/>
        <w:rPr>
          <w:rFonts w:ascii="Baskerville Old Face" w:hAnsi="Baskerville Old Face"/>
          <w:b/>
          <w:bCs/>
          <w:i/>
          <w:iCs/>
        </w:rPr>
      </w:pPr>
      <w:r w:rsidRPr="00B479AE">
        <w:rPr>
          <w:rFonts w:ascii="Baskerville Old Face" w:hAnsi="Baskerville Old Face"/>
          <w:b/>
          <w:bCs/>
          <w:i/>
          <w:iCs/>
        </w:rPr>
        <w:t>R.2 PRU as Verified Regenerative Performance Logic</w:t>
      </w:r>
    </w:p>
    <w:p w14:paraId="632720DA"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The Prometheus Regenerative Unit, or PRU, is the analytical representation of verified regenerative performance under an approved or applicable methodology.</w:t>
      </w:r>
    </w:p>
    <w:p w14:paraId="6F244840"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not land.</w:t>
      </w:r>
    </w:p>
    <w:p w14:paraId="5DF49F28"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not a speculative token.</w:t>
      </w:r>
    </w:p>
    <w:p w14:paraId="0C8AAE8E"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not an automatic asset.</w:t>
      </w:r>
    </w:p>
    <w:p w14:paraId="3F573C14"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not a security by itself.</w:t>
      </w:r>
    </w:p>
    <w:p w14:paraId="10A8917A"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not a carbon credit by default.</w:t>
      </w:r>
    </w:p>
    <w:p w14:paraId="2DE1B05E"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not a public investment product.</w:t>
      </w:r>
    </w:p>
    <w:p w14:paraId="4637BEB8"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lastRenderedPageBreak/>
        <w:t xml:space="preserve">A PRU is not automatically tradable, </w:t>
      </w:r>
      <w:proofErr w:type="spellStart"/>
      <w:r w:rsidRPr="00B479AE">
        <w:rPr>
          <w:rFonts w:ascii="Baskerville Old Face" w:hAnsi="Baskerville Old Face"/>
          <w:i/>
          <w:iCs/>
        </w:rPr>
        <w:t>pledgeable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securitizable</w:t>
      </w:r>
      <w:proofErr w:type="spellEnd"/>
      <w:r w:rsidRPr="00B479AE">
        <w:rPr>
          <w:rFonts w:ascii="Baskerville Old Face" w:hAnsi="Baskerville Old Face"/>
          <w:i/>
          <w:iCs/>
        </w:rPr>
        <w:t>, tokenizable, investor-facing, or rights-bearing.</w:t>
      </w:r>
    </w:p>
    <w:p w14:paraId="639C7800"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becomes relevant to value only through evidence, methodology, confidence, governance review, legal structure where required, and admissibility.</w:t>
      </w:r>
    </w:p>
    <w:p w14:paraId="04B48C11"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The PRU may be expressed conceptually as:</w:t>
      </w:r>
    </w:p>
    <w:p w14:paraId="1D6E2984" w14:textId="77777777" w:rsidR="00AD18E9" w:rsidRPr="005907F1" w:rsidRDefault="00AD18E9" w:rsidP="00AD18E9">
      <w:pPr>
        <w:spacing w:line="360" w:lineRule="auto"/>
        <w:rPr>
          <w:rFonts w:ascii="Baskerville Old Face" w:hAnsi="Baskerville Old Face"/>
          <w:i/>
          <w:iCs/>
          <w:lang w:val="it-IT"/>
        </w:rPr>
      </w:pPr>
      <w:r w:rsidRPr="005907F1">
        <w:rPr>
          <w:rFonts w:ascii="Baskerville Old Face" w:hAnsi="Baskerville Old Face"/>
          <w:i/>
          <w:iCs/>
          <w:lang w:val="it-IT"/>
        </w:rPr>
        <w:t xml:space="preserve">PRU = </w:t>
      </w:r>
      <w:proofErr w:type="gramStart"/>
      <w:r w:rsidRPr="005907F1">
        <w:rPr>
          <w:rFonts w:ascii="Baskerville Old Face" w:hAnsi="Baskerville Old Face"/>
          <w:i/>
          <w:iCs/>
          <w:lang w:val="it-IT"/>
        </w:rPr>
        <w:t>f(</w:t>
      </w:r>
      <w:proofErr w:type="gramEnd"/>
      <w:r w:rsidRPr="005907F1">
        <w:rPr>
          <w:rFonts w:ascii="Baskerville Old Face" w:hAnsi="Baskerville Old Face"/>
          <w:i/>
          <w:iCs/>
          <w:lang w:val="it-IT"/>
        </w:rPr>
        <w:t>MRV, OHE, SRI, RPI, CESI, C)</w:t>
      </w:r>
    </w:p>
    <w:p w14:paraId="263B6F6B"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where:</w:t>
      </w:r>
    </w:p>
    <w:p w14:paraId="512E13C4"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MRV = Measurement, Reporting, and Verification layer.</w:t>
      </w:r>
    </w:p>
    <w:p w14:paraId="6FB9335F"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OHE = One Human Ecosystem or OHE-compatible regenerative unit.</w:t>
      </w:r>
    </w:p>
    <w:p w14:paraId="2EF4B64E"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SRI = Syntropic Resilience Index.</w:t>
      </w:r>
    </w:p>
    <w:p w14:paraId="7D028C4C"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RPI = Regenerative Productivity Index.</w:t>
      </w:r>
    </w:p>
    <w:p w14:paraId="65CD4820"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CESI = Cooperative Ecological Surplus Index.</w:t>
      </w:r>
    </w:p>
    <w:p w14:paraId="0F54F208"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C = confidence, admissibility, legal-boundary, and no-double-counting constraints.</w:t>
      </w:r>
    </w:p>
    <w:p w14:paraId="501D94F3" w14:textId="71BDA19C"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The PRU does not represent land, biomass, yield, token rights, governance rights, investor exposure, or legal entitlement in isolation.</w:t>
      </w:r>
      <w:r w:rsidR="00F93F8B">
        <w:rPr>
          <w:rFonts w:ascii="Baskerville Old Face" w:hAnsi="Baskerville Old Face"/>
          <w:i/>
          <w:iCs/>
        </w:rPr>
        <w:t xml:space="preserve"> </w:t>
      </w:r>
      <w:r w:rsidRPr="00B479AE">
        <w:rPr>
          <w:rFonts w:ascii="Baskerville Old Face" w:hAnsi="Baskerville Old Face"/>
          <w:i/>
          <w:iCs/>
        </w:rPr>
        <w:t>It represents verified regenerative performance translated into structured analytical value under defined methodology.</w:t>
      </w:r>
    </w:p>
    <w:p w14:paraId="783579EB" w14:textId="7A898FFB"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PRU logic becomes financially relevant only where evidence, admissibility, legal structure, governance review, and jurisdiction-specific boundaries support such use.</w:t>
      </w:r>
      <w:r w:rsidR="00F93F8B">
        <w:rPr>
          <w:rFonts w:ascii="Baskerville Old Face" w:hAnsi="Baskerville Old Face"/>
          <w:i/>
          <w:iCs/>
        </w:rPr>
        <w:t xml:space="preserve"> </w:t>
      </w:r>
      <w:r w:rsidRPr="00B479AE">
        <w:rPr>
          <w:rFonts w:ascii="Baskerville Old Face" w:hAnsi="Baskerville Old Face"/>
          <w:i/>
          <w:iCs/>
        </w:rPr>
        <w:t>The correct sequence is:</w:t>
      </w:r>
    </w:p>
    <w:p w14:paraId="36931A84"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 xml:space="preserve">living system </w:t>
      </w:r>
      <w:r w:rsidRPr="00B479AE">
        <w:rPr>
          <w:rFonts w:ascii="Times New Roman" w:hAnsi="Times New Roman" w:cs="Times New Roman"/>
          <w:i/>
          <w:iCs/>
        </w:rPr>
        <w:t>→</w:t>
      </w:r>
      <w:r w:rsidRPr="00B479AE">
        <w:rPr>
          <w:rFonts w:ascii="Baskerville Old Face" w:hAnsi="Baskerville Old Face"/>
          <w:i/>
          <w:iCs/>
        </w:rPr>
        <w:t xml:space="preserve"> MRV evidence </w:t>
      </w:r>
      <w:r w:rsidRPr="00B479AE">
        <w:rPr>
          <w:rFonts w:ascii="Times New Roman" w:hAnsi="Times New Roman" w:cs="Times New Roman"/>
          <w:i/>
          <w:iCs/>
        </w:rPr>
        <w:t>→</w:t>
      </w:r>
      <w:r w:rsidRPr="00B479AE">
        <w:rPr>
          <w:rFonts w:ascii="Baskerville Old Face" w:hAnsi="Baskerville Old Face"/>
          <w:i/>
          <w:iCs/>
        </w:rPr>
        <w:t xml:space="preserve"> verified indicator </w:t>
      </w:r>
      <w:r w:rsidRPr="00B479AE">
        <w:rPr>
          <w:rFonts w:ascii="Times New Roman" w:hAnsi="Times New Roman" w:cs="Times New Roman"/>
          <w:i/>
          <w:iCs/>
        </w:rPr>
        <w:t>→</w:t>
      </w:r>
      <w:r w:rsidRPr="00B479AE">
        <w:rPr>
          <w:rFonts w:ascii="Baskerville Old Face" w:hAnsi="Baskerville Old Face"/>
          <w:i/>
          <w:iCs/>
        </w:rPr>
        <w:t xml:space="preserve"> admissibility review </w:t>
      </w:r>
      <w:r w:rsidRPr="00B479AE">
        <w:rPr>
          <w:rFonts w:ascii="Times New Roman" w:hAnsi="Times New Roman" w:cs="Times New Roman"/>
          <w:i/>
          <w:iCs/>
        </w:rPr>
        <w:t>→</w:t>
      </w:r>
      <w:r w:rsidRPr="00B479AE">
        <w:rPr>
          <w:rFonts w:ascii="Baskerville Old Face" w:hAnsi="Baskerville Old Face"/>
          <w:i/>
          <w:iCs/>
        </w:rPr>
        <w:t xml:space="preserve"> PRU value analysis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capital-readiness review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446D1464"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This sequence prevents Prometheus from moving directly from ecological evidence to financial instrument status.</w:t>
      </w:r>
    </w:p>
    <w:p w14:paraId="27B42363"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 PRU is therefore not the source of regenerative value.</w:t>
      </w:r>
    </w:p>
    <w:p w14:paraId="44BE4563"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The living system generates regenerative performance.</w:t>
      </w:r>
    </w:p>
    <w:p w14:paraId="5278B830"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lastRenderedPageBreak/>
        <w:t>MRV makes that performance observable.</w:t>
      </w:r>
    </w:p>
    <w:p w14:paraId="7C3EDF60"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Methodology makes it interpretable.</w:t>
      </w:r>
    </w:p>
    <w:p w14:paraId="130C7331"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Admissibility makes it usable.</w:t>
      </w:r>
    </w:p>
    <w:p w14:paraId="5FABE874"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PRU logic makes it analytically comparable.</w:t>
      </w:r>
    </w:p>
    <w:p w14:paraId="6101992F" w14:textId="77777777" w:rsidR="00AD18E9" w:rsidRPr="00B479AE" w:rsidRDefault="00AD18E9" w:rsidP="00AD18E9">
      <w:pPr>
        <w:spacing w:line="360" w:lineRule="auto"/>
        <w:rPr>
          <w:rFonts w:ascii="Baskerville Old Face" w:hAnsi="Baskerville Old Face"/>
          <w:i/>
          <w:iCs/>
        </w:rPr>
      </w:pPr>
      <w:r w:rsidRPr="00B479AE">
        <w:rPr>
          <w:rFonts w:ascii="Baskerville Old Face" w:hAnsi="Baskerville Old Face"/>
          <w:i/>
          <w:iCs/>
        </w:rPr>
        <w:t>Legal structure, where required, determines whether and how any capital-facing right or instrument may exist.</w:t>
      </w:r>
    </w:p>
    <w:p w14:paraId="7B4AEF9A"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R.3 PRU maturity stages</w:t>
      </w:r>
    </w:p>
    <w:p w14:paraId="04D6DFA9" w14:textId="57666122"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PRU should mature through explicit stages.</w:t>
      </w:r>
      <w:r w:rsidR="00417105"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0"/>
        <w:gridCol w:w="4024"/>
        <w:gridCol w:w="3374"/>
      </w:tblGrid>
      <w:tr w:rsidR="00B961DF" w:rsidRPr="00F93F8B" w14:paraId="7EFF7E19" w14:textId="77777777" w:rsidTr="00B961DF">
        <w:trPr>
          <w:tblHeader/>
          <w:tblCellSpacing w:w="15" w:type="dxa"/>
        </w:trPr>
        <w:tc>
          <w:tcPr>
            <w:tcW w:w="0" w:type="auto"/>
            <w:vAlign w:val="center"/>
            <w:hideMark/>
          </w:tcPr>
          <w:p w14:paraId="424EFB7C" w14:textId="77777777" w:rsidR="00B961DF" w:rsidRPr="00F93F8B" w:rsidRDefault="00B961DF" w:rsidP="00B961DF">
            <w:pPr>
              <w:spacing w:line="360" w:lineRule="auto"/>
              <w:rPr>
                <w:rFonts w:ascii="Baskerville Old Face" w:hAnsi="Baskerville Old Face"/>
                <w:b/>
                <w:bCs/>
                <w:i/>
                <w:iCs/>
                <w:sz w:val="20"/>
                <w:szCs w:val="20"/>
              </w:rPr>
            </w:pPr>
            <w:r w:rsidRPr="00F93F8B">
              <w:rPr>
                <w:rFonts w:ascii="Baskerville Old Face" w:hAnsi="Baskerville Old Face"/>
                <w:b/>
                <w:bCs/>
                <w:i/>
                <w:iCs/>
                <w:sz w:val="20"/>
                <w:szCs w:val="20"/>
              </w:rPr>
              <w:t>Stage</w:t>
            </w:r>
          </w:p>
        </w:tc>
        <w:tc>
          <w:tcPr>
            <w:tcW w:w="0" w:type="auto"/>
            <w:vAlign w:val="center"/>
            <w:hideMark/>
          </w:tcPr>
          <w:p w14:paraId="6B129A83" w14:textId="77777777" w:rsidR="00B961DF" w:rsidRPr="00F93F8B" w:rsidRDefault="00B961DF" w:rsidP="00B961DF">
            <w:pPr>
              <w:spacing w:line="360" w:lineRule="auto"/>
              <w:rPr>
                <w:rFonts w:ascii="Baskerville Old Face" w:hAnsi="Baskerville Old Face"/>
                <w:b/>
                <w:bCs/>
                <w:i/>
                <w:iCs/>
                <w:sz w:val="20"/>
                <w:szCs w:val="20"/>
              </w:rPr>
            </w:pPr>
            <w:r w:rsidRPr="00F93F8B">
              <w:rPr>
                <w:rFonts w:ascii="Baskerville Old Face" w:hAnsi="Baskerville Old Face"/>
                <w:b/>
                <w:bCs/>
                <w:i/>
                <w:iCs/>
                <w:sz w:val="20"/>
                <w:szCs w:val="20"/>
              </w:rPr>
              <w:t>Meaning</w:t>
            </w:r>
          </w:p>
        </w:tc>
        <w:tc>
          <w:tcPr>
            <w:tcW w:w="0" w:type="auto"/>
            <w:vAlign w:val="center"/>
            <w:hideMark/>
          </w:tcPr>
          <w:p w14:paraId="43BE84F5" w14:textId="77777777" w:rsidR="00B961DF" w:rsidRPr="00F93F8B" w:rsidRDefault="00B961DF" w:rsidP="00B961DF">
            <w:pPr>
              <w:spacing w:line="360" w:lineRule="auto"/>
              <w:rPr>
                <w:rFonts w:ascii="Baskerville Old Face" w:hAnsi="Baskerville Old Face"/>
                <w:b/>
                <w:bCs/>
                <w:i/>
                <w:iCs/>
                <w:sz w:val="20"/>
                <w:szCs w:val="20"/>
              </w:rPr>
            </w:pPr>
            <w:r w:rsidRPr="00F93F8B">
              <w:rPr>
                <w:rFonts w:ascii="Baskerville Old Face" w:hAnsi="Baskerville Old Face"/>
                <w:b/>
                <w:bCs/>
                <w:i/>
                <w:iCs/>
                <w:sz w:val="20"/>
                <w:szCs w:val="20"/>
              </w:rPr>
              <w:t>Permitted use</w:t>
            </w:r>
          </w:p>
        </w:tc>
      </w:tr>
      <w:tr w:rsidR="00B961DF" w:rsidRPr="00F93F8B" w14:paraId="0FD6F3D6" w14:textId="77777777" w:rsidTr="00B961DF">
        <w:trPr>
          <w:tblCellSpacing w:w="15" w:type="dxa"/>
        </w:trPr>
        <w:tc>
          <w:tcPr>
            <w:tcW w:w="0" w:type="auto"/>
            <w:vAlign w:val="center"/>
            <w:hideMark/>
          </w:tcPr>
          <w:p w14:paraId="2A956FC8"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PRU concept</w:t>
            </w:r>
          </w:p>
        </w:tc>
        <w:tc>
          <w:tcPr>
            <w:tcW w:w="0" w:type="auto"/>
            <w:vAlign w:val="center"/>
            <w:hideMark/>
          </w:tcPr>
          <w:p w14:paraId="41EE184F"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Theoretical structure for representing regenerative performance.</w:t>
            </w:r>
          </w:p>
        </w:tc>
        <w:tc>
          <w:tcPr>
            <w:tcW w:w="0" w:type="auto"/>
            <w:vAlign w:val="center"/>
            <w:hideMark/>
          </w:tcPr>
          <w:p w14:paraId="66276191"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White Paper, research, design discussion.</w:t>
            </w:r>
          </w:p>
        </w:tc>
      </w:tr>
      <w:tr w:rsidR="00B961DF" w:rsidRPr="00F93F8B" w14:paraId="2B42C677" w14:textId="77777777" w:rsidTr="00B961DF">
        <w:trPr>
          <w:tblCellSpacing w:w="15" w:type="dxa"/>
        </w:trPr>
        <w:tc>
          <w:tcPr>
            <w:tcW w:w="0" w:type="auto"/>
            <w:vAlign w:val="center"/>
            <w:hideMark/>
          </w:tcPr>
          <w:p w14:paraId="44550B65"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PRU methodology draft</w:t>
            </w:r>
          </w:p>
        </w:tc>
        <w:tc>
          <w:tcPr>
            <w:tcW w:w="0" w:type="auto"/>
            <w:vAlign w:val="center"/>
            <w:hideMark/>
          </w:tcPr>
          <w:p w14:paraId="0DA2F371"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Preliminary method defining indicators, evidence, confidence, and scoring logic.</w:t>
            </w:r>
          </w:p>
        </w:tc>
        <w:tc>
          <w:tcPr>
            <w:tcW w:w="0" w:type="auto"/>
            <w:vAlign w:val="center"/>
            <w:hideMark/>
          </w:tcPr>
          <w:p w14:paraId="3F61F00C"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Internal review, expert feedback, pilot design.</w:t>
            </w:r>
          </w:p>
        </w:tc>
      </w:tr>
      <w:tr w:rsidR="00B961DF" w:rsidRPr="00F93F8B" w14:paraId="0E030800" w14:textId="77777777" w:rsidTr="00B961DF">
        <w:trPr>
          <w:tblCellSpacing w:w="15" w:type="dxa"/>
        </w:trPr>
        <w:tc>
          <w:tcPr>
            <w:tcW w:w="0" w:type="auto"/>
            <w:vAlign w:val="center"/>
            <w:hideMark/>
          </w:tcPr>
          <w:p w14:paraId="3BC48F5C"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Pilot PRU assessment</w:t>
            </w:r>
          </w:p>
        </w:tc>
        <w:tc>
          <w:tcPr>
            <w:tcW w:w="0" w:type="auto"/>
            <w:vAlign w:val="center"/>
            <w:hideMark/>
          </w:tcPr>
          <w:p w14:paraId="7EBC84E0"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Application of draft methodology to a pilot.</w:t>
            </w:r>
          </w:p>
        </w:tc>
        <w:tc>
          <w:tcPr>
            <w:tcW w:w="0" w:type="auto"/>
            <w:vAlign w:val="center"/>
            <w:hideMark/>
          </w:tcPr>
          <w:p w14:paraId="21427804"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Learning, MRV refinement, non-financial reporting.</w:t>
            </w:r>
          </w:p>
        </w:tc>
      </w:tr>
      <w:tr w:rsidR="00B961DF" w:rsidRPr="00F93F8B" w14:paraId="3D96AFB1" w14:textId="77777777" w:rsidTr="00B961DF">
        <w:trPr>
          <w:tblCellSpacing w:w="15" w:type="dxa"/>
        </w:trPr>
        <w:tc>
          <w:tcPr>
            <w:tcW w:w="0" w:type="auto"/>
            <w:vAlign w:val="center"/>
            <w:hideMark/>
          </w:tcPr>
          <w:p w14:paraId="2556939C"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Confidence-scored PRU analysis</w:t>
            </w:r>
          </w:p>
        </w:tc>
        <w:tc>
          <w:tcPr>
            <w:tcW w:w="0" w:type="auto"/>
            <w:vAlign w:val="center"/>
            <w:hideMark/>
          </w:tcPr>
          <w:p w14:paraId="05699693"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PRU-relevant evidence assessed with confidence and limitations.</w:t>
            </w:r>
          </w:p>
        </w:tc>
        <w:tc>
          <w:tcPr>
            <w:tcW w:w="0" w:type="auto"/>
            <w:vAlign w:val="center"/>
            <w:hideMark/>
          </w:tcPr>
          <w:p w14:paraId="3EC24325"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Governance review, data-room context, capital-readiness analysis.</w:t>
            </w:r>
          </w:p>
        </w:tc>
      </w:tr>
      <w:tr w:rsidR="00B961DF" w:rsidRPr="00F93F8B" w14:paraId="2197A77D" w14:textId="77777777" w:rsidTr="00B961DF">
        <w:trPr>
          <w:tblCellSpacing w:w="15" w:type="dxa"/>
        </w:trPr>
        <w:tc>
          <w:tcPr>
            <w:tcW w:w="0" w:type="auto"/>
            <w:vAlign w:val="center"/>
            <w:hideMark/>
          </w:tcPr>
          <w:p w14:paraId="58DEFD8E"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Reviewed PRU report</w:t>
            </w:r>
          </w:p>
        </w:tc>
        <w:tc>
          <w:tcPr>
            <w:tcW w:w="0" w:type="auto"/>
            <w:vAlign w:val="center"/>
            <w:hideMark/>
          </w:tcPr>
          <w:p w14:paraId="7DB20BC5"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PRU analysis reviewed under defined methodology.</w:t>
            </w:r>
          </w:p>
        </w:tc>
        <w:tc>
          <w:tcPr>
            <w:tcW w:w="0" w:type="auto"/>
            <w:vAlign w:val="center"/>
            <w:hideMark/>
          </w:tcPr>
          <w:p w14:paraId="327A86F1"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Institutional diligence, controlled reporting, underwriting support.</w:t>
            </w:r>
          </w:p>
        </w:tc>
      </w:tr>
      <w:tr w:rsidR="00B961DF" w:rsidRPr="00F93F8B" w14:paraId="08C51FAD" w14:textId="77777777" w:rsidTr="00B961DF">
        <w:trPr>
          <w:tblCellSpacing w:w="15" w:type="dxa"/>
        </w:trPr>
        <w:tc>
          <w:tcPr>
            <w:tcW w:w="0" w:type="auto"/>
            <w:vAlign w:val="center"/>
            <w:hideMark/>
          </w:tcPr>
          <w:p w14:paraId="52013B61" w14:textId="62FB9B13" w:rsidR="00B961DF" w:rsidRPr="00F93F8B" w:rsidRDefault="00193796"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 xml:space="preserve">PRU maturity classification </w:t>
            </w:r>
            <w:r w:rsidR="00B961DF" w:rsidRPr="00F93F8B">
              <w:rPr>
                <w:rFonts w:ascii="Baskerville Old Face" w:hAnsi="Baskerville Old Face"/>
                <w:b/>
                <w:bCs/>
                <w:i/>
                <w:iCs/>
                <w:sz w:val="20"/>
                <w:szCs w:val="20"/>
              </w:rPr>
              <w:t>framework</w:t>
            </w:r>
          </w:p>
        </w:tc>
        <w:tc>
          <w:tcPr>
            <w:tcW w:w="0" w:type="auto"/>
            <w:vAlign w:val="center"/>
            <w:hideMark/>
          </w:tcPr>
          <w:p w14:paraId="144FD155"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Comparative analytical classification of PRU maturity and reliability.</w:t>
            </w:r>
          </w:p>
        </w:tc>
        <w:tc>
          <w:tcPr>
            <w:tcW w:w="0" w:type="auto"/>
            <w:vAlign w:val="center"/>
            <w:hideMark/>
          </w:tcPr>
          <w:p w14:paraId="551E5C3B"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Portfolio screening, capital-readiness discussion, risk review.</w:t>
            </w:r>
          </w:p>
        </w:tc>
      </w:tr>
      <w:tr w:rsidR="00B961DF" w:rsidRPr="00F93F8B" w14:paraId="47E34AA7" w14:textId="77777777" w:rsidTr="00B961DF">
        <w:trPr>
          <w:tblCellSpacing w:w="15" w:type="dxa"/>
        </w:trPr>
        <w:tc>
          <w:tcPr>
            <w:tcW w:w="0" w:type="auto"/>
            <w:vAlign w:val="center"/>
            <w:hideMark/>
          </w:tcPr>
          <w:p w14:paraId="0D5CD3F7"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PRU-linked legal structure</w:t>
            </w:r>
          </w:p>
        </w:tc>
        <w:tc>
          <w:tcPr>
            <w:tcW w:w="0" w:type="auto"/>
            <w:vAlign w:val="center"/>
            <w:hideMark/>
          </w:tcPr>
          <w:p w14:paraId="3D3C7356"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PRU logic connected to rights through a legal instrument.</w:t>
            </w:r>
          </w:p>
        </w:tc>
        <w:tc>
          <w:tcPr>
            <w:tcW w:w="0" w:type="auto"/>
            <w:vAlign w:val="center"/>
            <w:hideMark/>
          </w:tcPr>
          <w:p w14:paraId="53218474"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Future regulated or contractually defined use.</w:t>
            </w:r>
          </w:p>
        </w:tc>
      </w:tr>
      <w:tr w:rsidR="00B961DF" w:rsidRPr="00F93F8B" w14:paraId="75AAD6D9" w14:textId="77777777" w:rsidTr="00B961DF">
        <w:trPr>
          <w:tblCellSpacing w:w="15" w:type="dxa"/>
        </w:trPr>
        <w:tc>
          <w:tcPr>
            <w:tcW w:w="0" w:type="auto"/>
            <w:vAlign w:val="center"/>
            <w:hideMark/>
          </w:tcPr>
          <w:p w14:paraId="75B3D3D0"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b/>
                <w:bCs/>
                <w:i/>
                <w:iCs/>
                <w:sz w:val="20"/>
                <w:szCs w:val="20"/>
              </w:rPr>
              <w:t>PRU-based instrument</w:t>
            </w:r>
          </w:p>
        </w:tc>
        <w:tc>
          <w:tcPr>
            <w:tcW w:w="0" w:type="auto"/>
            <w:vAlign w:val="center"/>
            <w:hideMark/>
          </w:tcPr>
          <w:p w14:paraId="0ED1C907"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 xml:space="preserve">Legally structured product, note, security, fund interest, or </w:t>
            </w:r>
            <w:proofErr w:type="gramStart"/>
            <w:r w:rsidRPr="00F93F8B">
              <w:rPr>
                <w:rFonts w:ascii="Baskerville Old Face" w:hAnsi="Baskerville Old Face"/>
                <w:i/>
                <w:iCs/>
                <w:sz w:val="20"/>
                <w:szCs w:val="20"/>
              </w:rPr>
              <w:t>other</w:t>
            </w:r>
            <w:proofErr w:type="gramEnd"/>
            <w:r w:rsidRPr="00F93F8B">
              <w:rPr>
                <w:rFonts w:ascii="Baskerville Old Face" w:hAnsi="Baskerville Old Face"/>
                <w:i/>
                <w:iCs/>
                <w:sz w:val="20"/>
                <w:szCs w:val="20"/>
              </w:rPr>
              <w:t xml:space="preserve"> instrument.</w:t>
            </w:r>
          </w:p>
        </w:tc>
        <w:tc>
          <w:tcPr>
            <w:tcW w:w="0" w:type="auto"/>
            <w:vAlign w:val="center"/>
            <w:hideMark/>
          </w:tcPr>
          <w:p w14:paraId="2119CBC4" w14:textId="77777777" w:rsidR="00B961DF" w:rsidRPr="00F93F8B" w:rsidRDefault="00B961DF" w:rsidP="00B961DF">
            <w:pPr>
              <w:spacing w:line="360" w:lineRule="auto"/>
              <w:rPr>
                <w:rFonts w:ascii="Baskerville Old Face" w:hAnsi="Baskerville Old Face"/>
                <w:i/>
                <w:iCs/>
                <w:sz w:val="20"/>
                <w:szCs w:val="20"/>
              </w:rPr>
            </w:pPr>
            <w:r w:rsidRPr="00F93F8B">
              <w:rPr>
                <w:rFonts w:ascii="Baskerville Old Face" w:hAnsi="Baskerville Old Face"/>
                <w:i/>
                <w:iCs/>
                <w:sz w:val="20"/>
                <w:szCs w:val="20"/>
              </w:rPr>
              <w:t>Only where legally reviewed, disclosed, and compliant.</w:t>
            </w:r>
          </w:p>
        </w:tc>
      </w:tr>
    </w:tbl>
    <w:p w14:paraId="360128F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This stage discipline prevents a pilot signal from being represented as an investable asset before maturity.</w:t>
      </w:r>
    </w:p>
    <w:p w14:paraId="7451C1DB"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R.4 Evidence inputs</w:t>
      </w:r>
    </w:p>
    <w:p w14:paraId="7F86F61A" w14:textId="7DE0E446"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 analysis may use evidence from multiple domains.</w:t>
      </w:r>
      <w:r w:rsidR="00417105"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4872"/>
        <w:gridCol w:w="3120"/>
      </w:tblGrid>
      <w:tr w:rsidR="00B961DF" w:rsidRPr="00B479AE" w14:paraId="0495BD07" w14:textId="77777777" w:rsidTr="00B961DF">
        <w:trPr>
          <w:tblHeader/>
          <w:tblCellSpacing w:w="15" w:type="dxa"/>
        </w:trPr>
        <w:tc>
          <w:tcPr>
            <w:tcW w:w="0" w:type="auto"/>
            <w:vAlign w:val="center"/>
            <w:hideMark/>
          </w:tcPr>
          <w:p w14:paraId="779C33E9" w14:textId="77777777" w:rsidR="00B961DF" w:rsidRPr="00B479AE" w:rsidRDefault="00B961DF" w:rsidP="00B961D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Evidence domain</w:t>
            </w:r>
          </w:p>
        </w:tc>
        <w:tc>
          <w:tcPr>
            <w:tcW w:w="0" w:type="auto"/>
            <w:vAlign w:val="center"/>
            <w:hideMark/>
          </w:tcPr>
          <w:p w14:paraId="3E806436" w14:textId="77777777" w:rsidR="00B961DF" w:rsidRPr="00B479AE" w:rsidRDefault="00B961DF" w:rsidP="00B961D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Examples</w:t>
            </w:r>
          </w:p>
        </w:tc>
        <w:tc>
          <w:tcPr>
            <w:tcW w:w="0" w:type="auto"/>
            <w:vAlign w:val="center"/>
            <w:hideMark/>
          </w:tcPr>
          <w:p w14:paraId="5E913B1D" w14:textId="77777777" w:rsidR="00B961DF" w:rsidRPr="00B479AE" w:rsidRDefault="00B961DF" w:rsidP="00B961DF">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Role in PRU analysis</w:t>
            </w:r>
          </w:p>
        </w:tc>
      </w:tr>
      <w:tr w:rsidR="00B961DF" w:rsidRPr="00B479AE" w14:paraId="7C46DCF8" w14:textId="77777777" w:rsidTr="00B961DF">
        <w:trPr>
          <w:tblCellSpacing w:w="15" w:type="dxa"/>
        </w:trPr>
        <w:tc>
          <w:tcPr>
            <w:tcW w:w="0" w:type="auto"/>
            <w:vAlign w:val="center"/>
            <w:hideMark/>
          </w:tcPr>
          <w:p w14:paraId="7F8161D2"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Soil function</w:t>
            </w:r>
          </w:p>
        </w:tc>
        <w:tc>
          <w:tcPr>
            <w:tcW w:w="0" w:type="auto"/>
            <w:vAlign w:val="center"/>
            <w:hideMark/>
          </w:tcPr>
          <w:p w14:paraId="2192C2E8"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Soil organic matter, organic carbon, infiltration, aggregate stability, microbial indicators.</w:t>
            </w:r>
          </w:p>
        </w:tc>
        <w:tc>
          <w:tcPr>
            <w:tcW w:w="0" w:type="auto"/>
            <w:vAlign w:val="center"/>
            <w:hideMark/>
          </w:tcPr>
          <w:p w14:paraId="164BFD73"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Regenerative fertility and carbon-related capacity.</w:t>
            </w:r>
          </w:p>
        </w:tc>
      </w:tr>
      <w:tr w:rsidR="00B961DF" w:rsidRPr="00B479AE" w14:paraId="67A86CE6" w14:textId="77777777" w:rsidTr="00B961DF">
        <w:trPr>
          <w:tblCellSpacing w:w="15" w:type="dxa"/>
        </w:trPr>
        <w:tc>
          <w:tcPr>
            <w:tcW w:w="0" w:type="auto"/>
            <w:vAlign w:val="center"/>
            <w:hideMark/>
          </w:tcPr>
          <w:p w14:paraId="45981F23"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Water resilience</w:t>
            </w:r>
          </w:p>
        </w:tc>
        <w:tc>
          <w:tcPr>
            <w:tcW w:w="0" w:type="auto"/>
            <w:vAlign w:val="center"/>
            <w:hideMark/>
          </w:tcPr>
          <w:p w14:paraId="77EF6418"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Retention, infiltration, irrigation reduction, runoff reduction, soil moisture stability.</w:t>
            </w:r>
          </w:p>
        </w:tc>
        <w:tc>
          <w:tcPr>
            <w:tcW w:w="0" w:type="auto"/>
            <w:vAlign w:val="center"/>
            <w:hideMark/>
          </w:tcPr>
          <w:p w14:paraId="35DFD984"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Hydrological resilience and risk reduction.</w:t>
            </w:r>
          </w:p>
        </w:tc>
      </w:tr>
      <w:tr w:rsidR="00B961DF" w:rsidRPr="00B479AE" w14:paraId="6499EAB8" w14:textId="77777777" w:rsidTr="00B961DF">
        <w:trPr>
          <w:tblCellSpacing w:w="15" w:type="dxa"/>
        </w:trPr>
        <w:tc>
          <w:tcPr>
            <w:tcW w:w="0" w:type="auto"/>
            <w:vAlign w:val="center"/>
            <w:hideMark/>
          </w:tcPr>
          <w:p w14:paraId="4366AC7D"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Biodiversity</w:t>
            </w:r>
          </w:p>
        </w:tc>
        <w:tc>
          <w:tcPr>
            <w:tcW w:w="0" w:type="auto"/>
            <w:vAlign w:val="center"/>
            <w:hideMark/>
          </w:tcPr>
          <w:p w14:paraId="54F417B1"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Species richness, pollinators, functional diversity, habitat structure.</w:t>
            </w:r>
          </w:p>
        </w:tc>
        <w:tc>
          <w:tcPr>
            <w:tcW w:w="0" w:type="auto"/>
            <w:vAlign w:val="center"/>
            <w:hideMark/>
          </w:tcPr>
          <w:p w14:paraId="333DCACD"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Ecological function and resilience.</w:t>
            </w:r>
          </w:p>
        </w:tc>
      </w:tr>
      <w:tr w:rsidR="00B961DF" w:rsidRPr="00B479AE" w14:paraId="14E824A7" w14:textId="77777777" w:rsidTr="00B961DF">
        <w:trPr>
          <w:tblCellSpacing w:w="15" w:type="dxa"/>
        </w:trPr>
        <w:tc>
          <w:tcPr>
            <w:tcW w:w="0" w:type="auto"/>
            <w:vAlign w:val="center"/>
            <w:hideMark/>
          </w:tcPr>
          <w:p w14:paraId="7FCE8349"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Productivity</w:t>
            </w:r>
          </w:p>
        </w:tc>
        <w:tc>
          <w:tcPr>
            <w:tcW w:w="0" w:type="auto"/>
            <w:vAlign w:val="center"/>
            <w:hideMark/>
          </w:tcPr>
          <w:p w14:paraId="308F7DAF"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Yield diversity, edible biomass, useful biomass, seasonal stability.</w:t>
            </w:r>
          </w:p>
        </w:tc>
        <w:tc>
          <w:tcPr>
            <w:tcW w:w="0" w:type="auto"/>
            <w:vAlign w:val="center"/>
            <w:hideMark/>
          </w:tcPr>
          <w:p w14:paraId="0BD56749"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Productive viability and regenerative economics.</w:t>
            </w:r>
          </w:p>
        </w:tc>
      </w:tr>
      <w:tr w:rsidR="00B961DF" w:rsidRPr="00B479AE" w14:paraId="52C44785" w14:textId="77777777" w:rsidTr="00B961DF">
        <w:trPr>
          <w:tblCellSpacing w:w="15" w:type="dxa"/>
        </w:trPr>
        <w:tc>
          <w:tcPr>
            <w:tcW w:w="0" w:type="auto"/>
            <w:vAlign w:val="center"/>
            <w:hideMark/>
          </w:tcPr>
          <w:p w14:paraId="28D2D8EF"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Input dependency</w:t>
            </w:r>
          </w:p>
        </w:tc>
        <w:tc>
          <w:tcPr>
            <w:tcW w:w="0" w:type="auto"/>
            <w:vAlign w:val="center"/>
            <w:hideMark/>
          </w:tcPr>
          <w:p w14:paraId="3BD9207E"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Fertilizer, irrigation, pesticides, external amendments, purchased inputs, energy.</w:t>
            </w:r>
          </w:p>
        </w:tc>
        <w:tc>
          <w:tcPr>
            <w:tcW w:w="0" w:type="auto"/>
            <w:vAlign w:val="center"/>
            <w:hideMark/>
          </w:tcPr>
          <w:p w14:paraId="13C0492F"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System autonomy and risk compression.</w:t>
            </w:r>
          </w:p>
        </w:tc>
      </w:tr>
      <w:tr w:rsidR="00B961DF" w:rsidRPr="00B479AE" w14:paraId="7929C65D" w14:textId="77777777" w:rsidTr="00B961DF">
        <w:trPr>
          <w:tblCellSpacing w:w="15" w:type="dxa"/>
        </w:trPr>
        <w:tc>
          <w:tcPr>
            <w:tcW w:w="0" w:type="auto"/>
            <w:vAlign w:val="center"/>
            <w:hideMark/>
          </w:tcPr>
          <w:p w14:paraId="4EF8A30A"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Operational reliability</w:t>
            </w:r>
          </w:p>
        </w:tc>
        <w:tc>
          <w:tcPr>
            <w:tcW w:w="0" w:type="auto"/>
            <w:vAlign w:val="center"/>
            <w:hideMark/>
          </w:tcPr>
          <w:p w14:paraId="33939BC9"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Maintenance records, field logs, intervention execution, mortality rates.</w:t>
            </w:r>
          </w:p>
        </w:tc>
        <w:tc>
          <w:tcPr>
            <w:tcW w:w="0" w:type="auto"/>
            <w:vAlign w:val="center"/>
            <w:hideMark/>
          </w:tcPr>
          <w:p w14:paraId="40CC501A"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Implementation credibility.</w:t>
            </w:r>
          </w:p>
        </w:tc>
      </w:tr>
      <w:tr w:rsidR="00B961DF" w:rsidRPr="00B479AE" w14:paraId="1CFF3547" w14:textId="77777777" w:rsidTr="00B961DF">
        <w:trPr>
          <w:tblCellSpacing w:w="15" w:type="dxa"/>
        </w:trPr>
        <w:tc>
          <w:tcPr>
            <w:tcW w:w="0" w:type="auto"/>
            <w:vAlign w:val="center"/>
            <w:hideMark/>
          </w:tcPr>
          <w:p w14:paraId="52ABE495"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Governance maturity</w:t>
            </w:r>
          </w:p>
        </w:tc>
        <w:tc>
          <w:tcPr>
            <w:tcW w:w="0" w:type="auto"/>
            <w:vAlign w:val="center"/>
            <w:hideMark/>
          </w:tcPr>
          <w:p w14:paraId="276CF947"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Role clarity, decision logs, review pathways, conflict handling.</w:t>
            </w:r>
          </w:p>
        </w:tc>
        <w:tc>
          <w:tcPr>
            <w:tcW w:w="0" w:type="auto"/>
            <w:vAlign w:val="center"/>
            <w:hideMark/>
          </w:tcPr>
          <w:p w14:paraId="1AA3E7C5"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Institutional reliability.</w:t>
            </w:r>
          </w:p>
        </w:tc>
      </w:tr>
      <w:tr w:rsidR="00B961DF" w:rsidRPr="00B479AE" w14:paraId="7782A78B" w14:textId="77777777" w:rsidTr="00B961DF">
        <w:trPr>
          <w:tblCellSpacing w:w="15" w:type="dxa"/>
        </w:trPr>
        <w:tc>
          <w:tcPr>
            <w:tcW w:w="0" w:type="auto"/>
            <w:vAlign w:val="center"/>
            <w:hideMark/>
          </w:tcPr>
          <w:p w14:paraId="05ABADED"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Legal readiness</w:t>
            </w:r>
          </w:p>
        </w:tc>
        <w:tc>
          <w:tcPr>
            <w:tcW w:w="0" w:type="auto"/>
            <w:vAlign w:val="center"/>
            <w:hideMark/>
          </w:tcPr>
          <w:p w14:paraId="263C1B5D"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Land rights, contracts, data rights, investor boundary, token boundary.</w:t>
            </w:r>
          </w:p>
        </w:tc>
        <w:tc>
          <w:tcPr>
            <w:tcW w:w="0" w:type="auto"/>
            <w:vAlign w:val="center"/>
            <w:hideMark/>
          </w:tcPr>
          <w:p w14:paraId="6AF29673"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Enforceability and capital readiness.</w:t>
            </w:r>
          </w:p>
        </w:tc>
      </w:tr>
      <w:tr w:rsidR="00B961DF" w:rsidRPr="00B479AE" w14:paraId="22C5E6F0" w14:textId="77777777" w:rsidTr="00B961DF">
        <w:trPr>
          <w:tblCellSpacing w:w="15" w:type="dxa"/>
        </w:trPr>
        <w:tc>
          <w:tcPr>
            <w:tcW w:w="0" w:type="auto"/>
            <w:vAlign w:val="center"/>
            <w:hideMark/>
          </w:tcPr>
          <w:p w14:paraId="6A6283BE"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Continuity resilience</w:t>
            </w:r>
          </w:p>
        </w:tc>
        <w:tc>
          <w:tcPr>
            <w:tcW w:w="0" w:type="auto"/>
            <w:vAlign w:val="center"/>
            <w:hideMark/>
          </w:tcPr>
          <w:p w14:paraId="606500CA"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Canonical records, offline archives, signed releases, repository integrity.</w:t>
            </w:r>
          </w:p>
        </w:tc>
        <w:tc>
          <w:tcPr>
            <w:tcW w:w="0" w:type="auto"/>
            <w:vAlign w:val="center"/>
            <w:hideMark/>
          </w:tcPr>
          <w:p w14:paraId="1DDC2D63"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Long-term trust and institutional continuity.</w:t>
            </w:r>
          </w:p>
        </w:tc>
      </w:tr>
      <w:tr w:rsidR="00B961DF" w:rsidRPr="00B479AE" w14:paraId="4E501E17" w14:textId="77777777" w:rsidTr="00B961DF">
        <w:trPr>
          <w:tblCellSpacing w:w="15" w:type="dxa"/>
        </w:trPr>
        <w:tc>
          <w:tcPr>
            <w:tcW w:w="0" w:type="auto"/>
            <w:vAlign w:val="center"/>
            <w:hideMark/>
          </w:tcPr>
          <w:p w14:paraId="1D3952F7"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b/>
                <w:bCs/>
                <w:i/>
                <w:iCs/>
                <w:sz w:val="22"/>
                <w:szCs w:val="22"/>
              </w:rPr>
              <w:t>MRV confidence</w:t>
            </w:r>
          </w:p>
        </w:tc>
        <w:tc>
          <w:tcPr>
            <w:tcW w:w="0" w:type="auto"/>
            <w:vAlign w:val="center"/>
            <w:hideMark/>
          </w:tcPr>
          <w:p w14:paraId="3B309609"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Provenance, sampling, cross-source validation, third-party review.</w:t>
            </w:r>
          </w:p>
        </w:tc>
        <w:tc>
          <w:tcPr>
            <w:tcW w:w="0" w:type="auto"/>
            <w:vAlign w:val="center"/>
            <w:hideMark/>
          </w:tcPr>
          <w:p w14:paraId="51F8BBF9" w14:textId="77777777" w:rsidR="00B961DF" w:rsidRPr="00B479AE" w:rsidRDefault="00B961DF" w:rsidP="00B961DF">
            <w:pPr>
              <w:spacing w:line="360" w:lineRule="auto"/>
              <w:rPr>
                <w:rFonts w:ascii="Baskerville Old Face" w:hAnsi="Baskerville Old Face"/>
                <w:i/>
                <w:iCs/>
                <w:sz w:val="22"/>
                <w:szCs w:val="22"/>
              </w:rPr>
            </w:pPr>
            <w:r w:rsidRPr="00B479AE">
              <w:rPr>
                <w:rFonts w:ascii="Baskerville Old Face" w:hAnsi="Baskerville Old Face"/>
                <w:i/>
                <w:iCs/>
                <w:sz w:val="22"/>
                <w:szCs w:val="22"/>
              </w:rPr>
              <w:t>Reliability of the entire PRU analysis.</w:t>
            </w:r>
          </w:p>
        </w:tc>
      </w:tr>
    </w:tbl>
    <w:p w14:paraId="729F420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The quality of PRU analysis depends on the weakest material evidence layer.</w:t>
      </w:r>
    </w:p>
    <w:p w14:paraId="62B3FE8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sophisticated model cannot compensate for poor provenance.</w:t>
      </w:r>
    </w:p>
    <w:p w14:paraId="619F413B"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R.5 Base value function</w:t>
      </w:r>
    </w:p>
    <w:p w14:paraId="3596544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PRU base value may be organized as:</w:t>
      </w:r>
    </w:p>
    <w:p w14:paraId="632B9AC1"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V_base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V_prod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V_ecosystem</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V_human</w:t>
      </w:r>
      <w:proofErr w:type="spellEnd"/>
    </w:p>
    <w:p w14:paraId="1ADCC71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22CE8331" w14:textId="0EDF41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V_prod</w:t>
      </w:r>
      <w:proofErr w:type="spellEnd"/>
      <w:r w:rsidR="00417105" w:rsidRPr="00B479AE">
        <w:rPr>
          <w:rFonts w:ascii="Baskerville Old Face" w:hAnsi="Baskerville Old Face"/>
          <w:i/>
          <w:iCs/>
        </w:rPr>
        <w:t xml:space="preserve"> </w:t>
      </w:r>
      <w:r w:rsidRPr="00B479AE">
        <w:rPr>
          <w:rFonts w:ascii="Baskerville Old Face" w:hAnsi="Baskerville Old Face"/>
          <w:i/>
          <w:iCs/>
        </w:rPr>
        <w:t>= direct productive value</w:t>
      </w:r>
    </w:p>
    <w:p w14:paraId="678BAD5D"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V_ecosystem</w:t>
      </w:r>
      <w:proofErr w:type="spellEnd"/>
      <w:r w:rsidRPr="00B479AE">
        <w:rPr>
          <w:rFonts w:ascii="Baskerville Old Face" w:hAnsi="Baskerville Old Face"/>
          <w:i/>
          <w:iCs/>
        </w:rPr>
        <w:t xml:space="preserve"> = ecosystem-service or ecological-performance value where admissible</w:t>
      </w:r>
    </w:p>
    <w:p w14:paraId="7486BC52" w14:textId="360028D6"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V_human</w:t>
      </w:r>
      <w:proofErr w:type="spellEnd"/>
      <w:r w:rsidR="00417105" w:rsidRPr="00B479AE">
        <w:rPr>
          <w:rFonts w:ascii="Baskerville Old Face" w:hAnsi="Baskerville Old Face"/>
          <w:i/>
          <w:iCs/>
        </w:rPr>
        <w:t xml:space="preserve"> </w:t>
      </w:r>
      <w:r w:rsidRPr="00B479AE">
        <w:rPr>
          <w:rFonts w:ascii="Baskerville Old Face" w:hAnsi="Baskerville Old Face"/>
          <w:i/>
          <w:iCs/>
        </w:rPr>
        <w:t xml:space="preserve">= human-system or systemic value, conditionally admissible only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supported by methodology, evidence, legal review, and institutional pathway</w:t>
      </w:r>
    </w:p>
    <w:p w14:paraId="6FF3996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base value function is not an automatic monetization formula.</w:t>
      </w:r>
    </w:p>
    <w:p w14:paraId="6F523D1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a classification structure.</w:t>
      </w:r>
    </w:p>
    <w:p w14:paraId="40FDBE3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separates productive, ecological, and systemic value so that Prometheus can prevent indiscriminate aggregation, double counting, or premature financial claims.</w:t>
      </w:r>
    </w:p>
    <w:p w14:paraId="61774CB9"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Layer 1 — Core productive value</w:t>
      </w:r>
    </w:p>
    <w:p w14:paraId="38C7420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Core productive value is the most directly observable and cash-relevant layer.</w:t>
      </w:r>
    </w:p>
    <w:p w14:paraId="4F3BF05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include:</w:t>
      </w:r>
    </w:p>
    <w:p w14:paraId="497EFFA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food production;</w:t>
      </w:r>
      <w:r w:rsidRPr="00B479AE">
        <w:rPr>
          <w:rFonts w:ascii="Baskerville Old Face" w:hAnsi="Baskerville Old Face"/>
          <w:i/>
          <w:iCs/>
        </w:rPr>
        <w:br/>
        <w:t>• hospitality revenues;</w:t>
      </w:r>
      <w:r w:rsidRPr="00B479AE">
        <w:rPr>
          <w:rFonts w:ascii="Baskerville Old Face" w:hAnsi="Baskerville Old Face"/>
          <w:i/>
          <w:iCs/>
        </w:rPr>
        <w:br/>
        <w:t>• agroforestry products;</w:t>
      </w:r>
      <w:r w:rsidRPr="00B479AE">
        <w:rPr>
          <w:rFonts w:ascii="Baskerville Old Face" w:hAnsi="Baskerville Old Face"/>
          <w:i/>
          <w:iCs/>
        </w:rPr>
        <w:br/>
        <w:t>• biomass outputs;</w:t>
      </w:r>
      <w:r w:rsidRPr="00B479AE">
        <w:rPr>
          <w:rFonts w:ascii="Baskerville Old Face" w:hAnsi="Baskerville Old Face"/>
          <w:i/>
          <w:iCs/>
        </w:rPr>
        <w:br/>
        <w:t>• education and training services;</w:t>
      </w:r>
      <w:r w:rsidRPr="00B479AE">
        <w:rPr>
          <w:rFonts w:ascii="Baskerville Old Face" w:hAnsi="Baskerville Old Face"/>
          <w:i/>
          <w:iCs/>
        </w:rPr>
        <w:br/>
        <w:t>• regenerative experiences;</w:t>
      </w:r>
      <w:r w:rsidRPr="00B479AE">
        <w:rPr>
          <w:rFonts w:ascii="Baskerville Old Face" w:hAnsi="Baskerville Old Face"/>
          <w:i/>
          <w:iCs/>
        </w:rPr>
        <w:br/>
        <w:t>• local market sales;</w:t>
      </w:r>
      <w:r w:rsidRPr="00B479AE">
        <w:rPr>
          <w:rFonts w:ascii="Baskerville Old Face" w:hAnsi="Baskerville Old Face"/>
          <w:i/>
          <w:iCs/>
        </w:rPr>
        <w:br/>
      </w:r>
      <w:r w:rsidRPr="00B479AE">
        <w:rPr>
          <w:rFonts w:ascii="Baskerville Old Face" w:hAnsi="Baskerville Old Face"/>
          <w:i/>
          <w:iCs/>
        </w:rPr>
        <w:lastRenderedPageBreak/>
        <w:t>• operational cost reduction;</w:t>
      </w:r>
      <w:r w:rsidRPr="00B479AE">
        <w:rPr>
          <w:rFonts w:ascii="Baskerville Old Face" w:hAnsi="Baskerville Old Face"/>
          <w:i/>
          <w:iCs/>
        </w:rPr>
        <w:br/>
        <w:t>• household food substitution where measurable.</w:t>
      </w:r>
    </w:p>
    <w:p w14:paraId="2821CA2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layer is closest to ordinary financial underwriting because it can be linked to actual or projected cash flows.</w:t>
      </w:r>
    </w:p>
    <w:p w14:paraId="335463D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forms the base of financial modeling.</w:t>
      </w:r>
    </w:p>
    <w:p w14:paraId="47877272"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Layer 2 — Ecological performance value</w:t>
      </w:r>
    </w:p>
    <w:p w14:paraId="323E477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Ecological performance value derives from verified improvements in living-system function.</w:t>
      </w:r>
    </w:p>
    <w:p w14:paraId="1A49A2F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include:</w:t>
      </w:r>
    </w:p>
    <w:p w14:paraId="15FC95D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soil organic carbon improvement;</w:t>
      </w:r>
      <w:r w:rsidRPr="00B479AE">
        <w:rPr>
          <w:rFonts w:ascii="Baskerville Old Face" w:hAnsi="Baskerville Old Face"/>
          <w:i/>
          <w:iCs/>
        </w:rPr>
        <w:br/>
        <w:t>• water retention;</w:t>
      </w:r>
      <w:r w:rsidRPr="00B479AE">
        <w:rPr>
          <w:rFonts w:ascii="Baskerville Old Face" w:hAnsi="Baskerville Old Face"/>
          <w:i/>
          <w:iCs/>
        </w:rPr>
        <w:br/>
        <w:t>• infiltration gains;</w:t>
      </w:r>
      <w:r w:rsidRPr="00B479AE">
        <w:rPr>
          <w:rFonts w:ascii="Baskerville Old Face" w:hAnsi="Baskerville Old Face"/>
          <w:i/>
          <w:iCs/>
        </w:rPr>
        <w:br/>
        <w:t>• biodiversity enhancement;</w:t>
      </w:r>
      <w:r w:rsidRPr="00B479AE">
        <w:rPr>
          <w:rFonts w:ascii="Baskerville Old Face" w:hAnsi="Baskerville Old Face"/>
          <w:i/>
          <w:iCs/>
        </w:rPr>
        <w:br/>
        <w:t>• input dependency reduction;</w:t>
      </w:r>
      <w:r w:rsidRPr="00B479AE">
        <w:rPr>
          <w:rFonts w:ascii="Baskerville Old Face" w:hAnsi="Baskerville Old Face"/>
          <w:i/>
          <w:iCs/>
        </w:rPr>
        <w:br/>
        <w:t>• productive stability;</w:t>
      </w:r>
      <w:r w:rsidRPr="00B479AE">
        <w:rPr>
          <w:rFonts w:ascii="Baskerville Old Face" w:hAnsi="Baskerville Old Face"/>
          <w:i/>
          <w:iCs/>
        </w:rPr>
        <w:br/>
        <w:t>• resilience under stress;</w:t>
      </w:r>
      <w:r w:rsidRPr="00B479AE">
        <w:rPr>
          <w:rFonts w:ascii="Baskerville Old Face" w:hAnsi="Baskerville Old Face"/>
          <w:i/>
          <w:iCs/>
        </w:rPr>
        <w:br/>
        <w:t>• biomass cycling;</w:t>
      </w:r>
      <w:r w:rsidRPr="00B479AE">
        <w:rPr>
          <w:rFonts w:ascii="Baskerville Old Face" w:hAnsi="Baskerville Old Face"/>
          <w:i/>
          <w:iCs/>
        </w:rPr>
        <w:br/>
        <w:t>• microclimate effects;</w:t>
      </w:r>
      <w:r w:rsidRPr="00B479AE">
        <w:rPr>
          <w:rFonts w:ascii="Baskerville Old Face" w:hAnsi="Baskerville Old Face"/>
          <w:i/>
          <w:iCs/>
        </w:rPr>
        <w:br/>
        <w:t>• reduced erosion;</w:t>
      </w:r>
      <w:r w:rsidRPr="00B479AE">
        <w:rPr>
          <w:rFonts w:ascii="Baskerville Old Face" w:hAnsi="Baskerville Old Face"/>
          <w:i/>
          <w:iCs/>
        </w:rPr>
        <w:br/>
        <w:t>• ecosystem-service potential.</w:t>
      </w:r>
    </w:p>
    <w:p w14:paraId="160C81D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layer becomes financially relevant only when linked to MRV, confidence scoring, recognized methodologies, contracts, crediting pathways, avoided-cost pathways, insurance logic, procurement logic, or investment underwriting criteria.</w:t>
      </w:r>
    </w:p>
    <w:p w14:paraId="78DCF14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Its value is significant, but it remains evidence-constrained.</w:t>
      </w:r>
    </w:p>
    <w:p w14:paraId="4F22615A"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Layer 3 — Systemic and health-related value</w:t>
      </w:r>
    </w:p>
    <w:p w14:paraId="74FDAB0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Systemic value includes broader effects such as improved nutritional quality, human movement, nature exposure, social coherence, preventive health potential, and territorial resilience.</w:t>
      </w:r>
    </w:p>
    <w:p w14:paraId="429857D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 xml:space="preserve">This layer may be strategically powerful, especially through </w:t>
      </w:r>
      <w:proofErr w:type="spellStart"/>
      <w:r w:rsidRPr="00B479AE">
        <w:rPr>
          <w:rFonts w:ascii="Baskerville Old Face" w:hAnsi="Baskerville Old Face"/>
          <w:i/>
          <w:iCs/>
        </w:rPr>
        <w:t>SyntroGIFT</w:t>
      </w:r>
      <w:proofErr w:type="spellEnd"/>
      <w:r w:rsidRPr="00B479AE">
        <w:rPr>
          <w:rFonts w:ascii="Baskerville Old Face" w:hAnsi="Baskerville Old Face"/>
          <w:i/>
          <w:iCs/>
        </w:rPr>
        <w:t>, public-health partnerships, food-as-medicine programs, insurer collaboration, education, hospitality, research, or public procurement.</w:t>
      </w:r>
    </w:p>
    <w:p w14:paraId="696E6A1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However, it should remain outside base-case financial cash flows unless a contractual, institutional, measurable, and legally reviewed monetization pathway exists.</w:t>
      </w:r>
    </w:p>
    <w:p w14:paraId="4BE984F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discipline protects credibility.</w:t>
      </w:r>
    </w:p>
    <w:p w14:paraId="589E0A6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Prometheus can recognize systemic value without overstating liquidity.</w:t>
      </w:r>
    </w:p>
    <w:p w14:paraId="6A16711F"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R.6 PRU adjusted value function</w:t>
      </w:r>
    </w:p>
    <w:p w14:paraId="79FEA87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conceptual PRU value function may be expressed as:</w:t>
      </w:r>
    </w:p>
    <w:p w14:paraId="3993021A" w14:textId="77777777" w:rsidR="00B961DF" w:rsidRPr="005907F1" w:rsidRDefault="00B961DF" w:rsidP="00B961DF">
      <w:pPr>
        <w:spacing w:line="360" w:lineRule="auto"/>
        <w:rPr>
          <w:rFonts w:ascii="Baskerville Old Face" w:hAnsi="Baskerville Old Face"/>
          <w:i/>
          <w:iCs/>
          <w:lang w:val="it-IT"/>
        </w:rPr>
      </w:pPr>
      <w:r w:rsidRPr="005907F1">
        <w:rPr>
          <w:rFonts w:ascii="Baskerville Old Face" w:hAnsi="Baskerville Old Face"/>
          <w:i/>
          <w:iCs/>
          <w:lang w:val="it-IT"/>
        </w:rPr>
        <w:t xml:space="preserve">V_PRU = </w:t>
      </w:r>
      <w:proofErr w:type="spellStart"/>
      <w:r w:rsidRPr="005907F1">
        <w:rPr>
          <w:rFonts w:ascii="Baskerville Old Face" w:hAnsi="Baskerville Old Face"/>
          <w:i/>
          <w:iCs/>
          <w:lang w:val="it-IT"/>
        </w:rPr>
        <w:t>V_base</w:t>
      </w:r>
      <w:proofErr w:type="spellEnd"/>
      <w:r w:rsidRPr="005907F1">
        <w:rPr>
          <w:rFonts w:ascii="Baskerville Old Face" w:hAnsi="Baskerville Old Face"/>
          <w:i/>
          <w:iCs/>
          <w:lang w:val="it-IT"/>
        </w:rPr>
        <w:t xml:space="preserve"> × (1 + </w:t>
      </w:r>
      <w:r w:rsidRPr="00B479AE">
        <w:rPr>
          <w:rFonts w:ascii="Cambria" w:hAnsi="Cambria" w:cs="Cambria"/>
          <w:i/>
          <w:iCs/>
        </w:rPr>
        <w:t>λ</w:t>
      </w:r>
      <w:r w:rsidRPr="005907F1">
        <w:rPr>
          <w:rFonts w:ascii="Cambria" w:hAnsi="Cambria" w:cs="Cambria"/>
          <w:i/>
          <w:iCs/>
          <w:lang w:val="it-IT"/>
        </w:rPr>
        <w:t>₁</w:t>
      </w:r>
      <w:r w:rsidRPr="005907F1">
        <w:rPr>
          <w:rFonts w:ascii="Baskerville Old Face" w:hAnsi="Baskerville Old Face"/>
          <w:i/>
          <w:iCs/>
          <w:lang w:val="it-IT"/>
        </w:rPr>
        <w:t xml:space="preserve">SRI + </w:t>
      </w:r>
      <w:r w:rsidRPr="00B479AE">
        <w:rPr>
          <w:rFonts w:ascii="Cambria" w:hAnsi="Cambria" w:cs="Cambria"/>
          <w:i/>
          <w:iCs/>
        </w:rPr>
        <w:t>λ</w:t>
      </w:r>
      <w:r w:rsidRPr="005907F1">
        <w:rPr>
          <w:rFonts w:ascii="Cambria" w:hAnsi="Cambria" w:cs="Cambria"/>
          <w:i/>
          <w:iCs/>
          <w:lang w:val="it-IT"/>
        </w:rPr>
        <w:t>₂</w:t>
      </w:r>
      <w:r w:rsidRPr="005907F1">
        <w:rPr>
          <w:rFonts w:ascii="Baskerville Old Face" w:hAnsi="Baskerville Old Face"/>
          <w:i/>
          <w:iCs/>
          <w:lang w:val="it-IT"/>
        </w:rPr>
        <w:t xml:space="preserve">RPI + </w:t>
      </w:r>
      <w:r w:rsidRPr="00B479AE">
        <w:rPr>
          <w:rFonts w:ascii="Cambria" w:hAnsi="Cambria" w:cs="Cambria"/>
          <w:i/>
          <w:iCs/>
        </w:rPr>
        <w:t>λ</w:t>
      </w:r>
      <w:r w:rsidRPr="005907F1">
        <w:rPr>
          <w:rFonts w:ascii="Cambria" w:hAnsi="Cambria" w:cs="Cambria"/>
          <w:i/>
          <w:iCs/>
          <w:lang w:val="it-IT"/>
        </w:rPr>
        <w:t>₃</w:t>
      </w:r>
      <w:r w:rsidRPr="005907F1">
        <w:rPr>
          <w:rFonts w:ascii="Baskerville Old Face" w:hAnsi="Baskerville Old Face"/>
          <w:i/>
          <w:iCs/>
          <w:lang w:val="it-IT"/>
        </w:rPr>
        <w:t xml:space="preserve">CESI) </w:t>
      </w:r>
      <w:r w:rsidRPr="005907F1">
        <w:rPr>
          <w:rFonts w:ascii="Baskerville Old Face" w:hAnsi="Baskerville Old Face" w:cs="Baskerville Old Face"/>
          <w:i/>
          <w:iCs/>
          <w:lang w:val="it-IT"/>
        </w:rPr>
        <w:t>×</w:t>
      </w:r>
      <w:r w:rsidRPr="005907F1">
        <w:rPr>
          <w:rFonts w:ascii="Baskerville Old Face" w:hAnsi="Baskerville Old Face"/>
          <w:i/>
          <w:iCs/>
          <w:lang w:val="it-IT"/>
        </w:rPr>
        <w:t xml:space="preserve"> C</w:t>
      </w:r>
    </w:p>
    <w:p w14:paraId="57C483E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2905E4D4" w14:textId="77777777" w:rsidR="00B961DF" w:rsidRPr="00B479AE" w:rsidRDefault="00B961DF" w:rsidP="00B961DF">
      <w:pPr>
        <w:spacing w:line="360" w:lineRule="auto"/>
        <w:rPr>
          <w:rFonts w:ascii="Baskerville Old Face" w:hAnsi="Baskerville Old Face"/>
          <w:i/>
          <w:iCs/>
        </w:rPr>
      </w:pPr>
      <w:r w:rsidRPr="00B479AE">
        <w:rPr>
          <w:rFonts w:ascii="Cambria" w:hAnsi="Cambria" w:cs="Cambria"/>
          <w:i/>
          <w:iCs/>
        </w:rPr>
        <w:t>λ₁</w:t>
      </w:r>
      <w:r w:rsidRPr="00B479AE">
        <w:rPr>
          <w:rFonts w:ascii="Baskerville Old Face" w:hAnsi="Baskerville Old Face"/>
          <w:i/>
          <w:iCs/>
        </w:rPr>
        <w:t xml:space="preserve">, </w:t>
      </w:r>
      <w:r w:rsidRPr="00B479AE">
        <w:rPr>
          <w:rFonts w:ascii="Cambria" w:hAnsi="Cambria" w:cs="Cambria"/>
          <w:i/>
          <w:iCs/>
        </w:rPr>
        <w:t>λ₂</w:t>
      </w:r>
      <w:r w:rsidRPr="00B479AE">
        <w:rPr>
          <w:rFonts w:ascii="Baskerville Old Face" w:hAnsi="Baskerville Old Face"/>
          <w:i/>
          <w:iCs/>
        </w:rPr>
        <w:t xml:space="preserve">, </w:t>
      </w:r>
      <w:r w:rsidRPr="00B479AE">
        <w:rPr>
          <w:rFonts w:ascii="Cambria" w:hAnsi="Cambria" w:cs="Cambria"/>
          <w:i/>
          <w:iCs/>
        </w:rPr>
        <w:t>λ₃</w:t>
      </w:r>
      <w:r w:rsidRPr="00B479AE">
        <w:rPr>
          <w:rFonts w:ascii="Baskerville Old Face" w:hAnsi="Baskerville Old Face"/>
          <w:i/>
          <w:iCs/>
        </w:rPr>
        <w:t xml:space="preserve"> = methodology-defined weights</w:t>
      </w:r>
    </w:p>
    <w:p w14:paraId="622868A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SRI, RPI, CESI </w:t>
      </w:r>
      <w:r w:rsidRPr="00B479AE">
        <w:rPr>
          <w:rFonts w:ascii="Cambria Math" w:hAnsi="Cambria Math" w:cs="Cambria Math"/>
          <w:i/>
          <w:iCs/>
        </w:rPr>
        <w:t>∈</w:t>
      </w:r>
      <w:r w:rsidRPr="00B479AE">
        <w:rPr>
          <w:rFonts w:ascii="Baskerville Old Face" w:hAnsi="Baskerville Old Face"/>
          <w:i/>
          <w:iCs/>
        </w:rPr>
        <w:t xml:space="preserve"> [0,1]</w:t>
      </w:r>
    </w:p>
    <w:p w14:paraId="43441ED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C </w:t>
      </w:r>
      <w:r w:rsidRPr="00B479AE">
        <w:rPr>
          <w:rFonts w:ascii="Cambria Math" w:hAnsi="Cambria Math" w:cs="Cambria Math"/>
          <w:i/>
          <w:iCs/>
        </w:rPr>
        <w:t>∈</w:t>
      </w:r>
      <w:r w:rsidRPr="00B479AE">
        <w:rPr>
          <w:rFonts w:ascii="Baskerville Old Face" w:hAnsi="Baskerville Old Face"/>
          <w:i/>
          <w:iCs/>
        </w:rPr>
        <w:t xml:space="preserve"> [0,1]</w:t>
      </w:r>
    </w:p>
    <w:p w14:paraId="275F28B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SRI contributes resilience and risk-compression logic.</w:t>
      </w:r>
    </w:p>
    <w:p w14:paraId="08A8F64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RPI contributes regenerative productivity logic.</w:t>
      </w:r>
    </w:p>
    <w:p w14:paraId="54FDC64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CESI contributes cooperative ecological surplus logic.</w:t>
      </w:r>
    </w:p>
    <w:p w14:paraId="26AD927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 prevents weak evidence from producing inflated value.</w:t>
      </w:r>
    </w:p>
    <w:p w14:paraId="6BD91AA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formula is valid only as a methodology-bound analytical structure.</w:t>
      </w:r>
    </w:p>
    <w:p w14:paraId="02DF50D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does not create market price, investment value, token value, or legal entitlement by itself.</w:t>
      </w:r>
    </w:p>
    <w:p w14:paraId="4C2CB3A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operative methodology must define:</w:t>
      </w:r>
    </w:p>
    <w:p w14:paraId="69F4D0F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indicator families;</w:t>
      </w:r>
      <w:r w:rsidRPr="00B479AE">
        <w:rPr>
          <w:rFonts w:ascii="Baskerville Old Face" w:hAnsi="Baskerville Old Face"/>
          <w:i/>
          <w:iCs/>
        </w:rPr>
        <w:br/>
        <w:t>• measurement units;</w:t>
      </w:r>
      <w:r w:rsidRPr="00B479AE">
        <w:rPr>
          <w:rFonts w:ascii="Baskerville Old Face" w:hAnsi="Baskerville Old Face"/>
          <w:i/>
          <w:iCs/>
        </w:rPr>
        <w:br/>
      </w:r>
      <w:r w:rsidRPr="00B479AE">
        <w:rPr>
          <w:rFonts w:ascii="Baskerville Old Face" w:hAnsi="Baskerville Old Face"/>
          <w:i/>
          <w:iCs/>
        </w:rPr>
        <w:lastRenderedPageBreak/>
        <w:t>• baselines;</w:t>
      </w:r>
      <w:r w:rsidRPr="00B479AE">
        <w:rPr>
          <w:rFonts w:ascii="Baskerville Old Face" w:hAnsi="Baskerville Old Face"/>
          <w:i/>
          <w:iCs/>
        </w:rPr>
        <w:br/>
        <w:t>• time horizons;</w:t>
      </w:r>
      <w:r w:rsidRPr="00B479AE">
        <w:rPr>
          <w:rFonts w:ascii="Baskerville Old Face" w:hAnsi="Baskerville Old Face"/>
          <w:i/>
          <w:iCs/>
        </w:rPr>
        <w:br/>
        <w:t>• weights;</w:t>
      </w:r>
      <w:r w:rsidRPr="00B479AE">
        <w:rPr>
          <w:rFonts w:ascii="Baskerville Old Face" w:hAnsi="Baskerville Old Face"/>
          <w:i/>
          <w:iCs/>
        </w:rPr>
        <w:br/>
        <w:t>• confidence adjustments;</w:t>
      </w:r>
      <w:r w:rsidRPr="00B479AE">
        <w:rPr>
          <w:rFonts w:ascii="Baskerville Old Face" w:hAnsi="Baskerville Old Face"/>
          <w:i/>
          <w:iCs/>
        </w:rPr>
        <w:br/>
        <w:t>• admissibility thresholds;</w:t>
      </w:r>
      <w:r w:rsidRPr="00B479AE">
        <w:rPr>
          <w:rFonts w:ascii="Baskerville Old Face" w:hAnsi="Baskerville Old Face"/>
          <w:i/>
          <w:iCs/>
        </w:rPr>
        <w:br/>
        <w:t>• review pathways;</w:t>
      </w:r>
      <w:r w:rsidRPr="00B479AE">
        <w:rPr>
          <w:rFonts w:ascii="Baskerville Old Face" w:hAnsi="Baskerville Old Face"/>
          <w:i/>
          <w:iCs/>
        </w:rPr>
        <w:br/>
        <w:t>• limitations;</w:t>
      </w:r>
      <w:r w:rsidRPr="00B479AE">
        <w:rPr>
          <w:rFonts w:ascii="Baskerville Old Face" w:hAnsi="Baskerville Old Face"/>
          <w:i/>
          <w:iCs/>
        </w:rPr>
        <w:br/>
        <w:t>• update frequency.</w:t>
      </w:r>
    </w:p>
    <w:p w14:paraId="700115D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No PRU score or PRU value estimate should be used without its methodology version and evidence profile.</w:t>
      </w:r>
    </w:p>
    <w:p w14:paraId="74AF432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score is only as strong as the evidence beneath it.</w:t>
      </w:r>
    </w:p>
    <w:p w14:paraId="351471F5"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R.7 Syntropic Resilience Index</w:t>
      </w:r>
    </w:p>
    <w:p w14:paraId="6C64A58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Syntropic Resilience Index, or SRI, measures the internal adaptive capacity of a regenerative unit.</w:t>
      </w:r>
    </w:p>
    <w:p w14:paraId="6C3062D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be expressed as:</w:t>
      </w:r>
    </w:p>
    <w:p w14:paraId="174C068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SRI = </w:t>
      </w:r>
      <w:proofErr w:type="spellStart"/>
      <w:r w:rsidRPr="00B479AE">
        <w:rPr>
          <w:rFonts w:ascii="Baskerville Old Face" w:hAnsi="Baskerville Old Face"/>
          <w:i/>
          <w:iCs/>
        </w:rPr>
        <w:t>w_HH</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w_SS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w_FF</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w_BB</w:t>
      </w:r>
      <w:proofErr w:type="spellEnd"/>
    </w:p>
    <w:p w14:paraId="5AA2523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subject to:</w:t>
      </w:r>
    </w:p>
    <w:p w14:paraId="2038C92C"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w_H</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w_F</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w_B</w:t>
      </w:r>
      <w:proofErr w:type="spellEnd"/>
      <w:r w:rsidRPr="00B479AE">
        <w:rPr>
          <w:rFonts w:ascii="Baskerville Old Face" w:hAnsi="Baskerville Old Face"/>
          <w:i/>
          <w:iCs/>
        </w:rPr>
        <w:t xml:space="preserve"> = 1</w:t>
      </w:r>
    </w:p>
    <w:p w14:paraId="3D8A518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7E65CEB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H = hydrological intelligence block</w:t>
      </w:r>
    </w:p>
    <w:p w14:paraId="22B8A1F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 = soil metabolic block</w:t>
      </w:r>
    </w:p>
    <w:p w14:paraId="202B60D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F = mycorrhizal and network block</w:t>
      </w:r>
    </w:p>
    <w:p w14:paraId="3B2E201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B = biochemical and defensive intelligence block</w:t>
      </w:r>
    </w:p>
    <w:p w14:paraId="73912CD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SRI may include:</w:t>
      </w:r>
    </w:p>
    <w:p w14:paraId="2371962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 soil organic matter;</w:t>
      </w:r>
      <w:r w:rsidRPr="00B479AE">
        <w:rPr>
          <w:rFonts w:ascii="Baskerville Old Face" w:hAnsi="Baskerville Old Face"/>
          <w:i/>
          <w:iCs/>
        </w:rPr>
        <w:br/>
        <w:t>• soil structure;</w:t>
      </w:r>
      <w:r w:rsidRPr="00B479AE">
        <w:rPr>
          <w:rFonts w:ascii="Baskerville Old Face" w:hAnsi="Baskerville Old Face"/>
          <w:i/>
          <w:iCs/>
        </w:rPr>
        <w:br/>
        <w:t>• microbial activity;</w:t>
      </w:r>
      <w:r w:rsidRPr="00B479AE">
        <w:rPr>
          <w:rFonts w:ascii="Baskerville Old Face" w:hAnsi="Baskerville Old Face"/>
          <w:i/>
          <w:iCs/>
        </w:rPr>
        <w:br/>
        <w:t>• earthworm activity;</w:t>
      </w:r>
      <w:r w:rsidRPr="00B479AE">
        <w:rPr>
          <w:rFonts w:ascii="Baskerville Old Face" w:hAnsi="Baskerville Old Face"/>
          <w:i/>
          <w:iCs/>
        </w:rPr>
        <w:br/>
        <w:t>• infiltration rate;</w:t>
      </w:r>
      <w:r w:rsidRPr="00B479AE">
        <w:rPr>
          <w:rFonts w:ascii="Baskerville Old Face" w:hAnsi="Baskerville Old Face"/>
          <w:i/>
          <w:iCs/>
        </w:rPr>
        <w:br/>
        <w:t>• water retention;</w:t>
      </w:r>
      <w:r w:rsidRPr="00B479AE">
        <w:rPr>
          <w:rFonts w:ascii="Baskerville Old Face" w:hAnsi="Baskerville Old Face"/>
          <w:i/>
          <w:iCs/>
        </w:rPr>
        <w:br/>
        <w:t>• vegetation structure;</w:t>
      </w:r>
      <w:r w:rsidRPr="00B479AE">
        <w:rPr>
          <w:rFonts w:ascii="Baskerville Old Face" w:hAnsi="Baskerville Old Face"/>
          <w:i/>
          <w:iCs/>
        </w:rPr>
        <w:br/>
        <w:t>• biomass cycling;</w:t>
      </w:r>
      <w:r w:rsidRPr="00B479AE">
        <w:rPr>
          <w:rFonts w:ascii="Baskerville Old Face" w:hAnsi="Baskerville Old Face"/>
          <w:i/>
          <w:iCs/>
        </w:rPr>
        <w:br/>
        <w:t>• species diversity;</w:t>
      </w:r>
      <w:r w:rsidRPr="00B479AE">
        <w:rPr>
          <w:rFonts w:ascii="Baskerville Old Face" w:hAnsi="Baskerville Old Face"/>
          <w:i/>
          <w:iCs/>
        </w:rPr>
        <w:br/>
        <w:t>• drought response;</w:t>
      </w:r>
      <w:r w:rsidRPr="00B479AE">
        <w:rPr>
          <w:rFonts w:ascii="Baskerville Old Face" w:hAnsi="Baskerville Old Face"/>
          <w:i/>
          <w:iCs/>
        </w:rPr>
        <w:br/>
        <w:t>• recovery after disturbance.</w:t>
      </w:r>
    </w:p>
    <w:p w14:paraId="57997D6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SRI captures shock absorption, structural stability, adaptive capacity, water resilience, soil vitality, and biological network maturity.</w:t>
      </w:r>
    </w:p>
    <w:p w14:paraId="366BC2B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Its financial relevance lies in risk compression.</w:t>
      </w:r>
    </w:p>
    <w:p w14:paraId="5F199D1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more resilient system may show lower variance, lower input dependency, and greater operational stability.</w:t>
      </w:r>
    </w:p>
    <w:p w14:paraId="74ACD83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SRI should be calculated only from indicators with defined evidence status and confidence level.</w:t>
      </w:r>
    </w:p>
    <w:p w14:paraId="1D68CDFB"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R.8 Regenerative Productivity Index</w:t>
      </w:r>
    </w:p>
    <w:p w14:paraId="58B2C81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Regenerative Productivity Index, or RPI, measures productive performance adjusted for ecological quality.</w:t>
      </w:r>
    </w:p>
    <w:p w14:paraId="5DB2CCC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be expressed as:</w:t>
      </w:r>
    </w:p>
    <w:p w14:paraId="2F66F7D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RPI = </w:t>
      </w:r>
      <w:proofErr w:type="spellStart"/>
      <w:r w:rsidRPr="00B479AE">
        <w:rPr>
          <w:rFonts w:ascii="Baskerville Old Face" w:hAnsi="Baskerville Old Face"/>
          <w:i/>
          <w:iCs/>
        </w:rPr>
        <w:t>a</w:t>
      </w:r>
      <w:r w:rsidRPr="00B479AE">
        <w:rPr>
          <w:rFonts w:ascii="Cambria Math" w:hAnsi="Cambria Math" w:cs="Cambria Math"/>
          <w:i/>
          <w:iCs/>
        </w:rPr>
        <w:t>₁</w:t>
      </w:r>
      <w:r w:rsidRPr="00B479AE">
        <w:rPr>
          <w:rFonts w:ascii="Baskerville Old Face" w:hAnsi="Baskerville Old Face"/>
          <w:i/>
          <w:iCs/>
        </w:rPr>
        <w:t>Y</w:t>
      </w:r>
      <w:proofErr w:type="spellEnd"/>
      <w:r w:rsidRPr="00B479AE">
        <w:rPr>
          <w:rFonts w:ascii="Cambria Math" w:hAnsi="Cambria Math" w:cs="Cambria Math"/>
          <w:i/>
          <w:iCs/>
        </w:rPr>
        <w:t>₁</w:t>
      </w:r>
      <w:r w:rsidRPr="00B479AE">
        <w:rPr>
          <w:rFonts w:ascii="Baskerville Old Face" w:hAnsi="Baskerville Old Face"/>
          <w:i/>
          <w:iCs/>
        </w:rPr>
        <w:t xml:space="preserve"> + </w:t>
      </w:r>
      <w:proofErr w:type="spellStart"/>
      <w:r w:rsidRPr="00B479AE">
        <w:rPr>
          <w:rFonts w:ascii="Baskerville Old Face" w:hAnsi="Baskerville Old Face"/>
          <w:i/>
          <w:iCs/>
        </w:rPr>
        <w:t>a</w:t>
      </w:r>
      <w:r w:rsidRPr="00B479AE">
        <w:rPr>
          <w:rFonts w:ascii="Cambria Math" w:hAnsi="Cambria Math" w:cs="Cambria Math"/>
          <w:i/>
          <w:iCs/>
        </w:rPr>
        <w:t>₂</w:t>
      </w:r>
      <w:r w:rsidRPr="00B479AE">
        <w:rPr>
          <w:rFonts w:ascii="Baskerville Old Face" w:hAnsi="Baskerville Old Face"/>
          <w:i/>
          <w:iCs/>
        </w:rPr>
        <w:t>Y</w:t>
      </w:r>
      <w:proofErr w:type="spellEnd"/>
      <w:r w:rsidRPr="00B479AE">
        <w:rPr>
          <w:rFonts w:ascii="Cambria Math" w:hAnsi="Cambria Math" w:cs="Cambria Math"/>
          <w:i/>
          <w:iCs/>
        </w:rPr>
        <w:t>₂</w:t>
      </w:r>
      <w:r w:rsidRPr="00B479AE">
        <w:rPr>
          <w:rFonts w:ascii="Baskerville Old Face" w:hAnsi="Baskerville Old Face"/>
          <w:i/>
          <w:iCs/>
        </w:rPr>
        <w:t xml:space="preserve"> + </w:t>
      </w:r>
      <w:proofErr w:type="spellStart"/>
      <w:r w:rsidRPr="00B479AE">
        <w:rPr>
          <w:rFonts w:ascii="Baskerville Old Face" w:hAnsi="Baskerville Old Face"/>
          <w:i/>
          <w:iCs/>
        </w:rPr>
        <w:t>a</w:t>
      </w:r>
      <w:r w:rsidRPr="00B479AE">
        <w:rPr>
          <w:rFonts w:ascii="Cambria Math" w:hAnsi="Cambria Math" w:cs="Cambria Math"/>
          <w:i/>
          <w:iCs/>
        </w:rPr>
        <w:t>₃</w:t>
      </w:r>
      <w:r w:rsidRPr="00B479AE">
        <w:rPr>
          <w:rFonts w:ascii="Baskerville Old Face" w:hAnsi="Baskerville Old Face"/>
          <w:i/>
          <w:iCs/>
        </w:rPr>
        <w:t>Y</w:t>
      </w:r>
      <w:proofErr w:type="spellEnd"/>
      <w:r w:rsidRPr="00B479AE">
        <w:rPr>
          <w:rFonts w:ascii="Cambria Math" w:hAnsi="Cambria Math" w:cs="Cambria Math"/>
          <w:i/>
          <w:iCs/>
        </w:rPr>
        <w:t>₃</w:t>
      </w:r>
      <w:r w:rsidRPr="00B479AE">
        <w:rPr>
          <w:rFonts w:ascii="Baskerville Old Face" w:hAnsi="Baskerville Old Face"/>
          <w:i/>
          <w:iCs/>
        </w:rPr>
        <w:t xml:space="preserve"> + </w:t>
      </w:r>
      <w:proofErr w:type="spellStart"/>
      <w:r w:rsidRPr="00B479AE">
        <w:rPr>
          <w:rFonts w:ascii="Baskerville Old Face" w:hAnsi="Baskerville Old Face"/>
          <w:i/>
          <w:iCs/>
        </w:rPr>
        <w:t>a</w:t>
      </w:r>
      <w:r w:rsidRPr="00B479AE">
        <w:rPr>
          <w:rFonts w:ascii="Cambria Math" w:hAnsi="Cambria Math" w:cs="Cambria Math"/>
          <w:i/>
          <w:iCs/>
        </w:rPr>
        <w:t>₄</w:t>
      </w:r>
      <w:r w:rsidRPr="00B479AE">
        <w:rPr>
          <w:rFonts w:ascii="Baskerville Old Face" w:hAnsi="Baskerville Old Face"/>
          <w:i/>
          <w:iCs/>
        </w:rPr>
        <w:t>Y</w:t>
      </w:r>
      <w:proofErr w:type="spellEnd"/>
      <w:r w:rsidRPr="00B479AE">
        <w:rPr>
          <w:rFonts w:ascii="Cambria Math" w:hAnsi="Cambria Math" w:cs="Cambria Math"/>
          <w:i/>
          <w:iCs/>
        </w:rPr>
        <w:t>₄</w:t>
      </w:r>
    </w:p>
    <w:p w14:paraId="1C3F9FA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4FDC45E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Y</w:t>
      </w:r>
      <w:r w:rsidRPr="00B479AE">
        <w:rPr>
          <w:rFonts w:ascii="Cambria Math" w:hAnsi="Cambria Math" w:cs="Cambria Math"/>
          <w:i/>
          <w:iCs/>
        </w:rPr>
        <w:t>₁</w:t>
      </w:r>
      <w:r w:rsidRPr="00B479AE">
        <w:rPr>
          <w:rFonts w:ascii="Baskerville Old Face" w:hAnsi="Baskerville Old Face"/>
          <w:i/>
          <w:iCs/>
        </w:rPr>
        <w:t xml:space="preserve"> = edible or useful yield</w:t>
      </w:r>
    </w:p>
    <w:p w14:paraId="5073456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Y</w:t>
      </w:r>
      <w:r w:rsidRPr="00B479AE">
        <w:rPr>
          <w:rFonts w:ascii="Cambria Math" w:hAnsi="Cambria Math" w:cs="Cambria Math"/>
          <w:i/>
          <w:iCs/>
        </w:rPr>
        <w:t>₂</w:t>
      </w:r>
      <w:r w:rsidRPr="00B479AE">
        <w:rPr>
          <w:rFonts w:ascii="Baskerville Old Face" w:hAnsi="Baskerville Old Face"/>
          <w:i/>
          <w:iCs/>
        </w:rPr>
        <w:t xml:space="preserve"> = diversity-adjusted yield</w:t>
      </w:r>
    </w:p>
    <w:p w14:paraId="713B468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Y</w:t>
      </w:r>
      <w:r w:rsidRPr="00B479AE">
        <w:rPr>
          <w:rFonts w:ascii="Cambria Math" w:hAnsi="Cambria Math" w:cs="Cambria Math"/>
          <w:i/>
          <w:iCs/>
        </w:rPr>
        <w:t>₃</w:t>
      </w:r>
      <w:r w:rsidRPr="00B479AE">
        <w:rPr>
          <w:rFonts w:ascii="Baskerville Old Face" w:hAnsi="Baskerville Old Face"/>
          <w:i/>
          <w:iCs/>
        </w:rPr>
        <w:t xml:space="preserve"> = yield stability</w:t>
      </w:r>
    </w:p>
    <w:p w14:paraId="0A0CAFE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Y</w:t>
      </w:r>
      <w:r w:rsidRPr="00B479AE">
        <w:rPr>
          <w:rFonts w:ascii="Cambria Math" w:hAnsi="Cambria Math" w:cs="Cambria Math"/>
          <w:i/>
          <w:iCs/>
        </w:rPr>
        <w:t>₄</w:t>
      </w:r>
      <w:r w:rsidRPr="00B479AE">
        <w:rPr>
          <w:rFonts w:ascii="Baskerville Old Face" w:hAnsi="Baskerville Old Face"/>
          <w:i/>
          <w:iCs/>
        </w:rPr>
        <w:t xml:space="preserve"> = input independence score</w:t>
      </w:r>
    </w:p>
    <w:p w14:paraId="23C4560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subject to:</w:t>
      </w:r>
    </w:p>
    <w:p w14:paraId="3E253E1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w:t>
      </w:r>
      <w:r w:rsidRPr="00B479AE">
        <w:rPr>
          <w:rFonts w:ascii="Cambria Math" w:hAnsi="Cambria Math" w:cs="Cambria Math"/>
          <w:i/>
          <w:iCs/>
        </w:rPr>
        <w:t>₁</w:t>
      </w:r>
      <w:r w:rsidRPr="00B479AE">
        <w:rPr>
          <w:rFonts w:ascii="Baskerville Old Face" w:hAnsi="Baskerville Old Face"/>
          <w:i/>
          <w:iCs/>
        </w:rPr>
        <w:t xml:space="preserve"> + a</w:t>
      </w:r>
      <w:r w:rsidRPr="00B479AE">
        <w:rPr>
          <w:rFonts w:ascii="Cambria Math" w:hAnsi="Cambria Math" w:cs="Cambria Math"/>
          <w:i/>
          <w:iCs/>
        </w:rPr>
        <w:t>₂</w:t>
      </w:r>
      <w:r w:rsidRPr="00B479AE">
        <w:rPr>
          <w:rFonts w:ascii="Baskerville Old Face" w:hAnsi="Baskerville Old Face"/>
          <w:i/>
          <w:iCs/>
        </w:rPr>
        <w:t xml:space="preserve"> + a</w:t>
      </w:r>
      <w:r w:rsidRPr="00B479AE">
        <w:rPr>
          <w:rFonts w:ascii="Cambria Math" w:hAnsi="Cambria Math" w:cs="Cambria Math"/>
          <w:i/>
          <w:iCs/>
        </w:rPr>
        <w:t>₃</w:t>
      </w:r>
      <w:r w:rsidRPr="00B479AE">
        <w:rPr>
          <w:rFonts w:ascii="Baskerville Old Face" w:hAnsi="Baskerville Old Face"/>
          <w:i/>
          <w:iCs/>
        </w:rPr>
        <w:t xml:space="preserve"> + a</w:t>
      </w:r>
      <w:r w:rsidRPr="00B479AE">
        <w:rPr>
          <w:rFonts w:ascii="Cambria Math" w:hAnsi="Cambria Math" w:cs="Cambria Math"/>
          <w:i/>
          <w:iCs/>
        </w:rPr>
        <w:t>₄</w:t>
      </w:r>
      <w:r w:rsidRPr="00B479AE">
        <w:rPr>
          <w:rFonts w:ascii="Baskerville Old Face" w:hAnsi="Baskerville Old Face"/>
          <w:i/>
          <w:iCs/>
        </w:rPr>
        <w:t xml:space="preserve"> = 1</w:t>
      </w:r>
    </w:p>
    <w:p w14:paraId="35CB88E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RPI may include:</w:t>
      </w:r>
    </w:p>
    <w:p w14:paraId="5C50585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edible biomass output;</w:t>
      </w:r>
      <w:r w:rsidRPr="00B479AE">
        <w:rPr>
          <w:rFonts w:ascii="Baskerville Old Face" w:hAnsi="Baskerville Old Face"/>
          <w:i/>
          <w:iCs/>
        </w:rPr>
        <w:br/>
        <w:t>• crop diversity;</w:t>
      </w:r>
      <w:r w:rsidRPr="00B479AE">
        <w:rPr>
          <w:rFonts w:ascii="Baskerville Old Face" w:hAnsi="Baskerville Old Face"/>
          <w:i/>
          <w:iCs/>
        </w:rPr>
        <w:br/>
        <w:t>• seasonal yield distribution;</w:t>
      </w:r>
      <w:r w:rsidRPr="00B479AE">
        <w:rPr>
          <w:rFonts w:ascii="Baskerville Old Face" w:hAnsi="Baskerville Old Face"/>
          <w:i/>
          <w:iCs/>
        </w:rPr>
        <w:br/>
        <w:t>• yield stability;</w:t>
      </w:r>
      <w:r w:rsidRPr="00B479AE">
        <w:rPr>
          <w:rFonts w:ascii="Baskerville Old Face" w:hAnsi="Baskerville Old Face"/>
          <w:i/>
          <w:iCs/>
        </w:rPr>
        <w:br/>
        <w:t>• nutritional potential;</w:t>
      </w:r>
      <w:r w:rsidRPr="00B479AE">
        <w:rPr>
          <w:rFonts w:ascii="Baskerville Old Face" w:hAnsi="Baskerville Old Face"/>
          <w:i/>
          <w:iCs/>
        </w:rPr>
        <w:br/>
        <w:t>• input efficiency;</w:t>
      </w:r>
      <w:r w:rsidRPr="00B479AE">
        <w:rPr>
          <w:rFonts w:ascii="Baskerville Old Face" w:hAnsi="Baskerville Old Face"/>
          <w:i/>
          <w:iCs/>
        </w:rPr>
        <w:br/>
        <w:t>• productivity per unit of water;</w:t>
      </w:r>
      <w:r w:rsidRPr="00B479AE">
        <w:rPr>
          <w:rFonts w:ascii="Baskerville Old Face" w:hAnsi="Baskerville Old Face"/>
          <w:i/>
          <w:iCs/>
        </w:rPr>
        <w:br/>
        <w:t>• productivity per unit of external input;</w:t>
      </w:r>
      <w:r w:rsidRPr="00B479AE">
        <w:rPr>
          <w:rFonts w:ascii="Baskerville Old Face" w:hAnsi="Baskerville Old Face"/>
          <w:i/>
          <w:iCs/>
        </w:rPr>
        <w:br/>
        <w:t>• productive maturation over time.</w:t>
      </w:r>
    </w:p>
    <w:p w14:paraId="1158F71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RPI measures productivity under ecological constraints.</w:t>
      </w:r>
    </w:p>
    <w:p w14:paraId="1D0B004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rewards output quality, diversity, temporal stability, and reduced dependency on external inputs.</w:t>
      </w:r>
    </w:p>
    <w:p w14:paraId="4A1640A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does not reward extractive yield that degrades the system.</w:t>
      </w:r>
    </w:p>
    <w:p w14:paraId="52BAAAC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system that produces while degrading itself is not regenerative.</w:t>
      </w:r>
    </w:p>
    <w:p w14:paraId="5E37181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system that produces while strengthening its foundations is.</w:t>
      </w:r>
    </w:p>
    <w:p w14:paraId="4B103F98"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R.9 Cooperative Ecological Surplus Index</w:t>
      </w:r>
    </w:p>
    <w:p w14:paraId="49647E2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Cooperative Ecological Surplus Index, or CESI, measures the surplus generated by biological relationships.</w:t>
      </w:r>
    </w:p>
    <w:p w14:paraId="2F48065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be expressed as:</w:t>
      </w:r>
    </w:p>
    <w:p w14:paraId="79281A9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CESI = </w:t>
      </w:r>
      <w:proofErr w:type="spellStart"/>
      <w:r w:rsidRPr="00B479AE">
        <w:rPr>
          <w:rFonts w:ascii="Baskerville Old Face" w:hAnsi="Baskerville Old Face"/>
          <w:i/>
          <w:iCs/>
        </w:rPr>
        <w:t>b</w:t>
      </w:r>
      <w:r w:rsidRPr="00B479AE">
        <w:rPr>
          <w:rFonts w:ascii="Cambria Math" w:hAnsi="Cambria Math" w:cs="Cambria Math"/>
          <w:i/>
          <w:iCs/>
        </w:rPr>
        <w:t>₁</w:t>
      </w:r>
      <w:r w:rsidRPr="00B479AE">
        <w:rPr>
          <w:rFonts w:ascii="Baskerville Old Face" w:hAnsi="Baskerville Old Face"/>
          <w:i/>
          <w:iCs/>
        </w:rPr>
        <w:t>F</w:t>
      </w:r>
      <w:proofErr w:type="spellEnd"/>
      <w:r w:rsidRPr="00B479AE">
        <w:rPr>
          <w:rFonts w:ascii="Cambria Math" w:hAnsi="Cambria Math" w:cs="Cambria Math"/>
          <w:i/>
          <w:iCs/>
        </w:rPr>
        <w:t>₂</w:t>
      </w:r>
      <w:r w:rsidRPr="00B479AE">
        <w:rPr>
          <w:rFonts w:ascii="Baskerville Old Face" w:hAnsi="Baskerville Old Face"/>
          <w:i/>
          <w:iCs/>
        </w:rPr>
        <w:t xml:space="preserve"> + </w:t>
      </w:r>
      <w:proofErr w:type="spellStart"/>
      <w:r w:rsidRPr="00B479AE">
        <w:rPr>
          <w:rFonts w:ascii="Baskerville Old Face" w:hAnsi="Baskerville Old Face"/>
          <w:i/>
          <w:iCs/>
        </w:rPr>
        <w:t>b</w:t>
      </w:r>
      <w:r w:rsidRPr="00B479AE">
        <w:rPr>
          <w:rFonts w:ascii="Cambria Math" w:hAnsi="Cambria Math" w:cs="Cambria Math"/>
          <w:i/>
          <w:iCs/>
        </w:rPr>
        <w:t>₂</w:t>
      </w:r>
      <w:r w:rsidRPr="00B479AE">
        <w:rPr>
          <w:rFonts w:ascii="Baskerville Old Face" w:hAnsi="Baskerville Old Face"/>
          <w:i/>
          <w:iCs/>
        </w:rPr>
        <w:t>B</w:t>
      </w:r>
      <w:proofErr w:type="spellEnd"/>
      <w:r w:rsidRPr="00B479AE">
        <w:rPr>
          <w:rFonts w:ascii="Cambria Math" w:hAnsi="Cambria Math" w:cs="Cambria Math"/>
          <w:i/>
          <w:iCs/>
        </w:rPr>
        <w:t>₃</w:t>
      </w:r>
      <w:r w:rsidRPr="00B479AE">
        <w:rPr>
          <w:rFonts w:ascii="Baskerville Old Face" w:hAnsi="Baskerville Old Face"/>
          <w:i/>
          <w:iCs/>
        </w:rPr>
        <w:t xml:space="preserve"> + </w:t>
      </w:r>
      <w:proofErr w:type="spellStart"/>
      <w:r w:rsidRPr="00B479AE">
        <w:rPr>
          <w:rFonts w:ascii="Baskerville Old Face" w:hAnsi="Baskerville Old Face"/>
          <w:i/>
          <w:iCs/>
        </w:rPr>
        <w:t>b</w:t>
      </w:r>
      <w:r w:rsidRPr="00B479AE">
        <w:rPr>
          <w:rFonts w:ascii="Cambria Math" w:hAnsi="Cambria Math" w:cs="Cambria Math"/>
          <w:i/>
          <w:iCs/>
        </w:rPr>
        <w:t>₃</w:t>
      </w:r>
      <w:r w:rsidRPr="00B479AE">
        <w:rPr>
          <w:rFonts w:ascii="Baskerville Old Face" w:hAnsi="Baskerville Old Face"/>
          <w:i/>
          <w:iCs/>
        </w:rPr>
        <w:t>S</w:t>
      </w:r>
      <w:proofErr w:type="spellEnd"/>
      <w:r w:rsidRPr="00B479AE">
        <w:rPr>
          <w:rFonts w:ascii="Cambria Math" w:hAnsi="Cambria Math" w:cs="Cambria Math"/>
          <w:i/>
          <w:iCs/>
        </w:rPr>
        <w:t>₃</w:t>
      </w:r>
      <w:r w:rsidRPr="00B479AE">
        <w:rPr>
          <w:rFonts w:ascii="Baskerville Old Face" w:hAnsi="Baskerville Old Face"/>
          <w:i/>
          <w:iCs/>
        </w:rPr>
        <w:t xml:space="preserve"> + </w:t>
      </w:r>
      <w:proofErr w:type="spellStart"/>
      <w:r w:rsidRPr="00B479AE">
        <w:rPr>
          <w:rFonts w:ascii="Baskerville Old Face" w:hAnsi="Baskerville Old Face"/>
          <w:i/>
          <w:iCs/>
        </w:rPr>
        <w:t>b</w:t>
      </w:r>
      <w:r w:rsidRPr="00B479AE">
        <w:rPr>
          <w:rFonts w:ascii="Cambria Math" w:hAnsi="Cambria Math" w:cs="Cambria Math"/>
          <w:i/>
          <w:iCs/>
        </w:rPr>
        <w:t>₄Δ</w:t>
      </w:r>
      <w:r w:rsidRPr="00B479AE">
        <w:rPr>
          <w:rFonts w:ascii="Baskerville Old Face" w:hAnsi="Baskerville Old Face"/>
          <w:i/>
          <w:iCs/>
        </w:rPr>
        <w:t>Y_network</w:t>
      </w:r>
      <w:proofErr w:type="spellEnd"/>
    </w:p>
    <w:p w14:paraId="1290C45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56C7E00B" w14:textId="5E9E1A7E"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F</w:t>
      </w:r>
      <w:r w:rsidRPr="00B479AE">
        <w:rPr>
          <w:rFonts w:ascii="Cambria Math" w:hAnsi="Cambria Math" w:cs="Cambria Math"/>
          <w:i/>
          <w:iCs/>
        </w:rPr>
        <w:t>₂</w:t>
      </w:r>
      <w:r w:rsidR="00417105" w:rsidRPr="00B479AE">
        <w:rPr>
          <w:rFonts w:ascii="Baskerville Old Face" w:hAnsi="Baskerville Old Face"/>
          <w:i/>
          <w:iCs/>
        </w:rPr>
        <w:t xml:space="preserve"> </w:t>
      </w:r>
      <w:r w:rsidRPr="00B479AE">
        <w:rPr>
          <w:rFonts w:ascii="Baskerville Old Face" w:hAnsi="Baskerville Old Face"/>
          <w:i/>
          <w:iCs/>
        </w:rPr>
        <w:t>= network support index</w:t>
      </w:r>
    </w:p>
    <w:p w14:paraId="4CEADB90" w14:textId="1C85D291"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B</w:t>
      </w:r>
      <w:r w:rsidRPr="00B479AE">
        <w:rPr>
          <w:rFonts w:ascii="Cambria Math" w:hAnsi="Cambria Math" w:cs="Cambria Math"/>
          <w:i/>
          <w:iCs/>
        </w:rPr>
        <w:t>₃</w:t>
      </w:r>
      <w:r w:rsidR="00417105" w:rsidRPr="00B479AE">
        <w:rPr>
          <w:rFonts w:ascii="Cambria Math" w:hAnsi="Cambria Math" w:cs="Cambria Math"/>
          <w:i/>
          <w:iCs/>
        </w:rPr>
        <w:t xml:space="preserve"> </w:t>
      </w:r>
      <w:r w:rsidRPr="00B479AE">
        <w:rPr>
          <w:rFonts w:ascii="Baskerville Old Face" w:hAnsi="Baskerville Old Face"/>
          <w:i/>
          <w:iCs/>
        </w:rPr>
        <w:t>= defense coordination proxy</w:t>
      </w:r>
    </w:p>
    <w:p w14:paraId="68F60DC9" w14:textId="4216E1F3"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w:t>
      </w:r>
      <w:r w:rsidRPr="00B479AE">
        <w:rPr>
          <w:rFonts w:ascii="Cambria Math" w:hAnsi="Cambria Math" w:cs="Cambria Math"/>
          <w:i/>
          <w:iCs/>
        </w:rPr>
        <w:t>₃</w:t>
      </w:r>
      <w:r w:rsidRPr="00B479AE">
        <w:rPr>
          <w:rFonts w:ascii="Baskerville Old Face" w:hAnsi="Baskerville Old Face"/>
          <w:i/>
          <w:iCs/>
        </w:rPr>
        <w:t xml:space="preserve"> = earthworm or soil-fauna activity</w:t>
      </w:r>
    </w:p>
    <w:p w14:paraId="427BB621" w14:textId="77777777" w:rsidR="00B961DF" w:rsidRPr="00B479AE" w:rsidRDefault="00B961DF" w:rsidP="00B961DF">
      <w:pPr>
        <w:spacing w:line="360" w:lineRule="auto"/>
        <w:rPr>
          <w:rFonts w:ascii="Baskerville Old Face" w:hAnsi="Baskerville Old Face"/>
          <w:i/>
          <w:iCs/>
        </w:rPr>
      </w:pPr>
      <w:proofErr w:type="spellStart"/>
      <w:r w:rsidRPr="00B479AE">
        <w:rPr>
          <w:rFonts w:ascii="Cambria" w:hAnsi="Cambria" w:cs="Cambria"/>
          <w:i/>
          <w:iCs/>
        </w:rPr>
        <w:t>Δ</w:t>
      </w:r>
      <w:r w:rsidRPr="00B479AE">
        <w:rPr>
          <w:rFonts w:ascii="Baskerville Old Face" w:hAnsi="Baskerville Old Face"/>
          <w:i/>
          <w:iCs/>
        </w:rPr>
        <w:t>Y_</w:t>
      </w:r>
      <w:proofErr w:type="gramStart"/>
      <w:r w:rsidRPr="00B479AE">
        <w:rPr>
          <w:rFonts w:ascii="Baskerville Old Face" w:hAnsi="Baskerville Old Face"/>
          <w:i/>
          <w:iCs/>
        </w:rPr>
        <w:t>network</w:t>
      </w:r>
      <w:proofErr w:type="spellEnd"/>
      <w:r w:rsidRPr="00B479AE">
        <w:rPr>
          <w:rFonts w:ascii="Baskerville Old Face" w:hAnsi="Baskerville Old Face"/>
          <w:i/>
          <w:iCs/>
        </w:rPr>
        <w:t xml:space="preserve">  =</w:t>
      </w:r>
      <w:proofErr w:type="gramEnd"/>
      <w:r w:rsidRPr="00B479AE">
        <w:rPr>
          <w:rFonts w:ascii="Baskerville Old Face" w:hAnsi="Baskerville Old Face"/>
          <w:i/>
          <w:iCs/>
        </w:rPr>
        <w:t xml:space="preserve"> measured surplus over isolated or simplified comparison systems</w:t>
      </w:r>
    </w:p>
    <w:p w14:paraId="1F06EF3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subject to:</w:t>
      </w:r>
    </w:p>
    <w:p w14:paraId="6814326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b</w:t>
      </w:r>
      <w:r w:rsidRPr="00B479AE">
        <w:rPr>
          <w:rFonts w:ascii="Cambria Math" w:hAnsi="Cambria Math" w:cs="Cambria Math"/>
          <w:i/>
          <w:iCs/>
        </w:rPr>
        <w:t>₁</w:t>
      </w:r>
      <w:r w:rsidRPr="00B479AE">
        <w:rPr>
          <w:rFonts w:ascii="Baskerville Old Face" w:hAnsi="Baskerville Old Face"/>
          <w:i/>
          <w:iCs/>
        </w:rPr>
        <w:t xml:space="preserve"> + b</w:t>
      </w:r>
      <w:r w:rsidRPr="00B479AE">
        <w:rPr>
          <w:rFonts w:ascii="Cambria Math" w:hAnsi="Cambria Math" w:cs="Cambria Math"/>
          <w:i/>
          <w:iCs/>
        </w:rPr>
        <w:t>₂</w:t>
      </w:r>
      <w:r w:rsidRPr="00B479AE">
        <w:rPr>
          <w:rFonts w:ascii="Baskerville Old Face" w:hAnsi="Baskerville Old Face"/>
          <w:i/>
          <w:iCs/>
        </w:rPr>
        <w:t xml:space="preserve"> + b</w:t>
      </w:r>
      <w:r w:rsidRPr="00B479AE">
        <w:rPr>
          <w:rFonts w:ascii="Cambria Math" w:hAnsi="Cambria Math" w:cs="Cambria Math"/>
          <w:i/>
          <w:iCs/>
        </w:rPr>
        <w:t>₃</w:t>
      </w:r>
      <w:r w:rsidRPr="00B479AE">
        <w:rPr>
          <w:rFonts w:ascii="Baskerville Old Face" w:hAnsi="Baskerville Old Face"/>
          <w:i/>
          <w:iCs/>
        </w:rPr>
        <w:t xml:space="preserve"> + b</w:t>
      </w:r>
      <w:r w:rsidRPr="00B479AE">
        <w:rPr>
          <w:rFonts w:ascii="Cambria Math" w:hAnsi="Cambria Math" w:cs="Cambria Math"/>
          <w:i/>
          <w:iCs/>
        </w:rPr>
        <w:t>₄</w:t>
      </w:r>
      <w:r w:rsidRPr="00B479AE">
        <w:rPr>
          <w:rFonts w:ascii="Baskerville Old Face" w:hAnsi="Baskerville Old Face"/>
          <w:i/>
          <w:iCs/>
        </w:rPr>
        <w:t xml:space="preserve"> = 1</w:t>
      </w:r>
    </w:p>
    <w:p w14:paraId="69DD707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CESI may include value created through:</w:t>
      </w:r>
    </w:p>
    <w:p w14:paraId="6F2FFB5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mycorrhizal networks;</w:t>
      </w:r>
      <w:r w:rsidRPr="00B479AE">
        <w:rPr>
          <w:rFonts w:ascii="Baskerville Old Face" w:hAnsi="Baskerville Old Face"/>
          <w:i/>
          <w:iCs/>
        </w:rPr>
        <w:br/>
        <w:t>• stratification;</w:t>
      </w:r>
      <w:r w:rsidRPr="00B479AE">
        <w:rPr>
          <w:rFonts w:ascii="Baskerville Old Face" w:hAnsi="Baskerville Old Face"/>
          <w:i/>
          <w:iCs/>
        </w:rPr>
        <w:br/>
        <w:t>• complementary root systems;</w:t>
      </w:r>
      <w:r w:rsidRPr="00B479AE">
        <w:rPr>
          <w:rFonts w:ascii="Baskerville Old Face" w:hAnsi="Baskerville Old Face"/>
          <w:i/>
          <w:iCs/>
        </w:rPr>
        <w:br/>
        <w:t>• biodiversity;</w:t>
      </w:r>
      <w:r w:rsidRPr="00B479AE">
        <w:rPr>
          <w:rFonts w:ascii="Baskerville Old Face" w:hAnsi="Baskerville Old Face"/>
          <w:i/>
          <w:iCs/>
        </w:rPr>
        <w:br/>
        <w:t>• pollination;</w:t>
      </w:r>
      <w:r w:rsidRPr="00B479AE">
        <w:rPr>
          <w:rFonts w:ascii="Baskerville Old Face" w:hAnsi="Baskerville Old Face"/>
          <w:i/>
          <w:iCs/>
        </w:rPr>
        <w:br/>
        <w:t>• pest regulation;</w:t>
      </w:r>
      <w:r w:rsidRPr="00B479AE">
        <w:rPr>
          <w:rFonts w:ascii="Baskerville Old Face" w:hAnsi="Baskerville Old Face"/>
          <w:i/>
          <w:iCs/>
        </w:rPr>
        <w:br/>
        <w:t>• biomass cycling;</w:t>
      </w:r>
      <w:r w:rsidRPr="00B479AE">
        <w:rPr>
          <w:rFonts w:ascii="Baskerville Old Face" w:hAnsi="Baskerville Old Face"/>
          <w:i/>
          <w:iCs/>
        </w:rPr>
        <w:br/>
        <w:t>• microclimate buffering;</w:t>
      </w:r>
      <w:r w:rsidRPr="00B479AE">
        <w:rPr>
          <w:rFonts w:ascii="Baskerville Old Face" w:hAnsi="Baskerville Old Face"/>
          <w:i/>
          <w:iCs/>
        </w:rPr>
        <w:br/>
        <w:t>• cooperative plant guilds;</w:t>
      </w:r>
      <w:r w:rsidRPr="00B479AE">
        <w:rPr>
          <w:rFonts w:ascii="Baskerville Old Face" w:hAnsi="Baskerville Old Face"/>
          <w:i/>
          <w:iCs/>
        </w:rPr>
        <w:br/>
        <w:t>• reduced competition for external inputs.</w:t>
      </w:r>
    </w:p>
    <w:p w14:paraId="1ECA135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CESI is one of the most distinctive Prometheus indices.</w:t>
      </w:r>
    </w:p>
    <w:p w14:paraId="4954EF9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attempts to capture cooperation-derived value: the surplus generated by ecological relationships, not merely by isolated components.</w:t>
      </w:r>
    </w:p>
    <w:p w14:paraId="5A7908F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key question is whether the system generates more stability, resilience, or productive capacity than simplified isolated components would suggest.</w:t>
      </w:r>
    </w:p>
    <w:p w14:paraId="7058D42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CESI should be treated conservatively because cooperative surplus is powerful but methodologically demanding.</w:t>
      </w:r>
    </w:p>
    <w:p w14:paraId="2AE2BACB"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R.10 MRV Integrity Score</w:t>
      </w:r>
    </w:p>
    <w:p w14:paraId="5724BA2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MRV Integrity Score measures the strength of the evidence architecture supporting PRU claims.</w:t>
      </w:r>
    </w:p>
    <w:p w14:paraId="3705B9F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consider:</w:t>
      </w:r>
    </w:p>
    <w:p w14:paraId="71BD009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 baseline quality;</w:t>
      </w:r>
      <w:r w:rsidRPr="00B479AE">
        <w:rPr>
          <w:rFonts w:ascii="Baskerville Old Face" w:hAnsi="Baskerville Old Face"/>
          <w:i/>
          <w:iCs/>
        </w:rPr>
        <w:br/>
        <w:t>• sampling consistency;</w:t>
      </w:r>
      <w:r w:rsidRPr="00B479AE">
        <w:rPr>
          <w:rFonts w:ascii="Baskerville Old Face" w:hAnsi="Baskerville Old Face"/>
          <w:i/>
          <w:iCs/>
        </w:rPr>
        <w:br/>
        <w:t>• sensor reliability;</w:t>
      </w:r>
      <w:r w:rsidRPr="00B479AE">
        <w:rPr>
          <w:rFonts w:ascii="Baskerville Old Face" w:hAnsi="Baskerville Old Face"/>
          <w:i/>
          <w:iCs/>
        </w:rPr>
        <w:br/>
        <w:t>• laboratory documentation;</w:t>
      </w:r>
      <w:r w:rsidRPr="00B479AE">
        <w:rPr>
          <w:rFonts w:ascii="Baskerville Old Face" w:hAnsi="Baskerville Old Face"/>
          <w:i/>
          <w:iCs/>
        </w:rPr>
        <w:br/>
        <w:t>• remote-sensing continuity;</w:t>
      </w:r>
      <w:r w:rsidRPr="00B479AE">
        <w:rPr>
          <w:rFonts w:ascii="Baskerville Old Face" w:hAnsi="Baskerville Old Face"/>
          <w:i/>
          <w:iCs/>
        </w:rPr>
        <w:br/>
        <w:t>• field-audit quality;</w:t>
      </w:r>
      <w:r w:rsidRPr="00B479AE">
        <w:rPr>
          <w:rFonts w:ascii="Baskerville Old Face" w:hAnsi="Baskerville Old Face"/>
          <w:i/>
          <w:iCs/>
        </w:rPr>
        <w:br/>
        <w:t>• data lineage;</w:t>
      </w:r>
      <w:r w:rsidRPr="00B479AE">
        <w:rPr>
          <w:rFonts w:ascii="Baskerville Old Face" w:hAnsi="Baskerville Old Face"/>
          <w:i/>
          <w:iCs/>
        </w:rPr>
        <w:br/>
        <w:t>• methodology versioning;</w:t>
      </w:r>
      <w:r w:rsidRPr="00B479AE">
        <w:rPr>
          <w:rFonts w:ascii="Baskerville Old Face" w:hAnsi="Baskerville Old Face"/>
          <w:i/>
          <w:iCs/>
        </w:rPr>
        <w:br/>
        <w:t>• confidence scoring;</w:t>
      </w:r>
      <w:r w:rsidRPr="00B479AE">
        <w:rPr>
          <w:rFonts w:ascii="Baskerville Old Face" w:hAnsi="Baskerville Old Face"/>
          <w:i/>
          <w:iCs/>
        </w:rPr>
        <w:br/>
        <w:t>• third-party verification;</w:t>
      </w:r>
      <w:r w:rsidRPr="00B479AE">
        <w:rPr>
          <w:rFonts w:ascii="Baskerville Old Face" w:hAnsi="Baskerville Old Face"/>
          <w:i/>
          <w:iCs/>
        </w:rPr>
        <w:br/>
        <w:t>• provenance integrity;</w:t>
      </w:r>
      <w:r w:rsidRPr="00B479AE">
        <w:rPr>
          <w:rFonts w:ascii="Baskerville Old Face" w:hAnsi="Baskerville Old Face"/>
          <w:i/>
          <w:iCs/>
        </w:rPr>
        <w:br/>
        <w:t>• no-double-counting safeguards.</w:t>
      </w:r>
    </w:p>
    <w:p w14:paraId="7ACD81D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conceptual MRV integrity expression may be:</w:t>
      </w:r>
    </w:p>
    <w:p w14:paraId="38FB0A38"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MRV_integrity</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Baskerville Old Face" w:hAnsi="Baskerville Old Face"/>
          <w:i/>
          <w:iCs/>
        </w:rPr>
        <w:t>B, P, Q, X, T, A)</w:t>
      </w:r>
    </w:p>
    <w:p w14:paraId="11C3DC9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21F242F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B = baseline quality</w:t>
      </w:r>
    </w:p>
    <w:p w14:paraId="65FF6A0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 = provenance strength</w:t>
      </w:r>
    </w:p>
    <w:p w14:paraId="12934AC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Q = measurement quality</w:t>
      </w:r>
    </w:p>
    <w:p w14:paraId="37A8DC5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X = cross-source consistency</w:t>
      </w:r>
    </w:p>
    <w:p w14:paraId="641A790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 = temporal continuity</w:t>
      </w:r>
    </w:p>
    <w:p w14:paraId="66A1156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 audit or review status</w:t>
      </w:r>
    </w:p>
    <w:p w14:paraId="4CBFA5F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score is fundamental because capital should not rely only on ecological promise.</w:t>
      </w:r>
    </w:p>
    <w:p w14:paraId="6F4E53A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should rely on the quality of evidence.</w:t>
      </w:r>
    </w:p>
    <w:p w14:paraId="2AED5CC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MRV integrity does not create value by itself.</w:t>
      </w:r>
    </w:p>
    <w:p w14:paraId="6F0E2AF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determines how much trust may be placed in value-relevant claims.</w:t>
      </w:r>
    </w:p>
    <w:p w14:paraId="2090A47B" w14:textId="77777777" w:rsidR="00F93F8B" w:rsidRDefault="00F93F8B" w:rsidP="00B961DF">
      <w:pPr>
        <w:spacing w:line="360" w:lineRule="auto"/>
        <w:rPr>
          <w:rFonts w:ascii="Baskerville Old Face" w:hAnsi="Baskerville Old Face"/>
          <w:b/>
          <w:bCs/>
          <w:i/>
          <w:iCs/>
        </w:rPr>
      </w:pPr>
    </w:p>
    <w:p w14:paraId="6630D0AB" w14:textId="05EAECF2"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lastRenderedPageBreak/>
        <w:t>R.11 Confidence adjustment</w:t>
      </w:r>
    </w:p>
    <w:p w14:paraId="79C22BC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Confidence adjustment is central to PRU discipline.</w:t>
      </w:r>
    </w:p>
    <w:p w14:paraId="291559B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Each indicator should receive a confidence score.</w:t>
      </w:r>
    </w:p>
    <w:p w14:paraId="331F89C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simplified confidence expression may be:</w:t>
      </w:r>
    </w:p>
    <w:p w14:paraId="5BF5C8B9"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Conf_k</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q_k</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f_k</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r_k</w:t>
      </w:r>
      <w:proofErr w:type="spellEnd"/>
    </w:p>
    <w:p w14:paraId="7F223FD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5FF804C1"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q_k</w:t>
      </w:r>
      <w:proofErr w:type="spellEnd"/>
      <w:r w:rsidRPr="00B479AE">
        <w:rPr>
          <w:rFonts w:ascii="Baskerville Old Face" w:hAnsi="Baskerville Old Face"/>
          <w:i/>
          <w:iCs/>
        </w:rPr>
        <w:t xml:space="preserve"> = measurement quality</w:t>
      </w:r>
    </w:p>
    <w:p w14:paraId="48DB3E73"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f_k</w:t>
      </w:r>
      <w:proofErr w:type="spellEnd"/>
      <w:r w:rsidRPr="00B479AE">
        <w:rPr>
          <w:rFonts w:ascii="Baskerville Old Face" w:hAnsi="Baskerville Old Face"/>
          <w:i/>
          <w:iCs/>
        </w:rPr>
        <w:t xml:space="preserve"> = sampling frequency or temporal continuity</w:t>
      </w:r>
    </w:p>
    <w:p w14:paraId="1DF78F8E"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r_k</w:t>
      </w:r>
      <w:proofErr w:type="spellEnd"/>
      <w:r w:rsidRPr="00B479AE">
        <w:rPr>
          <w:rFonts w:ascii="Baskerville Old Face" w:hAnsi="Baskerville Old Face"/>
          <w:i/>
          <w:iCs/>
        </w:rPr>
        <w:t xml:space="preserve"> = replication, robustness, or cross-source confirmation</w:t>
      </w:r>
    </w:p>
    <w:p w14:paraId="3D4B02E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Each composite indicator can then be adjusted:</w:t>
      </w:r>
    </w:p>
    <w:p w14:paraId="01BAC989"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Index_adj</w:t>
      </w:r>
      <w:proofErr w:type="spellEnd"/>
      <w:r w:rsidRPr="00B479AE">
        <w:rPr>
          <w:rFonts w:ascii="Baskerville Old Face" w:hAnsi="Baskerville Old Face"/>
          <w:i/>
          <w:iCs/>
        </w:rPr>
        <w:t xml:space="preserve"> = Index × Conf</w:t>
      </w:r>
    </w:p>
    <w:p w14:paraId="75D2450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PRU value may also be confidence-adjusted:</w:t>
      </w:r>
    </w:p>
    <w:p w14:paraId="1EAF7A49"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V_PRU_adj</w:t>
      </w:r>
      <w:proofErr w:type="spellEnd"/>
      <w:r w:rsidRPr="00B479AE">
        <w:rPr>
          <w:rFonts w:ascii="Baskerville Old Face" w:hAnsi="Baskerville Old Face"/>
          <w:i/>
          <w:iCs/>
        </w:rPr>
        <w:t xml:space="preserve"> = V_PRU × </w:t>
      </w:r>
      <w:proofErr w:type="spellStart"/>
      <w:r w:rsidRPr="00B479AE">
        <w:rPr>
          <w:rFonts w:ascii="Baskerville Old Face" w:hAnsi="Baskerville Old Face"/>
          <w:i/>
          <w:iCs/>
        </w:rPr>
        <w:t>Conf_total</w:t>
      </w:r>
      <w:proofErr w:type="spellEnd"/>
    </w:p>
    <w:p w14:paraId="4CF3116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Confidence adjustment is the anti-overclaiming mechanism.</w:t>
      </w:r>
    </w:p>
    <w:p w14:paraId="23F019F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When confidence decreases, admissible value must decrease or remain limited.</w:t>
      </w:r>
    </w:p>
    <w:p w14:paraId="4D21591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prevents beautiful narratives from becoming inflated financial claims.</w:t>
      </w:r>
    </w:p>
    <w:p w14:paraId="1362EBC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high ecological claim with low confidence should remain analytically limited.</w:t>
      </w:r>
    </w:p>
    <w:p w14:paraId="54FCA5E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moderate ecological improvement with strong confidence may be more capital-ready than a dramatic claim with weak evidence.</w:t>
      </w:r>
    </w:p>
    <w:p w14:paraId="7B769DD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Prometheus values disciplined truth more than spectacular uncertainty.</w:t>
      </w:r>
    </w:p>
    <w:p w14:paraId="4AB14641"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R.12 Admissibility constraints</w:t>
      </w:r>
    </w:p>
    <w:p w14:paraId="0DE10BA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 value does not aggregate every attractive claim.</w:t>
      </w:r>
    </w:p>
    <w:p w14:paraId="0D899A1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It admits value only when defined conditions are satisfied.</w:t>
      </w:r>
    </w:p>
    <w:p w14:paraId="72E8CDE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simplified admissibility expression may be:</w:t>
      </w:r>
    </w:p>
    <w:p w14:paraId="682EF7B1" w14:textId="77777777" w:rsidR="00B961DF" w:rsidRPr="005907F1" w:rsidRDefault="00B961DF" w:rsidP="00B961DF">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A_i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M_i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V_i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T_i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L_i</w:t>
      </w:r>
      <w:proofErr w:type="spellEnd"/>
    </w:p>
    <w:p w14:paraId="6CE1421A" w14:textId="77777777" w:rsidR="00B961DF" w:rsidRPr="005907F1" w:rsidRDefault="00B961DF" w:rsidP="00B961DF">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where</w:t>
      </w:r>
      <w:proofErr w:type="spellEnd"/>
      <w:r w:rsidRPr="005907F1">
        <w:rPr>
          <w:rFonts w:ascii="Baskerville Old Face" w:hAnsi="Baskerville Old Face"/>
          <w:i/>
          <w:iCs/>
          <w:lang w:val="it-IT"/>
        </w:rPr>
        <w:t>:</w:t>
      </w:r>
    </w:p>
    <w:p w14:paraId="18B1C281"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M_i</w:t>
      </w:r>
      <w:proofErr w:type="spellEnd"/>
      <w:r w:rsidRPr="00B479AE">
        <w:rPr>
          <w:rFonts w:ascii="Baskerville Old Face" w:hAnsi="Baskerville Old Face"/>
          <w:i/>
          <w:iCs/>
        </w:rPr>
        <w:t xml:space="preserve"> = measurable</w:t>
      </w:r>
    </w:p>
    <w:p w14:paraId="767F876E"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 verifiable</w:t>
      </w:r>
    </w:p>
    <w:p w14:paraId="157B8C7C"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T_i</w:t>
      </w:r>
      <w:proofErr w:type="spellEnd"/>
      <w:r w:rsidRPr="00B479AE">
        <w:rPr>
          <w:rFonts w:ascii="Baskerville Old Face" w:hAnsi="Baskerville Old Face"/>
          <w:i/>
          <w:iCs/>
        </w:rPr>
        <w:t xml:space="preserve"> = threshold satisfied</w:t>
      </w:r>
    </w:p>
    <w:p w14:paraId="3FC93EE6"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L_i</w:t>
      </w:r>
      <w:proofErr w:type="spellEnd"/>
      <w:r w:rsidRPr="00B479AE">
        <w:rPr>
          <w:rFonts w:ascii="Baskerville Old Face" w:hAnsi="Baskerville Old Face"/>
          <w:i/>
          <w:iCs/>
        </w:rPr>
        <w:t xml:space="preserve"> = legally and methodologically admissible</w:t>
      </w:r>
    </w:p>
    <w:p w14:paraId="267ECCD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value component may enter included PRU analysis only if:</w:t>
      </w:r>
    </w:p>
    <w:p w14:paraId="6984C199"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V_included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only if </w:t>
      </w: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 1</w:t>
      </w:r>
    </w:p>
    <w:p w14:paraId="2503E99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Only evidence-backed and admissible value enters PRU analysis.</w:t>
      </w:r>
    </w:p>
    <w:p w14:paraId="22252BF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value component may be strategically meaningful and still remain non-admissible for financial use.</w:t>
      </w:r>
    </w:p>
    <w:p w14:paraId="07152C2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Each PRU-relevant component must satisfy:</w:t>
      </w:r>
    </w:p>
    <w:p w14:paraId="524AAFB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measurability;</w:t>
      </w:r>
      <w:r w:rsidRPr="00B479AE">
        <w:rPr>
          <w:rFonts w:ascii="Baskerville Old Face" w:hAnsi="Baskerville Old Face"/>
          <w:i/>
          <w:iCs/>
        </w:rPr>
        <w:br/>
        <w:t>• provenance;</w:t>
      </w:r>
      <w:r w:rsidRPr="00B479AE">
        <w:rPr>
          <w:rFonts w:ascii="Baskerville Old Face" w:hAnsi="Baskerville Old Face"/>
          <w:i/>
          <w:iCs/>
        </w:rPr>
        <w:br/>
        <w:t>• verification;</w:t>
      </w:r>
      <w:r w:rsidRPr="00B479AE">
        <w:rPr>
          <w:rFonts w:ascii="Baskerville Old Face" w:hAnsi="Baskerville Old Face"/>
          <w:i/>
          <w:iCs/>
        </w:rPr>
        <w:br/>
        <w:t>• confidence scoring;</w:t>
      </w:r>
      <w:r w:rsidRPr="00B479AE">
        <w:rPr>
          <w:rFonts w:ascii="Baskerville Old Face" w:hAnsi="Baskerville Old Face"/>
          <w:i/>
          <w:iCs/>
        </w:rPr>
        <w:br/>
        <w:t>• methodology alignment;</w:t>
      </w:r>
      <w:r w:rsidRPr="00B479AE">
        <w:rPr>
          <w:rFonts w:ascii="Baskerville Old Face" w:hAnsi="Baskerville Old Face"/>
          <w:i/>
          <w:iCs/>
        </w:rPr>
        <w:br/>
        <w:t>• no-double-counting;</w:t>
      </w:r>
      <w:r w:rsidRPr="00B479AE">
        <w:rPr>
          <w:rFonts w:ascii="Baskerville Old Face" w:hAnsi="Baskerville Old Face"/>
          <w:i/>
          <w:iCs/>
        </w:rPr>
        <w:br/>
        <w:t>• legal clarity;</w:t>
      </w:r>
      <w:r w:rsidRPr="00B479AE">
        <w:rPr>
          <w:rFonts w:ascii="Baskerville Old Face" w:hAnsi="Baskerville Old Face"/>
          <w:i/>
          <w:iCs/>
        </w:rPr>
        <w:br/>
        <w:t>• financial relevance;</w:t>
      </w:r>
      <w:r w:rsidRPr="00B479AE">
        <w:rPr>
          <w:rFonts w:ascii="Baskerville Old Face" w:hAnsi="Baskerville Old Face"/>
          <w:i/>
          <w:iCs/>
        </w:rPr>
        <w:br/>
        <w:t>• reporting discipline;</w:t>
      </w:r>
      <w:r w:rsidRPr="00B479AE">
        <w:rPr>
          <w:rFonts w:ascii="Baskerville Old Face" w:hAnsi="Baskerville Old Face"/>
          <w:i/>
          <w:iCs/>
        </w:rPr>
        <w:br/>
        <w:t>• reviewability.</w:t>
      </w:r>
    </w:p>
    <w:p w14:paraId="16434B5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value component that cannot meet these conditions may remain relevant to narrative, strategy, research, appendix parking, or future development.</w:t>
      </w:r>
    </w:p>
    <w:p w14:paraId="2EADC58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It should not be treated as financially admissible PRU value.</w:t>
      </w:r>
    </w:p>
    <w:p w14:paraId="5B7FE17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is the line between vision and underwriting.</w:t>
      </w:r>
    </w:p>
    <w:p w14:paraId="1462D912" w14:textId="77777777" w:rsidR="001A7A01" w:rsidRPr="00B479AE" w:rsidRDefault="001A7A01" w:rsidP="001A7A01">
      <w:pPr>
        <w:spacing w:line="360" w:lineRule="auto"/>
        <w:rPr>
          <w:rFonts w:ascii="Baskerville Old Face" w:hAnsi="Baskerville Old Face"/>
          <w:b/>
          <w:bCs/>
          <w:i/>
          <w:iCs/>
        </w:rPr>
      </w:pPr>
      <w:r w:rsidRPr="00B479AE">
        <w:rPr>
          <w:rFonts w:ascii="Baskerville Old Face" w:hAnsi="Baskerville Old Face"/>
          <w:b/>
          <w:bCs/>
          <w:i/>
          <w:iCs/>
        </w:rPr>
        <w:t>MRV-to-Value Admissibility Function</w:t>
      </w:r>
    </w:p>
    <w:p w14:paraId="2F2E49DA"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Prometheus distinguishes between ecological observation and financially admissible value.</w:t>
      </w:r>
    </w:p>
    <w:p w14:paraId="1DD40085"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A living system may generate many meaningful signals.</w:t>
      </w:r>
    </w:p>
    <w:p w14:paraId="6924BD5D"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Some signals may be scientifically interesting.</w:t>
      </w:r>
    </w:p>
    <w:p w14:paraId="41818AD4"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Some may be operationally useful.</w:t>
      </w:r>
    </w:p>
    <w:p w14:paraId="21B7AC07"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Some may be strategically important.</w:t>
      </w:r>
    </w:p>
    <w:p w14:paraId="1E4F472F"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Only some may become admissible for PRU analysis, investor review, RAP aggregation, or capital-readiness assessment.</w:t>
      </w:r>
    </w:p>
    <w:p w14:paraId="626AAA38"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This transition may be expressed as:</w:t>
      </w:r>
    </w:p>
    <w:p w14:paraId="3110FF82" w14:textId="77777777" w:rsidR="001A7A01" w:rsidRPr="00B479AE" w:rsidRDefault="001A7A01" w:rsidP="001A7A01">
      <w:pPr>
        <w:spacing w:line="360" w:lineRule="auto"/>
        <w:rPr>
          <w:rFonts w:ascii="Baskerville Old Face" w:hAnsi="Baskerville Old Face"/>
          <w:i/>
          <w:iCs/>
        </w:rPr>
      </w:pPr>
      <w:proofErr w:type="spellStart"/>
      <w:r w:rsidRPr="00B479AE">
        <w:rPr>
          <w:rFonts w:ascii="Baskerville Old Face" w:hAnsi="Baskerville Old Face"/>
          <w:i/>
          <w:iCs/>
        </w:rPr>
        <w:t>V_admissible</w:t>
      </w:r>
      <w:proofErr w:type="spellEnd"/>
      <w:r w:rsidRPr="00B479AE">
        <w:rPr>
          <w:rFonts w:ascii="Baskerville Old Face" w:hAnsi="Baskerville Old Face"/>
          <w:i/>
          <w:iCs/>
        </w:rPr>
        <w:t xml:space="preserve"> = </w:t>
      </w:r>
      <w:proofErr w:type="spellStart"/>
      <w:r w:rsidRPr="00B479AE">
        <w:rPr>
          <w:rFonts w:ascii="Cambria" w:hAnsi="Cambria" w:cs="Cambria"/>
          <w:i/>
          <w:iCs/>
        </w:rPr>
        <w:t>Σ</w:t>
      </w:r>
      <w:r w:rsidRPr="00B479AE">
        <w:rPr>
          <w:rFonts w:ascii="Baskerville Old Face" w:hAnsi="Baskerville Old Face"/>
          <w:i/>
          <w:iCs/>
        </w:rPr>
        <w:t>_i</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w:t>
      </w:r>
      <w:proofErr w:type="spellStart"/>
      <w:r w:rsidRPr="00B479AE">
        <w:rPr>
          <w:rFonts w:ascii="Baskerville Old Face" w:hAnsi="Baskerville Old Face"/>
          <w:i/>
          <w:iCs/>
        </w:rPr>
        <w:t>Conf_i</w:t>
      </w:r>
      <w:proofErr w:type="spellEnd"/>
    </w:p>
    <w:p w14:paraId="7426FDE8"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Where:</w:t>
      </w:r>
    </w:p>
    <w:p w14:paraId="16E7ABC3" w14:textId="77777777" w:rsidR="001A7A01" w:rsidRPr="00B479AE" w:rsidRDefault="001A7A01" w:rsidP="001A7A01">
      <w:pPr>
        <w:spacing w:line="360" w:lineRule="auto"/>
        <w:rPr>
          <w:rFonts w:ascii="Baskerville Old Face" w:hAnsi="Baskerville Old Face"/>
          <w:i/>
          <w:iCs/>
        </w:rPr>
      </w:pPr>
      <w:proofErr w:type="spellStart"/>
      <w:r w:rsidRPr="00B479AE">
        <w:rPr>
          <w:rFonts w:ascii="Baskerville Old Face" w:hAnsi="Baskerville Old Face"/>
          <w:i/>
          <w:iCs/>
        </w:rPr>
        <w:t>V_admissible</w:t>
      </w:r>
      <w:proofErr w:type="spellEnd"/>
      <w:r w:rsidRPr="00B479AE">
        <w:rPr>
          <w:rFonts w:ascii="Baskerville Old Face" w:hAnsi="Baskerville Old Face"/>
          <w:i/>
          <w:iCs/>
        </w:rPr>
        <w:t xml:space="preserve"> = total value component admitted into PRU-relevant analysis.</w:t>
      </w:r>
    </w:p>
    <w:p w14:paraId="50B522B1" w14:textId="77777777" w:rsidR="001A7A01" w:rsidRPr="005907F1" w:rsidRDefault="001A7A01" w:rsidP="001A7A01">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V_i</w:t>
      </w:r>
      <w:proofErr w:type="spellEnd"/>
      <w:r w:rsidRPr="005907F1">
        <w:rPr>
          <w:rFonts w:ascii="Baskerville Old Face" w:hAnsi="Baskerville Old Face"/>
          <w:i/>
          <w:iCs/>
          <w:lang w:val="it-IT"/>
        </w:rPr>
        <w:t xml:space="preserve"> = candidate </w:t>
      </w:r>
      <w:proofErr w:type="spellStart"/>
      <w:r w:rsidRPr="005907F1">
        <w:rPr>
          <w:rFonts w:ascii="Baskerville Old Face" w:hAnsi="Baskerville Old Face"/>
          <w:i/>
          <w:iCs/>
          <w:lang w:val="it-IT"/>
        </w:rPr>
        <w:t>value</w:t>
      </w:r>
      <w:proofErr w:type="spellEnd"/>
      <w:r w:rsidRPr="005907F1">
        <w:rPr>
          <w:rFonts w:ascii="Baskerville Old Face" w:hAnsi="Baskerville Old Face"/>
          <w:i/>
          <w:iCs/>
          <w:lang w:val="it-IT"/>
        </w:rPr>
        <w:t xml:space="preserve"> component i.</w:t>
      </w:r>
    </w:p>
    <w:p w14:paraId="5000CBBF" w14:textId="77777777" w:rsidR="001A7A01" w:rsidRPr="00B479AE" w:rsidRDefault="001A7A01" w:rsidP="001A7A01">
      <w:pPr>
        <w:spacing w:line="360" w:lineRule="auto"/>
        <w:rPr>
          <w:rFonts w:ascii="Baskerville Old Face" w:hAnsi="Baskerville Old Face"/>
          <w:i/>
          <w:iCs/>
        </w:rPr>
      </w:pP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 admissibility condition for component </w:t>
      </w:r>
      <w:proofErr w:type="spellStart"/>
      <w:r w:rsidRPr="00B479AE">
        <w:rPr>
          <w:rFonts w:ascii="Baskerville Old Face" w:hAnsi="Baskerville Old Face"/>
          <w:i/>
          <w:iCs/>
        </w:rPr>
        <w:t>i</w:t>
      </w:r>
      <w:proofErr w:type="spellEnd"/>
      <w:r w:rsidRPr="00B479AE">
        <w:rPr>
          <w:rFonts w:ascii="Baskerville Old Face" w:hAnsi="Baskerville Old Face"/>
          <w:i/>
          <w:iCs/>
        </w:rPr>
        <w:t>.</w:t>
      </w:r>
    </w:p>
    <w:p w14:paraId="49954A5C" w14:textId="77777777" w:rsidR="001A7A01" w:rsidRPr="00B479AE" w:rsidRDefault="001A7A01" w:rsidP="001A7A01">
      <w:pPr>
        <w:spacing w:line="360" w:lineRule="auto"/>
        <w:rPr>
          <w:rFonts w:ascii="Baskerville Old Face" w:hAnsi="Baskerville Old Face"/>
          <w:i/>
          <w:iCs/>
        </w:rPr>
      </w:pPr>
      <w:proofErr w:type="spellStart"/>
      <w:r w:rsidRPr="00B479AE">
        <w:rPr>
          <w:rFonts w:ascii="Baskerville Old Face" w:hAnsi="Baskerville Old Face"/>
          <w:i/>
          <w:iCs/>
        </w:rPr>
        <w:t>Conf_i</w:t>
      </w:r>
      <w:proofErr w:type="spellEnd"/>
      <w:r w:rsidRPr="00B479AE">
        <w:rPr>
          <w:rFonts w:ascii="Baskerville Old Face" w:hAnsi="Baskerville Old Face"/>
          <w:i/>
          <w:iCs/>
        </w:rPr>
        <w:t xml:space="preserve"> = confidence score for component </w:t>
      </w:r>
      <w:proofErr w:type="spellStart"/>
      <w:r w:rsidRPr="00B479AE">
        <w:rPr>
          <w:rFonts w:ascii="Baskerville Old Face" w:hAnsi="Baskerville Old Face"/>
          <w:i/>
          <w:iCs/>
        </w:rPr>
        <w:t>i</w:t>
      </w:r>
      <w:proofErr w:type="spellEnd"/>
      <w:r w:rsidRPr="00B479AE">
        <w:rPr>
          <w:rFonts w:ascii="Baskerville Old Face" w:hAnsi="Baskerville Old Face"/>
          <w:i/>
          <w:iCs/>
        </w:rPr>
        <w:t>.</w:t>
      </w:r>
    </w:p>
    <w:p w14:paraId="7F527B71"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The admissibility condition may be expressed as:</w:t>
      </w:r>
    </w:p>
    <w:p w14:paraId="1A569DF5" w14:textId="77777777" w:rsidR="001A7A01" w:rsidRPr="005907F1" w:rsidRDefault="001A7A01" w:rsidP="001A7A01">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A_i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M_i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P_i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Vfy_i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T_i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D_i</w:t>
      </w:r>
      <w:proofErr w:type="spellEnd"/>
    </w:p>
    <w:p w14:paraId="07F675E2"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Where:</w:t>
      </w:r>
    </w:p>
    <w:p w14:paraId="15150338" w14:textId="77777777" w:rsidR="001A7A01" w:rsidRPr="00B479AE" w:rsidRDefault="001A7A01" w:rsidP="001A7A01">
      <w:pPr>
        <w:spacing w:line="360" w:lineRule="auto"/>
        <w:rPr>
          <w:rFonts w:ascii="Baskerville Old Face" w:hAnsi="Baskerville Old Face"/>
          <w:i/>
          <w:iCs/>
        </w:rPr>
      </w:pPr>
      <w:proofErr w:type="spellStart"/>
      <w:r w:rsidRPr="00B479AE">
        <w:rPr>
          <w:rFonts w:ascii="Baskerville Old Face" w:hAnsi="Baskerville Old Face"/>
          <w:i/>
          <w:iCs/>
        </w:rPr>
        <w:t>M_i</w:t>
      </w:r>
      <w:proofErr w:type="spellEnd"/>
      <w:r w:rsidRPr="00B479AE">
        <w:rPr>
          <w:rFonts w:ascii="Baskerville Old Face" w:hAnsi="Baskerville Old Face"/>
          <w:i/>
          <w:iCs/>
        </w:rPr>
        <w:t xml:space="preserve"> = measurable.</w:t>
      </w:r>
      <w:r w:rsidRPr="00B479AE">
        <w:rPr>
          <w:rFonts w:ascii="Baskerville Old Face" w:hAnsi="Baskerville Old Face"/>
          <w:i/>
          <w:iCs/>
        </w:rPr>
        <w:br/>
      </w:r>
      <w:proofErr w:type="spellStart"/>
      <w:r w:rsidRPr="00B479AE">
        <w:rPr>
          <w:rFonts w:ascii="Baskerville Old Face" w:hAnsi="Baskerville Old Face"/>
          <w:i/>
          <w:iCs/>
        </w:rPr>
        <w:t>P_i</w:t>
      </w:r>
      <w:proofErr w:type="spellEnd"/>
      <w:r w:rsidRPr="00B479AE">
        <w:rPr>
          <w:rFonts w:ascii="Baskerville Old Face" w:hAnsi="Baskerville Old Face"/>
          <w:i/>
          <w:iCs/>
        </w:rPr>
        <w:t xml:space="preserve"> = provenance-established.</w:t>
      </w:r>
      <w:r w:rsidRPr="00B479AE">
        <w:rPr>
          <w:rFonts w:ascii="Baskerville Old Face" w:hAnsi="Baskerville Old Face"/>
          <w:i/>
          <w:iCs/>
        </w:rPr>
        <w:br/>
      </w:r>
      <w:proofErr w:type="spellStart"/>
      <w:r w:rsidRPr="00B479AE">
        <w:rPr>
          <w:rFonts w:ascii="Baskerville Old Face" w:hAnsi="Baskerville Old Face"/>
          <w:i/>
          <w:iCs/>
        </w:rPr>
        <w:t>Vfy_i</w:t>
      </w:r>
      <w:proofErr w:type="spellEnd"/>
      <w:r w:rsidRPr="00B479AE">
        <w:rPr>
          <w:rFonts w:ascii="Baskerville Old Face" w:hAnsi="Baskerville Old Face"/>
          <w:i/>
          <w:iCs/>
        </w:rPr>
        <w:t xml:space="preserve"> = verified or reviewable under MRV methodology.</w:t>
      </w:r>
      <w:r w:rsidRPr="00B479AE">
        <w:rPr>
          <w:rFonts w:ascii="Baskerville Old Face" w:hAnsi="Baskerville Old Face"/>
          <w:i/>
          <w:iCs/>
        </w:rPr>
        <w:br/>
      </w:r>
      <w:proofErr w:type="spellStart"/>
      <w:r w:rsidRPr="00B479AE">
        <w:rPr>
          <w:rFonts w:ascii="Baskerville Old Face" w:hAnsi="Baskerville Old Face"/>
          <w:i/>
          <w:iCs/>
        </w:rPr>
        <w:lastRenderedPageBreak/>
        <w:t>T_i</w:t>
      </w:r>
      <w:proofErr w:type="spellEnd"/>
      <w:r w:rsidRPr="00B479AE">
        <w:rPr>
          <w:rFonts w:ascii="Baskerville Old Face" w:hAnsi="Baskerville Old Face"/>
          <w:i/>
          <w:iCs/>
        </w:rPr>
        <w:t xml:space="preserve"> = threshold satisfied.</w:t>
      </w:r>
      <w:r w:rsidRPr="00B479AE">
        <w:rPr>
          <w:rFonts w:ascii="Baskerville Old Face" w:hAnsi="Baskerville Old Face"/>
          <w:i/>
          <w:iCs/>
        </w:rPr>
        <w:br/>
      </w:r>
      <w:proofErr w:type="spellStart"/>
      <w:r w:rsidRPr="00B479AE">
        <w:rPr>
          <w:rFonts w:ascii="Baskerville Old Face" w:hAnsi="Baskerville Old Face"/>
          <w:i/>
          <w:iCs/>
        </w:rPr>
        <w:t>L_i</w:t>
      </w:r>
      <w:proofErr w:type="spellEnd"/>
      <w:r w:rsidRPr="00B479AE">
        <w:rPr>
          <w:rFonts w:ascii="Baskerville Old Face" w:hAnsi="Baskerville Old Face"/>
          <w:i/>
          <w:iCs/>
        </w:rPr>
        <w:t xml:space="preserve"> = legally and methodologically admissible.</w:t>
      </w:r>
      <w:r w:rsidRPr="00B479AE">
        <w:rPr>
          <w:rFonts w:ascii="Baskerville Old Face" w:hAnsi="Baskerville Old Face"/>
          <w:i/>
          <w:iCs/>
        </w:rPr>
        <w:br/>
      </w:r>
      <w:proofErr w:type="spellStart"/>
      <w:r w:rsidRPr="00B479AE">
        <w:rPr>
          <w:rFonts w:ascii="Baskerville Old Face" w:hAnsi="Baskerville Old Face"/>
          <w:i/>
          <w:iCs/>
        </w:rPr>
        <w:t>D_i</w:t>
      </w:r>
      <w:proofErr w:type="spellEnd"/>
      <w:r w:rsidRPr="00B479AE">
        <w:rPr>
          <w:rFonts w:ascii="Baskerville Old Face" w:hAnsi="Baskerville Old Face"/>
          <w:i/>
          <w:iCs/>
        </w:rPr>
        <w:t xml:space="preserve"> = no-double-counting discipline satisfied.</w:t>
      </w:r>
    </w:p>
    <w:p w14:paraId="622943F3"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If any required condition is zero, the component does not enter financially admissible PRU analysis:</w:t>
      </w:r>
    </w:p>
    <w:p w14:paraId="64209B7D"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 0, then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is non-admissible for financial use</w:t>
      </w:r>
    </w:p>
    <w:p w14:paraId="51F9FEEC"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This does not mean that the component has no meaning.</w:t>
      </w:r>
    </w:p>
    <w:p w14:paraId="7EB58EE1"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A non-admissible component may still be:</w:t>
      </w:r>
    </w:p>
    <w:p w14:paraId="16374434"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scientifically interesting;</w:t>
      </w:r>
      <w:r w:rsidRPr="00B479AE">
        <w:rPr>
          <w:rFonts w:ascii="Baskerville Old Face" w:hAnsi="Baskerville Old Face"/>
          <w:i/>
          <w:iCs/>
        </w:rPr>
        <w:br/>
        <w:t>ecologically relevant;</w:t>
      </w:r>
      <w:r w:rsidRPr="00B479AE">
        <w:rPr>
          <w:rFonts w:ascii="Baskerville Old Face" w:hAnsi="Baskerville Old Face"/>
          <w:i/>
          <w:iCs/>
        </w:rPr>
        <w:br/>
        <w:t>strategically important;</w:t>
      </w:r>
      <w:r w:rsidRPr="00B479AE">
        <w:rPr>
          <w:rFonts w:ascii="Baskerville Old Face" w:hAnsi="Baskerville Old Face"/>
          <w:i/>
          <w:iCs/>
        </w:rPr>
        <w:br/>
        <w:t>useful for design;</w:t>
      </w:r>
      <w:r w:rsidRPr="00B479AE">
        <w:rPr>
          <w:rFonts w:ascii="Baskerville Old Face" w:hAnsi="Baskerville Old Face"/>
          <w:i/>
          <w:iCs/>
        </w:rPr>
        <w:br/>
        <w:t>useful for research;</w:t>
      </w:r>
      <w:r w:rsidRPr="00B479AE">
        <w:rPr>
          <w:rFonts w:ascii="Baskerville Old Face" w:hAnsi="Baskerville Old Face"/>
          <w:i/>
          <w:iCs/>
        </w:rPr>
        <w:br/>
        <w:t>useful for governance learning;</w:t>
      </w:r>
      <w:r w:rsidRPr="00B479AE">
        <w:rPr>
          <w:rFonts w:ascii="Baskerville Old Face" w:hAnsi="Baskerville Old Face"/>
          <w:i/>
          <w:iCs/>
        </w:rPr>
        <w:br/>
        <w:t>useful for future methodology development.</w:t>
      </w:r>
    </w:p>
    <w:p w14:paraId="6140391C"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But it cannot be used as financially admissible PRU value until the relevant conditions are satisfied.</w:t>
      </w:r>
    </w:p>
    <w:p w14:paraId="77DBC62E"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This is the central anti-overclaiming logic of Prometheus.</w:t>
      </w:r>
    </w:p>
    <w:p w14:paraId="454EB8D7"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It prevents ecological narrative, weak evidence, early-stage indicators, frontier hypotheses, or speculative system benefits from being converted prematurely into capital-facing value.</w:t>
      </w:r>
    </w:p>
    <w:p w14:paraId="7815D9C2"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The sequence is:</w:t>
      </w:r>
    </w:p>
    <w:p w14:paraId="794FD684"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 xml:space="preserve">observation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confidence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value relevance</w:t>
      </w:r>
    </w:p>
    <w:p w14:paraId="06E58DA7"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This formula protects the institutional credibility of Prometheus.</w:t>
      </w:r>
    </w:p>
    <w:p w14:paraId="2F77F159"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It allows the system to remain visionary without becoming loose.</w:t>
      </w:r>
    </w:p>
    <w:p w14:paraId="2772A738"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It allows Prometheus to recognize emerging value without monetizing uncertainty.</w:t>
      </w:r>
    </w:p>
    <w:p w14:paraId="7485D88C"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The operational rule is:</w:t>
      </w:r>
    </w:p>
    <w:p w14:paraId="4DD15E75"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lastRenderedPageBreak/>
        <w:t>what is meaningful may be studied;</w:t>
      </w:r>
      <w:r w:rsidRPr="00B479AE">
        <w:rPr>
          <w:rFonts w:ascii="Baskerville Old Face" w:hAnsi="Baskerville Old Face"/>
          <w:i/>
          <w:iCs/>
        </w:rPr>
        <w:br/>
        <w:t>what is evidenced may be reviewed;</w:t>
      </w:r>
      <w:r w:rsidRPr="00B479AE">
        <w:rPr>
          <w:rFonts w:ascii="Baskerville Old Face" w:hAnsi="Baskerville Old Face"/>
          <w:i/>
          <w:iCs/>
        </w:rPr>
        <w:br/>
        <w:t>what is admissible may enter value logic.</w:t>
      </w:r>
    </w:p>
    <w:p w14:paraId="4486F481" w14:textId="77777777" w:rsidR="001A7A01" w:rsidRPr="00B479AE" w:rsidRDefault="001A7A01" w:rsidP="001A7A01">
      <w:pPr>
        <w:spacing w:line="360" w:lineRule="auto"/>
        <w:rPr>
          <w:rFonts w:ascii="Baskerville Old Face" w:hAnsi="Baskerville Old Face"/>
          <w:b/>
          <w:bCs/>
          <w:i/>
          <w:iCs/>
        </w:rPr>
      </w:pPr>
      <w:r w:rsidRPr="00B479AE">
        <w:rPr>
          <w:rFonts w:ascii="Baskerville Old Face" w:hAnsi="Baskerville Old Face"/>
          <w:b/>
          <w:bCs/>
          <w:i/>
          <w:iCs/>
        </w:rPr>
        <w:t>Formula boundary</w:t>
      </w:r>
    </w:p>
    <w:p w14:paraId="085ED34E" w14:textId="77777777" w:rsidR="001A7A01" w:rsidRPr="00B479AE" w:rsidRDefault="001A7A01" w:rsidP="001A7A01">
      <w:pPr>
        <w:spacing w:line="360" w:lineRule="auto"/>
        <w:rPr>
          <w:rFonts w:ascii="Baskerville Old Face" w:hAnsi="Baskerville Old Face"/>
          <w:i/>
          <w:iCs/>
        </w:rPr>
      </w:pPr>
      <w:proofErr w:type="spellStart"/>
      <w:r w:rsidRPr="00B479AE">
        <w:rPr>
          <w:rFonts w:ascii="Baskerville Old Face" w:hAnsi="Baskerville Old Face"/>
          <w:i/>
          <w:iCs/>
        </w:rPr>
        <w:t>V_admissible</w:t>
      </w:r>
      <w:proofErr w:type="spellEnd"/>
      <w:r w:rsidRPr="00B479AE">
        <w:rPr>
          <w:rFonts w:ascii="Baskerville Old Face" w:hAnsi="Baskerville Old Face"/>
          <w:i/>
          <w:iCs/>
        </w:rPr>
        <w:t xml:space="preserve"> is a methodological admissibility function.</w:t>
      </w:r>
    </w:p>
    <w:p w14:paraId="38DD1407"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It does not create automatic financial value, token value, investor entitlement, credit issuance, rating upgrade, legal enforceability, or market price.</w:t>
      </w:r>
    </w:p>
    <w:p w14:paraId="14562F55" w14:textId="77777777" w:rsidR="001A7A01" w:rsidRPr="00B479AE" w:rsidRDefault="001A7A01" w:rsidP="001A7A01">
      <w:pPr>
        <w:spacing w:line="360" w:lineRule="auto"/>
        <w:rPr>
          <w:rFonts w:ascii="Baskerville Old Face" w:hAnsi="Baskerville Old Face"/>
          <w:i/>
          <w:iCs/>
        </w:rPr>
      </w:pPr>
      <w:r w:rsidRPr="00B479AE">
        <w:rPr>
          <w:rFonts w:ascii="Baskerville Old Face" w:hAnsi="Baskerville Old Face"/>
          <w:i/>
          <w:iCs/>
        </w:rPr>
        <w:t>It may support PRU analysis only where MRV evidence, confidence scoring, methodology, governance review, legal review where relevant, and anti-double-counting controls are present.</w:t>
      </w:r>
    </w:p>
    <w:p w14:paraId="55EED68E" w14:textId="77777777" w:rsidR="0091235E" w:rsidRPr="00B479AE" w:rsidRDefault="0091235E" w:rsidP="0091235E">
      <w:pPr>
        <w:spacing w:line="360" w:lineRule="auto"/>
        <w:rPr>
          <w:rFonts w:ascii="Baskerville Old Face" w:hAnsi="Baskerville Old Face"/>
          <w:b/>
          <w:bCs/>
          <w:i/>
          <w:iCs/>
        </w:rPr>
      </w:pPr>
      <w:r w:rsidRPr="00B479AE">
        <w:rPr>
          <w:rFonts w:ascii="Baskerville Old Face" w:hAnsi="Baskerville Old Face"/>
          <w:b/>
          <w:bCs/>
          <w:i/>
          <w:iCs/>
        </w:rPr>
        <w:t>No-Double-Counting and Claim Integrity Function</w:t>
      </w:r>
    </w:p>
    <w:p w14:paraId="46A9E8DE"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Prometheus must preserve claim integrity across MRV, PRU analysis, RAP aggregation, investor reporting, ecological credits, public communication, and any future legally structured instrument.</w:t>
      </w:r>
    </w:p>
    <w:p w14:paraId="7F5759F9"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A regenerative outcome may be meaningful in more than one context.</w:t>
      </w:r>
    </w:p>
    <w:p w14:paraId="552390AE"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For example, improved soil organic matter may support soil fertility, water retention, carbon dynamics, biodiversity function, productive stability, and resilience.</w:t>
      </w:r>
    </w:p>
    <w:p w14:paraId="50723A5A"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However, the same underlying ecological improvement must not be counted multiple times as if it were multiple independent value sources.</w:t>
      </w:r>
    </w:p>
    <w:p w14:paraId="4935720D"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This is the no-double-counting discipline.</w:t>
      </w:r>
    </w:p>
    <w:p w14:paraId="22653105"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A simplified claim-integrity condition may be expressed as:</w:t>
      </w:r>
    </w:p>
    <w:p w14:paraId="1F164D8F" w14:textId="77777777" w:rsidR="0091235E" w:rsidRPr="00B479AE" w:rsidRDefault="0091235E" w:rsidP="0091235E">
      <w:pPr>
        <w:spacing w:line="360" w:lineRule="auto"/>
        <w:rPr>
          <w:rFonts w:ascii="Baskerville Old Face" w:hAnsi="Baskerville Old Face"/>
          <w:i/>
          <w:iCs/>
        </w:rPr>
      </w:pPr>
      <w:proofErr w:type="spellStart"/>
      <w:r w:rsidRPr="00B479AE">
        <w:rPr>
          <w:rFonts w:ascii="Baskerville Old Face" w:hAnsi="Baskerville Old Face"/>
          <w:i/>
          <w:iCs/>
        </w:rPr>
        <w:t>Claim_i</w:t>
      </w:r>
      <w:proofErr w:type="spellEnd"/>
      <w:r w:rsidRPr="00B479AE">
        <w:rPr>
          <w:rFonts w:ascii="Baskerville Old Face" w:hAnsi="Baskerville Old Face"/>
          <w:i/>
          <w:iCs/>
        </w:rPr>
        <w:t xml:space="preserve">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Baskerville Old Face" w:hAnsi="Baskerville Old Face"/>
          <w:i/>
          <w:iCs/>
        </w:rPr>
        <w:t>Claim_j</w:t>
      </w:r>
      <w:proofErr w:type="spellEnd"/>
      <w:r w:rsidRPr="00B479AE">
        <w:rPr>
          <w:rFonts w:ascii="Baskerville Old Face" w:hAnsi="Baskerville Old Face"/>
          <w:i/>
          <w:iCs/>
        </w:rPr>
        <w:t xml:space="preserve"> = </w:t>
      </w:r>
      <w:r w:rsidRPr="00B479AE">
        <w:rPr>
          <w:rFonts w:ascii="Cambria Math" w:hAnsi="Cambria Math" w:cs="Cambria Math"/>
          <w:i/>
          <w:iCs/>
        </w:rPr>
        <w:t>∅</w:t>
      </w:r>
    </w:p>
    <w:p w14:paraId="35AA1807"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where two claims are presented as independent value claims.</w:t>
      </w:r>
    </w:p>
    <w:p w14:paraId="59689D68"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If two claims derive from the same underlying evidence source, ecological process, indicator, credit, contract, legal right, or verified outcome, then independence must not be assumed.</w:t>
      </w:r>
    </w:p>
    <w:p w14:paraId="1D6B88F5"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 relationship must be disclosed.</w:t>
      </w:r>
    </w:p>
    <w:p w14:paraId="4171E13E"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A more practical formulation is:</w:t>
      </w:r>
    </w:p>
    <w:p w14:paraId="48DAD0E1" w14:textId="77777777" w:rsidR="0091235E" w:rsidRPr="00B479AE" w:rsidRDefault="0091235E" w:rsidP="0091235E">
      <w:pPr>
        <w:spacing w:line="360" w:lineRule="auto"/>
        <w:rPr>
          <w:rFonts w:ascii="Baskerville Old Face" w:hAnsi="Baskerville Old Face"/>
          <w:i/>
          <w:iCs/>
        </w:rPr>
      </w:pPr>
      <w:proofErr w:type="spellStart"/>
      <w:r w:rsidRPr="00B479AE">
        <w:rPr>
          <w:rFonts w:ascii="Baskerville Old Face" w:hAnsi="Baskerville Old Face"/>
          <w:i/>
          <w:iCs/>
        </w:rPr>
        <w:lastRenderedPageBreak/>
        <w:t>V_total_admissible</w:t>
      </w:r>
      <w:proofErr w:type="spellEnd"/>
      <w:r w:rsidRPr="00B479AE">
        <w:rPr>
          <w:rFonts w:ascii="Baskerville Old Face" w:hAnsi="Baskerville Old Face"/>
          <w:i/>
          <w:iCs/>
        </w:rPr>
        <w:t xml:space="preserve"> ≤ </w:t>
      </w:r>
      <w:r w:rsidRPr="00B479AE">
        <w:rPr>
          <w:rFonts w:ascii="Cambria" w:hAnsi="Cambria" w:cs="Cambria"/>
          <w:i/>
          <w:iCs/>
        </w:rPr>
        <w:t>Σ</w:t>
      </w:r>
      <w:r w:rsidRPr="00B479AE">
        <w:rPr>
          <w:rFonts w:ascii="Baskerville Old Face" w:hAnsi="Baskerville Old Face"/>
          <w:i/>
          <w:iCs/>
        </w:rPr>
        <w:t xml:space="preserve">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only where each </w:t>
      </w:r>
      <w:proofErr w:type="spellStart"/>
      <w:r w:rsidRPr="00B479AE">
        <w:rPr>
          <w:rFonts w:ascii="Baskerville Old Face" w:hAnsi="Baskerville Old Face"/>
          <w:i/>
          <w:iCs/>
        </w:rPr>
        <w:t>V_i</w:t>
      </w:r>
      <w:proofErr w:type="spellEnd"/>
      <w:r w:rsidRPr="00B479AE">
        <w:rPr>
          <w:rFonts w:ascii="Baskerville Old Face" w:hAnsi="Baskerville Old Face"/>
          <w:i/>
          <w:iCs/>
        </w:rPr>
        <w:t xml:space="preserve"> is independently evidenced, non-overlapping, and legally claimable</w:t>
      </w:r>
    </w:p>
    <w:p w14:paraId="0D8C1AE9"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This means that total admissible value cannot be inflated by stacking overlapping claims without methodological separation.</w:t>
      </w:r>
    </w:p>
    <w:p w14:paraId="52F127F2"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Prometheus should therefore classify each value claim according to:</w:t>
      </w:r>
    </w:p>
    <w:p w14:paraId="08965DD0"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evidence source;</w:t>
      </w:r>
      <w:r w:rsidRPr="00B479AE">
        <w:rPr>
          <w:rFonts w:ascii="Baskerville Old Face" w:hAnsi="Baskerville Old Face"/>
          <w:i/>
          <w:iCs/>
        </w:rPr>
        <w:br/>
        <w:t>indicator family;</w:t>
      </w:r>
      <w:r w:rsidRPr="00B479AE">
        <w:rPr>
          <w:rFonts w:ascii="Baskerville Old Face" w:hAnsi="Baskerville Old Face"/>
          <w:i/>
          <w:iCs/>
        </w:rPr>
        <w:br/>
        <w:t>ecological process;</w:t>
      </w:r>
      <w:r w:rsidRPr="00B479AE">
        <w:rPr>
          <w:rFonts w:ascii="Baskerville Old Face" w:hAnsi="Baskerville Old Face"/>
          <w:i/>
          <w:iCs/>
        </w:rPr>
        <w:br/>
        <w:t>methodology;</w:t>
      </w:r>
      <w:r w:rsidRPr="00B479AE">
        <w:rPr>
          <w:rFonts w:ascii="Baskerville Old Face" w:hAnsi="Baskerville Old Face"/>
          <w:i/>
          <w:iCs/>
        </w:rPr>
        <w:br/>
        <w:t>legal right;</w:t>
      </w:r>
      <w:r w:rsidRPr="00B479AE">
        <w:rPr>
          <w:rFonts w:ascii="Baskerville Old Face" w:hAnsi="Baskerville Old Face"/>
          <w:i/>
          <w:iCs/>
        </w:rPr>
        <w:br/>
        <w:t>reporting boundary;</w:t>
      </w:r>
      <w:r w:rsidRPr="00B479AE">
        <w:rPr>
          <w:rFonts w:ascii="Baskerville Old Face" w:hAnsi="Baskerville Old Face"/>
          <w:i/>
          <w:iCs/>
        </w:rPr>
        <w:br/>
        <w:t>claim owner;</w:t>
      </w:r>
      <w:r w:rsidRPr="00B479AE">
        <w:rPr>
          <w:rFonts w:ascii="Baskerville Old Face" w:hAnsi="Baskerville Old Face"/>
          <w:i/>
          <w:iCs/>
        </w:rPr>
        <w:br/>
        <w:t>time period;</w:t>
      </w:r>
      <w:r w:rsidRPr="00B479AE">
        <w:rPr>
          <w:rFonts w:ascii="Baskerville Old Face" w:hAnsi="Baskerville Old Face"/>
          <w:i/>
          <w:iCs/>
        </w:rPr>
        <w:br/>
        <w:t>geographic boundary;</w:t>
      </w:r>
      <w:r w:rsidRPr="00B479AE">
        <w:rPr>
          <w:rFonts w:ascii="Baskerville Old Face" w:hAnsi="Baskerville Old Face"/>
          <w:i/>
          <w:iCs/>
        </w:rPr>
        <w:br/>
        <w:t>registry status where applicable;</w:t>
      </w:r>
      <w:r w:rsidRPr="00B479AE">
        <w:rPr>
          <w:rFonts w:ascii="Baskerville Old Face" w:hAnsi="Baskerville Old Face"/>
          <w:i/>
          <w:iCs/>
        </w:rPr>
        <w:br/>
        <w:t>crediting pathway where applicable;</w:t>
      </w:r>
      <w:r w:rsidRPr="00B479AE">
        <w:rPr>
          <w:rFonts w:ascii="Baskerville Old Face" w:hAnsi="Baskerville Old Face"/>
          <w:i/>
          <w:iCs/>
        </w:rPr>
        <w:br/>
        <w:t>investor-use status.</w:t>
      </w:r>
    </w:p>
    <w:p w14:paraId="0B99A173"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A no-double-counting condition may be expressed as:</w:t>
      </w:r>
    </w:p>
    <w:p w14:paraId="1FD364B0" w14:textId="77777777" w:rsidR="0091235E" w:rsidRPr="005907F1" w:rsidRDefault="0091235E" w:rsidP="0091235E">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NDC_i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B_i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T_i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R_i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O_i</w:t>
      </w:r>
      <w:proofErr w:type="spellEnd"/>
    </w:p>
    <w:p w14:paraId="0BCA785A"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Where:</w:t>
      </w:r>
    </w:p>
    <w:p w14:paraId="7177C1F3" w14:textId="77777777" w:rsidR="0091235E" w:rsidRPr="00B479AE" w:rsidRDefault="0091235E" w:rsidP="0091235E">
      <w:pPr>
        <w:spacing w:line="360" w:lineRule="auto"/>
        <w:rPr>
          <w:rFonts w:ascii="Baskerville Old Face" w:hAnsi="Baskerville Old Face"/>
          <w:i/>
          <w:iCs/>
        </w:rPr>
      </w:pPr>
      <w:proofErr w:type="spellStart"/>
      <w:r w:rsidRPr="00B479AE">
        <w:rPr>
          <w:rFonts w:ascii="Baskerville Old Face" w:hAnsi="Baskerville Old Face"/>
          <w:i/>
          <w:iCs/>
        </w:rPr>
        <w:t>NDC_i</w:t>
      </w:r>
      <w:proofErr w:type="spellEnd"/>
      <w:r w:rsidRPr="00B479AE">
        <w:rPr>
          <w:rFonts w:ascii="Baskerville Old Face" w:hAnsi="Baskerville Old Face"/>
          <w:i/>
          <w:iCs/>
        </w:rPr>
        <w:t xml:space="preserve"> = no-double-counting eligibility for claim </w:t>
      </w:r>
      <w:proofErr w:type="spellStart"/>
      <w:r w:rsidRPr="00B479AE">
        <w:rPr>
          <w:rFonts w:ascii="Baskerville Old Face" w:hAnsi="Baskerville Old Face"/>
          <w:i/>
          <w:iCs/>
        </w:rPr>
        <w:t>i</w:t>
      </w:r>
      <w:proofErr w:type="spellEnd"/>
      <w:r w:rsidRPr="00B479AE">
        <w:rPr>
          <w:rFonts w:ascii="Baskerville Old Face" w:hAnsi="Baskerville Old Face"/>
          <w:i/>
          <w:iCs/>
        </w:rPr>
        <w:t>.</w:t>
      </w:r>
      <w:r w:rsidRPr="00B479AE">
        <w:rPr>
          <w:rFonts w:ascii="Baskerville Old Face" w:hAnsi="Baskerville Old Face"/>
          <w:i/>
          <w:iCs/>
        </w:rPr>
        <w:br/>
      </w:r>
      <w:proofErr w:type="spellStart"/>
      <w:r w:rsidRPr="00B479AE">
        <w:rPr>
          <w:rFonts w:ascii="Baskerville Old Face" w:hAnsi="Baskerville Old Face"/>
          <w:i/>
          <w:iCs/>
        </w:rPr>
        <w:t>E_i</w:t>
      </w:r>
      <w:proofErr w:type="spellEnd"/>
      <w:r w:rsidRPr="00B479AE">
        <w:rPr>
          <w:rFonts w:ascii="Baskerville Old Face" w:hAnsi="Baskerville Old Face"/>
          <w:i/>
          <w:iCs/>
        </w:rPr>
        <w:t xml:space="preserve"> = evidence uniqueness.</w:t>
      </w:r>
      <w:r w:rsidRPr="00B479AE">
        <w:rPr>
          <w:rFonts w:ascii="Baskerville Old Face" w:hAnsi="Baskerville Old Face"/>
          <w:i/>
          <w:iCs/>
        </w:rPr>
        <w:br/>
      </w:r>
      <w:proofErr w:type="spellStart"/>
      <w:r w:rsidRPr="00B479AE">
        <w:rPr>
          <w:rFonts w:ascii="Baskerville Old Face" w:hAnsi="Baskerville Old Face"/>
          <w:i/>
          <w:iCs/>
        </w:rPr>
        <w:t>B_i</w:t>
      </w:r>
      <w:proofErr w:type="spellEnd"/>
      <w:r w:rsidRPr="00B479AE">
        <w:rPr>
          <w:rFonts w:ascii="Baskerville Old Face" w:hAnsi="Baskerville Old Face"/>
          <w:i/>
          <w:iCs/>
        </w:rPr>
        <w:t xml:space="preserve"> = boundary uniqueness, including spatial and ecological boundary.</w:t>
      </w:r>
      <w:r w:rsidRPr="00B479AE">
        <w:rPr>
          <w:rFonts w:ascii="Baskerville Old Face" w:hAnsi="Baskerville Old Face"/>
          <w:i/>
          <w:iCs/>
        </w:rPr>
        <w:br/>
      </w:r>
      <w:proofErr w:type="spellStart"/>
      <w:r w:rsidRPr="00B479AE">
        <w:rPr>
          <w:rFonts w:ascii="Baskerville Old Face" w:hAnsi="Baskerville Old Face"/>
          <w:i/>
          <w:iCs/>
        </w:rPr>
        <w:t>T_i</w:t>
      </w:r>
      <w:proofErr w:type="spellEnd"/>
      <w:r w:rsidRPr="00B479AE">
        <w:rPr>
          <w:rFonts w:ascii="Baskerville Old Face" w:hAnsi="Baskerville Old Face"/>
          <w:i/>
          <w:iCs/>
        </w:rPr>
        <w:t xml:space="preserve"> = time-period uniqueness.</w:t>
      </w:r>
      <w:r w:rsidRPr="00B479AE">
        <w:rPr>
          <w:rFonts w:ascii="Baskerville Old Face" w:hAnsi="Baskerville Old Face"/>
          <w:i/>
          <w:iCs/>
        </w:rPr>
        <w:br/>
      </w:r>
      <w:proofErr w:type="spellStart"/>
      <w:r w:rsidRPr="00B479AE">
        <w:rPr>
          <w:rFonts w:ascii="Baskerville Old Face" w:hAnsi="Baskerville Old Face"/>
          <w:i/>
          <w:iCs/>
        </w:rPr>
        <w:t>R_i</w:t>
      </w:r>
      <w:proofErr w:type="spellEnd"/>
      <w:r w:rsidRPr="00B479AE">
        <w:rPr>
          <w:rFonts w:ascii="Baskerville Old Face" w:hAnsi="Baskerville Old Face"/>
          <w:i/>
          <w:iCs/>
        </w:rPr>
        <w:t xml:space="preserve"> = registry or record uniqueness, where applicable.</w:t>
      </w:r>
      <w:r w:rsidRPr="00B479AE">
        <w:rPr>
          <w:rFonts w:ascii="Baskerville Old Face" w:hAnsi="Baskerville Old Face"/>
          <w:i/>
          <w:iCs/>
        </w:rPr>
        <w:br/>
      </w:r>
      <w:proofErr w:type="spellStart"/>
      <w:r w:rsidRPr="00B479AE">
        <w:rPr>
          <w:rFonts w:ascii="Baskerville Old Face" w:hAnsi="Baskerville Old Face"/>
          <w:i/>
          <w:iCs/>
        </w:rPr>
        <w:t>L_i</w:t>
      </w:r>
      <w:proofErr w:type="spellEnd"/>
      <w:r w:rsidRPr="00B479AE">
        <w:rPr>
          <w:rFonts w:ascii="Baskerville Old Face" w:hAnsi="Baskerville Old Face"/>
          <w:i/>
          <w:iCs/>
        </w:rPr>
        <w:t xml:space="preserve"> = legal claim uniqueness.</w:t>
      </w:r>
      <w:r w:rsidRPr="00B479AE">
        <w:rPr>
          <w:rFonts w:ascii="Baskerville Old Face" w:hAnsi="Baskerville Old Face"/>
          <w:i/>
          <w:iCs/>
        </w:rPr>
        <w:br/>
      </w:r>
      <w:proofErr w:type="spellStart"/>
      <w:r w:rsidRPr="00B479AE">
        <w:rPr>
          <w:rFonts w:ascii="Baskerville Old Face" w:hAnsi="Baskerville Old Face"/>
          <w:i/>
          <w:iCs/>
        </w:rPr>
        <w:t>O_i</w:t>
      </w:r>
      <w:proofErr w:type="spellEnd"/>
      <w:r w:rsidRPr="00B479AE">
        <w:rPr>
          <w:rFonts w:ascii="Baskerville Old Face" w:hAnsi="Baskerville Old Face"/>
          <w:i/>
          <w:iCs/>
        </w:rPr>
        <w:t xml:space="preserve"> = ownership or claim-right clarity.</w:t>
      </w:r>
    </w:p>
    <w:p w14:paraId="1A587C65"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If any required factor is zero, the claim must be marked as overlapping, restricted, non-admissible, or review-required for financial use.</w:t>
      </w:r>
    </w:p>
    <w:p w14:paraId="4FA8DE92"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lastRenderedPageBreak/>
        <w:t>In operational terms:</w:t>
      </w:r>
    </w:p>
    <w:p w14:paraId="1C6F6381"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NDC_i</w:t>
      </w:r>
      <w:proofErr w:type="spellEnd"/>
      <w:r w:rsidRPr="00B479AE">
        <w:rPr>
          <w:rFonts w:ascii="Baskerville Old Face" w:hAnsi="Baskerville Old Face"/>
          <w:i/>
          <w:iCs/>
        </w:rPr>
        <w:t xml:space="preserve"> = 0, then </w:t>
      </w:r>
      <w:proofErr w:type="spellStart"/>
      <w:proofErr w:type="gramStart"/>
      <w:r w:rsidRPr="00B479AE">
        <w:rPr>
          <w:rFonts w:ascii="Baskerville Old Face" w:hAnsi="Baskerville Old Face"/>
          <w:i/>
          <w:iCs/>
        </w:rPr>
        <w:t>Claim</w:t>
      </w:r>
      <w:proofErr w:type="gramEnd"/>
      <w:r w:rsidRPr="00B479AE">
        <w:rPr>
          <w:rFonts w:ascii="Baskerville Old Face" w:hAnsi="Baskerville Old Face"/>
          <w:i/>
          <w:iCs/>
        </w:rPr>
        <w:t>_i</w:t>
      </w:r>
      <w:proofErr w:type="spellEnd"/>
      <w:r w:rsidRPr="00B479AE">
        <w:rPr>
          <w:rFonts w:ascii="Baskerville Old Face" w:hAnsi="Baskerville Old Face"/>
          <w:i/>
          <w:iCs/>
        </w:rPr>
        <w:t xml:space="preserve"> cannot be treated as independently financeable</w:t>
      </w:r>
    </w:p>
    <w:p w14:paraId="784904E1"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This does not mean the ecological benefit disappears.</w:t>
      </w:r>
    </w:p>
    <w:p w14:paraId="244D34B6"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It means the benefit cannot be represented twice as independent financial value.</w:t>
      </w:r>
    </w:p>
    <w:p w14:paraId="40EBDF17"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This distinction is essential.</w:t>
      </w:r>
    </w:p>
    <w:p w14:paraId="33DA5F4E"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A regenerative system may generate many co-benefits.</w:t>
      </w:r>
    </w:p>
    <w:p w14:paraId="5B870708"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But co-benefits must not be converted into duplicated claims.</w:t>
      </w:r>
    </w:p>
    <w:p w14:paraId="6625939F"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For example:</w:t>
      </w:r>
    </w:p>
    <w:p w14:paraId="4A9D332C"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soil organic matter improvement may support fertility analysis;</w:t>
      </w:r>
      <w:r w:rsidRPr="00B479AE">
        <w:rPr>
          <w:rFonts w:ascii="Baskerville Old Face" w:hAnsi="Baskerville Old Face"/>
          <w:i/>
          <w:iCs/>
        </w:rPr>
        <w:br/>
        <w:t>the same improvement may support water-retention interpretation;</w:t>
      </w:r>
      <w:r w:rsidRPr="00B479AE">
        <w:rPr>
          <w:rFonts w:ascii="Baskerville Old Face" w:hAnsi="Baskerville Old Face"/>
          <w:i/>
          <w:iCs/>
        </w:rPr>
        <w:br/>
        <w:t>the same improvement may support carbon-related discussion;</w:t>
      </w:r>
      <w:r w:rsidRPr="00B479AE">
        <w:rPr>
          <w:rFonts w:ascii="Baskerville Old Face" w:hAnsi="Baskerville Old Face"/>
          <w:i/>
          <w:iCs/>
        </w:rPr>
        <w:br/>
        <w:t>the same improvement may support resilience analysis.</w:t>
      </w:r>
    </w:p>
    <w:p w14:paraId="0BC0F4DB"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These are interrelated interpretations.</w:t>
      </w:r>
    </w:p>
    <w:p w14:paraId="047E2F2F"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They are not automatically separate monetizable assets.</w:t>
      </w:r>
    </w:p>
    <w:p w14:paraId="77E4C555"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Prometheus should therefore distinguish:</w:t>
      </w:r>
    </w:p>
    <w:p w14:paraId="1E7354FA"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multi-dimensional ecological meaning</w:t>
      </w:r>
      <w:r w:rsidRPr="00B479AE">
        <w:rPr>
          <w:rFonts w:ascii="Baskerville Old Face" w:hAnsi="Baskerville Old Face"/>
          <w:i/>
          <w:iCs/>
        </w:rPr>
        <w:br/>
        <w:t>from</w:t>
      </w:r>
      <w:r w:rsidRPr="00B479AE">
        <w:rPr>
          <w:rFonts w:ascii="Baskerville Old Face" w:hAnsi="Baskerville Old Face"/>
          <w:i/>
          <w:iCs/>
        </w:rPr>
        <w:br/>
        <w:t>independently admissible financial claim</w:t>
      </w:r>
    </w:p>
    <w:p w14:paraId="498FC17A"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 first is allowed.</w:t>
      </w:r>
    </w:p>
    <w:p w14:paraId="2AFE4A2D"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 second requires proof of separation.</w:t>
      </w:r>
    </w:p>
    <w:p w14:paraId="7870668D"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 claim-integrity pathway is:</w:t>
      </w:r>
    </w:p>
    <w:p w14:paraId="0B1B36FF"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 xml:space="preserve">evidence source </w:t>
      </w:r>
      <w:r w:rsidRPr="00B479AE">
        <w:rPr>
          <w:rFonts w:ascii="Times New Roman" w:hAnsi="Times New Roman" w:cs="Times New Roman"/>
          <w:i/>
          <w:iCs/>
        </w:rPr>
        <w:t>→</w:t>
      </w:r>
      <w:r w:rsidRPr="00B479AE">
        <w:rPr>
          <w:rFonts w:ascii="Baskerville Old Face" w:hAnsi="Baskerville Old Face"/>
          <w:i/>
          <w:iCs/>
        </w:rPr>
        <w:t xml:space="preserve"> claim boundary </w:t>
      </w:r>
      <w:r w:rsidRPr="00B479AE">
        <w:rPr>
          <w:rFonts w:ascii="Times New Roman" w:hAnsi="Times New Roman" w:cs="Times New Roman"/>
          <w:i/>
          <w:iCs/>
        </w:rPr>
        <w:t>→</w:t>
      </w:r>
      <w:r w:rsidRPr="00B479AE">
        <w:rPr>
          <w:rFonts w:ascii="Baskerville Old Face" w:hAnsi="Baskerville Old Face"/>
          <w:i/>
          <w:iCs/>
        </w:rPr>
        <w:t xml:space="preserve"> methodology </w:t>
      </w:r>
      <w:r w:rsidRPr="00B479AE">
        <w:rPr>
          <w:rFonts w:ascii="Times New Roman" w:hAnsi="Times New Roman" w:cs="Times New Roman"/>
          <w:i/>
          <w:iCs/>
        </w:rPr>
        <w:t>→</w:t>
      </w:r>
      <w:r w:rsidRPr="00B479AE">
        <w:rPr>
          <w:rFonts w:ascii="Baskerville Old Face" w:hAnsi="Baskerville Old Face"/>
          <w:i/>
          <w:iCs/>
        </w:rPr>
        <w:t xml:space="preserve"> ownership </w:t>
      </w:r>
      <w:r w:rsidRPr="00B479AE">
        <w:rPr>
          <w:rFonts w:ascii="Times New Roman" w:hAnsi="Times New Roman" w:cs="Times New Roman"/>
          <w:i/>
          <w:iCs/>
        </w:rPr>
        <w:t>→</w:t>
      </w:r>
      <w:r w:rsidRPr="00B479AE">
        <w:rPr>
          <w:rFonts w:ascii="Baskerville Old Face" w:hAnsi="Baskerville Old Face"/>
          <w:i/>
          <w:iCs/>
        </w:rPr>
        <w:t xml:space="preserve"> registry / record </w:t>
      </w:r>
      <w:r w:rsidRPr="00B479AE">
        <w:rPr>
          <w:rFonts w:ascii="Times New Roman" w:hAnsi="Times New Roman" w:cs="Times New Roman"/>
          <w:i/>
          <w:iCs/>
        </w:rPr>
        <w:t>→</w:t>
      </w:r>
      <w:r w:rsidRPr="00B479AE">
        <w:rPr>
          <w:rFonts w:ascii="Baskerville Old Face" w:hAnsi="Baskerville Old Face"/>
          <w:i/>
          <w:iCs/>
        </w:rPr>
        <w:t xml:space="preserve"> legal review </w:t>
      </w:r>
      <w:r w:rsidRPr="00B479AE">
        <w:rPr>
          <w:rFonts w:ascii="Times New Roman" w:hAnsi="Times New Roman" w:cs="Times New Roman"/>
          <w:i/>
          <w:iCs/>
        </w:rPr>
        <w:t>→</w:t>
      </w:r>
      <w:r w:rsidRPr="00B479AE">
        <w:rPr>
          <w:rFonts w:ascii="Baskerville Old Face" w:hAnsi="Baskerville Old Face"/>
          <w:i/>
          <w:iCs/>
        </w:rPr>
        <w:t xml:space="preserve"> admissible use</w:t>
      </w:r>
    </w:p>
    <w:p w14:paraId="2E198D36"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lastRenderedPageBreak/>
        <w:t>This protects Prometheus from greenwashing, value inflation, duplicated reporting, overlapping credit claims, investor confusion, and tokenized overrepresentation.</w:t>
      </w:r>
    </w:p>
    <w:p w14:paraId="254B096A"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 system may report co-benefits.</w:t>
      </w:r>
    </w:p>
    <w:p w14:paraId="4AB4F535"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It may not multiply value by relabeling the same underlying ecological improvement.</w:t>
      </w:r>
    </w:p>
    <w:p w14:paraId="15C94E78" w14:textId="77777777" w:rsidR="0091235E" w:rsidRPr="00B479AE" w:rsidRDefault="0091235E" w:rsidP="0091235E">
      <w:pPr>
        <w:spacing w:line="360" w:lineRule="auto"/>
        <w:rPr>
          <w:rFonts w:ascii="Baskerville Old Face" w:hAnsi="Baskerville Old Face"/>
          <w:b/>
          <w:bCs/>
          <w:i/>
          <w:iCs/>
        </w:rPr>
      </w:pPr>
      <w:r w:rsidRPr="00B479AE">
        <w:rPr>
          <w:rFonts w:ascii="Baskerville Old Face" w:hAnsi="Baskerville Old Face"/>
          <w:b/>
          <w:bCs/>
          <w:i/>
          <w:iCs/>
        </w:rPr>
        <w:t>Formula boundary</w:t>
      </w:r>
    </w:p>
    <w:p w14:paraId="66D4097D" w14:textId="77777777" w:rsidR="0091235E" w:rsidRPr="00B479AE" w:rsidRDefault="0091235E" w:rsidP="0091235E">
      <w:pPr>
        <w:spacing w:line="360" w:lineRule="auto"/>
        <w:rPr>
          <w:rFonts w:ascii="Baskerville Old Face" w:hAnsi="Baskerville Old Face"/>
          <w:i/>
          <w:iCs/>
        </w:rPr>
      </w:pPr>
      <w:proofErr w:type="spellStart"/>
      <w:r w:rsidRPr="00B479AE">
        <w:rPr>
          <w:rFonts w:ascii="Baskerville Old Face" w:hAnsi="Baskerville Old Face"/>
          <w:b/>
          <w:bCs/>
          <w:i/>
          <w:iCs/>
        </w:rPr>
        <w:t>NDC_i</w:t>
      </w:r>
      <w:proofErr w:type="spellEnd"/>
      <w:r w:rsidRPr="00B479AE">
        <w:rPr>
          <w:rFonts w:ascii="Baskerville Old Face" w:hAnsi="Baskerville Old Face"/>
          <w:i/>
          <w:iCs/>
        </w:rPr>
        <w:t xml:space="preserve"> and related no-double-counting expressions are methodological claim-integrity functions.</w:t>
      </w:r>
    </w:p>
    <w:p w14:paraId="6F7CED94"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They do not create automatic claim ownership, credit eligibility, investor rights, token issuance, registry approval, legal enforceability, or market value.</w:t>
      </w:r>
    </w:p>
    <w:p w14:paraId="26B3398F"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They support MRV review, PRU analysis, RAP aggregation, investor reporting, and future legal structuring by ensuring that value claims remain unique, traceable, bounded, and non-duplicative.</w:t>
      </w:r>
    </w:p>
    <w:p w14:paraId="43C8532A" w14:textId="77777777" w:rsidR="0091235E" w:rsidRPr="00B479AE" w:rsidRDefault="0091235E" w:rsidP="0091235E">
      <w:pPr>
        <w:spacing w:line="360" w:lineRule="auto"/>
        <w:rPr>
          <w:rFonts w:ascii="Baskerville Old Face" w:hAnsi="Baskerville Old Face"/>
          <w:b/>
          <w:bCs/>
          <w:i/>
          <w:iCs/>
        </w:rPr>
      </w:pPr>
      <w:r w:rsidRPr="00B479AE">
        <w:rPr>
          <w:rFonts w:ascii="Baskerville Old Face" w:hAnsi="Baskerville Old Face"/>
          <w:b/>
          <w:bCs/>
          <w:i/>
          <w:iCs/>
        </w:rPr>
        <w:t>Operational rule</w:t>
      </w:r>
    </w:p>
    <w:p w14:paraId="772B4A25"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The operational rule is:</w:t>
      </w:r>
    </w:p>
    <w:p w14:paraId="52C8701E"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one ecological improvement may generate many interpretations;</w:t>
      </w:r>
      <w:r w:rsidRPr="00B479AE">
        <w:rPr>
          <w:rFonts w:ascii="Baskerville Old Face" w:hAnsi="Baskerville Old Face"/>
          <w:i/>
          <w:iCs/>
        </w:rPr>
        <w:br/>
        <w:t>only independently evidenced, bounded, and legally claimable components may generate separate financial claims.</w:t>
      </w:r>
    </w:p>
    <w:p w14:paraId="6E820058" w14:textId="77777777" w:rsidR="0091235E" w:rsidRPr="00B479AE" w:rsidRDefault="0091235E" w:rsidP="0091235E">
      <w:pPr>
        <w:spacing w:line="360" w:lineRule="auto"/>
        <w:rPr>
          <w:rFonts w:ascii="Baskerville Old Face" w:hAnsi="Baskerville Old Face"/>
          <w:i/>
          <w:iCs/>
        </w:rPr>
      </w:pPr>
      <w:r w:rsidRPr="00B479AE">
        <w:rPr>
          <w:rFonts w:ascii="Baskerville Old Face" w:hAnsi="Baskerville Old Face"/>
          <w:i/>
          <w:iCs/>
        </w:rPr>
        <w:t>Prometheus may recognize ecological richness.</w:t>
      </w:r>
    </w:p>
    <w:p w14:paraId="2355C0F3" w14:textId="2D82001A" w:rsidR="00B047F1" w:rsidRPr="00B047F1" w:rsidRDefault="00B047F1" w:rsidP="009966EC">
      <w:pPr>
        <w:spacing w:line="360" w:lineRule="auto"/>
        <w:rPr>
          <w:rFonts w:ascii="Baskerville Old Face" w:hAnsi="Baskerville Old Face"/>
          <w:i/>
          <w:iCs/>
        </w:rPr>
      </w:pPr>
      <w:r w:rsidRPr="00B047F1">
        <w:rPr>
          <w:rFonts w:ascii="Baskerville Old Face" w:hAnsi="Baskerville Old Face"/>
          <w:i/>
          <w:iCs/>
        </w:rPr>
        <w:t>It may not count the same underlying performance multiple times and present it as diversified value.</w:t>
      </w:r>
    </w:p>
    <w:p w14:paraId="3C9C138D" w14:textId="3DD15925" w:rsidR="009966EC" w:rsidRPr="00B479AE" w:rsidRDefault="009966EC" w:rsidP="009966EC">
      <w:pPr>
        <w:spacing w:line="360" w:lineRule="auto"/>
        <w:rPr>
          <w:rFonts w:ascii="Baskerville Old Face" w:hAnsi="Baskerville Old Face"/>
          <w:b/>
          <w:bCs/>
          <w:i/>
          <w:iCs/>
        </w:rPr>
      </w:pPr>
      <w:r w:rsidRPr="00B479AE">
        <w:rPr>
          <w:rFonts w:ascii="Baskerville Old Face" w:hAnsi="Baskerville Old Face"/>
          <w:b/>
          <w:bCs/>
          <w:i/>
          <w:iCs/>
        </w:rPr>
        <w:t>Source-to-Capital Traceability Function</w:t>
      </w:r>
    </w:p>
    <w:p w14:paraId="4AA6CA62"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Every capital-facing claim inside Prometheus should remain traceable to its living source.</w:t>
      </w:r>
    </w:p>
    <w:p w14:paraId="7BAEFA59"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 PRU-relevant value claim should never appear as a detached financial abstraction.</w:t>
      </w:r>
    </w:p>
    <w:p w14:paraId="02C725FE"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should be possible to trace each claim backward through the chain of evidence, methodology, review, and legal structure that made the claim admissible.</w:t>
      </w:r>
    </w:p>
    <w:p w14:paraId="2D0925EA"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source-to-capital traceability pathway may be expressed as:</w:t>
      </w:r>
    </w:p>
    <w:p w14:paraId="53005508"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lastRenderedPageBreak/>
        <w:t xml:space="preserve">Living system </w:t>
      </w:r>
      <w:r w:rsidRPr="00B479AE">
        <w:rPr>
          <w:rFonts w:ascii="Times New Roman" w:hAnsi="Times New Roman" w:cs="Times New Roman"/>
          <w:i/>
          <w:iCs/>
        </w:rPr>
        <w:t>→</w:t>
      </w:r>
      <w:r w:rsidRPr="00B479AE">
        <w:rPr>
          <w:rFonts w:ascii="Baskerville Old Face" w:hAnsi="Baskerville Old Face"/>
          <w:i/>
          <w:iCs/>
        </w:rPr>
        <w:t xml:space="preserve"> observation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provenance </w:t>
      </w:r>
      <w:r w:rsidRPr="00B479AE">
        <w:rPr>
          <w:rFonts w:ascii="Times New Roman" w:hAnsi="Times New Roman" w:cs="Times New Roman"/>
          <w:i/>
          <w:iCs/>
        </w:rPr>
        <w:t>→</w:t>
      </w:r>
      <w:r w:rsidRPr="00B479AE">
        <w:rPr>
          <w:rFonts w:ascii="Baskerville Old Face" w:hAnsi="Baskerville Old Face"/>
          <w:i/>
          <w:iCs/>
        </w:rPr>
        <w:t xml:space="preserve"> methodology </w:t>
      </w:r>
      <w:r w:rsidRPr="00B479AE">
        <w:rPr>
          <w:rFonts w:ascii="Times New Roman" w:hAnsi="Times New Roman" w:cs="Times New Roman"/>
          <w:i/>
          <w:iCs/>
        </w:rPr>
        <w:t>→</w:t>
      </w:r>
      <w:r w:rsidRPr="00B479AE">
        <w:rPr>
          <w:rFonts w:ascii="Baskerville Old Face" w:hAnsi="Baskerville Old Face"/>
          <w:i/>
          <w:iCs/>
        </w:rPr>
        <w:t xml:space="preserve"> confidence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legal structure </w:t>
      </w:r>
      <w:r w:rsidRPr="00B479AE">
        <w:rPr>
          <w:rFonts w:ascii="Times New Roman" w:hAnsi="Times New Roman" w:cs="Times New Roman"/>
          <w:i/>
          <w:iCs/>
        </w:rPr>
        <w:t>→</w:t>
      </w:r>
      <w:r w:rsidRPr="00B479AE">
        <w:rPr>
          <w:rFonts w:ascii="Baskerville Old Face" w:hAnsi="Baskerville Old Face"/>
          <w:i/>
          <w:iCs/>
        </w:rPr>
        <w:t xml:space="preserve"> capital use</w:t>
      </w:r>
    </w:p>
    <w:p w14:paraId="4ECAE846"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This sequence defines the evidentiary spine of Prometheus.</w:t>
      </w:r>
    </w:p>
    <w:p w14:paraId="593DB380"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 financial claim is credible only when it can answer the following questions:</w:t>
      </w:r>
    </w:p>
    <w:p w14:paraId="2F1C08D2"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Where did the claim originate?</w:t>
      </w:r>
    </w:p>
    <w:p w14:paraId="618B3987"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living system generated the underlying performance?</w:t>
      </w:r>
    </w:p>
    <w:p w14:paraId="352AD6B2"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observation captured it?</w:t>
      </w:r>
    </w:p>
    <w:p w14:paraId="477B3EA9"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evidence supports it?</w:t>
      </w:r>
    </w:p>
    <w:p w14:paraId="5E1FA49F"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provenance record preserves its source?</w:t>
      </w:r>
    </w:p>
    <w:p w14:paraId="7EFB4FAF"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methodology interpreted it?</w:t>
      </w:r>
    </w:p>
    <w:p w14:paraId="0A2CEA4F"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confidence score was assigned?</w:t>
      </w:r>
    </w:p>
    <w:p w14:paraId="7825846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admissibility threshold was satisfied?</w:t>
      </w:r>
    </w:p>
    <w:p w14:paraId="52547978"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review pathway approved its use?</w:t>
      </w:r>
    </w:p>
    <w:p w14:paraId="0DC4D0BB"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legal structure defines its rights, limitations, and enforceability?</w:t>
      </w:r>
    </w:p>
    <w:p w14:paraId="52884B22"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Which capital use does it support?</w:t>
      </w:r>
    </w:p>
    <w:p w14:paraId="51B72FD7"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 simplified traceability function may be expressed as:</w:t>
      </w:r>
    </w:p>
    <w:p w14:paraId="7BB338CC" w14:textId="77777777" w:rsidR="009966EC" w:rsidRPr="005907F1" w:rsidRDefault="009966EC" w:rsidP="009966EC">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Trace_i</w:t>
      </w:r>
      <w:proofErr w:type="spellEnd"/>
      <w:r w:rsidRPr="005907F1">
        <w:rPr>
          <w:rFonts w:ascii="Baskerville Old Face" w:hAnsi="Baskerville Old Face"/>
          <w:i/>
          <w:iCs/>
          <w:lang w:val="it-IT"/>
        </w:rPr>
        <w:t xml:space="preserve"> = </w:t>
      </w:r>
      <w:proofErr w:type="spellStart"/>
      <w:r w:rsidRPr="005907F1">
        <w:rPr>
          <w:rFonts w:ascii="Baskerville Old Face" w:hAnsi="Baskerville Old Face"/>
          <w:i/>
          <w:iCs/>
          <w:lang w:val="it-IT"/>
        </w:rPr>
        <w:t>S_i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O_i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E_i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P_i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A_i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L_i</w:t>
      </w:r>
      <w:proofErr w:type="spellEnd"/>
      <w:r w:rsidRPr="005907F1">
        <w:rPr>
          <w:rFonts w:ascii="Baskerville Old Face" w:hAnsi="Baskerville Old Face"/>
          <w:i/>
          <w:iCs/>
          <w:lang w:val="it-IT"/>
        </w:rPr>
        <w:t xml:space="preserve"> </w:t>
      </w:r>
      <w:r w:rsidRPr="005907F1">
        <w:rPr>
          <w:rFonts w:ascii="Cambria" w:hAnsi="Cambria" w:cs="Cambria"/>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K_i</w:t>
      </w:r>
      <w:proofErr w:type="spellEnd"/>
    </w:p>
    <w:p w14:paraId="2596E75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Where:</w:t>
      </w:r>
    </w:p>
    <w:p w14:paraId="2934D5FC" w14:textId="77777777" w:rsidR="009966EC" w:rsidRPr="00B479AE" w:rsidRDefault="009966EC" w:rsidP="009966EC">
      <w:pPr>
        <w:spacing w:line="360" w:lineRule="auto"/>
        <w:rPr>
          <w:rFonts w:ascii="Baskerville Old Face" w:hAnsi="Baskerville Old Face"/>
          <w:i/>
          <w:iCs/>
        </w:rPr>
      </w:pPr>
      <w:proofErr w:type="spellStart"/>
      <w:r w:rsidRPr="00B479AE">
        <w:rPr>
          <w:rFonts w:ascii="Baskerville Old Face" w:hAnsi="Baskerville Old Face"/>
          <w:i/>
          <w:iCs/>
        </w:rPr>
        <w:t>Trace_i</w:t>
      </w:r>
      <w:proofErr w:type="spellEnd"/>
      <w:r w:rsidRPr="00B479AE">
        <w:rPr>
          <w:rFonts w:ascii="Baskerville Old Face" w:hAnsi="Baskerville Old Face"/>
          <w:i/>
          <w:iCs/>
        </w:rPr>
        <w:t xml:space="preserve"> = traceability integrity of claim </w:t>
      </w:r>
      <w:proofErr w:type="spellStart"/>
      <w:r w:rsidRPr="00B479AE">
        <w:rPr>
          <w:rFonts w:ascii="Baskerville Old Face" w:hAnsi="Baskerville Old Face"/>
          <w:i/>
          <w:iCs/>
        </w:rPr>
        <w:t>i</w:t>
      </w:r>
      <w:proofErr w:type="spellEnd"/>
      <w:r w:rsidRPr="00B479AE">
        <w:rPr>
          <w:rFonts w:ascii="Baskerville Old Face" w:hAnsi="Baskerville Old Face"/>
          <w:i/>
          <w:iCs/>
        </w:rPr>
        <w:t>.</w:t>
      </w:r>
      <w:r w:rsidRPr="00B479AE">
        <w:rPr>
          <w:rFonts w:ascii="Baskerville Old Face" w:hAnsi="Baskerville Old Face"/>
          <w:i/>
          <w:iCs/>
        </w:rPr>
        <w:br/>
      </w:r>
      <w:proofErr w:type="spellStart"/>
      <w:r w:rsidRPr="00B479AE">
        <w:rPr>
          <w:rFonts w:ascii="Baskerville Old Face" w:hAnsi="Baskerville Old Face"/>
          <w:i/>
          <w:iCs/>
        </w:rPr>
        <w:t>S_i</w:t>
      </w:r>
      <w:proofErr w:type="spellEnd"/>
      <w:r w:rsidRPr="00B479AE">
        <w:rPr>
          <w:rFonts w:ascii="Baskerville Old Face" w:hAnsi="Baskerville Old Face"/>
          <w:i/>
          <w:iCs/>
        </w:rPr>
        <w:t xml:space="preserve"> = source living system identified.</w:t>
      </w:r>
      <w:r w:rsidRPr="00B479AE">
        <w:rPr>
          <w:rFonts w:ascii="Baskerville Old Face" w:hAnsi="Baskerville Old Face"/>
          <w:i/>
          <w:iCs/>
        </w:rPr>
        <w:br/>
      </w:r>
      <w:proofErr w:type="spellStart"/>
      <w:r w:rsidRPr="00B479AE">
        <w:rPr>
          <w:rFonts w:ascii="Baskerville Old Face" w:hAnsi="Baskerville Old Face"/>
          <w:i/>
          <w:iCs/>
        </w:rPr>
        <w:t>O_i</w:t>
      </w:r>
      <w:proofErr w:type="spellEnd"/>
      <w:r w:rsidRPr="00B479AE">
        <w:rPr>
          <w:rFonts w:ascii="Baskerville Old Face" w:hAnsi="Baskerville Old Face"/>
          <w:i/>
          <w:iCs/>
        </w:rPr>
        <w:t xml:space="preserve"> = observation recorded.</w:t>
      </w:r>
      <w:r w:rsidRPr="00B479AE">
        <w:rPr>
          <w:rFonts w:ascii="Baskerville Old Face" w:hAnsi="Baskerville Old Face"/>
          <w:i/>
          <w:iCs/>
        </w:rPr>
        <w:br/>
      </w:r>
      <w:proofErr w:type="spellStart"/>
      <w:r w:rsidRPr="00B479AE">
        <w:rPr>
          <w:rFonts w:ascii="Baskerville Old Face" w:hAnsi="Baskerville Old Face"/>
          <w:i/>
          <w:iCs/>
        </w:rPr>
        <w:t>E_i</w:t>
      </w:r>
      <w:proofErr w:type="spellEnd"/>
      <w:r w:rsidRPr="00B479AE">
        <w:rPr>
          <w:rFonts w:ascii="Baskerville Old Face" w:hAnsi="Baskerville Old Face"/>
          <w:i/>
          <w:iCs/>
        </w:rPr>
        <w:t xml:space="preserve"> = evidence available.</w:t>
      </w:r>
      <w:r w:rsidRPr="00B479AE">
        <w:rPr>
          <w:rFonts w:ascii="Baskerville Old Face" w:hAnsi="Baskerville Old Face"/>
          <w:i/>
          <w:iCs/>
        </w:rPr>
        <w:br/>
      </w:r>
      <w:proofErr w:type="spellStart"/>
      <w:r w:rsidRPr="00B479AE">
        <w:rPr>
          <w:rFonts w:ascii="Baskerville Old Face" w:hAnsi="Baskerville Old Face"/>
          <w:i/>
          <w:iCs/>
        </w:rPr>
        <w:t>P_i</w:t>
      </w:r>
      <w:proofErr w:type="spellEnd"/>
      <w:r w:rsidRPr="00B479AE">
        <w:rPr>
          <w:rFonts w:ascii="Baskerville Old Face" w:hAnsi="Baskerville Old Face"/>
          <w:i/>
          <w:iCs/>
        </w:rPr>
        <w:t xml:space="preserve"> = provenance preserved.</w:t>
      </w:r>
      <w:r w:rsidRPr="00B479AE">
        <w:rPr>
          <w:rFonts w:ascii="Baskerville Old Face" w:hAnsi="Baskerville Old Face"/>
          <w:i/>
          <w:iCs/>
        </w:rPr>
        <w:br/>
      </w:r>
      <w:proofErr w:type="spellStart"/>
      <w:r w:rsidRPr="00B479AE">
        <w:rPr>
          <w:rFonts w:ascii="Baskerville Old Face" w:hAnsi="Baskerville Old Face"/>
          <w:i/>
          <w:iCs/>
        </w:rPr>
        <w:t>M_i</w:t>
      </w:r>
      <w:proofErr w:type="spellEnd"/>
      <w:r w:rsidRPr="00B479AE">
        <w:rPr>
          <w:rFonts w:ascii="Baskerville Old Face" w:hAnsi="Baskerville Old Face"/>
          <w:i/>
          <w:iCs/>
        </w:rPr>
        <w:t xml:space="preserve"> = methodology applied.</w:t>
      </w:r>
      <w:r w:rsidRPr="00B479AE">
        <w:rPr>
          <w:rFonts w:ascii="Baskerville Old Face" w:hAnsi="Baskerville Old Face"/>
          <w:i/>
          <w:iCs/>
        </w:rPr>
        <w:br/>
      </w:r>
      <w:proofErr w:type="spellStart"/>
      <w:r w:rsidRPr="00B479AE">
        <w:rPr>
          <w:rFonts w:ascii="Baskerville Old Face" w:hAnsi="Baskerville Old Face"/>
          <w:i/>
          <w:iCs/>
        </w:rPr>
        <w:lastRenderedPageBreak/>
        <w:t>C_i</w:t>
      </w:r>
      <w:proofErr w:type="spellEnd"/>
      <w:r w:rsidRPr="00B479AE">
        <w:rPr>
          <w:rFonts w:ascii="Baskerville Old Face" w:hAnsi="Baskerville Old Face"/>
          <w:i/>
          <w:iCs/>
        </w:rPr>
        <w:t xml:space="preserve"> = confidence assigned.</w:t>
      </w:r>
      <w:r w:rsidRPr="00B479AE">
        <w:rPr>
          <w:rFonts w:ascii="Baskerville Old Face" w:hAnsi="Baskerville Old Face"/>
          <w:i/>
          <w:iCs/>
        </w:rPr>
        <w:br/>
      </w:r>
      <w:proofErr w:type="spellStart"/>
      <w:r w:rsidRPr="00B479AE">
        <w:rPr>
          <w:rFonts w:ascii="Baskerville Old Face" w:hAnsi="Baskerville Old Face"/>
          <w:i/>
          <w:iCs/>
        </w:rPr>
        <w:t>A_i</w:t>
      </w:r>
      <w:proofErr w:type="spellEnd"/>
      <w:r w:rsidRPr="00B479AE">
        <w:rPr>
          <w:rFonts w:ascii="Baskerville Old Face" w:hAnsi="Baskerville Old Face"/>
          <w:i/>
          <w:iCs/>
        </w:rPr>
        <w:t xml:space="preserve"> = admissibility satisfied.</w:t>
      </w:r>
      <w:r w:rsidRPr="00B479AE">
        <w:rPr>
          <w:rFonts w:ascii="Baskerville Old Face" w:hAnsi="Baskerville Old Face"/>
          <w:i/>
          <w:iCs/>
        </w:rPr>
        <w:br/>
      </w:r>
      <w:proofErr w:type="spellStart"/>
      <w:r w:rsidRPr="00B479AE">
        <w:rPr>
          <w:rFonts w:ascii="Baskerville Old Face" w:hAnsi="Baskerville Old Face"/>
          <w:i/>
          <w:iCs/>
        </w:rPr>
        <w:t>L_i</w:t>
      </w:r>
      <w:proofErr w:type="spellEnd"/>
      <w:r w:rsidRPr="00B479AE">
        <w:rPr>
          <w:rFonts w:ascii="Baskerville Old Face" w:hAnsi="Baskerville Old Face"/>
          <w:i/>
          <w:iCs/>
        </w:rPr>
        <w:t xml:space="preserve"> = legal structure defined where capital-facing use is involved.</w:t>
      </w:r>
      <w:r w:rsidRPr="00B479AE">
        <w:rPr>
          <w:rFonts w:ascii="Baskerville Old Face" w:hAnsi="Baskerville Old Face"/>
          <w:i/>
          <w:iCs/>
        </w:rPr>
        <w:br/>
      </w:r>
      <w:proofErr w:type="spellStart"/>
      <w:r w:rsidRPr="00B479AE">
        <w:rPr>
          <w:rFonts w:ascii="Baskerville Old Face" w:hAnsi="Baskerville Old Face"/>
          <w:i/>
          <w:iCs/>
        </w:rPr>
        <w:t>K_i</w:t>
      </w:r>
      <w:proofErr w:type="spellEnd"/>
      <w:r w:rsidRPr="00B479AE">
        <w:rPr>
          <w:rFonts w:ascii="Baskerville Old Face" w:hAnsi="Baskerville Old Face"/>
          <w:i/>
          <w:iCs/>
        </w:rPr>
        <w:t xml:space="preserve"> = capital-use boundary defined.</w:t>
      </w:r>
    </w:p>
    <w:p w14:paraId="6B01E9EE"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If any required element is missing, the claim should be classified as incomplete, review-required, non-admissible, or non-capital-facing, depending on severity and context.</w:t>
      </w:r>
    </w:p>
    <w:p w14:paraId="437830F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basic rule is:</w:t>
      </w:r>
    </w:p>
    <w:p w14:paraId="74FA7386"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 xml:space="preserve">if </w:t>
      </w:r>
      <w:proofErr w:type="spellStart"/>
      <w:r w:rsidRPr="00B479AE">
        <w:rPr>
          <w:rFonts w:ascii="Baskerville Old Face" w:hAnsi="Baskerville Old Face"/>
          <w:i/>
          <w:iCs/>
        </w:rPr>
        <w:t>Trace_i</w:t>
      </w:r>
      <w:proofErr w:type="spellEnd"/>
      <w:r w:rsidRPr="00B479AE">
        <w:rPr>
          <w:rFonts w:ascii="Baskerville Old Face" w:hAnsi="Baskerville Old Face"/>
          <w:i/>
          <w:iCs/>
        </w:rPr>
        <w:t xml:space="preserve"> = 0, then </w:t>
      </w:r>
      <w:proofErr w:type="spellStart"/>
      <w:proofErr w:type="gramStart"/>
      <w:r w:rsidRPr="00B479AE">
        <w:rPr>
          <w:rFonts w:ascii="Baskerville Old Face" w:hAnsi="Baskerville Old Face"/>
          <w:i/>
          <w:iCs/>
        </w:rPr>
        <w:t>Claim</w:t>
      </w:r>
      <w:proofErr w:type="gramEnd"/>
      <w:r w:rsidRPr="00B479AE">
        <w:rPr>
          <w:rFonts w:ascii="Baskerville Old Face" w:hAnsi="Baskerville Old Face"/>
          <w:i/>
          <w:iCs/>
        </w:rPr>
        <w:t>_i</w:t>
      </w:r>
      <w:proofErr w:type="spellEnd"/>
      <w:r w:rsidRPr="00B479AE">
        <w:rPr>
          <w:rFonts w:ascii="Baskerville Old Face" w:hAnsi="Baskerville Old Face"/>
          <w:i/>
          <w:iCs/>
        </w:rPr>
        <w:t xml:space="preserve"> cannot support capital-facing value</w:t>
      </w:r>
    </w:p>
    <w:p w14:paraId="472EE40D"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This does not mean the underlying ecological event is meaningless.</w:t>
      </w:r>
    </w:p>
    <w:p w14:paraId="6CEF90AD"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means the claim has not yet matured into capital-admissible evidence.</w:t>
      </w:r>
    </w:p>
    <w:p w14:paraId="3D8E2167"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 tree may have been planted.</w:t>
      </w:r>
    </w:p>
    <w:p w14:paraId="10A43D45"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Soil may have improved.</w:t>
      </w:r>
    </w:p>
    <w:p w14:paraId="07CF332C"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Water may have infiltrated.</w:t>
      </w:r>
    </w:p>
    <w:p w14:paraId="32EACDD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Biodiversity may have increased.</w:t>
      </w:r>
    </w:p>
    <w:p w14:paraId="74E6928E"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But if the claim cannot be traced, reviewed, and bounded, it cannot responsibly support PRU value, RAP inclusion, investor reporting, ecological credit language, legal rights, or future tokenized representation.</w:t>
      </w:r>
    </w:p>
    <w:p w14:paraId="4C91444D"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This protects Prometheus from detached abstraction.</w:t>
      </w:r>
    </w:p>
    <w:p w14:paraId="7BF61B68"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ensures that every financial expression remains accountable to the living system that generated it.</w:t>
      </w:r>
    </w:p>
    <w:p w14:paraId="2B865207"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forward pathway is:</w:t>
      </w:r>
    </w:p>
    <w:p w14:paraId="5B05AA16"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 xml:space="preserve">living performance </w:t>
      </w:r>
      <w:r w:rsidRPr="00B479AE">
        <w:rPr>
          <w:rFonts w:ascii="Times New Roman" w:hAnsi="Times New Roman" w:cs="Times New Roman"/>
          <w:i/>
          <w:iCs/>
        </w:rPr>
        <w:t>→</w:t>
      </w:r>
      <w:r w:rsidRPr="00B479AE">
        <w:rPr>
          <w:rFonts w:ascii="Baskerville Old Face" w:hAnsi="Baskerville Old Face"/>
          <w:i/>
          <w:iCs/>
        </w:rPr>
        <w:t xml:space="preserve"> verified evidence </w:t>
      </w:r>
      <w:r w:rsidRPr="00B479AE">
        <w:rPr>
          <w:rFonts w:ascii="Times New Roman" w:hAnsi="Times New Roman" w:cs="Times New Roman"/>
          <w:i/>
          <w:iCs/>
        </w:rPr>
        <w:t>→</w:t>
      </w:r>
      <w:r w:rsidRPr="00B479AE">
        <w:rPr>
          <w:rFonts w:ascii="Baskerville Old Face" w:hAnsi="Baskerville Old Face"/>
          <w:i/>
          <w:iCs/>
        </w:rPr>
        <w:t xml:space="preserve"> admissible claim </w:t>
      </w:r>
      <w:r w:rsidRPr="00B479AE">
        <w:rPr>
          <w:rFonts w:ascii="Times New Roman" w:hAnsi="Times New Roman" w:cs="Times New Roman"/>
          <w:i/>
          <w:iCs/>
        </w:rPr>
        <w:t>→</w:t>
      </w:r>
      <w:r w:rsidRPr="00B479AE">
        <w:rPr>
          <w:rFonts w:ascii="Baskerville Old Face" w:hAnsi="Baskerville Old Face"/>
          <w:i/>
          <w:iCs/>
        </w:rPr>
        <w:t xml:space="preserve"> legal meaning </w:t>
      </w:r>
      <w:r w:rsidRPr="00B479AE">
        <w:rPr>
          <w:rFonts w:ascii="Times New Roman" w:hAnsi="Times New Roman" w:cs="Times New Roman"/>
          <w:i/>
          <w:iCs/>
        </w:rPr>
        <w:t>→</w:t>
      </w:r>
      <w:r w:rsidRPr="00B479AE">
        <w:rPr>
          <w:rFonts w:ascii="Baskerville Old Face" w:hAnsi="Baskerville Old Face"/>
          <w:i/>
          <w:iCs/>
        </w:rPr>
        <w:t xml:space="preserve"> capital use</w:t>
      </w:r>
    </w:p>
    <w:p w14:paraId="035AFC24"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backward audit pathway is:</w:t>
      </w:r>
    </w:p>
    <w:p w14:paraId="5487A50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 xml:space="preserve">capital claim </w:t>
      </w:r>
      <w:r w:rsidRPr="00B479AE">
        <w:rPr>
          <w:rFonts w:ascii="Times New Roman" w:hAnsi="Times New Roman" w:cs="Times New Roman"/>
          <w:i/>
          <w:iCs/>
        </w:rPr>
        <w:t>→</w:t>
      </w:r>
      <w:r w:rsidRPr="00B479AE">
        <w:rPr>
          <w:rFonts w:ascii="Baskerville Old Face" w:hAnsi="Baskerville Old Face"/>
          <w:i/>
          <w:iCs/>
        </w:rPr>
        <w:t xml:space="preserve"> legal instrument </w:t>
      </w:r>
      <w:r w:rsidRPr="00B479AE">
        <w:rPr>
          <w:rFonts w:ascii="Times New Roman" w:hAnsi="Times New Roman" w:cs="Times New Roman"/>
          <w:i/>
          <w:iCs/>
        </w:rPr>
        <w:t>→</w:t>
      </w:r>
      <w:r w:rsidRPr="00B479AE">
        <w:rPr>
          <w:rFonts w:ascii="Baskerville Old Face" w:hAnsi="Baskerville Old Face"/>
          <w:i/>
          <w:iCs/>
        </w:rPr>
        <w:t xml:space="preserve"> admissibility record </w:t>
      </w:r>
      <w:r w:rsidRPr="00B479AE">
        <w:rPr>
          <w:rFonts w:ascii="Times New Roman" w:hAnsi="Times New Roman" w:cs="Times New Roman"/>
          <w:i/>
          <w:iCs/>
        </w:rPr>
        <w:t>→</w:t>
      </w:r>
      <w:r w:rsidRPr="00B479AE">
        <w:rPr>
          <w:rFonts w:ascii="Baskerville Old Face" w:hAnsi="Baskerville Old Face"/>
          <w:i/>
          <w:iCs/>
        </w:rPr>
        <w:t xml:space="preserve"> confidence score </w:t>
      </w:r>
      <w:r w:rsidRPr="00B479AE">
        <w:rPr>
          <w:rFonts w:ascii="Times New Roman" w:hAnsi="Times New Roman" w:cs="Times New Roman"/>
          <w:i/>
          <w:iCs/>
        </w:rPr>
        <w:t>→</w:t>
      </w:r>
      <w:r w:rsidRPr="00B479AE">
        <w:rPr>
          <w:rFonts w:ascii="Baskerville Old Face" w:hAnsi="Baskerville Old Face"/>
          <w:i/>
          <w:iCs/>
        </w:rPr>
        <w:t xml:space="preserve"> methodology </w:t>
      </w:r>
      <w:r w:rsidRPr="00B479AE">
        <w:rPr>
          <w:rFonts w:ascii="Times New Roman" w:hAnsi="Times New Roman" w:cs="Times New Roman"/>
          <w:i/>
          <w:iCs/>
        </w:rPr>
        <w:t>→</w:t>
      </w:r>
      <w:r w:rsidRPr="00B479AE">
        <w:rPr>
          <w:rFonts w:ascii="Baskerville Old Face" w:hAnsi="Baskerville Old Face"/>
          <w:i/>
          <w:iCs/>
        </w:rPr>
        <w:t xml:space="preserve"> provenance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observation </w:t>
      </w:r>
      <w:r w:rsidRPr="00B479AE">
        <w:rPr>
          <w:rFonts w:ascii="Times New Roman" w:hAnsi="Times New Roman" w:cs="Times New Roman"/>
          <w:i/>
          <w:iCs/>
        </w:rPr>
        <w:t>→</w:t>
      </w:r>
      <w:r w:rsidRPr="00B479AE">
        <w:rPr>
          <w:rFonts w:ascii="Baskerville Old Face" w:hAnsi="Baskerville Old Face"/>
          <w:i/>
          <w:iCs/>
        </w:rPr>
        <w:t xml:space="preserve"> living system</w:t>
      </w:r>
    </w:p>
    <w:p w14:paraId="72D1EC7B"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lastRenderedPageBreak/>
        <w:t>Both directions must work.</w:t>
      </w:r>
    </w:p>
    <w:p w14:paraId="7A6A11B5"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If a capital claim cannot be traced backward, it should not move forward.</w:t>
      </w:r>
    </w:p>
    <w:p w14:paraId="06CEB4CA" w14:textId="77777777" w:rsidR="009966EC" w:rsidRPr="00B479AE" w:rsidRDefault="009966EC" w:rsidP="009966EC">
      <w:pPr>
        <w:spacing w:line="360" w:lineRule="auto"/>
        <w:rPr>
          <w:rFonts w:ascii="Baskerville Old Face" w:hAnsi="Baskerville Old Face"/>
          <w:b/>
          <w:bCs/>
          <w:i/>
          <w:iCs/>
        </w:rPr>
      </w:pPr>
      <w:r w:rsidRPr="00B479AE">
        <w:rPr>
          <w:rFonts w:ascii="Baskerville Old Face" w:hAnsi="Baskerville Old Face"/>
          <w:b/>
          <w:bCs/>
          <w:i/>
          <w:iCs/>
        </w:rPr>
        <w:t>Traceability classes</w:t>
      </w:r>
    </w:p>
    <w:p w14:paraId="42FA6FAA"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Prometheus may classify traceability into maturity levels.</w:t>
      </w:r>
    </w:p>
    <w:p w14:paraId="1C9AB523"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Trace-T0 — Narrative claim</w:t>
      </w:r>
    </w:p>
    <w:p w14:paraId="7623B429"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 claim exists, but evidence and provenance are not sufficient.</w:t>
      </w:r>
    </w:p>
    <w:p w14:paraId="52C38ECA"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Trace-T1 — Observed</w:t>
      </w:r>
    </w:p>
    <w:p w14:paraId="3349CC00"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An event or condition has been observed, but evidence maturity is limited.</w:t>
      </w:r>
    </w:p>
    <w:p w14:paraId="3123F61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Trace-T2 — Evidence-linked</w:t>
      </w:r>
    </w:p>
    <w:p w14:paraId="4BA3AA64"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claim is linked to evidence with source, time, method, and location.</w:t>
      </w:r>
    </w:p>
    <w:p w14:paraId="60CC8B5A"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Trace-T3 — Provenance-preserved</w:t>
      </w:r>
    </w:p>
    <w:p w14:paraId="220AF169"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evidence has a preserved provenance record, archive reference, hash, source-chain record, or equivalent integrity marker.</w:t>
      </w:r>
    </w:p>
    <w:p w14:paraId="18DC0A56"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Trace-T4 — Methodology-interpreted</w:t>
      </w:r>
    </w:p>
    <w:p w14:paraId="4C8539C4"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evidence has been interpreted through an approved or draft methodology.</w:t>
      </w:r>
    </w:p>
    <w:p w14:paraId="2E05FAB5"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Trace-T5 — Confidence-scored</w:t>
      </w:r>
    </w:p>
    <w:p w14:paraId="366FB7D0"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claim has an assigned confidence level and stated limitations.</w:t>
      </w:r>
    </w:p>
    <w:p w14:paraId="76EB7A08"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Trace-T6 — Admissibility-reviewed</w:t>
      </w:r>
    </w:p>
    <w:p w14:paraId="42B56C15"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claim has passed the relevant MRV, PRU, governance, or scientific review pathway.</w:t>
      </w:r>
    </w:p>
    <w:p w14:paraId="4500401D"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t>Trace-T7 — Legal-structured</w:t>
      </w:r>
    </w:p>
    <w:p w14:paraId="35A87440"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claim is connected to a legal instrument, disclosure framework, contractual right, reporting boundary, or regulated pathway where capital-facing use is involved.</w:t>
      </w:r>
    </w:p>
    <w:p w14:paraId="1A807B51"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b/>
          <w:bCs/>
          <w:i/>
          <w:iCs/>
        </w:rPr>
        <w:lastRenderedPageBreak/>
        <w:t>Trace-T8 — Capital-usable</w:t>
      </w:r>
    </w:p>
    <w:p w14:paraId="4E079184"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claim may support defined capital-facing use within its approved boundary.</w:t>
      </w:r>
    </w:p>
    <w:p w14:paraId="13664C8C"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These classes are analytical traceability classes.</w:t>
      </w:r>
    </w:p>
    <w:p w14:paraId="5693574C"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They are not credit ratings.</w:t>
      </w:r>
    </w:p>
    <w:p w14:paraId="6D88E08A"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They are not investment ratings.</w:t>
      </w:r>
    </w:p>
    <w:p w14:paraId="371AF77C"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They do not create rights by themselves.</w:t>
      </w:r>
    </w:p>
    <w:p w14:paraId="20951283"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They define how mature the evidence chain is.</w:t>
      </w:r>
    </w:p>
    <w:p w14:paraId="4CD42EFD" w14:textId="77777777" w:rsidR="00716126" w:rsidRPr="00B479AE" w:rsidRDefault="00716126" w:rsidP="009966EC">
      <w:pPr>
        <w:spacing w:line="360" w:lineRule="auto"/>
        <w:rPr>
          <w:rFonts w:ascii="Baskerville Old Face" w:hAnsi="Baskerville Old Face"/>
          <w:b/>
          <w:bCs/>
          <w:i/>
          <w:iCs/>
        </w:rPr>
      </w:pPr>
    </w:p>
    <w:p w14:paraId="546AF937" w14:textId="68FCFF1F" w:rsidR="009966EC" w:rsidRPr="00B479AE" w:rsidRDefault="009966EC" w:rsidP="009966EC">
      <w:pPr>
        <w:spacing w:line="360" w:lineRule="auto"/>
        <w:rPr>
          <w:rFonts w:ascii="Baskerville Old Face" w:hAnsi="Baskerville Old Face"/>
          <w:b/>
          <w:bCs/>
          <w:i/>
          <w:iCs/>
        </w:rPr>
      </w:pPr>
      <w:r w:rsidRPr="00B479AE">
        <w:rPr>
          <w:rFonts w:ascii="Baskerville Old Face" w:hAnsi="Baskerville Old Face"/>
          <w:b/>
          <w:bCs/>
          <w:i/>
          <w:iCs/>
        </w:rPr>
        <w:t>Capital-facing traceability rule</w:t>
      </w:r>
    </w:p>
    <w:p w14:paraId="26E7A5C6"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 claim may become capital-facing only when:</w:t>
      </w:r>
    </w:p>
    <w:p w14:paraId="1FCF5AE6" w14:textId="77777777" w:rsidR="009966EC" w:rsidRPr="00B479AE" w:rsidRDefault="009966EC" w:rsidP="009966EC">
      <w:pPr>
        <w:spacing w:line="360" w:lineRule="auto"/>
        <w:rPr>
          <w:rFonts w:ascii="Baskerville Old Face" w:hAnsi="Baskerville Old Face"/>
          <w:i/>
          <w:iCs/>
        </w:rPr>
      </w:pPr>
      <w:proofErr w:type="spellStart"/>
      <w:r w:rsidRPr="00B479AE">
        <w:rPr>
          <w:rFonts w:ascii="Baskerville Old Face" w:hAnsi="Baskerville Old Face"/>
          <w:i/>
          <w:iCs/>
        </w:rPr>
        <w:t>Trace_i</w:t>
      </w:r>
      <w:proofErr w:type="spellEnd"/>
      <w:r w:rsidRPr="00B479AE">
        <w:rPr>
          <w:rFonts w:ascii="Baskerville Old Face" w:hAnsi="Baskerville Old Face"/>
          <w:i/>
          <w:iCs/>
        </w:rPr>
        <w:t xml:space="preserve"> ≥ Trace-T6</w:t>
      </w:r>
    </w:p>
    <w:p w14:paraId="70DEE558"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and, where legal or financial rights are involved:</w:t>
      </w:r>
    </w:p>
    <w:p w14:paraId="32115F39" w14:textId="77777777" w:rsidR="009966EC" w:rsidRPr="00B479AE" w:rsidRDefault="009966EC" w:rsidP="009966EC">
      <w:pPr>
        <w:spacing w:line="360" w:lineRule="auto"/>
        <w:rPr>
          <w:rFonts w:ascii="Baskerville Old Face" w:hAnsi="Baskerville Old Face"/>
          <w:i/>
          <w:iCs/>
        </w:rPr>
      </w:pPr>
      <w:proofErr w:type="spellStart"/>
      <w:r w:rsidRPr="00B479AE">
        <w:rPr>
          <w:rFonts w:ascii="Baskerville Old Face" w:hAnsi="Baskerville Old Face"/>
          <w:i/>
          <w:iCs/>
        </w:rPr>
        <w:t>Trace_i</w:t>
      </w:r>
      <w:proofErr w:type="spellEnd"/>
      <w:r w:rsidRPr="00B479AE">
        <w:rPr>
          <w:rFonts w:ascii="Baskerville Old Face" w:hAnsi="Baskerville Old Face"/>
          <w:i/>
          <w:iCs/>
        </w:rPr>
        <w:t xml:space="preserve"> ≥ Trace-T7</w:t>
      </w:r>
    </w:p>
    <w:p w14:paraId="5F7EEA18"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For investor-facing or instrument-linked use, the stronger condition applies:</w:t>
      </w:r>
    </w:p>
    <w:p w14:paraId="22E77323" w14:textId="77777777" w:rsidR="009966EC" w:rsidRPr="00B479AE" w:rsidRDefault="009966EC" w:rsidP="009966EC">
      <w:pPr>
        <w:spacing w:line="360" w:lineRule="auto"/>
        <w:rPr>
          <w:rFonts w:ascii="Baskerville Old Face" w:hAnsi="Baskerville Old Face"/>
          <w:i/>
          <w:iCs/>
        </w:rPr>
      </w:pPr>
      <w:proofErr w:type="spellStart"/>
      <w:r w:rsidRPr="00B479AE">
        <w:rPr>
          <w:rFonts w:ascii="Baskerville Old Face" w:hAnsi="Baskerville Old Face"/>
          <w:i/>
          <w:iCs/>
        </w:rPr>
        <w:t>Trace_i</w:t>
      </w:r>
      <w:proofErr w:type="spellEnd"/>
      <w:r w:rsidRPr="00B479AE">
        <w:rPr>
          <w:rFonts w:ascii="Baskerville Old Face" w:hAnsi="Baskerville Old Face"/>
          <w:i/>
          <w:iCs/>
        </w:rPr>
        <w:t xml:space="preserve"> = Trace-T8</w:t>
      </w:r>
    </w:p>
    <w:p w14:paraId="2438C615"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This creates a simple internal discipline:</w:t>
      </w:r>
    </w:p>
    <w:p w14:paraId="3113C83B"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claims may be discussed early;</w:t>
      </w:r>
      <w:r w:rsidRPr="00B479AE">
        <w:rPr>
          <w:rFonts w:ascii="Baskerville Old Face" w:hAnsi="Baskerville Old Face"/>
          <w:i/>
          <w:iCs/>
        </w:rPr>
        <w:br/>
        <w:t>claims may be studied with evidence;</w:t>
      </w:r>
      <w:r w:rsidRPr="00B479AE">
        <w:rPr>
          <w:rFonts w:ascii="Baskerville Old Face" w:hAnsi="Baskerville Old Face"/>
          <w:i/>
          <w:iCs/>
        </w:rPr>
        <w:br/>
        <w:t>claims may be reported when reviewed;</w:t>
      </w:r>
      <w:r w:rsidRPr="00B479AE">
        <w:rPr>
          <w:rFonts w:ascii="Baskerville Old Face" w:hAnsi="Baskerville Old Face"/>
          <w:i/>
          <w:iCs/>
        </w:rPr>
        <w:br/>
        <w:t>claims may support capital only when legally and methodologically structured.</w:t>
      </w:r>
    </w:p>
    <w:p w14:paraId="5EF5468A"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rule prevents Prometheus from treating all positive ecological change as immediately financeable.</w:t>
      </w:r>
    </w:p>
    <w:p w14:paraId="02A00470"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also prevents capital from detaching from evidence.</w:t>
      </w:r>
    </w:p>
    <w:p w14:paraId="3D595FE3" w14:textId="77777777" w:rsidR="00543279" w:rsidRDefault="00543279" w:rsidP="009966EC">
      <w:pPr>
        <w:spacing w:line="360" w:lineRule="auto"/>
        <w:rPr>
          <w:rFonts w:ascii="Baskerville Old Face" w:hAnsi="Baskerville Old Face"/>
          <w:b/>
          <w:bCs/>
          <w:i/>
          <w:iCs/>
        </w:rPr>
      </w:pPr>
    </w:p>
    <w:p w14:paraId="02E25748" w14:textId="24110E2B" w:rsidR="009966EC" w:rsidRPr="00B479AE" w:rsidRDefault="009966EC" w:rsidP="009966EC">
      <w:pPr>
        <w:spacing w:line="360" w:lineRule="auto"/>
        <w:rPr>
          <w:rFonts w:ascii="Baskerville Old Face" w:hAnsi="Baskerville Old Face"/>
          <w:b/>
          <w:bCs/>
          <w:i/>
          <w:iCs/>
        </w:rPr>
      </w:pPr>
      <w:r w:rsidRPr="00B479AE">
        <w:rPr>
          <w:rFonts w:ascii="Baskerville Old Face" w:hAnsi="Baskerville Old Face"/>
          <w:b/>
          <w:bCs/>
          <w:i/>
          <w:iCs/>
        </w:rPr>
        <w:lastRenderedPageBreak/>
        <w:t>Formula boundary</w:t>
      </w:r>
    </w:p>
    <w:p w14:paraId="403B1F9A" w14:textId="77777777" w:rsidR="009966EC" w:rsidRPr="00B479AE" w:rsidRDefault="009966EC" w:rsidP="009966EC">
      <w:pPr>
        <w:spacing w:line="360" w:lineRule="auto"/>
        <w:rPr>
          <w:rFonts w:ascii="Baskerville Old Face" w:hAnsi="Baskerville Old Face"/>
          <w:i/>
          <w:iCs/>
        </w:rPr>
      </w:pPr>
      <w:proofErr w:type="spellStart"/>
      <w:r w:rsidRPr="00B479AE">
        <w:rPr>
          <w:rFonts w:ascii="Baskerville Old Face" w:hAnsi="Baskerville Old Face"/>
          <w:i/>
          <w:iCs/>
        </w:rPr>
        <w:t>Trace_i</w:t>
      </w:r>
      <w:proofErr w:type="spellEnd"/>
      <w:r w:rsidRPr="00B479AE">
        <w:rPr>
          <w:rFonts w:ascii="Baskerville Old Face" w:hAnsi="Baskerville Old Face"/>
          <w:i/>
          <w:iCs/>
        </w:rPr>
        <w:t xml:space="preserve"> is a methodological traceability function.</w:t>
      </w:r>
    </w:p>
    <w:p w14:paraId="37382480"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does not create automatic financial value, token value, investor entitlement, legal enforceability, credit issuance, rating upgrade, market price, or fund eligibility.</w:t>
      </w:r>
    </w:p>
    <w:p w14:paraId="7FDD0CE6"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supports auditability, data-room discipline, PRU analysis, RAP aggregation, investor reporting, legal structuring, and future compliant digital representation by ensuring that each claim remains connected to its source.</w:t>
      </w:r>
    </w:p>
    <w:p w14:paraId="139BD2B5" w14:textId="77777777" w:rsidR="009966EC" w:rsidRPr="00B479AE" w:rsidRDefault="009966EC" w:rsidP="009966EC">
      <w:pPr>
        <w:spacing w:line="360" w:lineRule="auto"/>
        <w:rPr>
          <w:rFonts w:ascii="Baskerville Old Face" w:hAnsi="Baskerville Old Face"/>
          <w:b/>
          <w:bCs/>
          <w:i/>
          <w:iCs/>
        </w:rPr>
      </w:pPr>
      <w:r w:rsidRPr="00B479AE">
        <w:rPr>
          <w:rFonts w:ascii="Baskerville Old Face" w:hAnsi="Baskerville Old Face"/>
          <w:b/>
          <w:bCs/>
          <w:i/>
          <w:iCs/>
        </w:rPr>
        <w:t>Operational rule</w:t>
      </w:r>
    </w:p>
    <w:p w14:paraId="5BEF3787"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The operational rule is:</w:t>
      </w:r>
    </w:p>
    <w:p w14:paraId="033224B7"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no source, no claim;</w:t>
      </w:r>
      <w:r w:rsidRPr="00B479AE">
        <w:rPr>
          <w:rFonts w:ascii="Baskerville Old Face" w:hAnsi="Baskerville Old Face"/>
          <w:i/>
          <w:iCs/>
        </w:rPr>
        <w:br/>
        <w:t>no evidence, no admissibility;</w:t>
      </w:r>
      <w:r w:rsidRPr="00B479AE">
        <w:rPr>
          <w:rFonts w:ascii="Baskerville Old Face" w:hAnsi="Baskerville Old Face"/>
          <w:i/>
          <w:iCs/>
        </w:rPr>
        <w:br/>
        <w:t>no admissibility, no value;</w:t>
      </w:r>
      <w:r w:rsidRPr="00B479AE">
        <w:rPr>
          <w:rFonts w:ascii="Baskerville Old Face" w:hAnsi="Baskerville Old Face"/>
          <w:i/>
          <w:iCs/>
        </w:rPr>
        <w:br/>
        <w:t>no legal structure, no capital-facing right.</w:t>
      </w:r>
    </w:p>
    <w:p w14:paraId="35B73ED2"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This is the backbone of Prometheus as a verification-first regenerative infrastructure.</w:t>
      </w:r>
    </w:p>
    <w:p w14:paraId="51F1DCED"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Prometheus does not ask capital to trust abstraction.</w:t>
      </w:r>
    </w:p>
    <w:p w14:paraId="46B54A63" w14:textId="77777777" w:rsidR="009966EC" w:rsidRPr="00B479AE" w:rsidRDefault="009966EC" w:rsidP="009966EC">
      <w:pPr>
        <w:spacing w:line="360" w:lineRule="auto"/>
        <w:rPr>
          <w:rFonts w:ascii="Baskerville Old Face" w:hAnsi="Baskerville Old Face"/>
          <w:i/>
          <w:iCs/>
        </w:rPr>
      </w:pPr>
      <w:r w:rsidRPr="00B479AE">
        <w:rPr>
          <w:rFonts w:ascii="Baskerville Old Face" w:hAnsi="Baskerville Old Face"/>
          <w:i/>
          <w:iCs/>
        </w:rPr>
        <w:t>It requires capital to follow the trace back to life.</w:t>
      </w:r>
    </w:p>
    <w:p w14:paraId="0CCE7C66"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R.13 Conservative OHE value uplift</w:t>
      </w:r>
    </w:p>
    <w:p w14:paraId="68871A3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OHE value should not be increased by narrative claims.</w:t>
      </w:r>
    </w:p>
    <w:p w14:paraId="22057C8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should increase only when the MRV layer demonstrates that resilience, water performance, soil function, productivity, and network coordination are improving.</w:t>
      </w:r>
    </w:p>
    <w:p w14:paraId="478845D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conservative conceptual formulation is:</w:t>
      </w:r>
    </w:p>
    <w:p w14:paraId="51EC961C"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V_OHE_adj</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V_base</w:t>
      </w:r>
      <w:proofErr w:type="spellEnd"/>
      <w:r w:rsidRPr="00B479AE">
        <w:rPr>
          <w:rFonts w:ascii="Baskerville Old Face" w:hAnsi="Baskerville Old Face"/>
          <w:i/>
          <w:iCs/>
        </w:rPr>
        <w:t xml:space="preserve"> </w:t>
      </w:r>
      <w:r w:rsidRPr="00B479AE">
        <w:rPr>
          <w:rFonts w:ascii="Cambria" w:hAnsi="Cambria" w:cs="Cambria"/>
          <w:i/>
          <w:iCs/>
        </w:rPr>
        <w:t>·</w:t>
      </w:r>
      <w:r w:rsidRPr="00B479AE">
        <w:rPr>
          <w:rFonts w:ascii="Baskerville Old Face" w:hAnsi="Baskerville Old Face"/>
          <w:i/>
          <w:iCs/>
        </w:rPr>
        <w:t xml:space="preserve"> (1 + </w:t>
      </w:r>
      <w:proofErr w:type="spellStart"/>
      <w:r w:rsidRPr="00B479AE">
        <w:rPr>
          <w:rFonts w:ascii="Cambria" w:hAnsi="Cambria" w:cs="Cambria"/>
          <w:i/>
          <w:iCs/>
        </w:rPr>
        <w:t>λ₁</w:t>
      </w:r>
      <w:r w:rsidRPr="00B479AE">
        <w:rPr>
          <w:rFonts w:ascii="Baskerville Old Face" w:hAnsi="Baskerville Old Face"/>
          <w:i/>
          <w:iCs/>
        </w:rPr>
        <w:t>SRI</w:t>
      </w:r>
      <w:proofErr w:type="spellEnd"/>
      <w:r w:rsidRPr="00B479AE">
        <w:rPr>
          <w:rFonts w:ascii="Baskerville Old Face" w:hAnsi="Baskerville Old Face"/>
          <w:i/>
          <w:iCs/>
        </w:rPr>
        <w:t xml:space="preserve"> + </w:t>
      </w:r>
      <w:proofErr w:type="spellStart"/>
      <w:r w:rsidRPr="00B479AE">
        <w:rPr>
          <w:rFonts w:ascii="Cambria" w:hAnsi="Cambria" w:cs="Cambria"/>
          <w:i/>
          <w:iCs/>
        </w:rPr>
        <w:t>λ₂</w:t>
      </w:r>
      <w:r w:rsidRPr="00B479AE">
        <w:rPr>
          <w:rFonts w:ascii="Baskerville Old Face" w:hAnsi="Baskerville Old Face"/>
          <w:i/>
          <w:iCs/>
        </w:rPr>
        <w:t>RPI</w:t>
      </w:r>
      <w:proofErr w:type="spellEnd"/>
      <w:r w:rsidRPr="00B479AE">
        <w:rPr>
          <w:rFonts w:ascii="Baskerville Old Face" w:hAnsi="Baskerville Old Face"/>
          <w:i/>
          <w:iCs/>
        </w:rPr>
        <w:t xml:space="preserve"> + </w:t>
      </w:r>
      <w:proofErr w:type="spellStart"/>
      <w:r w:rsidRPr="00B479AE">
        <w:rPr>
          <w:rFonts w:ascii="Cambria" w:hAnsi="Cambria" w:cs="Cambria"/>
          <w:i/>
          <w:iCs/>
        </w:rPr>
        <w:t>λ₃</w:t>
      </w:r>
      <w:r w:rsidRPr="00B479AE">
        <w:rPr>
          <w:rFonts w:ascii="Baskerville Old Face" w:hAnsi="Baskerville Old Face"/>
          <w:i/>
          <w:iCs/>
        </w:rPr>
        <w:t>CESI</w:t>
      </w:r>
      <w:proofErr w:type="spellEnd"/>
      <w:r w:rsidRPr="00B479AE">
        <w:rPr>
          <w:rFonts w:ascii="Baskerville Old Face" w:hAnsi="Baskerville Old Face"/>
          <w:i/>
          <w:iCs/>
        </w:rPr>
        <w:t>)</w:t>
      </w:r>
    </w:p>
    <w:p w14:paraId="7C4788C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subject to:</w:t>
      </w:r>
    </w:p>
    <w:p w14:paraId="5F5868D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confidence-score thresholds</w:t>
      </w:r>
    </w:p>
    <w:p w14:paraId="5DBA822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anti-greenwashing rules</w:t>
      </w:r>
    </w:p>
    <w:p w14:paraId="571F022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no-double-counting controls</w:t>
      </w:r>
    </w:p>
    <w:p w14:paraId="5BA28E0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methodology versioning</w:t>
      </w:r>
    </w:p>
    <w:p w14:paraId="062F5FB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legal and contractual admissibility</w:t>
      </w:r>
    </w:p>
    <w:p w14:paraId="62769EC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separation between productive value, ecological value, and systemic value</w:t>
      </w:r>
    </w:p>
    <w:p w14:paraId="7BB723B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Interpretation:</w:t>
      </w:r>
    </w:p>
    <w:p w14:paraId="3BE13BDB"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V_base</w:t>
      </w:r>
      <w:proofErr w:type="spellEnd"/>
      <w:r w:rsidRPr="00B479AE">
        <w:rPr>
          <w:rFonts w:ascii="Baskerville Old Face" w:hAnsi="Baskerville Old Face"/>
          <w:i/>
          <w:iCs/>
        </w:rPr>
        <w:t xml:space="preserve"> remains the hard productive or cash-relevant value.</w:t>
      </w:r>
    </w:p>
    <w:p w14:paraId="4AC2127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SRI, RPI, and CESI may justify resilience or systemic-function premiums only when verified.</w:t>
      </w:r>
    </w:p>
    <w:p w14:paraId="124ADA7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No premium should be recognized merely because a system is called regenerative.</w:t>
      </w:r>
    </w:p>
    <w:p w14:paraId="5CAABC8C" w14:textId="118A6B76" w:rsidR="00B961DF" w:rsidRPr="00B479AE" w:rsidRDefault="00112DE6" w:rsidP="00B961DF">
      <w:pPr>
        <w:spacing w:line="360" w:lineRule="auto"/>
        <w:rPr>
          <w:rFonts w:ascii="Baskerville Old Face" w:hAnsi="Baskerville Old Face"/>
          <w:i/>
          <w:iCs/>
        </w:rPr>
      </w:pPr>
      <w:r w:rsidRPr="00B479AE">
        <w:rPr>
          <w:rFonts w:ascii="Baskerville Old Face" w:hAnsi="Baskerville Old Face"/>
          <w:i/>
          <w:iCs/>
        </w:rPr>
        <w:t>This is the correct bridge toward PRU value analysis and capital-readiness interpretation</w:t>
      </w:r>
      <w:r w:rsidR="00B961DF" w:rsidRPr="00B479AE">
        <w:rPr>
          <w:rFonts w:ascii="Baskerville Old Face" w:hAnsi="Baskerville Old Face"/>
          <w:i/>
          <w:iCs/>
        </w:rPr>
        <w:t>.</w:t>
      </w:r>
    </w:p>
    <w:p w14:paraId="1D103A1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preserves ambition without weakening credibility.</w:t>
      </w:r>
    </w:p>
    <w:p w14:paraId="7B6D9959"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R.14 Normalized PRU value stack</w:t>
      </w:r>
    </w:p>
    <w:p w14:paraId="36A0EBD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PRU value stack should be structured as a hierarchical, admissibility-constrained architecture.</w:t>
      </w:r>
    </w:p>
    <w:p w14:paraId="568437FF"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Layer 1 — Core productive value</w:t>
      </w:r>
    </w:p>
    <w:p w14:paraId="296527E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includes directly observable and cash-relevant outputs, such as:</w:t>
      </w:r>
    </w:p>
    <w:p w14:paraId="28B787F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food production;</w:t>
      </w:r>
      <w:r w:rsidRPr="00B479AE">
        <w:rPr>
          <w:rFonts w:ascii="Baskerville Old Face" w:hAnsi="Baskerville Old Face"/>
          <w:i/>
          <w:iCs/>
        </w:rPr>
        <w:br/>
        <w:t>• household food substitution where measurable;</w:t>
      </w:r>
      <w:r w:rsidRPr="00B479AE">
        <w:rPr>
          <w:rFonts w:ascii="Baskerville Old Face" w:hAnsi="Baskerville Old Face"/>
          <w:i/>
          <w:iCs/>
        </w:rPr>
        <w:br/>
        <w:t>• direct sales;</w:t>
      </w:r>
      <w:r w:rsidRPr="00B479AE">
        <w:rPr>
          <w:rFonts w:ascii="Baskerville Old Face" w:hAnsi="Baskerville Old Face"/>
          <w:i/>
          <w:iCs/>
        </w:rPr>
        <w:br/>
        <w:t>• agroforestry products;</w:t>
      </w:r>
      <w:r w:rsidRPr="00B479AE">
        <w:rPr>
          <w:rFonts w:ascii="Baskerville Old Face" w:hAnsi="Baskerville Old Face"/>
          <w:i/>
          <w:iCs/>
        </w:rPr>
        <w:br/>
        <w:t>• local market integration;</w:t>
      </w:r>
      <w:r w:rsidRPr="00B479AE">
        <w:rPr>
          <w:rFonts w:ascii="Baskerville Old Face" w:hAnsi="Baskerville Old Face"/>
          <w:i/>
          <w:iCs/>
        </w:rPr>
        <w:br/>
        <w:t>• hospitality-linked production;</w:t>
      </w:r>
      <w:r w:rsidRPr="00B479AE">
        <w:rPr>
          <w:rFonts w:ascii="Baskerville Old Face" w:hAnsi="Baskerville Old Face"/>
          <w:i/>
          <w:iCs/>
        </w:rPr>
        <w:br/>
        <w:t>• education;</w:t>
      </w:r>
      <w:r w:rsidRPr="00B479AE">
        <w:rPr>
          <w:rFonts w:ascii="Baskerville Old Face" w:hAnsi="Baskerville Old Face"/>
          <w:i/>
          <w:iCs/>
        </w:rPr>
        <w:br/>
        <w:t>• regenerative experiences;</w:t>
      </w:r>
      <w:r w:rsidRPr="00B479AE">
        <w:rPr>
          <w:rFonts w:ascii="Baskerville Old Face" w:hAnsi="Baskerville Old Face"/>
          <w:i/>
          <w:iCs/>
        </w:rPr>
        <w:br/>
        <w:t>• other operational revenue.</w:t>
      </w:r>
    </w:p>
    <w:p w14:paraId="23E8663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layer forms the baseline for financial modeling.</w:t>
      </w:r>
    </w:p>
    <w:p w14:paraId="4EC1EA26" w14:textId="77777777" w:rsidR="00F93F8B" w:rsidRDefault="00F93F8B" w:rsidP="00B961DF">
      <w:pPr>
        <w:spacing w:line="360" w:lineRule="auto"/>
        <w:rPr>
          <w:rFonts w:ascii="Baskerville Old Face" w:hAnsi="Baskerville Old Face"/>
          <w:b/>
          <w:bCs/>
          <w:i/>
          <w:iCs/>
        </w:rPr>
      </w:pPr>
    </w:p>
    <w:p w14:paraId="25A681D5" w14:textId="6802CEBC"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Layer 2 — Ecological performance value</w:t>
      </w:r>
    </w:p>
    <w:p w14:paraId="7FCF9C2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includes:</w:t>
      </w:r>
    </w:p>
    <w:p w14:paraId="5AA63A7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carbon dynamics;</w:t>
      </w:r>
      <w:r w:rsidRPr="00B479AE">
        <w:rPr>
          <w:rFonts w:ascii="Baskerville Old Face" w:hAnsi="Baskerville Old Face"/>
          <w:i/>
          <w:iCs/>
        </w:rPr>
        <w:br/>
        <w:t>• hydrological performance;</w:t>
      </w:r>
      <w:r w:rsidRPr="00B479AE">
        <w:rPr>
          <w:rFonts w:ascii="Baskerville Old Face" w:hAnsi="Baskerville Old Face"/>
          <w:i/>
          <w:iCs/>
        </w:rPr>
        <w:br/>
        <w:t>• biodiversity;</w:t>
      </w:r>
      <w:r w:rsidRPr="00B479AE">
        <w:rPr>
          <w:rFonts w:ascii="Baskerville Old Face" w:hAnsi="Baskerville Old Face"/>
          <w:i/>
          <w:iCs/>
        </w:rPr>
        <w:br/>
        <w:t>• habitat function;</w:t>
      </w:r>
      <w:r w:rsidRPr="00B479AE">
        <w:rPr>
          <w:rFonts w:ascii="Baskerville Old Face" w:hAnsi="Baskerville Old Face"/>
          <w:i/>
          <w:iCs/>
        </w:rPr>
        <w:br/>
        <w:t>• soil regeneration;</w:t>
      </w:r>
      <w:r w:rsidRPr="00B479AE">
        <w:rPr>
          <w:rFonts w:ascii="Baskerville Old Face" w:hAnsi="Baskerville Old Face"/>
          <w:i/>
          <w:iCs/>
        </w:rPr>
        <w:br/>
        <w:t>• land resilience;</w:t>
      </w:r>
      <w:r w:rsidRPr="00B479AE">
        <w:rPr>
          <w:rFonts w:ascii="Baskerville Old Face" w:hAnsi="Baskerville Old Face"/>
          <w:i/>
          <w:iCs/>
        </w:rPr>
        <w:br/>
        <w:t>• input-dependency reduction;</w:t>
      </w:r>
      <w:r w:rsidRPr="00B479AE">
        <w:rPr>
          <w:rFonts w:ascii="Baskerville Old Face" w:hAnsi="Baskerville Old Face"/>
          <w:i/>
          <w:iCs/>
        </w:rPr>
        <w:br/>
        <w:t>• productive stability.</w:t>
      </w:r>
    </w:p>
    <w:p w14:paraId="361EC1C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layer becomes financially relevant only when measured, verified, confidence-scored, and connected to a recognized monetization, underwriting, insurance, procurement, contractual, or legally structured pathway.</w:t>
      </w:r>
    </w:p>
    <w:p w14:paraId="54FCA624"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 xml:space="preserve">Layer 3 — </w:t>
      </w:r>
      <w:proofErr w:type="spellStart"/>
      <w:r w:rsidRPr="00B479AE">
        <w:rPr>
          <w:rFonts w:ascii="Baskerville Old Face" w:hAnsi="Baskerville Old Face"/>
          <w:b/>
          <w:bCs/>
          <w:i/>
          <w:iCs/>
        </w:rPr>
        <w:t>SyntroGIFT</w:t>
      </w:r>
      <w:proofErr w:type="spellEnd"/>
      <w:r w:rsidRPr="00B479AE">
        <w:rPr>
          <w:rFonts w:ascii="Baskerville Old Face" w:hAnsi="Baskerville Old Face"/>
          <w:b/>
          <w:bCs/>
          <w:i/>
          <w:iCs/>
        </w:rPr>
        <w:t xml:space="preserve"> and systemic value</w:t>
      </w:r>
    </w:p>
    <w:p w14:paraId="7B7E8B6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includes:</w:t>
      </w:r>
    </w:p>
    <w:p w14:paraId="40B767A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improved nutritional quality;</w:t>
      </w:r>
      <w:r w:rsidRPr="00B479AE">
        <w:rPr>
          <w:rFonts w:ascii="Baskerville Old Face" w:hAnsi="Baskerville Old Face"/>
          <w:i/>
          <w:iCs/>
        </w:rPr>
        <w:br/>
        <w:t>• embedded physical activity;</w:t>
      </w:r>
      <w:r w:rsidRPr="00B479AE">
        <w:rPr>
          <w:rFonts w:ascii="Baskerville Old Face" w:hAnsi="Baskerville Old Face"/>
          <w:i/>
          <w:iCs/>
        </w:rPr>
        <w:br/>
        <w:t>• nature exposure;</w:t>
      </w:r>
      <w:r w:rsidRPr="00B479AE">
        <w:rPr>
          <w:rFonts w:ascii="Baskerville Old Face" w:hAnsi="Baskerville Old Face"/>
          <w:i/>
          <w:iCs/>
        </w:rPr>
        <w:br/>
        <w:t>• preventive health potential;</w:t>
      </w:r>
      <w:r w:rsidRPr="00B479AE">
        <w:rPr>
          <w:rFonts w:ascii="Baskerville Old Face" w:hAnsi="Baskerville Old Face"/>
          <w:i/>
          <w:iCs/>
        </w:rPr>
        <w:br/>
        <w:t>• social coherence;</w:t>
      </w:r>
      <w:r w:rsidRPr="00B479AE">
        <w:rPr>
          <w:rFonts w:ascii="Baskerville Old Face" w:hAnsi="Baskerville Old Face"/>
          <w:i/>
          <w:iCs/>
        </w:rPr>
        <w:br/>
        <w:t>• metabolic-resilience effects;</w:t>
      </w:r>
      <w:r w:rsidRPr="00B479AE">
        <w:rPr>
          <w:rFonts w:ascii="Baskerville Old Face" w:hAnsi="Baskerville Old Face"/>
          <w:i/>
          <w:iCs/>
        </w:rPr>
        <w:br/>
        <w:t>• public-health relevance;</w:t>
      </w:r>
      <w:r w:rsidRPr="00B479AE">
        <w:rPr>
          <w:rFonts w:ascii="Baskerville Old Face" w:hAnsi="Baskerville Old Face"/>
          <w:i/>
          <w:iCs/>
        </w:rPr>
        <w:br/>
        <w:t>• education;</w:t>
      </w:r>
      <w:r w:rsidRPr="00B479AE">
        <w:rPr>
          <w:rFonts w:ascii="Baskerville Old Face" w:hAnsi="Baskerville Old Face"/>
          <w:i/>
          <w:iCs/>
        </w:rPr>
        <w:br/>
        <w:t>• wellness services;</w:t>
      </w:r>
      <w:r w:rsidRPr="00B479AE">
        <w:rPr>
          <w:rFonts w:ascii="Baskerville Old Face" w:hAnsi="Baskerville Old Face"/>
          <w:i/>
          <w:iCs/>
        </w:rPr>
        <w:br/>
        <w:t>• research potential.</w:t>
      </w:r>
    </w:p>
    <w:p w14:paraId="570F6AB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layer may be strategically powerful, but it should remain outside base-case cash flows unless tied to explicit contractual mechanisms such as public procurement, insurer partnerships, food-as-medicine programs, preventive health initiatives, education, research, hospitality, or wellness services.</w:t>
      </w:r>
    </w:p>
    <w:p w14:paraId="057E0FE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This structure ensures that PRU value does not aggregate value indiscriminately.</w:t>
      </w:r>
    </w:p>
    <w:p w14:paraId="5033E7F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orders value by epistemic strength and financial admissibility.</w:t>
      </w:r>
    </w:p>
    <w:p w14:paraId="5539CF26" w14:textId="77777777" w:rsidR="00116600" w:rsidRPr="00B479AE" w:rsidRDefault="00116600" w:rsidP="00116600">
      <w:pPr>
        <w:spacing w:line="360" w:lineRule="auto"/>
        <w:rPr>
          <w:rFonts w:ascii="Baskerville Old Face" w:hAnsi="Baskerville Old Face"/>
          <w:b/>
          <w:bCs/>
          <w:i/>
          <w:iCs/>
        </w:rPr>
      </w:pPr>
      <w:r w:rsidRPr="00B479AE">
        <w:rPr>
          <w:rFonts w:ascii="Baskerville Old Face" w:hAnsi="Baskerville Old Face"/>
          <w:b/>
          <w:bCs/>
          <w:i/>
          <w:iCs/>
        </w:rPr>
        <w:t xml:space="preserve">R.15 </w:t>
      </w:r>
      <w:proofErr w:type="spellStart"/>
      <w:r w:rsidRPr="00B479AE">
        <w:rPr>
          <w:rFonts w:ascii="Baskerville Old Face" w:hAnsi="Baskerville Old Face"/>
          <w:b/>
          <w:bCs/>
          <w:i/>
          <w:iCs/>
        </w:rPr>
        <w:t>SyntroGIFT</w:t>
      </w:r>
      <w:proofErr w:type="spellEnd"/>
      <w:r w:rsidRPr="00B479AE">
        <w:rPr>
          <w:rFonts w:ascii="Baskerville Old Face" w:hAnsi="Baskerville Old Face"/>
          <w:b/>
          <w:bCs/>
          <w:i/>
          <w:iCs/>
        </w:rPr>
        <w:t xml:space="preserve"> and Systemic-Value Boundary</w:t>
      </w:r>
    </w:p>
    <w:p w14:paraId="25CCD8B8" w14:textId="77777777" w:rsidR="00116600" w:rsidRPr="00B479AE" w:rsidRDefault="00116600" w:rsidP="00116600">
      <w:pPr>
        <w:spacing w:line="360" w:lineRule="auto"/>
        <w:rPr>
          <w:rFonts w:ascii="Baskerville Old Face" w:hAnsi="Baskerville Old Face"/>
          <w:i/>
          <w:iCs/>
        </w:rPr>
      </w:pP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is recognized within the PRU value stack as a systemic-value layer.</w:t>
      </w:r>
    </w:p>
    <w:p w14:paraId="3EA2E49C"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Its purpose is to identify potential relationships among regenerative food systems, nutritional quality, functional movement, nature exposure, social coherence, preventive-health relevance, education, hospitality, wellness, research, and community resilience.</w:t>
      </w:r>
    </w:p>
    <w:p w14:paraId="0A28FF61" w14:textId="77777777" w:rsidR="00116600" w:rsidRPr="00B479AE" w:rsidRDefault="00116600" w:rsidP="00116600">
      <w:pPr>
        <w:spacing w:line="360" w:lineRule="auto"/>
        <w:rPr>
          <w:rFonts w:ascii="Baskerville Old Face" w:hAnsi="Baskerville Old Face"/>
          <w:i/>
          <w:iCs/>
        </w:rPr>
      </w:pP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should not be treated as a core productive-value layer.</w:t>
      </w:r>
    </w:p>
    <w:p w14:paraId="61D9E362"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 should not be treated as automatic ecological performance value.</w:t>
      </w:r>
    </w:p>
    <w:p w14:paraId="7EF51AD0"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 should not be treated as automatic financial value.</w:t>
      </w:r>
    </w:p>
    <w:p w14:paraId="1C129334"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 should not be treated as automatic PRU value.</w:t>
      </w:r>
    </w:p>
    <w:p w14:paraId="0FA5EC43"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 should not be treated as a medical, therapeutic, insurance, reimbursement, or health-credit claim.</w:t>
      </w:r>
    </w:p>
    <w:p w14:paraId="6B658CEC"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xml:space="preserve">Within Appendix R,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is relevant only as a conditional systemic-value component.</w:t>
      </w:r>
    </w:p>
    <w:p w14:paraId="31DC179F"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 may inform PRU value analysis only where the relevant pathway is supported by:</w:t>
      </w:r>
    </w:p>
    <w:p w14:paraId="6382F92A"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verified data;</w:t>
      </w:r>
    </w:p>
    <w:p w14:paraId="329DA842"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recognized methodology;</w:t>
      </w:r>
    </w:p>
    <w:p w14:paraId="654CCA4F"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explicit contractual or institutional arrangement;</w:t>
      </w:r>
    </w:p>
    <w:p w14:paraId="4DFA2CD6"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appropriate medical or public-health governance where relevant;</w:t>
      </w:r>
    </w:p>
    <w:p w14:paraId="1196FC6A"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measurable monetization or avoided-cost pathway;</w:t>
      </w:r>
    </w:p>
    <w:p w14:paraId="685E2CD9"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legal and contractual admissibility;</w:t>
      </w:r>
    </w:p>
    <w:p w14:paraId="7FEB5F76"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public-claim boundary discipline;</w:t>
      </w:r>
    </w:p>
    <w:p w14:paraId="03BA41E2"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no-double-counting controls.</w:t>
      </w:r>
    </w:p>
    <w:p w14:paraId="1B7E3313"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lastRenderedPageBreak/>
        <w:t>Examples of admissibility pathways may include public procurement, insurer partnerships, food-as-medicine programs, preventive-health initiatives, education, hospitality, wellness services, research partnerships, municipal resilience programs, community-health pilots, or equivalent legally and methodologically reviewable structures.</w:t>
      </w:r>
    </w:p>
    <w:p w14:paraId="537A2DAD"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xml:space="preserve">Until such conditions exist,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remains strategic upside, research potential, partnership architecture, and systemic-value intelligence.</w:t>
      </w:r>
    </w:p>
    <w:p w14:paraId="11373485"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It remains outside:</w:t>
      </w:r>
    </w:p>
    <w:p w14:paraId="0DE690A9"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base-case value analysis;</w:t>
      </w:r>
    </w:p>
    <w:p w14:paraId="61485BAA"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base-case financial modeling;</w:t>
      </w:r>
    </w:p>
    <w:p w14:paraId="2FF17268"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PRU value analysis;</w:t>
      </w:r>
    </w:p>
    <w:p w14:paraId="5CBEDDF7"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investor reporting;</w:t>
      </w:r>
    </w:p>
    <w:p w14:paraId="215632EF"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capital-readiness interpretation;</w:t>
      </w:r>
    </w:p>
    <w:p w14:paraId="02ECCB60"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medical savings assumptions;</w:t>
      </w:r>
    </w:p>
    <w:p w14:paraId="5142DF77"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health-credit issuance;</w:t>
      </w:r>
    </w:p>
    <w:p w14:paraId="0D83BDEA"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 capital-facing entitlement.</w:t>
      </w:r>
    </w:p>
    <w:p w14:paraId="121970C9"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The operational rule is:</w:t>
      </w:r>
    </w:p>
    <w:p w14:paraId="75087A07" w14:textId="77777777" w:rsidR="00116600" w:rsidRPr="00B479AE" w:rsidRDefault="00116600" w:rsidP="00116600">
      <w:pPr>
        <w:spacing w:line="360" w:lineRule="auto"/>
        <w:rPr>
          <w:rFonts w:ascii="Baskerville Old Face" w:hAnsi="Baskerville Old Face"/>
          <w:i/>
          <w:iCs/>
        </w:rPr>
      </w:pP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may inform strategy.</w:t>
      </w:r>
    </w:p>
    <w:p w14:paraId="613E426C"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Evidence may support methodology.</w:t>
      </w:r>
    </w:p>
    <w:p w14:paraId="2C870805"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Contracts may support monetization.</w:t>
      </w:r>
    </w:p>
    <w:p w14:paraId="534B790A"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Governance may support admissibility.</w:t>
      </w:r>
    </w:p>
    <w:p w14:paraId="116F4A94"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Legal structure may support capital-facing use.</w:t>
      </w:r>
    </w:p>
    <w:p w14:paraId="758CD05A"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t>But systemic health potential does not enter PRU value logic merely because it is conceptually aligned with wellbeing.</w:t>
      </w:r>
    </w:p>
    <w:p w14:paraId="3621FC90" w14:textId="77777777" w:rsidR="00116600" w:rsidRPr="00B479AE" w:rsidRDefault="00116600" w:rsidP="00116600">
      <w:pPr>
        <w:spacing w:line="360" w:lineRule="auto"/>
        <w:rPr>
          <w:rFonts w:ascii="Baskerville Old Face" w:hAnsi="Baskerville Old Face"/>
          <w:i/>
          <w:iCs/>
        </w:rPr>
      </w:pPr>
      <w:r w:rsidRPr="00B479AE">
        <w:rPr>
          <w:rFonts w:ascii="Baskerville Old Face" w:hAnsi="Baskerville Old Face"/>
          <w:i/>
          <w:iCs/>
        </w:rPr>
        <w:lastRenderedPageBreak/>
        <w:t xml:space="preserve">This boundary preserves the strength of </w:t>
      </w:r>
      <w:proofErr w:type="spellStart"/>
      <w:r w:rsidRPr="00B479AE">
        <w:rPr>
          <w:rFonts w:ascii="Baskerville Old Face" w:hAnsi="Baskerville Old Face"/>
          <w:i/>
          <w:iCs/>
        </w:rPr>
        <w:t>SyntroGIFT</w:t>
      </w:r>
      <w:proofErr w:type="spellEnd"/>
      <w:r w:rsidRPr="00B479AE">
        <w:rPr>
          <w:rFonts w:ascii="Baskerville Old Face" w:hAnsi="Baskerville Old Face"/>
          <w:i/>
          <w:iCs/>
        </w:rPr>
        <w:t xml:space="preserve"> without allowing health-economic upside to contaminate base-case financial interpretation.</w:t>
      </w:r>
    </w:p>
    <w:p w14:paraId="0D4ABD22" w14:textId="2EC9971A"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R.16 Ecological arbitrage</w:t>
      </w:r>
    </w:p>
    <w:p w14:paraId="074671F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Prometheus preserves the concept of ecological arbitrage.</w:t>
      </w:r>
    </w:p>
    <w:p w14:paraId="348F7F9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Within Prometheus, ecological arbitrage does not mean speculative appreciation.</w:t>
      </w:r>
    </w:p>
    <w:p w14:paraId="001F137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means the recognition gap between:</w:t>
      </w:r>
    </w:p>
    <w:p w14:paraId="433B3C0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under-recognized biological systems;</w:t>
      </w:r>
      <w:r w:rsidRPr="00B479AE">
        <w:rPr>
          <w:rFonts w:ascii="Baskerville Old Face" w:hAnsi="Baskerville Old Face"/>
          <w:i/>
          <w:iCs/>
        </w:rPr>
        <w:br/>
        <w:t>and verified, risk-compressed regenerative infrastructure.</w:t>
      </w:r>
    </w:p>
    <w:p w14:paraId="527B03C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At deployment, a regenerative system may already contain latent biological value, but that value may be only partially visible to markets.</w:t>
      </w:r>
    </w:p>
    <w:p w14:paraId="544BED3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As MRV improves, confidence increases, variance decreases, and resilience </w:t>
      </w:r>
      <w:proofErr w:type="gramStart"/>
      <w:r w:rsidRPr="00B479AE">
        <w:rPr>
          <w:rFonts w:ascii="Baskerville Old Face" w:hAnsi="Baskerville Old Face"/>
          <w:i/>
          <w:iCs/>
        </w:rPr>
        <w:t>becomes</w:t>
      </w:r>
      <w:proofErr w:type="gramEnd"/>
      <w:r w:rsidRPr="00B479AE">
        <w:rPr>
          <w:rFonts w:ascii="Baskerville Old Face" w:hAnsi="Baskerville Old Face"/>
          <w:i/>
          <w:iCs/>
        </w:rPr>
        <w:t xml:space="preserve"> measurable, the system may transition from:</w:t>
      </w:r>
    </w:p>
    <w:p w14:paraId="7FD8123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implicit value</w:t>
      </w:r>
      <w:r w:rsidRPr="00B479AE">
        <w:rPr>
          <w:rFonts w:ascii="Baskerville Old Face" w:hAnsi="Baskerville Old Face"/>
          <w:i/>
          <w:iCs/>
        </w:rPr>
        <w:br/>
        <w:t>to measurable value</w:t>
      </w:r>
      <w:r w:rsidRPr="00B479AE">
        <w:rPr>
          <w:rFonts w:ascii="Baskerville Old Face" w:hAnsi="Baskerville Old Face"/>
          <w:i/>
          <w:iCs/>
        </w:rPr>
        <w:br/>
        <w:t>to verified value</w:t>
      </w:r>
      <w:r w:rsidRPr="00B479AE">
        <w:rPr>
          <w:rFonts w:ascii="Baskerville Old Face" w:hAnsi="Baskerville Old Face"/>
          <w:i/>
          <w:iCs/>
        </w:rPr>
        <w:br/>
        <w:t>to admissible value</w:t>
      </w:r>
      <w:r w:rsidRPr="00B479AE">
        <w:rPr>
          <w:rFonts w:ascii="Baskerville Old Face" w:hAnsi="Baskerville Old Face"/>
          <w:i/>
          <w:iCs/>
        </w:rPr>
        <w:br/>
        <w:t>to financeable value.</w:t>
      </w:r>
    </w:p>
    <w:p w14:paraId="1F40EEB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is the mechanism through which Prometheus reveals and stabilizes value already generated by living systems.</w:t>
      </w:r>
    </w:p>
    <w:p w14:paraId="0F062CB8" w14:textId="1D68C46E"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Value is not created by financial abstraction.</w:t>
      </w:r>
      <w:r w:rsidR="0093113B" w:rsidRPr="00B479AE">
        <w:rPr>
          <w:rFonts w:ascii="Baskerville Old Face" w:hAnsi="Baskerville Old Face"/>
          <w:i/>
          <w:iCs/>
        </w:rPr>
        <w:t xml:space="preserve"> </w:t>
      </w:r>
      <w:r w:rsidRPr="00B479AE">
        <w:rPr>
          <w:rFonts w:ascii="Baskerville Old Face" w:hAnsi="Baskerville Old Face"/>
          <w:i/>
          <w:iCs/>
        </w:rPr>
        <w:t>Value is revealed, structured, and capitalized only when the living system demonstrates measurable regenerative performance.</w:t>
      </w:r>
    </w:p>
    <w:p w14:paraId="20B55E00"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R.17 EPU intelligence layer</w:t>
      </w:r>
    </w:p>
    <w:p w14:paraId="68E3DC7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mature OHE may be decomposed into Ecological Productive Units, or EPUs.</w:t>
      </w:r>
    </w:p>
    <w:p w14:paraId="088DE9D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An EPU is a functional sub-system within the OHE.</w:t>
      </w:r>
    </w:p>
    <w:p w14:paraId="474FEB4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Examples may include:</w:t>
      </w:r>
    </w:p>
    <w:p w14:paraId="6002531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 aromatic layer;</w:t>
      </w:r>
      <w:r w:rsidRPr="00B479AE">
        <w:rPr>
          <w:rFonts w:ascii="Baskerville Old Face" w:hAnsi="Baskerville Old Face"/>
          <w:i/>
          <w:iCs/>
        </w:rPr>
        <w:br/>
        <w:t>• complex orchard;</w:t>
      </w:r>
      <w:r w:rsidRPr="00B479AE">
        <w:rPr>
          <w:rFonts w:ascii="Baskerville Old Face" w:hAnsi="Baskerville Old Face"/>
          <w:i/>
          <w:iCs/>
        </w:rPr>
        <w:br/>
        <w:t>• pioneer orchard;</w:t>
      </w:r>
      <w:r w:rsidRPr="00B479AE">
        <w:rPr>
          <w:rFonts w:ascii="Baskerville Old Face" w:hAnsi="Baskerville Old Face"/>
          <w:i/>
          <w:iCs/>
        </w:rPr>
        <w:br/>
        <w:t>• hedge system;</w:t>
      </w:r>
      <w:r w:rsidRPr="00B479AE">
        <w:rPr>
          <w:rFonts w:ascii="Baskerville Old Face" w:hAnsi="Baskerville Old Face"/>
          <w:i/>
          <w:iCs/>
        </w:rPr>
        <w:br/>
        <w:t>• arboreal core;</w:t>
      </w:r>
      <w:r w:rsidRPr="00B479AE">
        <w:rPr>
          <w:rFonts w:ascii="Baskerville Old Face" w:hAnsi="Baskerville Old Face"/>
          <w:i/>
          <w:iCs/>
        </w:rPr>
        <w:br/>
        <w:t>• pollinator corridor;</w:t>
      </w:r>
      <w:r w:rsidRPr="00B479AE">
        <w:rPr>
          <w:rFonts w:ascii="Baskerville Old Face" w:hAnsi="Baskerville Old Face"/>
          <w:i/>
          <w:iCs/>
        </w:rPr>
        <w:br/>
        <w:t>• annual crop zone;</w:t>
      </w:r>
      <w:r w:rsidRPr="00B479AE">
        <w:rPr>
          <w:rFonts w:ascii="Baskerville Old Face" w:hAnsi="Baskerville Old Face"/>
          <w:i/>
          <w:iCs/>
        </w:rPr>
        <w:br/>
        <w:t>• xerophytic boundary;</w:t>
      </w:r>
      <w:r w:rsidRPr="00B479AE">
        <w:rPr>
          <w:rFonts w:ascii="Baskerville Old Face" w:hAnsi="Baskerville Old Face"/>
          <w:i/>
          <w:iCs/>
        </w:rPr>
        <w:br/>
        <w:t>• water-retention zone;</w:t>
      </w:r>
      <w:r w:rsidRPr="00B479AE">
        <w:rPr>
          <w:rFonts w:ascii="Baskerville Old Face" w:hAnsi="Baskerville Old Face"/>
          <w:i/>
          <w:iCs/>
        </w:rPr>
        <w:br/>
        <w:t>• soil-regeneration zone.</w:t>
      </w:r>
    </w:p>
    <w:p w14:paraId="543A980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Each EPU may have a different ecological signature.</w:t>
      </w:r>
    </w:p>
    <w:p w14:paraId="66E8573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Some zones may contribute more to productive output.</w:t>
      </w:r>
    </w:p>
    <w:p w14:paraId="7A666B5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Some may contribute more to soil regeneration.</w:t>
      </w:r>
    </w:p>
    <w:p w14:paraId="4630AF5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Some may contribute more to pollination, edge protection, biodiversity, microclimate, water retention, or cooperative surplus.</w:t>
      </w:r>
    </w:p>
    <w:p w14:paraId="54C3621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allows granular analysis without fragmenting the ecological unity of the OHE.</w:t>
      </w:r>
    </w:p>
    <w:p w14:paraId="6695E84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purpose of EPU analysis is not to financialize every plant.</w:t>
      </w:r>
    </w:p>
    <w:p w14:paraId="1FFC342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to understand how different ecological functions contribute to total system resilience, productive stability, and PRU-relevant evidence.</w:t>
      </w:r>
    </w:p>
    <w:p w14:paraId="24EB0B67"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R.18 Risk compression mechanism</w:t>
      </w:r>
    </w:p>
    <w:p w14:paraId="68213DF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Risk compression is one of the central bridges between ecological intelligence and finance.</w:t>
      </w:r>
    </w:p>
    <w:p w14:paraId="5E540F5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simplified risk function may be expressed as:</w:t>
      </w:r>
    </w:p>
    <w:p w14:paraId="59DE57A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R = </w:t>
      </w:r>
      <w:proofErr w:type="gramStart"/>
      <w:r w:rsidRPr="00B479AE">
        <w:rPr>
          <w:rFonts w:ascii="Baskerville Old Face" w:hAnsi="Baskerville Old Face"/>
          <w:i/>
          <w:iCs/>
        </w:rPr>
        <w:t>f(</w:t>
      </w:r>
      <w:proofErr w:type="spellStart"/>
      <w:proofErr w:type="gramEnd"/>
      <w:r w:rsidRPr="00B479AE">
        <w:rPr>
          <w:rFonts w:ascii="Cambria" w:hAnsi="Cambria" w:cs="Cambria"/>
          <w:i/>
          <w:iCs/>
        </w:rPr>
        <w:t>σ</w:t>
      </w:r>
      <w:r w:rsidRPr="00B479AE">
        <w:rPr>
          <w:rFonts w:ascii="Baskerville Old Face" w:hAnsi="Baskerville Old Face"/>
          <w:i/>
          <w:iCs/>
        </w:rPr>
        <w:t>_Y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D_inputs</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S_stress</w:t>
      </w:r>
      <w:proofErr w:type="spellEnd"/>
      <w:r w:rsidRPr="00B479AE">
        <w:rPr>
          <w:rFonts w:ascii="Baskerville Old Face" w:hAnsi="Baskerville Old Face"/>
          <w:i/>
          <w:iCs/>
        </w:rPr>
        <w:t>)</w:t>
      </w:r>
    </w:p>
    <w:p w14:paraId="41D6491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54BF9907" w14:textId="77777777" w:rsidR="00B961DF" w:rsidRPr="00B479AE" w:rsidRDefault="00B961DF" w:rsidP="00B961DF">
      <w:pPr>
        <w:spacing w:line="360" w:lineRule="auto"/>
        <w:rPr>
          <w:rFonts w:ascii="Baskerville Old Face" w:hAnsi="Baskerville Old Face"/>
          <w:i/>
          <w:iCs/>
        </w:rPr>
      </w:pPr>
      <w:proofErr w:type="spellStart"/>
      <w:r w:rsidRPr="00B479AE">
        <w:rPr>
          <w:rFonts w:ascii="Cambria" w:hAnsi="Cambria" w:cs="Cambria"/>
          <w:i/>
          <w:iCs/>
        </w:rPr>
        <w:t>σ</w:t>
      </w:r>
      <w:r w:rsidRPr="00B479AE">
        <w:rPr>
          <w:rFonts w:ascii="Baskerville Old Face" w:hAnsi="Baskerville Old Face"/>
          <w:i/>
          <w:iCs/>
        </w:rPr>
        <w:t>_Y</w:t>
      </w:r>
      <w:proofErr w:type="spellEnd"/>
      <w:r w:rsidRPr="00B479AE">
        <w:rPr>
          <w:rFonts w:ascii="Baskerville Old Face" w:hAnsi="Baskerville Old Face"/>
          <w:i/>
          <w:iCs/>
        </w:rPr>
        <w:t xml:space="preserve">      = yield or output variance</w:t>
      </w:r>
    </w:p>
    <w:p w14:paraId="555E83EC"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D_inputs</w:t>
      </w:r>
      <w:proofErr w:type="spellEnd"/>
      <w:r w:rsidRPr="00B479AE">
        <w:rPr>
          <w:rFonts w:ascii="Baskerville Old Face" w:hAnsi="Baskerville Old Face"/>
          <w:i/>
          <w:iCs/>
        </w:rPr>
        <w:t xml:space="preserve"> = dependency on external inputs</w:t>
      </w:r>
    </w:p>
    <w:p w14:paraId="25F7E188"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lastRenderedPageBreak/>
        <w:t>S_stress</w:t>
      </w:r>
      <w:proofErr w:type="spellEnd"/>
      <w:r w:rsidRPr="00B479AE">
        <w:rPr>
          <w:rFonts w:ascii="Baskerville Old Face" w:hAnsi="Baskerville Old Face"/>
          <w:i/>
          <w:iCs/>
        </w:rPr>
        <w:t xml:space="preserve"> = sensitivity to drought, disease, heat, salinity, pest pressure, or disturbance</w:t>
      </w:r>
    </w:p>
    <w:p w14:paraId="3193EE5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syntropic system may reduce risk through:</w:t>
      </w:r>
    </w:p>
    <w:p w14:paraId="132BEBA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soil buffering;</w:t>
      </w:r>
      <w:r w:rsidRPr="00B479AE">
        <w:rPr>
          <w:rFonts w:ascii="Baskerville Old Face" w:hAnsi="Baskerville Old Face"/>
          <w:i/>
          <w:iCs/>
        </w:rPr>
        <w:br/>
        <w:t>• water retention;</w:t>
      </w:r>
      <w:r w:rsidRPr="00B479AE">
        <w:rPr>
          <w:rFonts w:ascii="Baskerville Old Face" w:hAnsi="Baskerville Old Face"/>
          <w:i/>
          <w:iCs/>
        </w:rPr>
        <w:br/>
        <w:t>• fungal redistribution;</w:t>
      </w:r>
      <w:r w:rsidRPr="00B479AE">
        <w:rPr>
          <w:rFonts w:ascii="Baskerville Old Face" w:hAnsi="Baskerville Old Face"/>
          <w:i/>
          <w:iCs/>
        </w:rPr>
        <w:br/>
        <w:t>• biochemical adaptation;</w:t>
      </w:r>
      <w:r w:rsidRPr="00B479AE">
        <w:rPr>
          <w:rFonts w:ascii="Baskerville Old Face" w:hAnsi="Baskerville Old Face"/>
          <w:i/>
          <w:iCs/>
        </w:rPr>
        <w:br/>
        <w:t>• trophic diversity;</w:t>
      </w:r>
      <w:r w:rsidRPr="00B479AE">
        <w:rPr>
          <w:rFonts w:ascii="Baskerville Old Face" w:hAnsi="Baskerville Old Face"/>
          <w:i/>
          <w:iCs/>
        </w:rPr>
        <w:br/>
        <w:t>• successional design;</w:t>
      </w:r>
      <w:r w:rsidRPr="00B479AE">
        <w:rPr>
          <w:rFonts w:ascii="Baskerville Old Face" w:hAnsi="Baskerville Old Face"/>
          <w:i/>
          <w:iCs/>
        </w:rPr>
        <w:br/>
        <w:t>• input independence;</w:t>
      </w:r>
      <w:r w:rsidRPr="00B479AE">
        <w:rPr>
          <w:rFonts w:ascii="Baskerville Old Face" w:hAnsi="Baskerville Old Face"/>
          <w:i/>
          <w:iCs/>
        </w:rPr>
        <w:br/>
        <w:t>• biomass cycling;</w:t>
      </w:r>
      <w:r w:rsidRPr="00B479AE">
        <w:rPr>
          <w:rFonts w:ascii="Baskerville Old Face" w:hAnsi="Baskerville Old Face"/>
          <w:i/>
          <w:iCs/>
        </w:rPr>
        <w:br/>
        <w:t>• microclimate stabilization.</w:t>
      </w:r>
    </w:p>
    <w:p w14:paraId="16FB5FC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Conceptually:</w:t>
      </w:r>
    </w:p>
    <w:p w14:paraId="4495F21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 / ∂</w:t>
      </w:r>
      <w:proofErr w:type="gramStart"/>
      <w:r w:rsidRPr="00B479AE">
        <w:rPr>
          <w:rFonts w:ascii="Baskerville Old Face" w:hAnsi="Baskerville Old Face"/>
          <w:i/>
          <w:iCs/>
        </w:rPr>
        <w:t>SRI  &lt;</w:t>
      </w:r>
      <w:proofErr w:type="gramEnd"/>
      <w:r w:rsidRPr="00B479AE">
        <w:rPr>
          <w:rFonts w:ascii="Baskerville Old Face" w:hAnsi="Baskerville Old Face"/>
          <w:i/>
          <w:iCs/>
        </w:rPr>
        <w:t xml:space="preserve"> 0</w:t>
      </w:r>
    </w:p>
    <w:p w14:paraId="4774466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 / ∂</w:t>
      </w:r>
      <w:proofErr w:type="gramStart"/>
      <w:r w:rsidRPr="00B479AE">
        <w:rPr>
          <w:rFonts w:ascii="Baskerville Old Face" w:hAnsi="Baskerville Old Face"/>
          <w:i/>
          <w:iCs/>
        </w:rPr>
        <w:t>RPI  &lt;</w:t>
      </w:r>
      <w:proofErr w:type="gramEnd"/>
      <w:r w:rsidRPr="00B479AE">
        <w:rPr>
          <w:rFonts w:ascii="Baskerville Old Face" w:hAnsi="Baskerville Old Face"/>
          <w:i/>
          <w:iCs/>
        </w:rPr>
        <w:t xml:space="preserve"> 0</w:t>
      </w:r>
    </w:p>
    <w:p w14:paraId="52BE8BA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 / ∂CESI &lt; 0</w:t>
      </w:r>
    </w:p>
    <w:p w14:paraId="7301620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Verified improvements in resilience, regenerative productivity, and cooperative surplus may reduce specific risk factors over time.</w:t>
      </w:r>
    </w:p>
    <w:p w14:paraId="1719D1B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is risk-compression logic, not a guarantee that risk disappears.</w:t>
      </w:r>
    </w:p>
    <w:p w14:paraId="548F8EB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means that verified improvements in resilience, productivity quality, and cooperative surplus may reduce specific risk factors over time.</w:t>
      </w:r>
    </w:p>
    <w:p w14:paraId="226384A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is one of the underwriting logics beneath the PRU.</w:t>
      </w:r>
    </w:p>
    <w:p w14:paraId="39558394"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R.19 Discount-rate adjustment</w:t>
      </w:r>
    </w:p>
    <w:p w14:paraId="20A590D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 analysis may support discount-rate adjustment in investor-model scenarios.</w:t>
      </w:r>
    </w:p>
    <w:p w14:paraId="0AB189C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conceptual formulation may be:</w:t>
      </w:r>
    </w:p>
    <w:p w14:paraId="57FF67B1"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r_adj</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r_base</w:t>
      </w:r>
      <w:proofErr w:type="spellEnd"/>
      <w:r w:rsidRPr="00B479AE">
        <w:rPr>
          <w:rFonts w:ascii="Baskerville Old Face" w:hAnsi="Baskerville Old Face"/>
          <w:i/>
          <w:iCs/>
        </w:rPr>
        <w:t xml:space="preserve"> - </w:t>
      </w:r>
      <w:r w:rsidRPr="00B479AE">
        <w:rPr>
          <w:rFonts w:ascii="Cambria" w:hAnsi="Cambria" w:cs="Cambria"/>
          <w:i/>
          <w:iCs/>
        </w:rPr>
        <w:t>α</w:t>
      </w:r>
      <w:r w:rsidRPr="00B479AE">
        <w:rPr>
          <w:rFonts w:ascii="Baskerville Old Face" w:hAnsi="Baskerville Old Face"/>
          <w:i/>
          <w:iCs/>
        </w:rPr>
        <w:t xml:space="preserve">SRI - </w:t>
      </w:r>
      <w:r w:rsidRPr="00B479AE">
        <w:rPr>
          <w:rFonts w:ascii="Cambria" w:hAnsi="Cambria" w:cs="Cambria"/>
          <w:i/>
          <w:iCs/>
        </w:rPr>
        <w:t>β</w:t>
      </w:r>
      <w:r w:rsidRPr="00B479AE">
        <w:rPr>
          <w:rFonts w:ascii="Baskerville Old Face" w:hAnsi="Baskerville Old Face"/>
          <w:i/>
          <w:iCs/>
        </w:rPr>
        <w:t xml:space="preserve">RPI - </w:t>
      </w:r>
      <w:proofErr w:type="spellStart"/>
      <w:r w:rsidRPr="00B479AE">
        <w:rPr>
          <w:rFonts w:ascii="Cambria" w:hAnsi="Cambria" w:cs="Cambria"/>
          <w:i/>
          <w:iCs/>
        </w:rPr>
        <w:t>γ</w:t>
      </w:r>
      <w:r w:rsidRPr="00B479AE">
        <w:rPr>
          <w:rFonts w:ascii="Baskerville Old Face" w:hAnsi="Baskerville Old Face"/>
          <w:i/>
          <w:iCs/>
        </w:rPr>
        <w:t>CESI</w:t>
      </w:r>
      <w:proofErr w:type="spellEnd"/>
      <w:r w:rsidRPr="00B479AE">
        <w:rPr>
          <w:rFonts w:ascii="Baskerville Old Face" w:hAnsi="Baskerville Old Face"/>
          <w:i/>
          <w:iCs/>
        </w:rPr>
        <w:t xml:space="preserve"> + </w:t>
      </w:r>
      <w:proofErr w:type="spellStart"/>
      <w:r w:rsidRPr="00B479AE">
        <w:rPr>
          <w:rFonts w:ascii="Cambria" w:hAnsi="Cambria" w:cs="Cambria"/>
          <w:i/>
          <w:iCs/>
        </w:rPr>
        <w:t>δ</w:t>
      </w:r>
      <w:r w:rsidRPr="00B479AE">
        <w:rPr>
          <w:rFonts w:ascii="Baskerville Old Face" w:hAnsi="Baskerville Old Face"/>
          <w:i/>
          <w:iCs/>
        </w:rPr>
        <w:t>R_residual</w:t>
      </w:r>
      <w:proofErr w:type="spellEnd"/>
    </w:p>
    <w:p w14:paraId="7C39C75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where:</w:t>
      </w:r>
    </w:p>
    <w:p w14:paraId="4FA05C58"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r_base</w:t>
      </w:r>
      <w:proofErr w:type="spellEnd"/>
      <w:r w:rsidRPr="00B479AE">
        <w:rPr>
          <w:rFonts w:ascii="Baskerville Old Face" w:hAnsi="Baskerville Old Face"/>
          <w:i/>
          <w:iCs/>
        </w:rPr>
        <w:t xml:space="preserve">     = baseline discount rate</w:t>
      </w:r>
    </w:p>
    <w:p w14:paraId="560387CA" w14:textId="77777777" w:rsidR="00B961DF" w:rsidRPr="00B479AE" w:rsidRDefault="00B961DF" w:rsidP="00B961DF">
      <w:pPr>
        <w:spacing w:line="360" w:lineRule="auto"/>
        <w:rPr>
          <w:rFonts w:ascii="Baskerville Old Face" w:hAnsi="Baskerville Old Face"/>
          <w:i/>
          <w:iCs/>
        </w:rPr>
      </w:pPr>
      <w:r w:rsidRPr="00B479AE">
        <w:rPr>
          <w:rFonts w:ascii="Cambria" w:hAnsi="Cambria" w:cs="Cambria"/>
          <w:i/>
          <w:iCs/>
        </w:rPr>
        <w:t>α</w:t>
      </w:r>
      <w:r w:rsidRPr="00B479AE">
        <w:rPr>
          <w:rFonts w:ascii="Baskerville Old Face" w:hAnsi="Baskerville Old Face"/>
          <w:i/>
          <w:iCs/>
        </w:rPr>
        <w:t xml:space="preserve">, </w:t>
      </w:r>
      <w:r w:rsidRPr="00B479AE">
        <w:rPr>
          <w:rFonts w:ascii="Cambria" w:hAnsi="Cambria" w:cs="Cambria"/>
          <w:i/>
          <w:iCs/>
        </w:rPr>
        <w:t>β</w:t>
      </w:r>
      <w:r w:rsidRPr="00B479AE">
        <w:rPr>
          <w:rFonts w:ascii="Baskerville Old Face" w:hAnsi="Baskerville Old Face"/>
          <w:i/>
          <w:iCs/>
        </w:rPr>
        <w:t xml:space="preserve">, </w:t>
      </w:r>
      <w:r w:rsidRPr="00B479AE">
        <w:rPr>
          <w:rFonts w:ascii="Cambria" w:hAnsi="Cambria" w:cs="Cambria"/>
          <w:i/>
          <w:iCs/>
        </w:rPr>
        <w:t>γ</w:t>
      </w:r>
      <w:r w:rsidRPr="00B479AE">
        <w:rPr>
          <w:rFonts w:ascii="Baskerville Old Face" w:hAnsi="Baskerville Old Face"/>
          <w:i/>
          <w:iCs/>
        </w:rPr>
        <w:t xml:space="preserve">    = methodology-defined adjustment coefficients</w:t>
      </w:r>
    </w:p>
    <w:p w14:paraId="607D38D5"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R_residual</w:t>
      </w:r>
      <w:proofErr w:type="spellEnd"/>
      <w:r w:rsidRPr="00B479AE">
        <w:rPr>
          <w:rFonts w:ascii="Baskerville Old Face" w:hAnsi="Baskerville Old Face"/>
          <w:i/>
          <w:iCs/>
        </w:rPr>
        <w:t xml:space="preserve"> = residual risk factor</w:t>
      </w:r>
    </w:p>
    <w:p w14:paraId="3EFA2529" w14:textId="77777777" w:rsidR="00B961DF" w:rsidRPr="00B479AE" w:rsidRDefault="00B961DF" w:rsidP="00B961DF">
      <w:pPr>
        <w:spacing w:line="360" w:lineRule="auto"/>
        <w:rPr>
          <w:rFonts w:ascii="Baskerville Old Face" w:hAnsi="Baskerville Old Face"/>
          <w:i/>
          <w:iCs/>
        </w:rPr>
      </w:pPr>
      <w:r w:rsidRPr="00B479AE">
        <w:rPr>
          <w:rFonts w:ascii="Cambria" w:hAnsi="Cambria" w:cs="Cambria"/>
          <w:i/>
          <w:iCs/>
        </w:rPr>
        <w:t>δ</w:t>
      </w:r>
      <w:r w:rsidRPr="00B479AE">
        <w:rPr>
          <w:rFonts w:ascii="Baskerville Old Face" w:hAnsi="Baskerville Old Face"/>
          <w:i/>
          <w:iCs/>
        </w:rPr>
        <w:t xml:space="preserve">          = residual-risk coefficient</w:t>
      </w:r>
    </w:p>
    <w:p w14:paraId="1D70714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Discount-rate adjustment may be used only in investor-model scenarios, not as automatic valuation authority.</w:t>
      </w:r>
    </w:p>
    <w:p w14:paraId="7DB7AE4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assumption is that verified resilience, stability, and cooperative surplus may improve predictability, while residual risk preserves conservatism.</w:t>
      </w:r>
    </w:p>
    <w:p w14:paraId="0AA4C33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Any use of discount-rate adjustment requires:</w:t>
      </w:r>
    </w:p>
    <w:p w14:paraId="6DE0DEA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defined assumptions;</w:t>
      </w:r>
      <w:r w:rsidRPr="00B479AE">
        <w:rPr>
          <w:rFonts w:ascii="Baskerville Old Face" w:hAnsi="Baskerville Old Face"/>
          <w:i/>
          <w:iCs/>
        </w:rPr>
        <w:br/>
        <w:t>• confidence-adjusted indicators;</w:t>
      </w:r>
      <w:r w:rsidRPr="00B479AE">
        <w:rPr>
          <w:rFonts w:ascii="Baskerville Old Face" w:hAnsi="Baskerville Old Face"/>
          <w:i/>
          <w:iCs/>
        </w:rPr>
        <w:br/>
        <w:t>• evidence maturity;</w:t>
      </w:r>
      <w:r w:rsidRPr="00B479AE">
        <w:rPr>
          <w:rFonts w:ascii="Baskerville Old Face" w:hAnsi="Baskerville Old Face"/>
          <w:i/>
          <w:iCs/>
        </w:rPr>
        <w:br/>
        <w:t>• legal review where investor-facing;</w:t>
      </w:r>
      <w:r w:rsidRPr="00B479AE">
        <w:rPr>
          <w:rFonts w:ascii="Baskerville Old Face" w:hAnsi="Baskerville Old Face"/>
          <w:i/>
          <w:iCs/>
        </w:rPr>
        <w:br/>
        <w:t>• disclosure of limitations;</w:t>
      </w:r>
      <w:r w:rsidRPr="00B479AE">
        <w:rPr>
          <w:rFonts w:ascii="Baskerville Old Face" w:hAnsi="Baskerville Old Face"/>
          <w:i/>
          <w:iCs/>
        </w:rPr>
        <w:br/>
        <w:t>• sensitivity analysis.</w:t>
      </w:r>
    </w:p>
    <w:p w14:paraId="66CB95A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lower discount rate is not earned by narrative.</w:t>
      </w:r>
    </w:p>
    <w:p w14:paraId="2B39C70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earned, if at all, by verified risk compression.</w:t>
      </w:r>
    </w:p>
    <w:p w14:paraId="02BC0DBC"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R.20 Cash-flow dynamics</w:t>
      </w:r>
    </w:p>
    <w:p w14:paraId="0367A9A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Cash-flow logic remains separate from ecological value logic.</w:t>
      </w:r>
    </w:p>
    <w:p w14:paraId="3AE3788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basic cash-flow expression may be:</w:t>
      </w:r>
    </w:p>
    <w:p w14:paraId="4392D6BA"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CF_t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Rev_t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Opex_t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Capex_t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Reserves_t</w:t>
      </w:r>
      <w:proofErr w:type="spellEnd"/>
    </w:p>
    <w:p w14:paraId="7344815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 applicable:</w:t>
      </w:r>
    </w:p>
    <w:p w14:paraId="2624179E"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Rev_t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Rev_</w:t>
      </w:r>
      <w:proofErr w:type="gramStart"/>
      <w:r w:rsidRPr="00B479AE">
        <w:rPr>
          <w:rFonts w:ascii="Baskerville Old Face" w:hAnsi="Baskerville Old Face"/>
          <w:i/>
          <w:iCs/>
        </w:rPr>
        <w:t>prod,t</w:t>
      </w:r>
      <w:proofErr w:type="spellEnd"/>
      <w:proofErr w:type="gramEnd"/>
      <w:r w:rsidRPr="00B479AE">
        <w:rPr>
          <w:rFonts w:ascii="Baskerville Old Face" w:hAnsi="Baskerville Old Face"/>
          <w:i/>
          <w:iCs/>
        </w:rPr>
        <w:t xml:space="preserve"> + </w:t>
      </w:r>
      <w:proofErr w:type="spellStart"/>
      <w:r w:rsidRPr="00B479AE">
        <w:rPr>
          <w:rFonts w:ascii="Baskerville Old Face" w:hAnsi="Baskerville Old Face"/>
          <w:i/>
          <w:iCs/>
        </w:rPr>
        <w:t>Rev_</w:t>
      </w:r>
      <w:proofErr w:type="gramStart"/>
      <w:r w:rsidRPr="00B479AE">
        <w:rPr>
          <w:rFonts w:ascii="Baskerville Old Face" w:hAnsi="Baskerville Old Face"/>
          <w:i/>
          <w:iCs/>
        </w:rPr>
        <w:t>services,t</w:t>
      </w:r>
      <w:proofErr w:type="spellEnd"/>
      <w:proofErr w:type="gramEnd"/>
      <w:r w:rsidRPr="00B479AE">
        <w:rPr>
          <w:rFonts w:ascii="Baskerville Old Face" w:hAnsi="Baskerville Old Face"/>
          <w:i/>
          <w:iCs/>
        </w:rPr>
        <w:t xml:space="preserve"> + </w:t>
      </w:r>
      <w:proofErr w:type="spellStart"/>
      <w:r w:rsidRPr="00B479AE">
        <w:rPr>
          <w:rFonts w:ascii="Baskerville Old Face" w:hAnsi="Baskerville Old Face"/>
          <w:i/>
          <w:iCs/>
        </w:rPr>
        <w:t>Rev_</w:t>
      </w:r>
      <w:proofErr w:type="gramStart"/>
      <w:r w:rsidRPr="00B479AE">
        <w:rPr>
          <w:rFonts w:ascii="Baskerville Old Face" w:hAnsi="Baskerville Old Face"/>
          <w:i/>
          <w:iCs/>
        </w:rPr>
        <w:t>contractual,t</w:t>
      </w:r>
      <w:proofErr w:type="spellEnd"/>
      <w:proofErr w:type="gramEnd"/>
    </w:p>
    <w:p w14:paraId="51AAD6D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where:</w:t>
      </w:r>
    </w:p>
    <w:p w14:paraId="2201237E"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Rev_</w:t>
      </w:r>
      <w:proofErr w:type="gramStart"/>
      <w:r w:rsidRPr="00B479AE">
        <w:rPr>
          <w:rFonts w:ascii="Baskerville Old Face" w:hAnsi="Baskerville Old Face"/>
          <w:i/>
          <w:iCs/>
        </w:rPr>
        <w:t>prod,t</w:t>
      </w:r>
      <w:proofErr w:type="spellEnd"/>
      <w:proofErr w:type="gramEnd"/>
      <w:r w:rsidRPr="00B479AE">
        <w:rPr>
          <w:rFonts w:ascii="Baskerville Old Face" w:hAnsi="Baskerville Old Face"/>
          <w:i/>
          <w:iCs/>
        </w:rPr>
        <w:t xml:space="preserve">       = productive revenue</w:t>
      </w:r>
    </w:p>
    <w:p w14:paraId="20BB5864"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Rev_</w:t>
      </w:r>
      <w:proofErr w:type="gramStart"/>
      <w:r w:rsidRPr="00B479AE">
        <w:rPr>
          <w:rFonts w:ascii="Baskerville Old Face" w:hAnsi="Baskerville Old Face"/>
          <w:i/>
          <w:iCs/>
        </w:rPr>
        <w:t>services,t</w:t>
      </w:r>
      <w:proofErr w:type="spellEnd"/>
      <w:proofErr w:type="gramEnd"/>
      <w:r w:rsidRPr="00B479AE">
        <w:rPr>
          <w:rFonts w:ascii="Baskerville Old Face" w:hAnsi="Baskerville Old Face"/>
          <w:i/>
          <w:iCs/>
        </w:rPr>
        <w:t xml:space="preserve">   = service, education, hospitality, or experience revenue</w:t>
      </w:r>
    </w:p>
    <w:p w14:paraId="4E3AAFF8"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Rev_</w:t>
      </w:r>
      <w:proofErr w:type="gramStart"/>
      <w:r w:rsidRPr="00B479AE">
        <w:rPr>
          <w:rFonts w:ascii="Baskerville Old Face" w:hAnsi="Baskerville Old Face"/>
          <w:i/>
          <w:iCs/>
        </w:rPr>
        <w:t>contractual,t</w:t>
      </w:r>
      <w:proofErr w:type="spellEnd"/>
      <w:proofErr w:type="gramEnd"/>
      <w:r w:rsidRPr="00B479AE">
        <w:rPr>
          <w:rFonts w:ascii="Baskerville Old Face" w:hAnsi="Baskerville Old Face"/>
          <w:i/>
          <w:iCs/>
        </w:rPr>
        <w:t xml:space="preserve"> = contractually defined revenue, if any</w:t>
      </w:r>
    </w:p>
    <w:p w14:paraId="3C7DAD6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Cash-flow logic remains separate from ecological value logic.</w:t>
      </w:r>
    </w:p>
    <w:p w14:paraId="3C7279B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Ecological improvement may support value, but base-case financial modeling should remain anchored in actual or contractually defensible cash flows.</w:t>
      </w:r>
    </w:p>
    <w:p w14:paraId="0EB398B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PRU-related ecological value should not be used to inflate cash flows unless there is a recognized, evidenced, and legally structured revenue pathway.</w:t>
      </w:r>
    </w:p>
    <w:p w14:paraId="0C731385"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R.21 Risk-adjusted IRR</w:t>
      </w:r>
    </w:p>
    <w:p w14:paraId="35C09C3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Risk-adjusted return language must be handled carefully.</w:t>
      </w:r>
    </w:p>
    <w:p w14:paraId="393523E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conceptual risk-adjusted IRR may be expressed as:</w:t>
      </w:r>
    </w:p>
    <w:p w14:paraId="46AFF4F1"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IRR_adj</w:t>
      </w:r>
      <w:proofErr w:type="spellEnd"/>
      <w:r w:rsidRPr="00B479AE">
        <w:rPr>
          <w:rFonts w:ascii="Baskerville Old Face" w:hAnsi="Baskerville Old Face"/>
          <w:i/>
          <w:iCs/>
        </w:rPr>
        <w:t xml:space="preserve"> = IRR(</w:t>
      </w:r>
      <w:proofErr w:type="spellStart"/>
      <w:r w:rsidRPr="00B479AE">
        <w:rPr>
          <w:rFonts w:ascii="Baskerville Old Face" w:hAnsi="Baskerville Old Face"/>
          <w:i/>
          <w:iCs/>
        </w:rPr>
        <w:t>CF_adj</w:t>
      </w:r>
      <w:proofErr w:type="spellEnd"/>
      <w:r w:rsidRPr="00B479AE">
        <w:rPr>
          <w:rFonts w:ascii="Baskerville Old Face" w:hAnsi="Baskerville Old Face"/>
          <w:i/>
          <w:iCs/>
        </w:rPr>
        <w:t>)</w:t>
      </w:r>
    </w:p>
    <w:p w14:paraId="6754A41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where:</w:t>
      </w:r>
    </w:p>
    <w:p w14:paraId="35278E00"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CF_adj</w:t>
      </w:r>
      <w:proofErr w:type="spellEnd"/>
      <w:r w:rsidRPr="00B479AE">
        <w:rPr>
          <w:rFonts w:ascii="Baskerville Old Face" w:hAnsi="Baskerville Old Face"/>
          <w:i/>
          <w:iCs/>
        </w:rPr>
        <w:t xml:space="preserve"> = confidence-adjusted and risk-adjusted cash-flow scenario</w:t>
      </w:r>
    </w:p>
    <w:p w14:paraId="497F5DB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use of risk-adjusted IRR is valid only if:</w:t>
      </w:r>
    </w:p>
    <w:p w14:paraId="363ABC13"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MRV_verified</w:t>
      </w:r>
      <w:proofErr w:type="spellEnd"/>
      <w:r w:rsidRPr="00B479AE">
        <w:rPr>
          <w:rFonts w:ascii="Baskerville Old Face" w:hAnsi="Baskerville Old Face"/>
          <w:i/>
          <w:iCs/>
        </w:rPr>
        <w:t xml:space="preserve"> = true</w:t>
      </w:r>
    </w:p>
    <w:p w14:paraId="064DFE25"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Admissibility_satisfied</w:t>
      </w:r>
      <w:proofErr w:type="spellEnd"/>
      <w:r w:rsidRPr="00B479AE">
        <w:rPr>
          <w:rFonts w:ascii="Baskerville Old Face" w:hAnsi="Baskerville Old Face"/>
          <w:i/>
          <w:iCs/>
        </w:rPr>
        <w:t xml:space="preserve"> = true</w:t>
      </w:r>
    </w:p>
    <w:p w14:paraId="791B91BA"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Legal_structure_reviewed</w:t>
      </w:r>
      <w:proofErr w:type="spellEnd"/>
      <w:r w:rsidRPr="00B479AE">
        <w:rPr>
          <w:rFonts w:ascii="Baskerville Old Face" w:hAnsi="Baskerville Old Face"/>
          <w:i/>
          <w:iCs/>
        </w:rPr>
        <w:t xml:space="preserve"> = true</w:t>
      </w:r>
    </w:p>
    <w:p w14:paraId="31B286EE"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Investor_disclosure_complete</w:t>
      </w:r>
      <w:proofErr w:type="spellEnd"/>
      <w:r w:rsidRPr="00B479AE">
        <w:rPr>
          <w:rFonts w:ascii="Baskerville Old Face" w:hAnsi="Baskerville Old Face"/>
          <w:i/>
          <w:iCs/>
        </w:rPr>
        <w:t xml:space="preserve"> = true</w:t>
      </w:r>
    </w:p>
    <w:p w14:paraId="28EF23C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Risk-adjusted IRR is an investor-model scenario.</w:t>
      </w:r>
    </w:p>
    <w:p w14:paraId="793BDEB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not a promised return.</w:t>
      </w:r>
    </w:p>
    <w:p w14:paraId="08DCA58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It is not a guarantee.</w:t>
      </w:r>
    </w:p>
    <w:p w14:paraId="13C797D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not a public offering.</w:t>
      </w:r>
    </w:p>
    <w:p w14:paraId="6B1904D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not a regulated rating.</w:t>
      </w:r>
    </w:p>
    <w:p w14:paraId="39DBC85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becomes usable only inside a legally reviewed financial model with transparent assumptions.</w:t>
      </w:r>
    </w:p>
    <w:p w14:paraId="3FA1341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compliant formulation is:</w:t>
      </w:r>
    </w:p>
    <w:p w14:paraId="2657BCE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Risk-adjusted return scenarios may be developed for investor-model purposes where a legally structured instrument, defined assumptions, jurisdictional review, disclosure package, and evidence base exist.</w:t>
      </w:r>
    </w:p>
    <w:p w14:paraId="0EF5E6DF"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preserves analytical utility without creating premature financial claims.</w:t>
      </w:r>
    </w:p>
    <w:p w14:paraId="38FD1485"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R.22 Time-positive asset dynamics</w:t>
      </w:r>
    </w:p>
    <w:p w14:paraId="600908A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Under verified regenerative conditions, an OHE may become more valuable as it matures.</w:t>
      </w:r>
    </w:p>
    <w:p w14:paraId="559D124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can be expressed conceptually as:</w:t>
      </w:r>
    </w:p>
    <w:p w14:paraId="05D32F6C" w14:textId="77777777" w:rsidR="00B961DF" w:rsidRPr="00B479AE" w:rsidRDefault="00B961DF" w:rsidP="00B961DF">
      <w:pPr>
        <w:spacing w:line="360" w:lineRule="auto"/>
        <w:rPr>
          <w:rFonts w:ascii="Baskerville Old Face" w:hAnsi="Baskerville Old Face"/>
          <w:i/>
          <w:iCs/>
        </w:rPr>
      </w:pPr>
      <w:proofErr w:type="spellStart"/>
      <w:r w:rsidRPr="00B479AE">
        <w:rPr>
          <w:rFonts w:ascii="Baskerville Old Face" w:hAnsi="Baskerville Old Face"/>
          <w:i/>
          <w:iCs/>
        </w:rPr>
        <w:t>dV</w:t>
      </w:r>
      <w:proofErr w:type="spellEnd"/>
      <w:r w:rsidRPr="00B479AE">
        <w:rPr>
          <w:rFonts w:ascii="Baskerville Old Face" w:hAnsi="Baskerville Old Face"/>
          <w:i/>
          <w:iCs/>
        </w:rPr>
        <w:t xml:space="preserve"> / dt &gt; 0</w:t>
      </w:r>
    </w:p>
    <w:p w14:paraId="11CEFED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under conditions where:</w:t>
      </w:r>
    </w:p>
    <w:p w14:paraId="4D13C90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soil function improves;</w:t>
      </w:r>
      <w:r w:rsidRPr="00B479AE">
        <w:rPr>
          <w:rFonts w:ascii="Baskerville Old Face" w:hAnsi="Baskerville Old Face"/>
          <w:i/>
          <w:iCs/>
        </w:rPr>
        <w:br/>
        <w:t>• water retention increases;</w:t>
      </w:r>
      <w:r w:rsidRPr="00B479AE">
        <w:rPr>
          <w:rFonts w:ascii="Baskerville Old Face" w:hAnsi="Baskerville Old Face"/>
          <w:i/>
          <w:iCs/>
        </w:rPr>
        <w:br/>
        <w:t>• network connectivity strengthens;</w:t>
      </w:r>
      <w:r w:rsidRPr="00B479AE">
        <w:rPr>
          <w:rFonts w:ascii="Baskerville Old Face" w:hAnsi="Baskerville Old Face"/>
          <w:i/>
          <w:iCs/>
        </w:rPr>
        <w:br/>
        <w:t>• biological cooperation intensifies;</w:t>
      </w:r>
      <w:r w:rsidRPr="00B479AE">
        <w:rPr>
          <w:rFonts w:ascii="Baskerville Old Face" w:hAnsi="Baskerville Old Face"/>
          <w:i/>
          <w:iCs/>
        </w:rPr>
        <w:br/>
        <w:t>• yield variance decreases;</w:t>
      </w:r>
      <w:r w:rsidRPr="00B479AE">
        <w:rPr>
          <w:rFonts w:ascii="Baskerville Old Face" w:hAnsi="Baskerville Old Face"/>
          <w:i/>
          <w:iCs/>
        </w:rPr>
        <w:br/>
        <w:t>• input dependency declines;</w:t>
      </w:r>
      <w:r w:rsidRPr="00B479AE">
        <w:rPr>
          <w:rFonts w:ascii="Baskerville Old Face" w:hAnsi="Baskerville Old Face"/>
          <w:i/>
          <w:iCs/>
        </w:rPr>
        <w:br/>
        <w:t>• MRV confidence improves;</w:t>
      </w:r>
      <w:r w:rsidRPr="00B479AE">
        <w:rPr>
          <w:rFonts w:ascii="Baskerville Old Face" w:hAnsi="Baskerville Old Face"/>
          <w:i/>
          <w:iCs/>
        </w:rPr>
        <w:br/>
        <w:t>• operational knowledge accumulates;</w:t>
      </w:r>
      <w:r w:rsidRPr="00B479AE">
        <w:rPr>
          <w:rFonts w:ascii="Baskerville Old Face" w:hAnsi="Baskerville Old Face"/>
          <w:i/>
          <w:iCs/>
        </w:rPr>
        <w:br/>
        <w:t>• governance maturity increases;</w:t>
      </w:r>
      <w:r w:rsidRPr="00B479AE">
        <w:rPr>
          <w:rFonts w:ascii="Baskerville Old Face" w:hAnsi="Baskerville Old Face"/>
          <w:i/>
          <w:iCs/>
        </w:rPr>
        <w:br/>
        <w:t>• legal readability improves.</w:t>
      </w:r>
    </w:p>
    <w:p w14:paraId="0B134D7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is not automatic appreciation.</w:t>
      </w:r>
    </w:p>
    <w:p w14:paraId="7E8E70E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is conditional time-positive value formation.</w:t>
      </w:r>
    </w:p>
    <w:p w14:paraId="398DC54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If the system is poorly designed, poorly managed, exposed to unmanaged stress, unable to generate verified improvement, or unable to preserve evidence integrity, the condition fails.</w:t>
      </w:r>
    </w:p>
    <w:p w14:paraId="0ED6F92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Prometheus does not claim that time alone creates value.</w:t>
      </w:r>
    </w:p>
    <w:p w14:paraId="682159B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claims that verified regenerative maturation may improve value quality over time.</w:t>
      </w:r>
    </w:p>
    <w:p w14:paraId="12F9E445" w14:textId="77777777" w:rsidR="00FE5D9D" w:rsidRPr="00B479AE" w:rsidRDefault="00FE5D9D" w:rsidP="00FE5D9D">
      <w:pPr>
        <w:spacing w:line="360" w:lineRule="auto"/>
        <w:rPr>
          <w:rFonts w:ascii="Baskerville Old Face" w:hAnsi="Baskerville Old Face"/>
          <w:b/>
          <w:bCs/>
          <w:i/>
          <w:iCs/>
        </w:rPr>
      </w:pPr>
      <w:r w:rsidRPr="00B479AE">
        <w:rPr>
          <w:rFonts w:ascii="Baskerville Old Face" w:hAnsi="Baskerville Old Face"/>
          <w:b/>
          <w:bCs/>
          <w:i/>
          <w:iCs/>
        </w:rPr>
        <w:t>Extended PRU Scenario Function</w:t>
      </w:r>
    </w:p>
    <w:p w14:paraId="17B6F087"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The standard PRU value function should remain conservative and evidence-bound.</w:t>
      </w:r>
    </w:p>
    <w:p w14:paraId="60362D21"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However, advanced investor-model, research, or capital-readiness scenarios may require an extended analytical function capable of representing biomass accumulation and temporal maturity.</w:t>
      </w:r>
    </w:p>
    <w:p w14:paraId="196E2CC6"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A protected extended scenario function may be expressed as:</w:t>
      </w:r>
    </w:p>
    <w:p w14:paraId="32B85CFB"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 xml:space="preserve">V_PRU* = C </w:t>
      </w:r>
      <w:r w:rsidRPr="00B479AE">
        <w:rPr>
          <w:rFonts w:ascii="Cambria" w:hAnsi="Cambria" w:cs="Cambria"/>
          <w:i/>
          <w:iCs/>
        </w:rPr>
        <w:t>·</w:t>
      </w:r>
      <w:r w:rsidRPr="00B479AE">
        <w:rPr>
          <w:rFonts w:ascii="Baskerville Old Face" w:hAnsi="Baskerville Old Face"/>
          <w:i/>
          <w:iCs/>
        </w:rPr>
        <w:t xml:space="preserve"> (1 + </w:t>
      </w:r>
      <w:r w:rsidRPr="00B479AE">
        <w:rPr>
          <w:rFonts w:ascii="Cambria" w:hAnsi="Cambria" w:cs="Cambria"/>
          <w:i/>
          <w:iCs/>
        </w:rPr>
        <w:t>α</w:t>
      </w:r>
      <w:r w:rsidRPr="00B479AE">
        <w:rPr>
          <w:rFonts w:ascii="Baskerville Old Face" w:hAnsi="Baskerville Old Face"/>
          <w:i/>
          <w:iCs/>
        </w:rPr>
        <w:t xml:space="preserve">SRI + </w:t>
      </w:r>
      <w:r w:rsidRPr="00B479AE">
        <w:rPr>
          <w:rFonts w:ascii="Cambria" w:hAnsi="Cambria" w:cs="Cambria"/>
          <w:i/>
          <w:iCs/>
        </w:rPr>
        <w:t>β</w:t>
      </w:r>
      <w:r w:rsidRPr="00B479AE">
        <w:rPr>
          <w:rFonts w:ascii="Baskerville Old Face" w:hAnsi="Baskerville Old Face"/>
          <w:i/>
          <w:iCs/>
        </w:rPr>
        <w:t xml:space="preserve">RPI + </w:t>
      </w:r>
      <w:proofErr w:type="spellStart"/>
      <w:r w:rsidRPr="00B479AE">
        <w:rPr>
          <w:rFonts w:ascii="Cambria" w:hAnsi="Cambria" w:cs="Cambria"/>
          <w:i/>
          <w:iCs/>
        </w:rPr>
        <w:t>γ</w:t>
      </w:r>
      <w:r w:rsidRPr="00B479AE">
        <w:rPr>
          <w:rFonts w:ascii="Baskerville Old Face" w:hAnsi="Baskerville Old Face"/>
          <w:i/>
          <w:iCs/>
        </w:rPr>
        <w:t>CESI</w:t>
      </w:r>
      <w:proofErr w:type="spellEnd"/>
      <w:r w:rsidRPr="00B479AE">
        <w:rPr>
          <w:rFonts w:ascii="Baskerville Old Face" w:hAnsi="Baskerville Old Face"/>
          <w:i/>
          <w:iCs/>
        </w:rPr>
        <w:t xml:space="preserve"> + </w:t>
      </w:r>
      <w:proofErr w:type="spellStart"/>
      <w:r w:rsidRPr="00B479AE">
        <w:rPr>
          <w:rFonts w:ascii="Cambria" w:hAnsi="Cambria" w:cs="Cambria"/>
          <w:i/>
          <w:iCs/>
        </w:rPr>
        <w:t>δ</w:t>
      </w:r>
      <w:r w:rsidRPr="00B479AE">
        <w:rPr>
          <w:rFonts w:ascii="Baskerville Old Face" w:hAnsi="Baskerville Old Face"/>
          <w:i/>
          <w:iCs/>
        </w:rPr>
        <w:t>B</w:t>
      </w:r>
      <w:proofErr w:type="spellEnd"/>
      <w:r w:rsidRPr="00B479AE">
        <w:rPr>
          <w:rFonts w:ascii="Baskerville Old Face" w:hAnsi="Baskerville Old Face"/>
          <w:i/>
          <w:iCs/>
        </w:rPr>
        <w:t xml:space="preserve"> + </w:t>
      </w:r>
      <w:proofErr w:type="spellStart"/>
      <w:r w:rsidRPr="00B479AE">
        <w:rPr>
          <w:rFonts w:ascii="Cambria" w:hAnsi="Cambria" w:cs="Cambria"/>
          <w:i/>
          <w:iCs/>
        </w:rPr>
        <w:t>ε</w:t>
      </w:r>
      <w:r w:rsidRPr="00B479AE">
        <w:rPr>
          <w:rFonts w:ascii="Baskerville Old Face" w:hAnsi="Baskerville Old Face"/>
          <w:i/>
          <w:iCs/>
        </w:rPr>
        <w:t>T</w:t>
      </w:r>
      <w:proofErr w:type="spellEnd"/>
      <w:r w:rsidRPr="00B479AE">
        <w:rPr>
          <w:rFonts w:ascii="Baskerville Old Face" w:hAnsi="Baskerville Old Face"/>
          <w:i/>
          <w:iCs/>
        </w:rPr>
        <w:t>)</w:t>
      </w:r>
    </w:p>
    <w:p w14:paraId="65D3D3BC"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Where:</w:t>
      </w:r>
    </w:p>
    <w:p w14:paraId="0A6EC93D"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V_PRU* = extended PRU scenario value, used only for analytical or investor-model scenarios.</w:t>
      </w:r>
    </w:p>
    <w:p w14:paraId="572AD8E3"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C = conservative baseline value, productive value, or legally admissible ecological-capital base, depending on methodology.</w:t>
      </w:r>
    </w:p>
    <w:p w14:paraId="21CF715B"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SRI = Syntropic Resilience Index.</w:t>
      </w:r>
    </w:p>
    <w:p w14:paraId="2E3C7153"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RPI = Regenerative Productivity Index.</w:t>
      </w:r>
    </w:p>
    <w:p w14:paraId="5FD438A5"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CESI = Cooperative Ecological Surplus Index.</w:t>
      </w:r>
    </w:p>
    <w:p w14:paraId="6B8DF452"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B = biomass accumulation, biomass cycling, or biological capital maturation factor.</w:t>
      </w:r>
    </w:p>
    <w:p w14:paraId="3FE2DA96"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 = temporal maturity factor.</w:t>
      </w:r>
    </w:p>
    <w:p w14:paraId="7CE87C70" w14:textId="77777777" w:rsidR="00FE5D9D" w:rsidRPr="00B479AE" w:rsidRDefault="00FE5D9D" w:rsidP="00FE5D9D">
      <w:pPr>
        <w:spacing w:line="360" w:lineRule="auto"/>
        <w:rPr>
          <w:rFonts w:ascii="Baskerville Old Face" w:hAnsi="Baskerville Old Face"/>
          <w:i/>
          <w:iCs/>
        </w:rPr>
      </w:pPr>
      <w:r w:rsidRPr="00B479AE">
        <w:rPr>
          <w:rFonts w:ascii="Cambria" w:hAnsi="Cambria" w:cs="Cambria"/>
          <w:i/>
          <w:iCs/>
        </w:rPr>
        <w:t>α</w:t>
      </w:r>
      <w:r w:rsidRPr="00B479AE">
        <w:rPr>
          <w:rFonts w:ascii="Baskerville Old Face" w:hAnsi="Baskerville Old Face"/>
          <w:i/>
          <w:iCs/>
        </w:rPr>
        <w:t xml:space="preserve">, </w:t>
      </w:r>
      <w:r w:rsidRPr="00B479AE">
        <w:rPr>
          <w:rFonts w:ascii="Cambria" w:hAnsi="Cambria" w:cs="Cambria"/>
          <w:i/>
          <w:iCs/>
        </w:rPr>
        <w:t>β</w:t>
      </w:r>
      <w:r w:rsidRPr="00B479AE">
        <w:rPr>
          <w:rFonts w:ascii="Baskerville Old Face" w:hAnsi="Baskerville Old Face"/>
          <w:i/>
          <w:iCs/>
        </w:rPr>
        <w:t xml:space="preserve">, </w:t>
      </w:r>
      <w:r w:rsidRPr="00B479AE">
        <w:rPr>
          <w:rFonts w:ascii="Cambria" w:hAnsi="Cambria" w:cs="Cambria"/>
          <w:i/>
          <w:iCs/>
        </w:rPr>
        <w:t>γ</w:t>
      </w:r>
      <w:r w:rsidRPr="00B479AE">
        <w:rPr>
          <w:rFonts w:ascii="Baskerville Old Face" w:hAnsi="Baskerville Old Face"/>
          <w:i/>
          <w:iCs/>
        </w:rPr>
        <w:t xml:space="preserve">, </w:t>
      </w:r>
      <w:r w:rsidRPr="00B479AE">
        <w:rPr>
          <w:rFonts w:ascii="Cambria" w:hAnsi="Cambria" w:cs="Cambria"/>
          <w:i/>
          <w:iCs/>
        </w:rPr>
        <w:t>δ</w:t>
      </w:r>
      <w:r w:rsidRPr="00B479AE">
        <w:rPr>
          <w:rFonts w:ascii="Baskerville Old Face" w:hAnsi="Baskerville Old Face"/>
          <w:i/>
          <w:iCs/>
        </w:rPr>
        <w:t xml:space="preserve">, </w:t>
      </w:r>
      <w:r w:rsidRPr="00B479AE">
        <w:rPr>
          <w:rFonts w:ascii="Cambria" w:hAnsi="Cambria" w:cs="Cambria"/>
          <w:i/>
          <w:iCs/>
        </w:rPr>
        <w:t>ε</w:t>
      </w:r>
      <w:r w:rsidRPr="00B479AE">
        <w:rPr>
          <w:rFonts w:ascii="Baskerville Old Face" w:hAnsi="Baskerville Old Face"/>
          <w:i/>
          <w:iCs/>
        </w:rPr>
        <w:t xml:space="preserve"> = methodology-defined coefficients.</w:t>
      </w:r>
    </w:p>
    <w:p w14:paraId="7DFACD9E" w14:textId="610535B6"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 xml:space="preserve">This formula is not the default </w:t>
      </w:r>
      <w:r w:rsidR="00BF1A97" w:rsidRPr="00B479AE">
        <w:rPr>
          <w:rFonts w:ascii="Baskerville Old Face" w:hAnsi="Baskerville Old Face"/>
          <w:i/>
          <w:iCs/>
        </w:rPr>
        <w:t>PRU value analysis</w:t>
      </w:r>
      <w:r w:rsidRPr="00B479AE">
        <w:rPr>
          <w:rFonts w:ascii="Baskerville Old Face" w:hAnsi="Baskerville Old Face"/>
          <w:i/>
          <w:iCs/>
        </w:rPr>
        <w:t xml:space="preserve"> formula.</w:t>
      </w:r>
    </w:p>
    <w:p w14:paraId="19AF2D32"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is an extended scenario function.</w:t>
      </w:r>
    </w:p>
    <w:p w14:paraId="7065A84F"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lastRenderedPageBreak/>
        <w:t>It may be used only where the methodology clearly defines the variables, coefficients, evidence sources, confidence levels, admissibility thresholds, legal boundaries, and intended use.</w:t>
      </w:r>
    </w:p>
    <w:p w14:paraId="06F6D40A"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The purpose of this formula is to preserve two important truths.</w:t>
      </w:r>
    </w:p>
    <w:p w14:paraId="4631487E"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First, regenerative value may increase when biomass accumulation, biomass cycling, root systems, canopy structure, soil organic matter, and biological complexity mature over time.</w:t>
      </w:r>
    </w:p>
    <w:p w14:paraId="6BB6E0D6"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Second, time matters only when time produces verified ecological improvement.</w:t>
      </w:r>
    </w:p>
    <w:p w14:paraId="61DC747E"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Temporal maturity does not create value by itself.</w:t>
      </w:r>
    </w:p>
    <w:p w14:paraId="616DDE43"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A system can age without regenerating.</w:t>
      </w:r>
    </w:p>
    <w:p w14:paraId="4EF49E09"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A neglected system can decline over time.</w:t>
      </w:r>
    </w:p>
    <w:p w14:paraId="195F961D"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A poorly designed system can accumulate complexity that does not translate into resilience, productivity, or ecological function.</w:t>
      </w:r>
    </w:p>
    <w:p w14:paraId="030E9E05"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Therefore, the temporal factor T must be interpreted conservatively.</w:t>
      </w:r>
    </w:p>
    <w:p w14:paraId="62D0E43B"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may support value relevance only where time has produced measurable improvement in ecological function, operational reliability, MRV confidence, governance maturity, and resilience.</w:t>
      </w:r>
    </w:p>
    <w:p w14:paraId="02D0910B"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The biomass factor B must also be evidence-bound.</w:t>
      </w:r>
    </w:p>
    <w:p w14:paraId="165902CE"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may include:</w:t>
      </w:r>
    </w:p>
    <w:p w14:paraId="6FCD47F7"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biomass accumulation;</w:t>
      </w:r>
      <w:r w:rsidRPr="00B479AE">
        <w:rPr>
          <w:rFonts w:ascii="Baskerville Old Face" w:hAnsi="Baskerville Old Face"/>
          <w:i/>
          <w:iCs/>
        </w:rPr>
        <w:br/>
        <w:t>biomass returned to soil;</w:t>
      </w:r>
      <w:r w:rsidRPr="00B479AE">
        <w:rPr>
          <w:rFonts w:ascii="Baskerville Old Face" w:hAnsi="Baskerville Old Face"/>
          <w:i/>
          <w:iCs/>
        </w:rPr>
        <w:br/>
        <w:t>canopy development;</w:t>
      </w:r>
      <w:r w:rsidRPr="00B479AE">
        <w:rPr>
          <w:rFonts w:ascii="Baskerville Old Face" w:hAnsi="Baskerville Old Face"/>
          <w:i/>
          <w:iCs/>
        </w:rPr>
        <w:br/>
        <w:t>root biomass;</w:t>
      </w:r>
      <w:r w:rsidRPr="00B479AE">
        <w:rPr>
          <w:rFonts w:ascii="Baskerville Old Face" w:hAnsi="Baskerville Old Face"/>
          <w:i/>
          <w:iCs/>
        </w:rPr>
        <w:br/>
        <w:t>mulch and organic matter contribution;</w:t>
      </w:r>
      <w:r w:rsidRPr="00B479AE">
        <w:rPr>
          <w:rFonts w:ascii="Baskerville Old Face" w:hAnsi="Baskerville Old Face"/>
          <w:i/>
          <w:iCs/>
        </w:rPr>
        <w:br/>
        <w:t>carbon-related indicators where admissible;</w:t>
      </w:r>
      <w:r w:rsidRPr="00B479AE">
        <w:rPr>
          <w:rFonts w:ascii="Baskerville Old Face" w:hAnsi="Baskerville Old Face"/>
          <w:i/>
          <w:iCs/>
        </w:rPr>
        <w:br/>
        <w:t>productive biomass;</w:t>
      </w:r>
      <w:r w:rsidRPr="00B479AE">
        <w:rPr>
          <w:rFonts w:ascii="Baskerville Old Face" w:hAnsi="Baskerville Old Face"/>
          <w:i/>
          <w:iCs/>
        </w:rPr>
        <w:br/>
        <w:t>soil-cover continuity;</w:t>
      </w:r>
      <w:r w:rsidRPr="00B479AE">
        <w:rPr>
          <w:rFonts w:ascii="Baskerville Old Face" w:hAnsi="Baskerville Old Face"/>
          <w:i/>
          <w:iCs/>
        </w:rPr>
        <w:br/>
        <w:t>biological structure;</w:t>
      </w:r>
      <w:r w:rsidRPr="00B479AE">
        <w:rPr>
          <w:rFonts w:ascii="Baskerville Old Face" w:hAnsi="Baskerville Old Face"/>
          <w:i/>
          <w:iCs/>
        </w:rPr>
        <w:br/>
        <w:t>successional maturity.</w:t>
      </w:r>
    </w:p>
    <w:p w14:paraId="314EC93D"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lastRenderedPageBreak/>
        <w:t>The extended function must not be used to claim automatic appreciation, immediate financial value, token value, investor rights, or securitization eligibility.</w:t>
      </w:r>
    </w:p>
    <w:p w14:paraId="368B0267"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is valid only as a scenario model.</w:t>
      </w:r>
    </w:p>
    <w:p w14:paraId="0DE7E9B6"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The correct interpretation is:</w:t>
      </w:r>
    </w:p>
    <w:p w14:paraId="14FD98C0"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biomass maturity + temporal maturity may strengthen PRU analysis only when verified by MRV and admitted through methodology.</w:t>
      </w:r>
    </w:p>
    <w:p w14:paraId="5FD9C8FA"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This protects the difference between biological growth and financial overclaiming.</w:t>
      </w:r>
    </w:p>
    <w:p w14:paraId="410006BF"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A regenerative system may become more valuable as it matures.</w:t>
      </w:r>
    </w:p>
    <w:p w14:paraId="390FA4C1"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But Prometheus recognizes that value only when maturation becomes measurable, verified, confidence-scored, reviewable, and legally usable.</w:t>
      </w:r>
    </w:p>
    <w:p w14:paraId="28305203"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The conservative rule is:</w:t>
      </w:r>
    </w:p>
    <w:p w14:paraId="60C70505"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time does not create value; verified regeneration over time may create value relevance.</w:t>
      </w:r>
    </w:p>
    <w:p w14:paraId="1BE867E0"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Formula boundary</w:t>
      </w:r>
    </w:p>
    <w:p w14:paraId="3DE5BDCA"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This extended function should never be presented without the following boundary:</w:t>
      </w:r>
    </w:p>
    <w:p w14:paraId="31AEB7D0"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V_PRU* is an analytical scenario function.</w:t>
      </w:r>
    </w:p>
    <w:p w14:paraId="16CE80B4"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does not create automatic PRU value.</w:t>
      </w:r>
    </w:p>
    <w:p w14:paraId="0B2C4093"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does not create token issuance.</w:t>
      </w:r>
    </w:p>
    <w:p w14:paraId="3BB6104F"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does not create investor entitlement.</w:t>
      </w:r>
    </w:p>
    <w:p w14:paraId="529C766C"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does not create a public offer.</w:t>
      </w:r>
    </w:p>
    <w:p w14:paraId="5777F143"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does not create a regulated rating.</w:t>
      </w:r>
    </w:p>
    <w:p w14:paraId="2F6F83FD"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does not create securitization eligibility.</w:t>
      </w:r>
    </w:p>
    <w:p w14:paraId="642742EC" w14:textId="77777777" w:rsidR="00FE5D9D" w:rsidRPr="00B479AE" w:rsidRDefault="00FE5D9D" w:rsidP="00FE5D9D">
      <w:pPr>
        <w:spacing w:line="360" w:lineRule="auto"/>
        <w:rPr>
          <w:rFonts w:ascii="Baskerville Old Face" w:hAnsi="Baskerville Old Face"/>
          <w:i/>
          <w:iCs/>
        </w:rPr>
      </w:pPr>
      <w:r w:rsidRPr="00B479AE">
        <w:rPr>
          <w:rFonts w:ascii="Baskerville Old Face" w:hAnsi="Baskerville Old Face"/>
          <w:i/>
          <w:iCs/>
        </w:rPr>
        <w:t>It may support investor-model analysis only where evidence, methodology, legal review, disclosure, and jurisdiction-specific compliance support such use.</w:t>
      </w:r>
    </w:p>
    <w:p w14:paraId="565CAF6C"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lastRenderedPageBreak/>
        <w:t>R.23 Autopoietic regenerative intelligence layer</w:t>
      </w:r>
    </w:p>
    <w:p w14:paraId="3CC2A7E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Prometheus may evolve toward an autopoietic regenerative intelligence layer.</w:t>
      </w:r>
    </w:p>
    <w:p w14:paraId="12B0822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layer integrates:</w:t>
      </w:r>
    </w:p>
    <w:p w14:paraId="187D798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biophysical systems;</w:t>
      </w:r>
      <w:r w:rsidRPr="00B479AE">
        <w:rPr>
          <w:rFonts w:ascii="Baskerville Old Face" w:hAnsi="Baskerville Old Face"/>
          <w:i/>
          <w:iCs/>
        </w:rPr>
        <w:br/>
        <w:t>• MRV data;</w:t>
      </w:r>
      <w:r w:rsidRPr="00B479AE">
        <w:rPr>
          <w:rFonts w:ascii="Baskerville Old Face" w:hAnsi="Baskerville Old Face"/>
          <w:i/>
          <w:iCs/>
        </w:rPr>
        <w:br/>
        <w:t>• operational records;</w:t>
      </w:r>
      <w:r w:rsidRPr="00B479AE">
        <w:rPr>
          <w:rFonts w:ascii="Baskerville Old Face" w:hAnsi="Baskerville Old Face"/>
          <w:i/>
          <w:iCs/>
        </w:rPr>
        <w:br/>
        <w:t>• AI-assisted interpretation;</w:t>
      </w:r>
      <w:r w:rsidRPr="00B479AE">
        <w:rPr>
          <w:rFonts w:ascii="Baskerville Old Face" w:hAnsi="Baskerville Old Face"/>
          <w:i/>
          <w:iCs/>
        </w:rPr>
        <w:br/>
        <w:t>• structured reasoning;</w:t>
      </w:r>
      <w:r w:rsidRPr="00B479AE">
        <w:rPr>
          <w:rFonts w:ascii="Baskerville Old Face" w:hAnsi="Baskerville Old Face"/>
          <w:i/>
          <w:iCs/>
        </w:rPr>
        <w:br/>
        <w:t>• governance review;</w:t>
      </w:r>
      <w:r w:rsidRPr="00B479AE">
        <w:rPr>
          <w:rFonts w:ascii="Baskerville Old Face" w:hAnsi="Baskerville Old Face"/>
          <w:i/>
          <w:iCs/>
        </w:rPr>
        <w:br/>
        <w:t>• PRU methodology;</w:t>
      </w:r>
      <w:r w:rsidRPr="00B479AE">
        <w:rPr>
          <w:rFonts w:ascii="Baskerville Old Face" w:hAnsi="Baskerville Old Face"/>
          <w:i/>
          <w:iCs/>
        </w:rPr>
        <w:br/>
        <w:t>• capital allocation feedback.</w:t>
      </w:r>
    </w:p>
    <w:p w14:paraId="20ABA00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Its core function is:</w:t>
      </w:r>
    </w:p>
    <w:p w14:paraId="73264B8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uncertainty </w:t>
      </w:r>
      <w:r w:rsidRPr="00B479AE">
        <w:rPr>
          <w:rFonts w:ascii="Times New Roman" w:hAnsi="Times New Roman" w:cs="Times New Roman"/>
          <w:i/>
          <w:iCs/>
        </w:rPr>
        <w:t>↓</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predictability </w:t>
      </w:r>
      <w:r w:rsidRPr="00B479AE">
        <w:rPr>
          <w:rFonts w:ascii="Times New Roman" w:hAnsi="Times New Roman" w:cs="Times New Roman"/>
          <w:i/>
          <w:iCs/>
        </w:rPr>
        <w:t>↑</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risk </w:t>
      </w:r>
      <w:r w:rsidRPr="00B479AE">
        <w:rPr>
          <w:rFonts w:ascii="Times New Roman" w:hAnsi="Times New Roman" w:cs="Times New Roman"/>
          <w:i/>
          <w:iCs/>
        </w:rPr>
        <w:t>↓</w:t>
      </w:r>
      <w:r w:rsidRPr="00B479AE">
        <w:rPr>
          <w:rFonts w:ascii="Baskerville Old Face" w:hAnsi="Baskerville Old Face"/>
          <w:i/>
          <w:iCs/>
        </w:rPr>
        <w:t xml:space="preserve"> </w:t>
      </w:r>
      <w:r w:rsidRPr="00B479AE">
        <w:rPr>
          <w:rFonts w:ascii="Times New Roman" w:hAnsi="Times New Roman" w:cs="Times New Roman"/>
          <w:i/>
          <w:iCs/>
        </w:rPr>
        <w:t>→</w:t>
      </w:r>
      <w:r w:rsidRPr="00B479AE">
        <w:rPr>
          <w:rFonts w:ascii="Baskerville Old Face" w:hAnsi="Baskerville Old Face"/>
          <w:i/>
          <w:iCs/>
        </w:rPr>
        <w:t xml:space="preserve"> capital efficiency </w:t>
      </w:r>
      <w:r w:rsidRPr="00B479AE">
        <w:rPr>
          <w:rFonts w:ascii="Times New Roman" w:hAnsi="Times New Roman" w:cs="Times New Roman"/>
          <w:i/>
          <w:iCs/>
        </w:rPr>
        <w:t>↑</w:t>
      </w:r>
    </w:p>
    <w:p w14:paraId="1F2BB1D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system loop may be represented as:</w:t>
      </w:r>
    </w:p>
    <w:p w14:paraId="6A514E8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Environment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AI-assisted interpretation </w:t>
      </w:r>
      <w:r w:rsidRPr="00B479AE">
        <w:rPr>
          <w:rFonts w:ascii="Times New Roman" w:hAnsi="Times New Roman" w:cs="Times New Roman"/>
          <w:i/>
          <w:iCs/>
        </w:rPr>
        <w:t>→</w:t>
      </w:r>
      <w:r w:rsidRPr="00B479AE">
        <w:rPr>
          <w:rFonts w:ascii="Baskerville Old Face" w:hAnsi="Baskerville Old Face"/>
          <w:i/>
          <w:iCs/>
        </w:rPr>
        <w:t xml:space="preserve"> structured reasoning </w:t>
      </w:r>
      <w:r w:rsidRPr="00B479AE">
        <w:rPr>
          <w:rFonts w:ascii="Times New Roman" w:hAnsi="Times New Roman" w:cs="Times New Roman"/>
          <w:i/>
          <w:iCs/>
        </w:rPr>
        <w:t>→</w:t>
      </w:r>
      <w:r w:rsidRPr="00B479AE">
        <w:rPr>
          <w:rFonts w:ascii="Baskerville Old Face" w:hAnsi="Baskerville Old Face"/>
          <w:i/>
          <w:iCs/>
        </w:rPr>
        <w:t xml:space="preserve"> evaluation </w:t>
      </w:r>
      <w:r w:rsidRPr="00B479AE">
        <w:rPr>
          <w:rFonts w:ascii="Times New Roman" w:hAnsi="Times New Roman" w:cs="Times New Roman"/>
          <w:i/>
          <w:iCs/>
        </w:rPr>
        <w:t>→</w:t>
      </w:r>
      <w:r w:rsidRPr="00B479AE">
        <w:rPr>
          <w:rFonts w:ascii="Baskerville Old Face" w:hAnsi="Baskerville Old Face"/>
          <w:i/>
          <w:iCs/>
        </w:rPr>
        <w:t xml:space="preserve"> decision </w:t>
      </w:r>
      <w:r w:rsidRPr="00B479AE">
        <w:rPr>
          <w:rFonts w:ascii="Times New Roman" w:hAnsi="Times New Roman" w:cs="Times New Roman"/>
          <w:i/>
          <w:iCs/>
        </w:rPr>
        <w:t>→</w:t>
      </w:r>
      <w:r w:rsidRPr="00B479AE">
        <w:rPr>
          <w:rFonts w:ascii="Baskerville Old Face" w:hAnsi="Baskerville Old Face"/>
          <w:i/>
          <w:iCs/>
        </w:rPr>
        <w:t xml:space="preserve"> action </w:t>
      </w:r>
      <w:r w:rsidRPr="00B479AE">
        <w:rPr>
          <w:rFonts w:ascii="Times New Roman" w:hAnsi="Times New Roman" w:cs="Times New Roman"/>
          <w:i/>
          <w:iCs/>
        </w:rPr>
        <w:t>→</w:t>
      </w:r>
      <w:r w:rsidRPr="00B479AE">
        <w:rPr>
          <w:rFonts w:ascii="Baskerville Old Face" w:hAnsi="Baskerville Old Face"/>
          <w:i/>
          <w:iCs/>
        </w:rPr>
        <w:t xml:space="preserve"> environment</w:t>
      </w:r>
    </w:p>
    <w:p w14:paraId="4C3D91D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Each cycle:</w:t>
      </w:r>
    </w:p>
    <w:p w14:paraId="710FC86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updates the system state;</w:t>
      </w:r>
      <w:r w:rsidRPr="00B479AE">
        <w:rPr>
          <w:rFonts w:ascii="Baskerville Old Face" w:hAnsi="Baskerville Old Face"/>
          <w:i/>
          <w:iCs/>
        </w:rPr>
        <w:br/>
        <w:t>• detects anomalies;</w:t>
      </w:r>
      <w:r w:rsidRPr="00B479AE">
        <w:rPr>
          <w:rFonts w:ascii="Baskerville Old Face" w:hAnsi="Baskerville Old Face"/>
          <w:i/>
          <w:iCs/>
        </w:rPr>
        <w:br/>
        <w:t>• improves intervention quality;</w:t>
      </w:r>
      <w:r w:rsidRPr="00B479AE">
        <w:rPr>
          <w:rFonts w:ascii="Baskerville Old Face" w:hAnsi="Baskerville Old Face"/>
          <w:i/>
          <w:iCs/>
        </w:rPr>
        <w:br/>
        <w:t>• reduces informational entropy;</w:t>
      </w:r>
      <w:r w:rsidRPr="00B479AE">
        <w:rPr>
          <w:rFonts w:ascii="Baskerville Old Face" w:hAnsi="Baskerville Old Face"/>
          <w:i/>
          <w:iCs/>
        </w:rPr>
        <w:br/>
        <w:t>• supports better governance and operational decisions;</w:t>
      </w:r>
      <w:r w:rsidRPr="00B479AE">
        <w:rPr>
          <w:rFonts w:ascii="Baskerville Old Face" w:hAnsi="Baskerville Old Face"/>
          <w:i/>
          <w:iCs/>
        </w:rPr>
        <w:br/>
        <w:t>• generates new evidence.</w:t>
      </w:r>
    </w:p>
    <w:p w14:paraId="0589051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AI in this architecture is not sovereign.</w:t>
      </w:r>
    </w:p>
    <w:p w14:paraId="7494469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does not independently authorize ecological action, PRU value, token issuance, investment decisions, governance outcomes, legal rights, or investor-facing claims.</w:t>
      </w:r>
    </w:p>
    <w:p w14:paraId="77654B3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assists interpretation.</w:t>
      </w:r>
    </w:p>
    <w:p w14:paraId="0403BC6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Execution remains governed by evidence, methodology, governance, and human or institutional authorization.</w:t>
      </w:r>
    </w:p>
    <w:p w14:paraId="1E6058A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Prometheus systems are not deployed as autonomous systems.</w:t>
      </w:r>
    </w:p>
    <w:p w14:paraId="7136855D"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They become more adaptive through data accumulation, ecological feedback, and iterative learning.</w:t>
      </w:r>
    </w:p>
    <w:p w14:paraId="517DC6C7"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R.24 Tokenization boundary</w:t>
      </w:r>
    </w:p>
    <w:p w14:paraId="613FA9CA"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old model correctly recognized that ecological performance may eventually connect to tokenized representation.</w:t>
      </w:r>
    </w:p>
    <w:p w14:paraId="6261A0F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However, this must be stated with strict legal and institutional discipline.</w:t>
      </w:r>
    </w:p>
    <w:p w14:paraId="566A1EB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correct sequence is:</w:t>
      </w:r>
    </w:p>
    <w:p w14:paraId="402948A5" w14:textId="776EB758"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ecological process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verified indicator </w:t>
      </w:r>
      <w:r w:rsidRPr="00B479AE">
        <w:rPr>
          <w:rFonts w:ascii="Times New Roman" w:hAnsi="Times New Roman" w:cs="Times New Roman"/>
          <w:i/>
          <w:iCs/>
        </w:rPr>
        <w:t>→</w:t>
      </w:r>
      <w:r w:rsidRPr="00B479AE">
        <w:rPr>
          <w:rFonts w:ascii="Baskerville Old Face" w:hAnsi="Baskerville Old Face"/>
          <w:i/>
          <w:iCs/>
        </w:rPr>
        <w:t xml:space="preserve"> PRU </w:t>
      </w:r>
      <w:r w:rsidRPr="00B479AE">
        <w:rPr>
          <w:rFonts w:ascii="Times New Roman" w:hAnsi="Times New Roman" w:cs="Times New Roman"/>
          <w:i/>
          <w:iCs/>
        </w:rPr>
        <w:t>→</w:t>
      </w:r>
      <w:r w:rsidRPr="00B479AE">
        <w:rPr>
          <w:rFonts w:ascii="Baskerville Old Face" w:hAnsi="Baskerville Old Face"/>
          <w:i/>
          <w:iCs/>
        </w:rPr>
        <w:t xml:space="preserve"> </w:t>
      </w:r>
      <w:r w:rsidR="00193796" w:rsidRPr="00B479AE">
        <w:rPr>
          <w:rFonts w:ascii="Baskerville Old Face" w:hAnsi="Baskerville Old Face"/>
          <w:i/>
          <w:iCs/>
        </w:rPr>
        <w:t xml:space="preserve">PRU maturity classification </w:t>
      </w:r>
      <w:r w:rsidRPr="00B479AE">
        <w:rPr>
          <w:rFonts w:ascii="Times New Roman" w:hAnsi="Times New Roman" w:cs="Times New Roman"/>
          <w:i/>
          <w:iCs/>
        </w:rPr>
        <w:t>→</w:t>
      </w:r>
      <w:r w:rsidRPr="00B479AE">
        <w:rPr>
          <w:rFonts w:ascii="Baskerville Old Face" w:hAnsi="Baskerville Old Face"/>
          <w:i/>
          <w:iCs/>
        </w:rPr>
        <w:t xml:space="preserve"> RAP </w:t>
      </w:r>
      <w:r w:rsidRPr="00B479AE">
        <w:rPr>
          <w:rFonts w:ascii="Times New Roman" w:hAnsi="Times New Roman" w:cs="Times New Roman"/>
          <w:i/>
          <w:iCs/>
        </w:rPr>
        <w:t>→</w:t>
      </w:r>
      <w:r w:rsidRPr="00B479AE">
        <w:rPr>
          <w:rFonts w:ascii="Baskerville Old Face" w:hAnsi="Baskerville Old Face"/>
          <w:i/>
          <w:iCs/>
        </w:rPr>
        <w:t xml:space="preserve"> legal wrapper </w:t>
      </w:r>
      <w:r w:rsidRPr="00B479AE">
        <w:rPr>
          <w:rFonts w:ascii="Times New Roman" w:hAnsi="Times New Roman" w:cs="Times New Roman"/>
          <w:i/>
          <w:iCs/>
        </w:rPr>
        <w:t>→</w:t>
      </w:r>
      <w:r w:rsidRPr="00B479AE">
        <w:rPr>
          <w:rFonts w:ascii="Baskerville Old Face" w:hAnsi="Baskerville Old Face"/>
          <w:i/>
          <w:iCs/>
        </w:rPr>
        <w:t xml:space="preserve"> compliant instrument </w:t>
      </w:r>
      <w:r w:rsidRPr="00B479AE">
        <w:rPr>
          <w:rFonts w:ascii="Times New Roman" w:hAnsi="Times New Roman" w:cs="Times New Roman"/>
          <w:i/>
          <w:iCs/>
        </w:rPr>
        <w:t>→</w:t>
      </w:r>
      <w:r w:rsidRPr="00B479AE">
        <w:rPr>
          <w:rFonts w:ascii="Baskerville Old Face" w:hAnsi="Baskerville Old Face"/>
          <w:i/>
          <w:iCs/>
        </w:rPr>
        <w:t xml:space="preserve"> possible tokenized representation</w:t>
      </w:r>
    </w:p>
    <w:p w14:paraId="0AD4A69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Tokenization does not create ecological value.</w:t>
      </w:r>
    </w:p>
    <w:p w14:paraId="1B073DE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represent verified and legally structured value.</w:t>
      </w:r>
    </w:p>
    <w:p w14:paraId="7FDF95D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TRBK should therefore not be described as automatic fractional ownership of PRUs, land, revenue rights, or investor exposure.</w:t>
      </w:r>
    </w:p>
    <w:p w14:paraId="3F847D2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Its correct role is governance, coordination, access, contribution, or participation, subject to defined legal boundaries.</w:t>
      </w:r>
    </w:p>
    <w:p w14:paraId="58C0FFA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Any future tokenized unit, note, security, fund interest, revenue right, or transferable claim must require:</w:t>
      </w:r>
    </w:p>
    <w:p w14:paraId="7F1B968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jurisdiction-specific legal structuring;</w:t>
      </w:r>
      <w:r w:rsidRPr="00B479AE">
        <w:rPr>
          <w:rFonts w:ascii="Baskerville Old Face" w:hAnsi="Baskerville Old Face"/>
          <w:i/>
          <w:iCs/>
        </w:rPr>
        <w:br/>
        <w:t>• disclosure;</w:t>
      </w:r>
      <w:r w:rsidRPr="00B479AE">
        <w:rPr>
          <w:rFonts w:ascii="Baskerville Old Face" w:hAnsi="Baskerville Old Face"/>
          <w:i/>
          <w:iCs/>
        </w:rPr>
        <w:br/>
        <w:t>• compliance review;</w:t>
      </w:r>
      <w:r w:rsidRPr="00B479AE">
        <w:rPr>
          <w:rFonts w:ascii="Baskerville Old Face" w:hAnsi="Baskerville Old Face"/>
          <w:i/>
          <w:iCs/>
        </w:rPr>
        <w:br/>
        <w:t>• investor protection;</w:t>
      </w:r>
      <w:r w:rsidRPr="00B479AE">
        <w:rPr>
          <w:rFonts w:ascii="Baskerville Old Face" w:hAnsi="Baskerville Old Face"/>
          <w:i/>
          <w:iCs/>
        </w:rPr>
        <w:br/>
        <w:t>• governance approval;</w:t>
      </w:r>
      <w:r w:rsidRPr="00B479AE">
        <w:rPr>
          <w:rFonts w:ascii="Baskerville Old Face" w:hAnsi="Baskerville Old Face"/>
          <w:i/>
          <w:iCs/>
        </w:rPr>
        <w:br/>
        <w:t>• source-layer compatibility;</w:t>
      </w:r>
      <w:r w:rsidRPr="00B479AE">
        <w:rPr>
          <w:rFonts w:ascii="Baskerville Old Face" w:hAnsi="Baskerville Old Face"/>
          <w:i/>
          <w:iCs/>
        </w:rPr>
        <w:br/>
      </w:r>
      <w:r w:rsidRPr="00B479AE">
        <w:rPr>
          <w:rFonts w:ascii="Baskerville Old Face" w:hAnsi="Baskerville Old Face"/>
          <w:i/>
          <w:iCs/>
        </w:rPr>
        <w:lastRenderedPageBreak/>
        <w:t>• anti-double-counting controls;</w:t>
      </w:r>
      <w:r w:rsidRPr="00B479AE">
        <w:rPr>
          <w:rFonts w:ascii="Baskerville Old Face" w:hAnsi="Baskerville Old Face"/>
          <w:i/>
          <w:iCs/>
        </w:rPr>
        <w:br/>
        <w:t>• public-claim discipline.</w:t>
      </w:r>
    </w:p>
    <w:p w14:paraId="6069DCF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boundary protects Prometheus from premature financialization.</w:t>
      </w:r>
    </w:p>
    <w:p w14:paraId="54BF4BA9"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R.25 Regenerative Asset Pool</w:t>
      </w:r>
    </w:p>
    <w:p w14:paraId="49C6679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Regenerative Asset Pool, or RAP, is the portfolio structure through which verified PRUs become institutionally legible.</w:t>
      </w:r>
    </w:p>
    <w:p w14:paraId="5B80D37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RAP aggregates PRUs across multiple regenerative units.</w:t>
      </w:r>
    </w:p>
    <w:p w14:paraId="783E2EC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It may include different:</w:t>
      </w:r>
    </w:p>
    <w:p w14:paraId="0494CC3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geographies;</w:t>
      </w:r>
      <w:r w:rsidRPr="00B479AE">
        <w:rPr>
          <w:rFonts w:ascii="Baskerville Old Face" w:hAnsi="Baskerville Old Face"/>
          <w:i/>
          <w:iCs/>
        </w:rPr>
        <w:br/>
        <w:t>• climates;</w:t>
      </w:r>
      <w:r w:rsidRPr="00B479AE">
        <w:rPr>
          <w:rFonts w:ascii="Baskerville Old Face" w:hAnsi="Baskerville Old Face"/>
          <w:i/>
          <w:iCs/>
        </w:rPr>
        <w:br/>
        <w:t>• operators;</w:t>
      </w:r>
      <w:r w:rsidRPr="00B479AE">
        <w:rPr>
          <w:rFonts w:ascii="Baskerville Old Face" w:hAnsi="Baskerville Old Face"/>
          <w:i/>
          <w:iCs/>
        </w:rPr>
        <w:br/>
        <w:t>• maturity stages;</w:t>
      </w:r>
      <w:r w:rsidRPr="00B479AE">
        <w:rPr>
          <w:rFonts w:ascii="Baskerville Old Face" w:hAnsi="Baskerville Old Face"/>
          <w:i/>
          <w:iCs/>
        </w:rPr>
        <w:br/>
        <w:t>• species designs;</w:t>
      </w:r>
      <w:r w:rsidRPr="00B479AE">
        <w:rPr>
          <w:rFonts w:ascii="Baskerville Old Face" w:hAnsi="Baskerville Old Face"/>
          <w:i/>
          <w:iCs/>
        </w:rPr>
        <w:br/>
        <w:t>• revenue channels;</w:t>
      </w:r>
      <w:r w:rsidRPr="00B479AE">
        <w:rPr>
          <w:rFonts w:ascii="Baskerville Old Face" w:hAnsi="Baskerville Old Face"/>
          <w:i/>
          <w:iCs/>
        </w:rPr>
        <w:br/>
        <w:t>• legal wrappers;</w:t>
      </w:r>
      <w:r w:rsidRPr="00B479AE">
        <w:rPr>
          <w:rFonts w:ascii="Baskerville Old Face" w:hAnsi="Baskerville Old Face"/>
          <w:i/>
          <w:iCs/>
        </w:rPr>
        <w:br/>
        <w:t>• MRV profiles;</w:t>
      </w:r>
      <w:r w:rsidRPr="00B479AE">
        <w:rPr>
          <w:rFonts w:ascii="Baskerville Old Face" w:hAnsi="Baskerville Old Face"/>
          <w:i/>
          <w:iCs/>
        </w:rPr>
        <w:br/>
        <w:t>• governance contexts.</w:t>
      </w:r>
    </w:p>
    <w:p w14:paraId="5B6AA6F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purpose of a RAP is to create:</w:t>
      </w:r>
    </w:p>
    <w:p w14:paraId="2593C418" w14:textId="19D1A268"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diversification;</w:t>
      </w:r>
      <w:r w:rsidRPr="00B479AE">
        <w:rPr>
          <w:rFonts w:ascii="Baskerville Old Face" w:hAnsi="Baskerville Old Face"/>
          <w:i/>
          <w:iCs/>
        </w:rPr>
        <w:br/>
        <w:t>• risk distribution;</w:t>
      </w:r>
      <w:r w:rsidRPr="00B479AE">
        <w:rPr>
          <w:rFonts w:ascii="Baskerville Old Face" w:hAnsi="Baskerville Old Face"/>
          <w:i/>
          <w:iCs/>
        </w:rPr>
        <w:br/>
        <w:t>• portfolio monitoring;</w:t>
      </w:r>
      <w:r w:rsidRPr="00B479AE">
        <w:rPr>
          <w:rFonts w:ascii="Baskerville Old Face" w:hAnsi="Baskerville Old Face"/>
          <w:i/>
          <w:iCs/>
        </w:rPr>
        <w:br/>
        <w:t>• investor reporting;</w:t>
      </w:r>
      <w:r w:rsidRPr="00B479AE">
        <w:rPr>
          <w:rFonts w:ascii="Baskerville Old Face" w:hAnsi="Baskerville Old Face"/>
          <w:i/>
          <w:iCs/>
        </w:rPr>
        <w:br/>
        <w:t xml:space="preserve">• </w:t>
      </w:r>
      <w:r w:rsidR="001C0DFB" w:rsidRPr="00B479AE">
        <w:rPr>
          <w:rFonts w:ascii="Baskerville Old Face" w:hAnsi="Baskerville Old Face"/>
          <w:i/>
          <w:iCs/>
        </w:rPr>
        <w:t>maturity-classification logic</w:t>
      </w:r>
      <w:r w:rsidRPr="00B479AE">
        <w:rPr>
          <w:rFonts w:ascii="Baskerville Old Face" w:hAnsi="Baskerville Old Face"/>
          <w:i/>
          <w:iCs/>
        </w:rPr>
        <w:t>;</w:t>
      </w:r>
      <w:r w:rsidRPr="00B479AE">
        <w:rPr>
          <w:rFonts w:ascii="Baskerville Old Face" w:hAnsi="Baskerville Old Face"/>
          <w:i/>
          <w:iCs/>
        </w:rPr>
        <w:br/>
        <w:t>• insurance or guarantee compatibility;</w:t>
      </w:r>
      <w:r w:rsidRPr="00B479AE">
        <w:rPr>
          <w:rFonts w:ascii="Baskerville Old Face" w:hAnsi="Baskerville Old Face"/>
          <w:i/>
          <w:iCs/>
        </w:rPr>
        <w:br/>
        <w:t>• capital deployment scale;</w:t>
      </w:r>
      <w:r w:rsidRPr="00B479AE">
        <w:rPr>
          <w:rFonts w:ascii="Baskerville Old Face" w:hAnsi="Baskerville Old Face"/>
          <w:i/>
          <w:iCs/>
        </w:rPr>
        <w:br/>
        <w:t>• future structured-finance analysis;</w:t>
      </w:r>
      <w:r w:rsidRPr="00B479AE">
        <w:rPr>
          <w:rFonts w:ascii="Baskerville Old Face" w:hAnsi="Baskerville Old Face"/>
          <w:i/>
          <w:iCs/>
        </w:rPr>
        <w:br/>
        <w:t>• possible compliant tokenized representation.</w:t>
      </w:r>
    </w:p>
    <w:p w14:paraId="30D6A45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RAP is the bridge between project-level regeneration and portfolio-level finance.</w:t>
      </w:r>
    </w:p>
    <w:p w14:paraId="356A518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lastRenderedPageBreak/>
        <w:t>A single regenerative unit can prove the model.</w:t>
      </w:r>
    </w:p>
    <w:p w14:paraId="4AC57D6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RAP can scale it.</w:t>
      </w:r>
    </w:p>
    <w:p w14:paraId="171C9560"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R.26 RAP portfolio construction</w:t>
      </w:r>
    </w:p>
    <w:p w14:paraId="3E9B543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RAP portfolio construction should consider multiple dimensions.</w:t>
      </w:r>
    </w:p>
    <w:p w14:paraId="67F9F793"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Geographic diversification</w:t>
      </w:r>
    </w:p>
    <w:p w14:paraId="7B9BB471"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Different sites reduce exposure to local climate, regulatory, operational, or market shocks.</w:t>
      </w:r>
    </w:p>
    <w:p w14:paraId="1F663E6D" w14:textId="2F3325E5"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Ecological diversification</w:t>
      </w:r>
    </w:p>
    <w:p w14:paraId="30759A5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Different species, designs, soil contexts, water systems, and biodiversity profiles reduce biological concentration risk.</w:t>
      </w:r>
    </w:p>
    <w:p w14:paraId="2AADCA2D"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Maturity diversification</w:t>
      </w:r>
    </w:p>
    <w:p w14:paraId="6831F56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Young systems may offer growth potential.</w:t>
      </w:r>
    </w:p>
    <w:p w14:paraId="5F9FDD62"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Mature systems may offer evidence continuity and greater stability.</w:t>
      </w:r>
    </w:p>
    <w:p w14:paraId="12FCF390"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Operator diversification</w:t>
      </w:r>
    </w:p>
    <w:p w14:paraId="0D18919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Different operators reduce dependence on one stewardship team.</w:t>
      </w:r>
    </w:p>
    <w:p w14:paraId="02950846"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Revenue diversification</w:t>
      </w:r>
    </w:p>
    <w:p w14:paraId="2A6B196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Hospitality, food, ecosystem services, education, data, procurement, and other revenues may behave differently across contexts.</w:t>
      </w:r>
    </w:p>
    <w:p w14:paraId="69BB6D0C" w14:textId="77777777"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MRV diversification</w:t>
      </w:r>
    </w:p>
    <w:p w14:paraId="56535F4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Different evidence sources and verification methods strengthen the reliability of portfolio-level reporting.</w:t>
      </w:r>
    </w:p>
    <w:p w14:paraId="577AA1D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objective is not complexity for its own sake.</w:t>
      </w:r>
    </w:p>
    <w:p w14:paraId="169FDC2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objective is resilience.</w:t>
      </w:r>
    </w:p>
    <w:p w14:paraId="15591663" w14:textId="77777777" w:rsidR="00D939BD" w:rsidRPr="005907F1" w:rsidRDefault="00D939BD" w:rsidP="00D939BD">
      <w:pPr>
        <w:spacing w:line="360" w:lineRule="auto"/>
        <w:rPr>
          <w:rFonts w:ascii="Baskerville Old Face" w:hAnsi="Baskerville Old Face"/>
          <w:i/>
          <w:iCs/>
          <w:lang w:val="it-IT"/>
        </w:rPr>
      </w:pPr>
      <w:r w:rsidRPr="00B479AE">
        <w:rPr>
          <w:rFonts w:ascii="Baskerville Old Face" w:hAnsi="Baskerville Old Face"/>
          <w:i/>
          <w:iCs/>
        </w:rPr>
        <w:t xml:space="preserve">Perfetto. </w:t>
      </w:r>
      <w:r w:rsidRPr="005907F1">
        <w:rPr>
          <w:rFonts w:ascii="Baskerville Old Face" w:hAnsi="Baskerville Old Face"/>
          <w:i/>
          <w:iCs/>
          <w:lang w:val="it-IT"/>
        </w:rPr>
        <w:t>Procediamo con:</w:t>
      </w:r>
    </w:p>
    <w:p w14:paraId="03234198" w14:textId="5C873264" w:rsidR="00D939BD" w:rsidRPr="005907F1" w:rsidRDefault="00D939BD" w:rsidP="00D939BD">
      <w:pPr>
        <w:spacing w:line="360" w:lineRule="auto"/>
        <w:rPr>
          <w:rFonts w:ascii="Baskerville Old Face" w:hAnsi="Baskerville Old Face"/>
          <w:b/>
          <w:bCs/>
          <w:i/>
          <w:iCs/>
          <w:lang w:val="it-IT"/>
        </w:rPr>
      </w:pPr>
      <w:r w:rsidRPr="005907F1">
        <w:rPr>
          <w:rFonts w:ascii="Baskerville Old Face" w:hAnsi="Baskerville Old Face"/>
          <w:b/>
          <w:bCs/>
          <w:i/>
          <w:iCs/>
          <w:lang w:val="it-IT"/>
        </w:rPr>
        <w:lastRenderedPageBreak/>
        <w:t xml:space="preserve">RAP Portfolio </w:t>
      </w:r>
      <w:proofErr w:type="spellStart"/>
      <w:r w:rsidRPr="005907F1">
        <w:rPr>
          <w:rFonts w:ascii="Baskerville Old Face" w:hAnsi="Baskerville Old Face"/>
          <w:b/>
          <w:bCs/>
          <w:i/>
          <w:iCs/>
          <w:lang w:val="it-IT"/>
        </w:rPr>
        <w:t>Aggregation</w:t>
      </w:r>
      <w:proofErr w:type="spellEnd"/>
      <w:r w:rsidRPr="005907F1">
        <w:rPr>
          <w:rFonts w:ascii="Baskerville Old Face" w:hAnsi="Baskerville Old Face"/>
          <w:b/>
          <w:bCs/>
          <w:i/>
          <w:iCs/>
          <w:lang w:val="it-IT"/>
        </w:rPr>
        <w:t xml:space="preserve"> </w:t>
      </w:r>
      <w:proofErr w:type="spellStart"/>
      <w:r w:rsidRPr="005907F1">
        <w:rPr>
          <w:rFonts w:ascii="Baskerville Old Face" w:hAnsi="Baskerville Old Face"/>
          <w:b/>
          <w:bCs/>
          <w:i/>
          <w:iCs/>
          <w:lang w:val="it-IT"/>
        </w:rPr>
        <w:t>Function</w:t>
      </w:r>
      <w:proofErr w:type="spellEnd"/>
    </w:p>
    <w:p w14:paraId="7A982541"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Regenerative Asset Pool, or RAP, is the portfolio-level aggregation of PRU-relevant regenerative units.</w:t>
      </w:r>
    </w:p>
    <w:p w14:paraId="39DA21EE"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At its most basic level, a RAP may be represented as:</w:t>
      </w:r>
    </w:p>
    <w:p w14:paraId="005486D9"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RAP = {PRU</w:t>
      </w:r>
      <w:r w:rsidRPr="00B479AE">
        <w:rPr>
          <w:rFonts w:ascii="Cambria Math" w:hAnsi="Cambria Math" w:cs="Cambria Math"/>
          <w:i/>
          <w:iCs/>
        </w:rPr>
        <w:t>₁</w:t>
      </w:r>
      <w:r w:rsidRPr="00B479AE">
        <w:rPr>
          <w:rFonts w:ascii="Baskerville Old Face" w:hAnsi="Baskerville Old Face"/>
          <w:i/>
          <w:iCs/>
        </w:rPr>
        <w:t>, PRU</w:t>
      </w:r>
      <w:r w:rsidRPr="00B479AE">
        <w:rPr>
          <w:rFonts w:ascii="Cambria Math" w:hAnsi="Cambria Math" w:cs="Cambria Math"/>
          <w:i/>
          <w:iCs/>
        </w:rPr>
        <w:t>₂</w:t>
      </w:r>
      <w:r w:rsidRPr="00B479AE">
        <w:rPr>
          <w:rFonts w:ascii="Baskerville Old Face" w:hAnsi="Baskerville Old Face"/>
          <w:i/>
          <w:iCs/>
        </w:rPr>
        <w:t>, PRU</w:t>
      </w:r>
      <w:r w:rsidRPr="00B479AE">
        <w:rPr>
          <w:rFonts w:ascii="Cambria Math" w:hAnsi="Cambria Math" w:cs="Cambria Math"/>
          <w:i/>
          <w:iCs/>
        </w:rPr>
        <w:t>₃</w:t>
      </w:r>
      <w:r w:rsidRPr="00B479AE">
        <w:rPr>
          <w:rFonts w:ascii="Baskerville Old Face" w:hAnsi="Baskerville Old Face"/>
          <w:i/>
          <w:iCs/>
        </w:rPr>
        <w:t xml:space="preserve">, </w:t>
      </w:r>
      <w:r w:rsidRPr="00B479AE">
        <w:rPr>
          <w:rFonts w:ascii="Baskerville Old Face" w:hAnsi="Baskerville Old Face" w:cs="Baskerville Old Face"/>
          <w:i/>
          <w:iCs/>
        </w:rPr>
        <w:t>…</w:t>
      </w:r>
      <w:r w:rsidRPr="00B479AE">
        <w:rPr>
          <w:rFonts w:ascii="Baskerville Old Face" w:hAnsi="Baskerville Old Face"/>
          <w:i/>
          <w:iCs/>
        </w:rPr>
        <w:t>, PRU</w:t>
      </w:r>
      <w:r w:rsidRPr="00B479AE">
        <w:rPr>
          <w:rFonts w:ascii="Cambria Math" w:hAnsi="Cambria Math" w:cs="Cambria Math"/>
          <w:i/>
          <w:iCs/>
        </w:rPr>
        <w:t>ₙ</w:t>
      </w:r>
      <w:r w:rsidRPr="00B479AE">
        <w:rPr>
          <w:rFonts w:ascii="Baskerville Old Face" w:hAnsi="Baskerville Old Face"/>
          <w:i/>
          <w:iCs/>
        </w:rPr>
        <w:t>}</w:t>
      </w:r>
    </w:p>
    <w:p w14:paraId="45C5EF13"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This expression defines the RAP as a collection of PRU-relevant units.</w:t>
      </w:r>
    </w:p>
    <w:p w14:paraId="5571873E"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However, a mature RAP is not a simple sum.</w:t>
      </w:r>
    </w:p>
    <w:p w14:paraId="7F5E277E"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portfolio of regenerative units must account for evidence quality, ecological diversification, geography, maturity, operator reliability, revenue diversity, governance maturity, legal readiness, and concentration risk.</w:t>
      </w:r>
    </w:p>
    <w:p w14:paraId="5A1E0209"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conceptual RAP portfolio function may therefore be expressed as:</w:t>
      </w:r>
    </w:p>
    <w:p w14:paraId="4C40F773" w14:textId="77777777" w:rsidR="00D939BD" w:rsidRPr="00B479AE" w:rsidRDefault="00D939BD" w:rsidP="00D939BD">
      <w:pPr>
        <w:spacing w:line="360" w:lineRule="auto"/>
        <w:rPr>
          <w:rFonts w:ascii="Baskerville Old Face" w:hAnsi="Baskerville Old Face"/>
          <w:i/>
          <w:iCs/>
        </w:rPr>
      </w:pPr>
      <w:proofErr w:type="spellStart"/>
      <w:r w:rsidRPr="00B479AE">
        <w:rPr>
          <w:rFonts w:ascii="Baskerville Old Face" w:hAnsi="Baskerville Old Face"/>
          <w:i/>
          <w:iCs/>
        </w:rPr>
        <w:t>RAP_score</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gramEnd"/>
      <w:r w:rsidRPr="00B479AE">
        <w:rPr>
          <w:rFonts w:ascii="Cambria" w:hAnsi="Cambria" w:cs="Cambria"/>
          <w:i/>
          <w:iCs/>
        </w:rPr>
        <w:t>Σ</w:t>
      </w:r>
      <w:r w:rsidRPr="00B479AE">
        <w:rPr>
          <w:rFonts w:ascii="Baskerville Old Face" w:hAnsi="Baskerville Old Face"/>
          <w:i/>
          <w:iCs/>
        </w:rPr>
        <w:t xml:space="preserve"> </w:t>
      </w:r>
      <w:proofErr w:type="spellStart"/>
      <w:r w:rsidRPr="00B479AE">
        <w:rPr>
          <w:rFonts w:ascii="Baskerville Old Face" w:hAnsi="Baskerville Old Face"/>
          <w:i/>
          <w:iCs/>
        </w:rPr>
        <w:t>PRU_i_adj</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D_geo</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D_eco</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D_operator</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D_revenue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MRV_conf</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G_maturity</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L_readiness</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R_concentration</w:t>
      </w:r>
      <w:proofErr w:type="spellEnd"/>
      <w:r w:rsidRPr="00B479AE">
        <w:rPr>
          <w:rFonts w:ascii="Baskerville Old Face" w:hAnsi="Baskerville Old Face"/>
          <w:i/>
          <w:iCs/>
        </w:rPr>
        <w:t>)</w:t>
      </w:r>
    </w:p>
    <w:p w14:paraId="7361CAFE"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Where:</w:t>
      </w:r>
    </w:p>
    <w:p w14:paraId="09B578C6" w14:textId="77777777" w:rsidR="00D939BD" w:rsidRPr="00B479AE" w:rsidRDefault="00D939BD" w:rsidP="00D939BD">
      <w:pPr>
        <w:spacing w:line="360" w:lineRule="auto"/>
        <w:rPr>
          <w:rFonts w:ascii="Baskerville Old Face" w:hAnsi="Baskerville Old Face"/>
          <w:i/>
          <w:iCs/>
        </w:rPr>
      </w:pPr>
      <w:proofErr w:type="spellStart"/>
      <w:r w:rsidRPr="00B479AE">
        <w:rPr>
          <w:rFonts w:ascii="Baskerville Old Face" w:hAnsi="Baskerville Old Face"/>
          <w:i/>
          <w:iCs/>
        </w:rPr>
        <w:t>PRU_i_adj</w:t>
      </w:r>
      <w:proofErr w:type="spellEnd"/>
      <w:r w:rsidRPr="00B479AE">
        <w:rPr>
          <w:rFonts w:ascii="Baskerville Old Face" w:hAnsi="Baskerville Old Face"/>
          <w:i/>
          <w:iCs/>
        </w:rPr>
        <w:t xml:space="preserve"> = confidence-adjusted PRU analysis for unit </w:t>
      </w:r>
      <w:proofErr w:type="spellStart"/>
      <w:r w:rsidRPr="00B479AE">
        <w:rPr>
          <w:rFonts w:ascii="Baskerville Old Face" w:hAnsi="Baskerville Old Face"/>
          <w:i/>
          <w:iCs/>
        </w:rPr>
        <w:t>i</w:t>
      </w:r>
      <w:proofErr w:type="spellEnd"/>
      <w:r w:rsidRPr="00B479AE">
        <w:rPr>
          <w:rFonts w:ascii="Baskerville Old Face" w:hAnsi="Baskerville Old Face"/>
          <w:i/>
          <w:iCs/>
        </w:rPr>
        <w:t>.</w:t>
      </w:r>
      <w:r w:rsidRPr="00B479AE">
        <w:rPr>
          <w:rFonts w:ascii="Baskerville Old Face" w:hAnsi="Baskerville Old Face"/>
          <w:i/>
          <w:iCs/>
        </w:rPr>
        <w:br/>
      </w:r>
      <w:proofErr w:type="spellStart"/>
      <w:r w:rsidRPr="00B479AE">
        <w:rPr>
          <w:rFonts w:ascii="Baskerville Old Face" w:hAnsi="Baskerville Old Face"/>
          <w:i/>
          <w:iCs/>
        </w:rPr>
        <w:t>D_geo</w:t>
      </w:r>
      <w:proofErr w:type="spellEnd"/>
      <w:r w:rsidRPr="00B479AE">
        <w:rPr>
          <w:rFonts w:ascii="Baskerville Old Face" w:hAnsi="Baskerville Old Face"/>
          <w:i/>
          <w:iCs/>
        </w:rPr>
        <w:t xml:space="preserve"> = geographic diversification.</w:t>
      </w:r>
      <w:r w:rsidRPr="00B479AE">
        <w:rPr>
          <w:rFonts w:ascii="Baskerville Old Face" w:hAnsi="Baskerville Old Face"/>
          <w:i/>
          <w:iCs/>
        </w:rPr>
        <w:br/>
      </w:r>
      <w:proofErr w:type="spellStart"/>
      <w:r w:rsidRPr="00B479AE">
        <w:rPr>
          <w:rFonts w:ascii="Baskerville Old Face" w:hAnsi="Baskerville Old Face"/>
          <w:i/>
          <w:iCs/>
        </w:rPr>
        <w:t>D_eco</w:t>
      </w:r>
      <w:proofErr w:type="spellEnd"/>
      <w:r w:rsidRPr="00B479AE">
        <w:rPr>
          <w:rFonts w:ascii="Baskerville Old Face" w:hAnsi="Baskerville Old Face"/>
          <w:i/>
          <w:iCs/>
        </w:rPr>
        <w:t xml:space="preserve"> = ecological diversification.</w:t>
      </w:r>
      <w:r w:rsidRPr="00B479AE">
        <w:rPr>
          <w:rFonts w:ascii="Baskerville Old Face" w:hAnsi="Baskerville Old Face"/>
          <w:i/>
          <w:iCs/>
        </w:rPr>
        <w:br/>
      </w:r>
      <w:proofErr w:type="spellStart"/>
      <w:r w:rsidRPr="00B479AE">
        <w:rPr>
          <w:rFonts w:ascii="Baskerville Old Face" w:hAnsi="Baskerville Old Face"/>
          <w:i/>
          <w:iCs/>
        </w:rPr>
        <w:t>D_operator</w:t>
      </w:r>
      <w:proofErr w:type="spellEnd"/>
      <w:r w:rsidRPr="00B479AE">
        <w:rPr>
          <w:rFonts w:ascii="Baskerville Old Face" w:hAnsi="Baskerville Old Face"/>
          <w:i/>
          <w:iCs/>
        </w:rPr>
        <w:t xml:space="preserve"> = operator or steward diversification.</w:t>
      </w:r>
      <w:r w:rsidRPr="00B479AE">
        <w:rPr>
          <w:rFonts w:ascii="Baskerville Old Face" w:hAnsi="Baskerville Old Face"/>
          <w:i/>
          <w:iCs/>
        </w:rPr>
        <w:br/>
      </w:r>
      <w:proofErr w:type="spellStart"/>
      <w:r w:rsidRPr="00B479AE">
        <w:rPr>
          <w:rFonts w:ascii="Baskerville Old Face" w:hAnsi="Baskerville Old Face"/>
          <w:i/>
          <w:iCs/>
        </w:rPr>
        <w:t>D_revenue</w:t>
      </w:r>
      <w:proofErr w:type="spellEnd"/>
      <w:r w:rsidRPr="00B479AE">
        <w:rPr>
          <w:rFonts w:ascii="Baskerville Old Face" w:hAnsi="Baskerville Old Face"/>
          <w:i/>
          <w:iCs/>
        </w:rPr>
        <w:t xml:space="preserve"> = revenue-channel diversification.</w:t>
      </w:r>
      <w:r w:rsidRPr="00B479AE">
        <w:rPr>
          <w:rFonts w:ascii="Baskerville Old Face" w:hAnsi="Baskerville Old Face"/>
          <w:i/>
          <w:iCs/>
        </w:rPr>
        <w:br/>
      </w:r>
      <w:proofErr w:type="spellStart"/>
      <w:r w:rsidRPr="00B479AE">
        <w:rPr>
          <w:rFonts w:ascii="Baskerville Old Face" w:hAnsi="Baskerville Old Face"/>
          <w:i/>
          <w:iCs/>
        </w:rPr>
        <w:t>MRV_conf</w:t>
      </w:r>
      <w:proofErr w:type="spellEnd"/>
      <w:r w:rsidRPr="00B479AE">
        <w:rPr>
          <w:rFonts w:ascii="Baskerville Old Face" w:hAnsi="Baskerville Old Face"/>
          <w:i/>
          <w:iCs/>
        </w:rPr>
        <w:t xml:space="preserve"> = portfolio-level MRV confidence.</w:t>
      </w:r>
      <w:r w:rsidRPr="00B479AE">
        <w:rPr>
          <w:rFonts w:ascii="Baskerville Old Face" w:hAnsi="Baskerville Old Face"/>
          <w:i/>
          <w:iCs/>
        </w:rPr>
        <w:br/>
      </w:r>
      <w:proofErr w:type="spellStart"/>
      <w:r w:rsidRPr="00B479AE">
        <w:rPr>
          <w:rFonts w:ascii="Baskerville Old Face" w:hAnsi="Baskerville Old Face"/>
          <w:i/>
          <w:iCs/>
        </w:rPr>
        <w:t>G_maturity</w:t>
      </w:r>
      <w:proofErr w:type="spellEnd"/>
      <w:r w:rsidRPr="00B479AE">
        <w:rPr>
          <w:rFonts w:ascii="Baskerville Old Face" w:hAnsi="Baskerville Old Face"/>
          <w:i/>
          <w:iCs/>
        </w:rPr>
        <w:t xml:space="preserve"> = governance maturity.</w:t>
      </w:r>
      <w:r w:rsidRPr="00B479AE">
        <w:rPr>
          <w:rFonts w:ascii="Baskerville Old Face" w:hAnsi="Baskerville Old Face"/>
          <w:i/>
          <w:iCs/>
        </w:rPr>
        <w:br/>
      </w:r>
      <w:proofErr w:type="spellStart"/>
      <w:r w:rsidRPr="00B479AE">
        <w:rPr>
          <w:rFonts w:ascii="Baskerville Old Face" w:hAnsi="Baskerville Old Face"/>
          <w:i/>
          <w:iCs/>
        </w:rPr>
        <w:t>L_readiness</w:t>
      </w:r>
      <w:proofErr w:type="spellEnd"/>
      <w:r w:rsidRPr="00B479AE">
        <w:rPr>
          <w:rFonts w:ascii="Baskerville Old Face" w:hAnsi="Baskerville Old Face"/>
          <w:i/>
          <w:iCs/>
        </w:rPr>
        <w:t xml:space="preserve"> = legal readiness.</w:t>
      </w:r>
      <w:r w:rsidRPr="00B479AE">
        <w:rPr>
          <w:rFonts w:ascii="Baskerville Old Face" w:hAnsi="Baskerville Old Face"/>
          <w:i/>
          <w:iCs/>
        </w:rPr>
        <w:br/>
      </w:r>
      <w:proofErr w:type="spellStart"/>
      <w:r w:rsidRPr="00B479AE">
        <w:rPr>
          <w:rFonts w:ascii="Baskerville Old Face" w:hAnsi="Baskerville Old Face"/>
          <w:i/>
          <w:iCs/>
        </w:rPr>
        <w:t>R_concentration</w:t>
      </w:r>
      <w:proofErr w:type="spellEnd"/>
      <w:r w:rsidRPr="00B479AE">
        <w:rPr>
          <w:rFonts w:ascii="Baskerville Old Face" w:hAnsi="Baskerville Old Face"/>
          <w:i/>
          <w:iCs/>
        </w:rPr>
        <w:t xml:space="preserve"> = concentration risk.</w:t>
      </w:r>
    </w:p>
    <w:p w14:paraId="11E6F935"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This function does not create automatic portfolio value.</w:t>
      </w:r>
    </w:p>
    <w:p w14:paraId="64F31F59"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It does not create a fund.</w:t>
      </w:r>
    </w:p>
    <w:p w14:paraId="5E0682E8"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It does not create investor rights.</w:t>
      </w:r>
    </w:p>
    <w:p w14:paraId="3AD8D580"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lastRenderedPageBreak/>
        <w:t>It does not create securitization eligibility.</w:t>
      </w:r>
    </w:p>
    <w:p w14:paraId="2B835376"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It does not create token issuance.</w:t>
      </w:r>
    </w:p>
    <w:p w14:paraId="6825A60A"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It expresses a portfolio-readiness principle:</w:t>
      </w:r>
    </w:p>
    <w:p w14:paraId="075FB51D"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RAP becomes institutionally stronger when verified regenerative performance is combined with diversification, evidence quality, governance maturity, legal readiness, and reduced concentration risk.</w:t>
      </w:r>
    </w:p>
    <w:p w14:paraId="7DB3C717"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simplified risk-adjusted portfolio expression may be written as:</w:t>
      </w:r>
    </w:p>
    <w:p w14:paraId="74E9A7FA" w14:textId="77777777" w:rsidR="00D939BD" w:rsidRPr="005907F1" w:rsidRDefault="00D939BD" w:rsidP="00D939BD">
      <w:pPr>
        <w:spacing w:line="360" w:lineRule="auto"/>
        <w:rPr>
          <w:rFonts w:ascii="Baskerville Old Face" w:hAnsi="Baskerville Old Face"/>
          <w:i/>
          <w:iCs/>
          <w:lang w:val="it-IT"/>
        </w:rPr>
      </w:pPr>
      <w:proofErr w:type="spellStart"/>
      <w:r w:rsidRPr="005907F1">
        <w:rPr>
          <w:rFonts w:ascii="Baskerville Old Face" w:hAnsi="Baskerville Old Face"/>
          <w:i/>
          <w:iCs/>
          <w:lang w:val="it-IT"/>
        </w:rPr>
        <w:t>RAP_readiness</w:t>
      </w:r>
      <w:proofErr w:type="spellEnd"/>
      <w:r w:rsidRPr="005907F1">
        <w:rPr>
          <w:rFonts w:ascii="Baskerville Old Face" w:hAnsi="Baskerville Old Face"/>
          <w:i/>
          <w:iCs/>
          <w:lang w:val="it-IT"/>
        </w:rPr>
        <w:t xml:space="preserve"> = </w:t>
      </w:r>
      <w:proofErr w:type="gramStart"/>
      <w:r w:rsidRPr="00B479AE">
        <w:rPr>
          <w:rFonts w:ascii="Cambria" w:hAnsi="Cambria" w:cs="Cambria"/>
          <w:i/>
          <w:iCs/>
        </w:rPr>
        <w:t>Σ</w:t>
      </w:r>
      <w:r w:rsidRPr="005907F1">
        <w:rPr>
          <w:rFonts w:ascii="Baskerville Old Face" w:hAnsi="Baskerville Old Face"/>
          <w:i/>
          <w:iCs/>
          <w:lang w:val="it-IT"/>
        </w:rPr>
        <w:t>(</w:t>
      </w:r>
      <w:proofErr w:type="spellStart"/>
      <w:proofErr w:type="gramEnd"/>
      <w:r w:rsidRPr="005907F1">
        <w:rPr>
          <w:rFonts w:ascii="Baskerville Old Face" w:hAnsi="Baskerville Old Face"/>
          <w:i/>
          <w:iCs/>
          <w:lang w:val="it-IT"/>
        </w:rPr>
        <w:t>PRU_i_adj</w:t>
      </w:r>
      <w:proofErr w:type="spellEnd"/>
      <w:r w:rsidRPr="005907F1">
        <w:rPr>
          <w:rFonts w:ascii="Baskerville Old Face" w:hAnsi="Baskerville Old Face"/>
          <w:i/>
          <w:iCs/>
          <w:lang w:val="it-IT"/>
        </w:rPr>
        <w:t xml:space="preserve"> </w:t>
      </w:r>
      <w:r w:rsidRPr="005907F1">
        <w:rPr>
          <w:rFonts w:ascii="Baskerville Old Face" w:hAnsi="Baskerville Old Face" w:cs="Baskerville Old Face"/>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w_i</w:t>
      </w:r>
      <w:proofErr w:type="spellEnd"/>
      <w:r w:rsidRPr="005907F1">
        <w:rPr>
          <w:rFonts w:ascii="Baskerville Old Face" w:hAnsi="Baskerville Old Face"/>
          <w:i/>
          <w:iCs/>
          <w:lang w:val="it-IT"/>
        </w:rPr>
        <w:t xml:space="preserve">) </w:t>
      </w:r>
      <w:r w:rsidRPr="005907F1">
        <w:rPr>
          <w:rFonts w:ascii="Baskerville Old Face" w:hAnsi="Baskerville Old Face" w:cs="Baskerville Old Face"/>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D_portfolio</w:t>
      </w:r>
      <w:proofErr w:type="spellEnd"/>
      <w:r w:rsidRPr="005907F1">
        <w:rPr>
          <w:rFonts w:ascii="Baskerville Old Face" w:hAnsi="Baskerville Old Face"/>
          <w:i/>
          <w:iCs/>
          <w:lang w:val="it-IT"/>
        </w:rPr>
        <w:t xml:space="preserve"> </w:t>
      </w:r>
      <w:r w:rsidRPr="005907F1">
        <w:rPr>
          <w:rFonts w:ascii="Baskerville Old Face" w:hAnsi="Baskerville Old Face" w:cs="Baskerville Old Face"/>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C_portfolio</w:t>
      </w:r>
      <w:proofErr w:type="spellEnd"/>
      <w:r w:rsidRPr="005907F1">
        <w:rPr>
          <w:rFonts w:ascii="Baskerville Old Face" w:hAnsi="Baskerville Old Face"/>
          <w:i/>
          <w:iCs/>
          <w:lang w:val="it-IT"/>
        </w:rPr>
        <w:t xml:space="preserve"> </w:t>
      </w:r>
      <w:r w:rsidRPr="005907F1">
        <w:rPr>
          <w:rFonts w:ascii="Baskerville Old Face" w:hAnsi="Baskerville Old Face" w:cs="Baskerville Old Face"/>
          <w:i/>
          <w:iCs/>
          <w:lang w:val="it-IT"/>
        </w:rPr>
        <w:t>×</w:t>
      </w: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L_portfolio</w:t>
      </w:r>
      <w:proofErr w:type="spellEnd"/>
    </w:p>
    <w:p w14:paraId="42DE0DF1"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Where:</w:t>
      </w:r>
    </w:p>
    <w:p w14:paraId="5BC9B496" w14:textId="77777777" w:rsidR="00D939BD" w:rsidRPr="00B479AE" w:rsidRDefault="00D939BD" w:rsidP="00D939BD">
      <w:pPr>
        <w:spacing w:line="360" w:lineRule="auto"/>
        <w:rPr>
          <w:rFonts w:ascii="Baskerville Old Face" w:hAnsi="Baskerville Old Face"/>
          <w:i/>
          <w:iCs/>
        </w:rPr>
      </w:pPr>
      <w:proofErr w:type="spellStart"/>
      <w:r w:rsidRPr="00B479AE">
        <w:rPr>
          <w:rFonts w:ascii="Baskerville Old Face" w:hAnsi="Baskerville Old Face"/>
          <w:i/>
          <w:iCs/>
        </w:rPr>
        <w:t>w_i</w:t>
      </w:r>
      <w:proofErr w:type="spellEnd"/>
      <w:r w:rsidRPr="00B479AE">
        <w:rPr>
          <w:rFonts w:ascii="Baskerville Old Face" w:hAnsi="Baskerville Old Face"/>
          <w:i/>
          <w:iCs/>
        </w:rPr>
        <w:t xml:space="preserve"> = portfolio weight assigned to unit </w:t>
      </w:r>
      <w:proofErr w:type="spellStart"/>
      <w:r w:rsidRPr="00B479AE">
        <w:rPr>
          <w:rFonts w:ascii="Baskerville Old Face" w:hAnsi="Baskerville Old Face"/>
          <w:i/>
          <w:iCs/>
        </w:rPr>
        <w:t>i</w:t>
      </w:r>
      <w:proofErr w:type="spellEnd"/>
      <w:r w:rsidRPr="00B479AE">
        <w:rPr>
          <w:rFonts w:ascii="Baskerville Old Face" w:hAnsi="Baskerville Old Face"/>
          <w:i/>
          <w:iCs/>
        </w:rPr>
        <w:t>.</w:t>
      </w:r>
      <w:r w:rsidRPr="00B479AE">
        <w:rPr>
          <w:rFonts w:ascii="Baskerville Old Face" w:hAnsi="Baskerville Old Face"/>
          <w:i/>
          <w:iCs/>
        </w:rPr>
        <w:br/>
      </w:r>
      <w:proofErr w:type="spellStart"/>
      <w:r w:rsidRPr="00B479AE">
        <w:rPr>
          <w:rFonts w:ascii="Baskerville Old Face" w:hAnsi="Baskerville Old Face"/>
          <w:i/>
          <w:iCs/>
        </w:rPr>
        <w:t>D_portfolio</w:t>
      </w:r>
      <w:proofErr w:type="spellEnd"/>
      <w:r w:rsidRPr="00B479AE">
        <w:rPr>
          <w:rFonts w:ascii="Baskerville Old Face" w:hAnsi="Baskerville Old Face"/>
          <w:i/>
          <w:iCs/>
        </w:rPr>
        <w:t xml:space="preserve"> = diversification factor.</w:t>
      </w:r>
      <w:r w:rsidRPr="00B479AE">
        <w:rPr>
          <w:rFonts w:ascii="Baskerville Old Face" w:hAnsi="Baskerville Old Face"/>
          <w:i/>
          <w:iCs/>
        </w:rPr>
        <w:br/>
      </w:r>
      <w:proofErr w:type="spellStart"/>
      <w:r w:rsidRPr="00B479AE">
        <w:rPr>
          <w:rFonts w:ascii="Baskerville Old Face" w:hAnsi="Baskerville Old Face"/>
          <w:i/>
          <w:iCs/>
        </w:rPr>
        <w:t>C_portfolio</w:t>
      </w:r>
      <w:proofErr w:type="spellEnd"/>
      <w:r w:rsidRPr="00B479AE">
        <w:rPr>
          <w:rFonts w:ascii="Baskerville Old Face" w:hAnsi="Baskerville Old Face"/>
          <w:i/>
          <w:iCs/>
        </w:rPr>
        <w:t xml:space="preserve"> = portfolio-level confidence factor.</w:t>
      </w:r>
      <w:r w:rsidRPr="00B479AE">
        <w:rPr>
          <w:rFonts w:ascii="Baskerville Old Face" w:hAnsi="Baskerville Old Face"/>
          <w:i/>
          <w:iCs/>
        </w:rPr>
        <w:br/>
      </w:r>
      <w:proofErr w:type="spellStart"/>
      <w:r w:rsidRPr="00B479AE">
        <w:rPr>
          <w:rFonts w:ascii="Baskerville Old Face" w:hAnsi="Baskerville Old Face"/>
          <w:i/>
          <w:iCs/>
        </w:rPr>
        <w:t>L_portfolio</w:t>
      </w:r>
      <w:proofErr w:type="spellEnd"/>
      <w:r w:rsidRPr="00B479AE">
        <w:rPr>
          <w:rFonts w:ascii="Baskerville Old Face" w:hAnsi="Baskerville Old Face"/>
          <w:i/>
          <w:iCs/>
        </w:rPr>
        <w:t xml:space="preserve"> = legal and structural readiness factor.</w:t>
      </w:r>
    </w:p>
    <w:p w14:paraId="6421B6C1"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This expression is methodological.</w:t>
      </w:r>
    </w:p>
    <w:p w14:paraId="7C6D0943"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It should not be interpreted as an automatic valuation model.</w:t>
      </w:r>
    </w:p>
    <w:p w14:paraId="7E0958E8"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Its purpose is to show that portfolio quality depends not only on the number of units aggregated, but on the quality, diversity, legality, and evidence strength of the underlying units.</w:t>
      </w:r>
    </w:p>
    <w:p w14:paraId="47A4A901"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RAP may become stronger when:</w:t>
      </w:r>
    </w:p>
    <w:p w14:paraId="12F4546C"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geographic exposure is diversified;</w:t>
      </w:r>
      <w:r w:rsidRPr="00B479AE">
        <w:rPr>
          <w:rFonts w:ascii="Baskerville Old Face" w:hAnsi="Baskerville Old Face"/>
          <w:i/>
          <w:iCs/>
        </w:rPr>
        <w:br/>
        <w:t>ecological designs are diversified;</w:t>
      </w:r>
      <w:r w:rsidRPr="00B479AE">
        <w:rPr>
          <w:rFonts w:ascii="Baskerville Old Face" w:hAnsi="Baskerville Old Face"/>
          <w:i/>
          <w:iCs/>
        </w:rPr>
        <w:br/>
        <w:t>operators are diversified;</w:t>
      </w:r>
      <w:r w:rsidRPr="00B479AE">
        <w:rPr>
          <w:rFonts w:ascii="Baskerville Old Face" w:hAnsi="Baskerville Old Face"/>
          <w:i/>
          <w:iCs/>
        </w:rPr>
        <w:br/>
        <w:t>maturity stages are balanced;</w:t>
      </w:r>
      <w:r w:rsidRPr="00B479AE">
        <w:rPr>
          <w:rFonts w:ascii="Baskerville Old Face" w:hAnsi="Baskerville Old Face"/>
          <w:i/>
          <w:iCs/>
        </w:rPr>
        <w:br/>
        <w:t>revenue sources are not overly concentrated;</w:t>
      </w:r>
      <w:r w:rsidRPr="00B479AE">
        <w:rPr>
          <w:rFonts w:ascii="Baskerville Old Face" w:hAnsi="Baskerville Old Face"/>
          <w:i/>
          <w:iCs/>
        </w:rPr>
        <w:br/>
        <w:t>MRV evidence is consistent;</w:t>
      </w:r>
      <w:r w:rsidRPr="00B479AE">
        <w:rPr>
          <w:rFonts w:ascii="Baskerville Old Face" w:hAnsi="Baskerville Old Face"/>
          <w:i/>
          <w:iCs/>
        </w:rPr>
        <w:br/>
        <w:t>governance records are complete;</w:t>
      </w:r>
      <w:r w:rsidRPr="00B479AE">
        <w:rPr>
          <w:rFonts w:ascii="Baskerville Old Face" w:hAnsi="Baskerville Old Face"/>
          <w:i/>
          <w:iCs/>
        </w:rPr>
        <w:br/>
        <w:t>legal structures are clear;</w:t>
      </w:r>
      <w:r w:rsidRPr="00B479AE">
        <w:rPr>
          <w:rFonts w:ascii="Baskerville Old Face" w:hAnsi="Baskerville Old Face"/>
          <w:i/>
          <w:iCs/>
        </w:rPr>
        <w:br/>
        <w:t>continuity systems are preserved.</w:t>
      </w:r>
    </w:p>
    <w:p w14:paraId="42576A88"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lastRenderedPageBreak/>
        <w:t>A RAP may become weaker when:</w:t>
      </w:r>
    </w:p>
    <w:p w14:paraId="2E9EBF32"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too many units depend on the same climate risk;</w:t>
      </w:r>
      <w:r w:rsidRPr="00B479AE">
        <w:rPr>
          <w:rFonts w:ascii="Baskerville Old Face" w:hAnsi="Baskerville Old Face"/>
          <w:i/>
          <w:iCs/>
        </w:rPr>
        <w:br/>
        <w:t>too many units depend on the same operator;</w:t>
      </w:r>
      <w:r w:rsidRPr="00B479AE">
        <w:rPr>
          <w:rFonts w:ascii="Baskerville Old Face" w:hAnsi="Baskerville Old Face"/>
          <w:i/>
          <w:iCs/>
        </w:rPr>
        <w:br/>
        <w:t>evidence quality is inconsistent;</w:t>
      </w:r>
      <w:r w:rsidRPr="00B479AE">
        <w:rPr>
          <w:rFonts w:ascii="Baskerville Old Face" w:hAnsi="Baskerville Old Face"/>
          <w:i/>
          <w:iCs/>
        </w:rPr>
        <w:br/>
        <w:t>legal rights are unclear;</w:t>
      </w:r>
      <w:r w:rsidRPr="00B479AE">
        <w:rPr>
          <w:rFonts w:ascii="Baskerville Old Face" w:hAnsi="Baskerville Old Face"/>
          <w:i/>
          <w:iCs/>
        </w:rPr>
        <w:br/>
        <w:t>cash flows are speculative;</w:t>
      </w:r>
      <w:r w:rsidRPr="00B479AE">
        <w:rPr>
          <w:rFonts w:ascii="Baskerville Old Face" w:hAnsi="Baskerville Old Face"/>
          <w:i/>
          <w:iCs/>
        </w:rPr>
        <w:br/>
        <w:t>ecological claims are immature;</w:t>
      </w:r>
      <w:r w:rsidRPr="00B479AE">
        <w:rPr>
          <w:rFonts w:ascii="Baskerville Old Face" w:hAnsi="Baskerville Old Face"/>
          <w:i/>
          <w:iCs/>
        </w:rPr>
        <w:br/>
        <w:t>governance is underdeveloped;</w:t>
      </w:r>
      <w:r w:rsidRPr="00B479AE">
        <w:rPr>
          <w:rFonts w:ascii="Baskerville Old Face" w:hAnsi="Baskerville Old Face"/>
          <w:i/>
          <w:iCs/>
        </w:rPr>
        <w:br/>
        <w:t>token or investor language exceeds admissibility.</w:t>
      </w:r>
    </w:p>
    <w:p w14:paraId="1B19A833"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The correct sequence is:</w:t>
      </w:r>
    </w:p>
    <w:p w14:paraId="4256677F"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 xml:space="preserve">verified unit performance </w:t>
      </w:r>
      <w:r w:rsidRPr="00B479AE">
        <w:rPr>
          <w:rFonts w:ascii="Times New Roman" w:hAnsi="Times New Roman" w:cs="Times New Roman"/>
          <w:i/>
          <w:iCs/>
        </w:rPr>
        <w:t>→</w:t>
      </w:r>
      <w:r w:rsidRPr="00B479AE">
        <w:rPr>
          <w:rFonts w:ascii="Baskerville Old Face" w:hAnsi="Baskerville Old Face"/>
          <w:i/>
          <w:iCs/>
        </w:rPr>
        <w:t xml:space="preserve"> confidence-adjusted PRU analysis </w:t>
      </w:r>
      <w:r w:rsidRPr="00B479AE">
        <w:rPr>
          <w:rFonts w:ascii="Times New Roman" w:hAnsi="Times New Roman" w:cs="Times New Roman"/>
          <w:i/>
          <w:iCs/>
        </w:rPr>
        <w:t>→</w:t>
      </w:r>
      <w:r w:rsidRPr="00B479AE">
        <w:rPr>
          <w:rFonts w:ascii="Baskerville Old Face" w:hAnsi="Baskerville Old Face"/>
          <w:i/>
          <w:iCs/>
        </w:rPr>
        <w:t xml:space="preserve"> portfolio diversification </w:t>
      </w:r>
      <w:r w:rsidRPr="00B479AE">
        <w:rPr>
          <w:rFonts w:ascii="Times New Roman" w:hAnsi="Times New Roman" w:cs="Times New Roman"/>
          <w:i/>
          <w:iCs/>
        </w:rPr>
        <w:t>→</w:t>
      </w:r>
      <w:r w:rsidRPr="00B479AE">
        <w:rPr>
          <w:rFonts w:ascii="Baskerville Old Face" w:hAnsi="Baskerville Old Face"/>
          <w:i/>
          <w:iCs/>
        </w:rPr>
        <w:t xml:space="preserve"> RAP readiness </w:t>
      </w:r>
      <w:r w:rsidRPr="00B479AE">
        <w:rPr>
          <w:rFonts w:ascii="Times New Roman" w:hAnsi="Times New Roman" w:cs="Times New Roman"/>
          <w:i/>
          <w:iCs/>
        </w:rPr>
        <w:t>→</w:t>
      </w:r>
      <w:r w:rsidRPr="00B479AE">
        <w:rPr>
          <w:rFonts w:ascii="Baskerville Old Face" w:hAnsi="Baskerville Old Face"/>
          <w:i/>
          <w:iCs/>
        </w:rPr>
        <w:t xml:space="preserve"> legal structuring </w:t>
      </w:r>
      <w:r w:rsidRPr="00B479AE">
        <w:rPr>
          <w:rFonts w:ascii="Times New Roman" w:hAnsi="Times New Roman" w:cs="Times New Roman"/>
          <w:i/>
          <w:iCs/>
        </w:rPr>
        <w:t>→</w:t>
      </w:r>
      <w:r w:rsidRPr="00B479AE">
        <w:rPr>
          <w:rFonts w:ascii="Baskerville Old Face" w:hAnsi="Baskerville Old Face"/>
          <w:i/>
          <w:iCs/>
        </w:rPr>
        <w:t xml:space="preserve"> capital pathway</w:t>
      </w:r>
    </w:p>
    <w:p w14:paraId="07CD4B1B"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This protects Prometheus from premature aggregation.</w:t>
      </w:r>
    </w:p>
    <w:p w14:paraId="69C707B9"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weak PRU does not become strong merely because it is placed inside a portfolio.</w:t>
      </w:r>
    </w:p>
    <w:p w14:paraId="138037E6"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A group of immature claims does not become institutional infrastructure by being bundled.</w:t>
      </w:r>
    </w:p>
    <w:p w14:paraId="38ED376A"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The RAP exists to aggregate verified regenerative performance, not to launder uncertainty.</w:t>
      </w:r>
    </w:p>
    <w:p w14:paraId="7F73B492"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The portfolio principle is therefore:</w:t>
      </w:r>
    </w:p>
    <w:p w14:paraId="14E347CB"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diversification improves resilience only when the underlying units are real, verified, and reviewable.</w:t>
      </w:r>
    </w:p>
    <w:p w14:paraId="6E45E8DF"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Prometheus uses RAP logic to move from local evidence to capital-scale infrastructure while preserving the integrity of each living system inside the portfolio.</w:t>
      </w:r>
    </w:p>
    <w:p w14:paraId="25391699" w14:textId="77777777" w:rsidR="00D939BD" w:rsidRPr="00B479AE" w:rsidRDefault="00D939BD" w:rsidP="00D939BD">
      <w:pPr>
        <w:spacing w:line="360" w:lineRule="auto"/>
        <w:rPr>
          <w:rFonts w:ascii="Baskerville Old Face" w:hAnsi="Baskerville Old Face"/>
          <w:b/>
          <w:bCs/>
          <w:i/>
          <w:iCs/>
        </w:rPr>
      </w:pPr>
      <w:r w:rsidRPr="00B479AE">
        <w:rPr>
          <w:rFonts w:ascii="Baskerville Old Face" w:hAnsi="Baskerville Old Face"/>
          <w:b/>
          <w:bCs/>
          <w:i/>
          <w:iCs/>
        </w:rPr>
        <w:t>Formula boundary</w:t>
      </w:r>
    </w:p>
    <w:p w14:paraId="1A24B311" w14:textId="77777777"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t>This RAP formula should always be read through the following boundary:</w:t>
      </w:r>
    </w:p>
    <w:p w14:paraId="0CF65198" w14:textId="77777777" w:rsidR="00D939BD" w:rsidRPr="00B479AE" w:rsidRDefault="00D939BD" w:rsidP="00D939BD">
      <w:pPr>
        <w:spacing w:line="360" w:lineRule="auto"/>
        <w:rPr>
          <w:rFonts w:ascii="Baskerville Old Face" w:hAnsi="Baskerville Old Face"/>
          <w:i/>
          <w:iCs/>
        </w:rPr>
      </w:pPr>
      <w:proofErr w:type="spellStart"/>
      <w:r w:rsidRPr="00B479AE">
        <w:rPr>
          <w:rFonts w:ascii="Baskerville Old Face" w:hAnsi="Baskerville Old Face"/>
          <w:i/>
          <w:iCs/>
        </w:rPr>
        <w:t>RAP_score</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RAP_readiness</w:t>
      </w:r>
      <w:proofErr w:type="spellEnd"/>
      <w:r w:rsidRPr="00B479AE">
        <w:rPr>
          <w:rFonts w:ascii="Baskerville Old Face" w:hAnsi="Baskerville Old Face"/>
          <w:i/>
          <w:iCs/>
        </w:rPr>
        <w:t xml:space="preserve"> are analytical portfolio-readiness functions.</w:t>
      </w:r>
    </w:p>
    <w:p w14:paraId="30400209" w14:textId="4E796837" w:rsidR="00F912A0" w:rsidRPr="00B479AE" w:rsidRDefault="00F912A0" w:rsidP="00D939BD">
      <w:pPr>
        <w:spacing w:line="360" w:lineRule="auto"/>
        <w:rPr>
          <w:rFonts w:ascii="Baskerville Old Face" w:hAnsi="Baskerville Old Face"/>
          <w:i/>
          <w:iCs/>
        </w:rPr>
      </w:pPr>
      <w:r w:rsidRPr="00B479AE">
        <w:rPr>
          <w:rFonts w:ascii="Baskerville Old Face" w:hAnsi="Baskerville Old Face"/>
          <w:i/>
          <w:iCs/>
        </w:rPr>
        <w:t>They do not create market price, fund status, investor rights, securities, tokenized-instrument status, collateral recognition, credit rating, or securitization eligibility.</w:t>
      </w:r>
    </w:p>
    <w:p w14:paraId="331CB508" w14:textId="35D46553" w:rsidR="00D939BD" w:rsidRPr="00B479AE" w:rsidRDefault="00D939BD" w:rsidP="00D939BD">
      <w:pPr>
        <w:spacing w:line="360" w:lineRule="auto"/>
        <w:rPr>
          <w:rFonts w:ascii="Baskerville Old Face" w:hAnsi="Baskerville Old Face"/>
          <w:i/>
          <w:iCs/>
        </w:rPr>
      </w:pPr>
      <w:r w:rsidRPr="00B479AE">
        <w:rPr>
          <w:rFonts w:ascii="Baskerville Old Face" w:hAnsi="Baskerville Old Face"/>
          <w:i/>
          <w:iCs/>
        </w:rPr>
        <w:lastRenderedPageBreak/>
        <w:t>They may support institutional diligence only where PRU methodology, MRV admissibility, legal review, governance review, data-room discipline, disclosure, and jurisdiction-specific compliance are present.</w:t>
      </w:r>
    </w:p>
    <w:p w14:paraId="6F9A3304" w14:textId="735EFF2D" w:rsidR="00A75549" w:rsidRPr="00B479AE" w:rsidRDefault="00A75549" w:rsidP="00A75549">
      <w:pPr>
        <w:spacing w:line="360" w:lineRule="auto"/>
        <w:rPr>
          <w:rFonts w:ascii="Baskerville Old Face" w:hAnsi="Baskerville Old Face"/>
          <w:b/>
          <w:bCs/>
          <w:i/>
          <w:iCs/>
        </w:rPr>
      </w:pPr>
      <w:r w:rsidRPr="00B479AE">
        <w:rPr>
          <w:rFonts w:ascii="Baskerville Old Face" w:hAnsi="Baskerville Old Face"/>
          <w:b/>
          <w:bCs/>
          <w:i/>
          <w:iCs/>
        </w:rPr>
        <w:t>Regenerative Portfolio Risk Function</w:t>
      </w:r>
    </w:p>
    <w:p w14:paraId="09A40730"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 Regenerative Asset Pool must be evaluated not only by the sum of its PRU-relevant units, but also by the risk structure that emerges across the portfolio.</w:t>
      </w:r>
    </w:p>
    <w:p w14:paraId="74B461AD"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 single regenerative unit may be strong in isolation and still contribute concentration risk if too many units share the same climate exposure, operator dependency, revenue channel, legal structure, or evidence weakness.</w:t>
      </w:r>
    </w:p>
    <w:p w14:paraId="47140E40"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Portfolio risk may be expressed conceptually as:</w:t>
      </w:r>
    </w:p>
    <w:p w14:paraId="6773965F" w14:textId="77777777" w:rsidR="00A75549" w:rsidRPr="00B479AE" w:rsidRDefault="00A75549" w:rsidP="00A75549">
      <w:pPr>
        <w:spacing w:line="360" w:lineRule="auto"/>
        <w:rPr>
          <w:rFonts w:ascii="Baskerville Old Face" w:hAnsi="Baskerville Old Face"/>
          <w:i/>
          <w:iCs/>
        </w:rPr>
      </w:pPr>
      <w:proofErr w:type="spellStart"/>
      <w:r w:rsidRPr="00B479AE">
        <w:rPr>
          <w:rFonts w:ascii="Baskerville Old Face" w:hAnsi="Baskerville Old Face"/>
          <w:i/>
          <w:iCs/>
        </w:rPr>
        <w:t>RAP_risk</w:t>
      </w:r>
      <w:proofErr w:type="spellEnd"/>
      <w:r w:rsidRPr="00B479AE">
        <w:rPr>
          <w:rFonts w:ascii="Baskerville Old Face" w:hAnsi="Baskerville Old Face"/>
          <w:i/>
          <w:iCs/>
        </w:rPr>
        <w:t xml:space="preserve"> = </w:t>
      </w:r>
      <w:proofErr w:type="gramStart"/>
      <w:r w:rsidRPr="00B479AE">
        <w:rPr>
          <w:rFonts w:ascii="Baskerville Old Face" w:hAnsi="Baskerville Old Face"/>
          <w:i/>
          <w:iCs/>
        </w:rPr>
        <w:t>f(</w:t>
      </w:r>
      <w:proofErr w:type="spellStart"/>
      <w:proofErr w:type="gramEnd"/>
      <w:r w:rsidRPr="00B479AE">
        <w:rPr>
          <w:rFonts w:ascii="Baskerville Old Face" w:hAnsi="Baskerville Old Face"/>
          <w:i/>
          <w:iCs/>
        </w:rPr>
        <w:t>R_unit</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R_geo</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R_climate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R_operator</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R_revenue</w:t>
      </w:r>
      <w:proofErr w:type="spellEnd"/>
      <w:r w:rsidRPr="00B479AE">
        <w:rPr>
          <w:rFonts w:ascii="Baskerville Old Face" w:hAnsi="Baskerville Old Face"/>
          <w:i/>
          <w:iCs/>
        </w:rPr>
        <w:t xml:space="preserve">, R_MRV, </w:t>
      </w:r>
      <w:proofErr w:type="spellStart"/>
      <w:r w:rsidRPr="00B479AE">
        <w:rPr>
          <w:rFonts w:ascii="Baskerville Old Face" w:hAnsi="Baskerville Old Face"/>
          <w:i/>
          <w:iCs/>
        </w:rPr>
        <w:t>R_legal</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R_governance</w:t>
      </w:r>
      <w:proofErr w:type="spellEnd"/>
      <w:r w:rsidRPr="00B479AE">
        <w:rPr>
          <w:rFonts w:ascii="Baskerville Old Face" w:hAnsi="Baskerville Old Face"/>
          <w:i/>
          <w:iCs/>
        </w:rPr>
        <w:t xml:space="preserve">, </w:t>
      </w:r>
      <w:proofErr w:type="spellStart"/>
      <w:r w:rsidRPr="00B479AE">
        <w:rPr>
          <w:rFonts w:ascii="Baskerville Old Face" w:hAnsi="Baskerville Old Face"/>
          <w:i/>
          <w:iCs/>
        </w:rPr>
        <w:t>R_continuity</w:t>
      </w:r>
      <w:proofErr w:type="spellEnd"/>
      <w:r w:rsidRPr="00B479AE">
        <w:rPr>
          <w:rFonts w:ascii="Baskerville Old Face" w:hAnsi="Baskerville Old Face"/>
          <w:i/>
          <w:iCs/>
        </w:rPr>
        <w:t>)</w:t>
      </w:r>
    </w:p>
    <w:p w14:paraId="585CB4A5"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Where:</w:t>
      </w:r>
    </w:p>
    <w:p w14:paraId="778AFAA0" w14:textId="77777777" w:rsidR="00A75549" w:rsidRPr="00B479AE" w:rsidRDefault="00A75549" w:rsidP="00A75549">
      <w:pPr>
        <w:spacing w:line="360" w:lineRule="auto"/>
        <w:rPr>
          <w:rFonts w:ascii="Baskerville Old Face" w:hAnsi="Baskerville Old Face"/>
          <w:i/>
          <w:iCs/>
        </w:rPr>
      </w:pPr>
      <w:proofErr w:type="spellStart"/>
      <w:r w:rsidRPr="00B479AE">
        <w:rPr>
          <w:rFonts w:ascii="Baskerville Old Face" w:hAnsi="Baskerville Old Face"/>
          <w:i/>
          <w:iCs/>
        </w:rPr>
        <w:t>R_unit</w:t>
      </w:r>
      <w:proofErr w:type="spellEnd"/>
      <w:r w:rsidRPr="00B479AE">
        <w:rPr>
          <w:rFonts w:ascii="Baskerville Old Face" w:hAnsi="Baskerville Old Face"/>
          <w:i/>
          <w:iCs/>
        </w:rPr>
        <w:t xml:space="preserve"> = risk of individual PRU-relevant units.</w:t>
      </w:r>
      <w:r w:rsidRPr="00B479AE">
        <w:rPr>
          <w:rFonts w:ascii="Baskerville Old Face" w:hAnsi="Baskerville Old Face"/>
          <w:i/>
          <w:iCs/>
        </w:rPr>
        <w:br/>
      </w:r>
      <w:proofErr w:type="spellStart"/>
      <w:r w:rsidRPr="00B479AE">
        <w:rPr>
          <w:rFonts w:ascii="Baskerville Old Face" w:hAnsi="Baskerville Old Face"/>
          <w:i/>
          <w:iCs/>
        </w:rPr>
        <w:t>R_geo</w:t>
      </w:r>
      <w:proofErr w:type="spellEnd"/>
      <w:r w:rsidRPr="00B479AE">
        <w:rPr>
          <w:rFonts w:ascii="Baskerville Old Face" w:hAnsi="Baskerville Old Face"/>
          <w:i/>
          <w:iCs/>
        </w:rPr>
        <w:t xml:space="preserve"> = geographic concentration risk.</w:t>
      </w:r>
      <w:r w:rsidRPr="00B479AE">
        <w:rPr>
          <w:rFonts w:ascii="Baskerville Old Face" w:hAnsi="Baskerville Old Face"/>
          <w:i/>
          <w:iCs/>
        </w:rPr>
        <w:br/>
      </w:r>
      <w:proofErr w:type="spellStart"/>
      <w:r w:rsidRPr="00B479AE">
        <w:rPr>
          <w:rFonts w:ascii="Baskerville Old Face" w:hAnsi="Baskerville Old Face"/>
          <w:i/>
          <w:iCs/>
        </w:rPr>
        <w:t>R_climate</w:t>
      </w:r>
      <w:proofErr w:type="spellEnd"/>
      <w:r w:rsidRPr="00B479AE">
        <w:rPr>
          <w:rFonts w:ascii="Baskerville Old Face" w:hAnsi="Baskerville Old Face"/>
          <w:i/>
          <w:iCs/>
        </w:rPr>
        <w:t xml:space="preserve"> = climate, drought, flood, fire, heat, or hydrological risk.</w:t>
      </w:r>
      <w:r w:rsidRPr="00B479AE">
        <w:rPr>
          <w:rFonts w:ascii="Baskerville Old Face" w:hAnsi="Baskerville Old Face"/>
          <w:i/>
          <w:iCs/>
        </w:rPr>
        <w:br/>
      </w:r>
      <w:proofErr w:type="spellStart"/>
      <w:r w:rsidRPr="00B479AE">
        <w:rPr>
          <w:rFonts w:ascii="Baskerville Old Face" w:hAnsi="Baskerville Old Face"/>
          <w:i/>
          <w:iCs/>
        </w:rPr>
        <w:t>R_operator</w:t>
      </w:r>
      <w:proofErr w:type="spellEnd"/>
      <w:r w:rsidRPr="00B479AE">
        <w:rPr>
          <w:rFonts w:ascii="Baskerville Old Face" w:hAnsi="Baskerville Old Face"/>
          <w:i/>
          <w:iCs/>
        </w:rPr>
        <w:t xml:space="preserve"> = operator, steward, or execution concentration risk.</w:t>
      </w:r>
      <w:r w:rsidRPr="00B479AE">
        <w:rPr>
          <w:rFonts w:ascii="Baskerville Old Face" w:hAnsi="Baskerville Old Face"/>
          <w:i/>
          <w:iCs/>
        </w:rPr>
        <w:br/>
      </w:r>
      <w:proofErr w:type="spellStart"/>
      <w:r w:rsidRPr="00B479AE">
        <w:rPr>
          <w:rFonts w:ascii="Baskerville Old Face" w:hAnsi="Baskerville Old Face"/>
          <w:i/>
          <w:iCs/>
        </w:rPr>
        <w:t>R_revenue</w:t>
      </w:r>
      <w:proofErr w:type="spellEnd"/>
      <w:r w:rsidRPr="00B479AE">
        <w:rPr>
          <w:rFonts w:ascii="Baskerville Old Face" w:hAnsi="Baskerville Old Face"/>
          <w:i/>
          <w:iCs/>
        </w:rPr>
        <w:t xml:space="preserve"> = revenue-channel concentration or volatility risk.</w:t>
      </w:r>
      <w:r w:rsidRPr="00B479AE">
        <w:rPr>
          <w:rFonts w:ascii="Baskerville Old Face" w:hAnsi="Baskerville Old Face"/>
          <w:i/>
          <w:iCs/>
        </w:rPr>
        <w:br/>
        <w:t>R_MRV = evidence, provenance, confidence, or verification risk.</w:t>
      </w:r>
      <w:r w:rsidRPr="00B479AE">
        <w:rPr>
          <w:rFonts w:ascii="Baskerville Old Face" w:hAnsi="Baskerville Old Face"/>
          <w:i/>
          <w:iCs/>
        </w:rPr>
        <w:br/>
      </w:r>
      <w:proofErr w:type="spellStart"/>
      <w:r w:rsidRPr="00B479AE">
        <w:rPr>
          <w:rFonts w:ascii="Baskerville Old Face" w:hAnsi="Baskerville Old Face"/>
          <w:i/>
          <w:iCs/>
        </w:rPr>
        <w:t>R_legal</w:t>
      </w:r>
      <w:proofErr w:type="spellEnd"/>
      <w:r w:rsidRPr="00B479AE">
        <w:rPr>
          <w:rFonts w:ascii="Baskerville Old Face" w:hAnsi="Baskerville Old Face"/>
          <w:i/>
          <w:iCs/>
        </w:rPr>
        <w:t xml:space="preserve"> = legal structure, rights, land, data, investor, or jurisdictional risk.</w:t>
      </w:r>
      <w:r w:rsidRPr="00B479AE">
        <w:rPr>
          <w:rFonts w:ascii="Baskerville Old Face" w:hAnsi="Baskerville Old Face"/>
          <w:i/>
          <w:iCs/>
        </w:rPr>
        <w:br/>
      </w:r>
      <w:proofErr w:type="spellStart"/>
      <w:r w:rsidRPr="00B479AE">
        <w:rPr>
          <w:rFonts w:ascii="Baskerville Old Face" w:hAnsi="Baskerville Old Face"/>
          <w:i/>
          <w:iCs/>
        </w:rPr>
        <w:t>R_governance</w:t>
      </w:r>
      <w:proofErr w:type="spellEnd"/>
      <w:r w:rsidRPr="00B479AE">
        <w:rPr>
          <w:rFonts w:ascii="Baskerville Old Face" w:hAnsi="Baskerville Old Face"/>
          <w:i/>
          <w:iCs/>
        </w:rPr>
        <w:t xml:space="preserve"> = governance maturity, role clarity, conflict, or capture risk.</w:t>
      </w:r>
      <w:r w:rsidRPr="00B479AE">
        <w:rPr>
          <w:rFonts w:ascii="Baskerville Old Face" w:hAnsi="Baskerville Old Face"/>
          <w:i/>
          <w:iCs/>
        </w:rPr>
        <w:br/>
      </w:r>
      <w:proofErr w:type="spellStart"/>
      <w:r w:rsidRPr="00B479AE">
        <w:rPr>
          <w:rFonts w:ascii="Baskerville Old Face" w:hAnsi="Baskerville Old Face"/>
          <w:i/>
          <w:iCs/>
        </w:rPr>
        <w:t>R_continuity</w:t>
      </w:r>
      <w:proofErr w:type="spellEnd"/>
      <w:r w:rsidRPr="00B479AE">
        <w:rPr>
          <w:rFonts w:ascii="Baskerville Old Face" w:hAnsi="Baskerville Old Face"/>
          <w:i/>
          <w:iCs/>
        </w:rPr>
        <w:t xml:space="preserve"> = archive, data, canonical, infrastructure, or operational continuity risk.</w:t>
      </w:r>
    </w:p>
    <w:p w14:paraId="29BDC06A"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This formula is an analytical risk-mapping function.</w:t>
      </w:r>
    </w:p>
    <w:p w14:paraId="6F8B78BF"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It does not create an automatic portfolio rating.</w:t>
      </w:r>
    </w:p>
    <w:p w14:paraId="54A43A36"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It does not determine investor eligibility.</w:t>
      </w:r>
    </w:p>
    <w:p w14:paraId="3B5A0927"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It does not create financing approval.</w:t>
      </w:r>
    </w:p>
    <w:p w14:paraId="081DE75A"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It does not create a credit rating.</w:t>
      </w:r>
    </w:p>
    <w:p w14:paraId="7E41146D"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lastRenderedPageBreak/>
        <w:t>It does not create insurance eligibility.</w:t>
      </w:r>
    </w:p>
    <w:p w14:paraId="21B9844C"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It does not replace underwriting.</w:t>
      </w:r>
    </w:p>
    <w:p w14:paraId="65152442"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It helps Prometheus identify which risks are reducible through portfolio construction and which risks require governance, legal, MRV, operational, or ecological intervention.</w:t>
      </w:r>
    </w:p>
    <w:p w14:paraId="771CF135"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 simplified portfolio risk expression may be written as:</w:t>
      </w:r>
    </w:p>
    <w:p w14:paraId="2C5E7A69" w14:textId="77777777" w:rsidR="00A75549" w:rsidRPr="00B479AE" w:rsidRDefault="00A75549" w:rsidP="00A75549">
      <w:pPr>
        <w:spacing w:line="360" w:lineRule="auto"/>
        <w:rPr>
          <w:rFonts w:ascii="Baskerville Old Face" w:hAnsi="Baskerville Old Face"/>
          <w:i/>
          <w:iCs/>
        </w:rPr>
      </w:pPr>
      <w:proofErr w:type="spellStart"/>
      <w:r w:rsidRPr="00B479AE">
        <w:rPr>
          <w:rFonts w:ascii="Baskerville Old Face" w:hAnsi="Baskerville Old Face"/>
          <w:i/>
          <w:iCs/>
        </w:rPr>
        <w:t>RAP_risk_adj</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R_gross</w:t>
      </w:r>
      <w:proofErr w:type="spellEnd"/>
      <w:r w:rsidRPr="00B479AE">
        <w:rPr>
          <w:rFonts w:ascii="Baskerville Old Face" w:hAnsi="Baskerville Old Face"/>
          <w:i/>
          <w:iCs/>
        </w:rPr>
        <w:t xml:space="preserve"> × (1 </w:t>
      </w:r>
      <w:r w:rsidRPr="00B479AE">
        <w:rPr>
          <w:rFonts w:ascii="Cambria Math" w:hAnsi="Cambria Math" w:cs="Cambria Math"/>
          <w:i/>
          <w:iCs/>
        </w:rPr>
        <w:t>−</w:t>
      </w:r>
      <w:r w:rsidRPr="00B479AE">
        <w:rPr>
          <w:rFonts w:ascii="Baskerville Old Face" w:hAnsi="Baskerville Old Face"/>
          <w:i/>
          <w:iCs/>
        </w:rPr>
        <w:t xml:space="preserve"> </w:t>
      </w:r>
      <w:proofErr w:type="spellStart"/>
      <w:r w:rsidRPr="00B479AE">
        <w:rPr>
          <w:rFonts w:ascii="Baskerville Old Face" w:hAnsi="Baskerville Old Face"/>
          <w:i/>
          <w:iCs/>
        </w:rPr>
        <w:t>D_effective</w:t>
      </w:r>
      <w:proofErr w:type="spellEnd"/>
      <w:r w:rsidRPr="00B479AE">
        <w:rPr>
          <w:rFonts w:ascii="Baskerville Old Face" w:hAnsi="Baskerville Old Face"/>
          <w:i/>
          <w:iCs/>
        </w:rPr>
        <w:t xml:space="preserve">) </w:t>
      </w:r>
      <w:r w:rsidRPr="00B479AE">
        <w:rPr>
          <w:rFonts w:ascii="Baskerville Old Face" w:hAnsi="Baskerville Old Face" w:cs="Baskerville Old Face"/>
          <w:i/>
          <w:iCs/>
        </w:rPr>
        <w:t>×</w:t>
      </w:r>
      <w:r w:rsidRPr="00B479AE">
        <w:rPr>
          <w:rFonts w:ascii="Baskerville Old Face" w:hAnsi="Baskerville Old Face"/>
          <w:i/>
          <w:iCs/>
        </w:rPr>
        <w:t xml:space="preserve"> </w:t>
      </w:r>
      <w:proofErr w:type="spellStart"/>
      <w:r w:rsidRPr="00B479AE">
        <w:rPr>
          <w:rFonts w:ascii="Baskerville Old Face" w:hAnsi="Baskerville Old Face"/>
          <w:i/>
          <w:iCs/>
        </w:rPr>
        <w:t>C_uncertainty</w:t>
      </w:r>
      <w:proofErr w:type="spellEnd"/>
      <w:r w:rsidRPr="00B479AE">
        <w:rPr>
          <w:rFonts w:ascii="Baskerville Old Face" w:hAnsi="Baskerville Old Face"/>
          <w:i/>
          <w:iCs/>
        </w:rPr>
        <w:t xml:space="preserve"> </w:t>
      </w:r>
      <w:r w:rsidRPr="00B479AE">
        <w:rPr>
          <w:rFonts w:ascii="Baskerville Old Face" w:hAnsi="Baskerville Old Face" w:cs="Baskerville Old Face"/>
          <w:i/>
          <w:iCs/>
        </w:rPr>
        <w:t>×</w:t>
      </w:r>
      <w:r w:rsidRPr="00B479AE">
        <w:rPr>
          <w:rFonts w:ascii="Baskerville Old Face" w:hAnsi="Baskerville Old Face"/>
          <w:i/>
          <w:iCs/>
        </w:rPr>
        <w:t xml:space="preserve"> </w:t>
      </w:r>
      <w:proofErr w:type="spellStart"/>
      <w:r w:rsidRPr="00B479AE">
        <w:rPr>
          <w:rFonts w:ascii="Baskerville Old Face" w:hAnsi="Baskerville Old Face"/>
          <w:i/>
          <w:iCs/>
        </w:rPr>
        <w:t>L_gap</w:t>
      </w:r>
      <w:proofErr w:type="spellEnd"/>
    </w:p>
    <w:p w14:paraId="3F8AE73C"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Where:</w:t>
      </w:r>
    </w:p>
    <w:p w14:paraId="4ED5C183" w14:textId="77777777" w:rsidR="00A75549" w:rsidRPr="00B479AE" w:rsidRDefault="00A75549" w:rsidP="00A75549">
      <w:pPr>
        <w:spacing w:line="360" w:lineRule="auto"/>
        <w:rPr>
          <w:rFonts w:ascii="Baskerville Old Face" w:hAnsi="Baskerville Old Face"/>
          <w:i/>
          <w:iCs/>
        </w:rPr>
      </w:pPr>
      <w:proofErr w:type="spellStart"/>
      <w:r w:rsidRPr="00B479AE">
        <w:rPr>
          <w:rFonts w:ascii="Baskerville Old Face" w:hAnsi="Baskerville Old Face"/>
          <w:i/>
          <w:iCs/>
        </w:rPr>
        <w:t>R_gross</w:t>
      </w:r>
      <w:proofErr w:type="spellEnd"/>
      <w:r w:rsidRPr="00B479AE">
        <w:rPr>
          <w:rFonts w:ascii="Baskerville Old Face" w:hAnsi="Baskerville Old Face"/>
          <w:i/>
          <w:iCs/>
        </w:rPr>
        <w:t xml:space="preserve"> = gross portfolio risk before diversification.</w:t>
      </w:r>
      <w:r w:rsidRPr="00B479AE">
        <w:rPr>
          <w:rFonts w:ascii="Baskerville Old Face" w:hAnsi="Baskerville Old Face"/>
          <w:i/>
          <w:iCs/>
        </w:rPr>
        <w:br/>
      </w:r>
      <w:proofErr w:type="spellStart"/>
      <w:r w:rsidRPr="00B479AE">
        <w:rPr>
          <w:rFonts w:ascii="Baskerville Old Face" w:hAnsi="Baskerville Old Face"/>
          <w:i/>
          <w:iCs/>
        </w:rPr>
        <w:t>D_effective</w:t>
      </w:r>
      <w:proofErr w:type="spellEnd"/>
      <w:r w:rsidRPr="00B479AE">
        <w:rPr>
          <w:rFonts w:ascii="Baskerville Old Face" w:hAnsi="Baskerville Old Face"/>
          <w:i/>
          <w:iCs/>
        </w:rPr>
        <w:t xml:space="preserve"> = effective diversification factor.</w:t>
      </w:r>
      <w:r w:rsidRPr="00B479AE">
        <w:rPr>
          <w:rFonts w:ascii="Baskerville Old Face" w:hAnsi="Baskerville Old Face"/>
          <w:i/>
          <w:iCs/>
        </w:rPr>
        <w:br/>
      </w:r>
      <w:proofErr w:type="spellStart"/>
      <w:r w:rsidRPr="00B479AE">
        <w:rPr>
          <w:rFonts w:ascii="Baskerville Old Face" w:hAnsi="Baskerville Old Face"/>
          <w:i/>
          <w:iCs/>
        </w:rPr>
        <w:t>C_uncertainty</w:t>
      </w:r>
      <w:proofErr w:type="spellEnd"/>
      <w:r w:rsidRPr="00B479AE">
        <w:rPr>
          <w:rFonts w:ascii="Baskerville Old Face" w:hAnsi="Baskerville Old Face"/>
          <w:i/>
          <w:iCs/>
        </w:rPr>
        <w:t xml:space="preserve"> = confidence or evidence uncertainty factor.</w:t>
      </w:r>
      <w:r w:rsidRPr="00B479AE">
        <w:rPr>
          <w:rFonts w:ascii="Baskerville Old Face" w:hAnsi="Baskerville Old Face"/>
          <w:i/>
          <w:iCs/>
        </w:rPr>
        <w:br/>
      </w:r>
      <w:proofErr w:type="spellStart"/>
      <w:r w:rsidRPr="00B479AE">
        <w:rPr>
          <w:rFonts w:ascii="Baskerville Old Face" w:hAnsi="Baskerville Old Face"/>
          <w:i/>
          <w:iCs/>
        </w:rPr>
        <w:t>L_gap</w:t>
      </w:r>
      <w:proofErr w:type="spellEnd"/>
      <w:r w:rsidRPr="00B479AE">
        <w:rPr>
          <w:rFonts w:ascii="Baskerville Old Face" w:hAnsi="Baskerville Old Face"/>
          <w:i/>
          <w:iCs/>
        </w:rPr>
        <w:t xml:space="preserve"> = legal and structural incompleteness factor.</w:t>
      </w:r>
    </w:p>
    <w:p w14:paraId="796D9AD3"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The meaning is straightforward.</w:t>
      </w:r>
    </w:p>
    <w:p w14:paraId="7CD9817E"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Diversification may reduce portfolio risk only when diversification is real.</w:t>
      </w:r>
    </w:p>
    <w:p w14:paraId="3F49ADE4"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Evidence uncertainty may increase effective risk.</w:t>
      </w:r>
    </w:p>
    <w:p w14:paraId="08A0EC0F"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Legal incompleteness may increase effective risk.</w:t>
      </w:r>
    </w:p>
    <w:p w14:paraId="3A4F0DE5" w14:textId="77777777" w:rsidR="003154A1" w:rsidRPr="00B479AE" w:rsidRDefault="003154A1" w:rsidP="003154A1">
      <w:pPr>
        <w:spacing w:line="360" w:lineRule="auto"/>
        <w:rPr>
          <w:rFonts w:ascii="Baskerville Old Face" w:hAnsi="Baskerville Old Face"/>
          <w:i/>
          <w:iCs/>
        </w:rPr>
      </w:pPr>
      <w:r w:rsidRPr="00B479AE">
        <w:rPr>
          <w:rFonts w:ascii="Baskerville Old Face" w:hAnsi="Baskerville Old Face"/>
          <w:i/>
          <w:iCs/>
        </w:rPr>
        <w:t>A RAP made of many weak units is not diversified resilience.</w:t>
      </w:r>
    </w:p>
    <w:p w14:paraId="39AA864F" w14:textId="05D4D19A" w:rsidR="003154A1" w:rsidRPr="00B479AE" w:rsidRDefault="003154A1" w:rsidP="003154A1">
      <w:pPr>
        <w:spacing w:line="360" w:lineRule="auto"/>
        <w:rPr>
          <w:rFonts w:ascii="Baskerville Old Face" w:hAnsi="Baskerville Old Face"/>
          <w:i/>
          <w:iCs/>
        </w:rPr>
      </w:pPr>
      <w:r w:rsidRPr="00B479AE">
        <w:rPr>
          <w:rFonts w:ascii="Baskerville Old Face" w:hAnsi="Baskerville Old Face"/>
          <w:i/>
          <w:iCs/>
        </w:rPr>
        <w:t>It is distributed fragility presented as diversification.</w:t>
      </w:r>
    </w:p>
    <w:p w14:paraId="5FAC4EDF"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Prometheus should therefore distinguish between:</w:t>
      </w:r>
    </w:p>
    <w:p w14:paraId="705A9B26"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nominal diversification and effective diversification.</w:t>
      </w:r>
    </w:p>
    <w:p w14:paraId="5EFEEE59"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Nominal diversification means that a portfolio contains many units.</w:t>
      </w:r>
    </w:p>
    <w:p w14:paraId="750ABBBF"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Effective diversification means that the units reduce shared exposure across geography, climate, operator, design, revenue, legal structure, and evidence quality.</w:t>
      </w:r>
    </w:p>
    <w:p w14:paraId="37D19269"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 RAP may reduce risk when:</w:t>
      </w:r>
    </w:p>
    <w:p w14:paraId="7DEAA214"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lastRenderedPageBreak/>
        <w:t>units are located in different climate zones;</w:t>
      </w:r>
      <w:r w:rsidRPr="00B479AE">
        <w:rPr>
          <w:rFonts w:ascii="Baskerville Old Face" w:hAnsi="Baskerville Old Face"/>
          <w:i/>
          <w:iCs/>
        </w:rPr>
        <w:br/>
        <w:t>operators are independent and competent;</w:t>
      </w:r>
      <w:r w:rsidRPr="00B479AE">
        <w:rPr>
          <w:rFonts w:ascii="Baskerville Old Face" w:hAnsi="Baskerville Old Face"/>
          <w:i/>
          <w:iCs/>
        </w:rPr>
        <w:br/>
        <w:t>species designs are not identical;</w:t>
      </w:r>
      <w:r w:rsidRPr="00B479AE">
        <w:rPr>
          <w:rFonts w:ascii="Baskerville Old Face" w:hAnsi="Baskerville Old Face"/>
          <w:i/>
          <w:iCs/>
        </w:rPr>
        <w:br/>
        <w:t>revenue channels are diversified;</w:t>
      </w:r>
      <w:r w:rsidRPr="00B479AE">
        <w:rPr>
          <w:rFonts w:ascii="Baskerville Old Face" w:hAnsi="Baskerville Old Face"/>
          <w:i/>
          <w:iCs/>
        </w:rPr>
        <w:br/>
        <w:t>MRV evidence is consistent across sites;</w:t>
      </w:r>
      <w:r w:rsidRPr="00B479AE">
        <w:rPr>
          <w:rFonts w:ascii="Baskerville Old Face" w:hAnsi="Baskerville Old Face"/>
          <w:i/>
          <w:iCs/>
        </w:rPr>
        <w:br/>
        <w:t>legal structures are coherent;</w:t>
      </w:r>
      <w:r w:rsidRPr="00B479AE">
        <w:rPr>
          <w:rFonts w:ascii="Baskerville Old Face" w:hAnsi="Baskerville Old Face"/>
          <w:i/>
          <w:iCs/>
        </w:rPr>
        <w:br/>
        <w:t>governance pathways are clear;</w:t>
      </w:r>
      <w:r w:rsidRPr="00B479AE">
        <w:rPr>
          <w:rFonts w:ascii="Baskerville Old Face" w:hAnsi="Baskerville Old Face"/>
          <w:i/>
          <w:iCs/>
        </w:rPr>
        <w:br/>
        <w:t>continuity archives are preserved;</w:t>
      </w:r>
      <w:r w:rsidRPr="00B479AE">
        <w:rPr>
          <w:rFonts w:ascii="Baskerville Old Face" w:hAnsi="Baskerville Old Face"/>
          <w:i/>
          <w:iCs/>
        </w:rPr>
        <w:br/>
        <w:t>adverse events are reported transparently.</w:t>
      </w:r>
    </w:p>
    <w:p w14:paraId="2D58D499"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 RAP may increase risk when:</w:t>
      </w:r>
    </w:p>
    <w:p w14:paraId="43E0CAD2"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many units depend on the same vulnerable water source;</w:t>
      </w:r>
      <w:r w:rsidRPr="00B479AE">
        <w:rPr>
          <w:rFonts w:ascii="Baskerville Old Face" w:hAnsi="Baskerville Old Face"/>
          <w:i/>
          <w:iCs/>
        </w:rPr>
        <w:br/>
        <w:t>many units depend on one operator;</w:t>
      </w:r>
      <w:r w:rsidRPr="00B479AE">
        <w:rPr>
          <w:rFonts w:ascii="Baskerville Old Face" w:hAnsi="Baskerville Old Face"/>
          <w:i/>
          <w:iCs/>
        </w:rPr>
        <w:br/>
        <w:t>many units use the same immature methodology;</w:t>
      </w:r>
      <w:r w:rsidRPr="00B479AE">
        <w:rPr>
          <w:rFonts w:ascii="Baskerville Old Face" w:hAnsi="Baskerville Old Face"/>
          <w:i/>
          <w:iCs/>
        </w:rPr>
        <w:br/>
        <w:t>many units rely on speculative revenue;</w:t>
      </w:r>
      <w:r w:rsidRPr="00B479AE">
        <w:rPr>
          <w:rFonts w:ascii="Baskerville Old Face" w:hAnsi="Baskerville Old Face"/>
          <w:i/>
          <w:iCs/>
        </w:rPr>
        <w:br/>
        <w:t>many units have weak MRV;</w:t>
      </w:r>
      <w:r w:rsidRPr="00B479AE">
        <w:rPr>
          <w:rFonts w:ascii="Baskerville Old Face" w:hAnsi="Baskerville Old Face"/>
          <w:i/>
          <w:iCs/>
        </w:rPr>
        <w:br/>
        <w:t>many units are legally ambiguous;</w:t>
      </w:r>
      <w:r w:rsidRPr="00B479AE">
        <w:rPr>
          <w:rFonts w:ascii="Baskerville Old Face" w:hAnsi="Baskerville Old Face"/>
          <w:i/>
          <w:iCs/>
        </w:rPr>
        <w:br/>
        <w:t>many units share unresolved governance conflicts;</w:t>
      </w:r>
      <w:r w:rsidRPr="00B479AE">
        <w:rPr>
          <w:rFonts w:ascii="Baskerville Old Face" w:hAnsi="Baskerville Old Face"/>
          <w:i/>
          <w:iCs/>
        </w:rPr>
        <w:br/>
        <w:t>many units use token or investor language beyond admissibility.</w:t>
      </w:r>
    </w:p>
    <w:p w14:paraId="21D1C0F1"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The portfolio rule is:</w:t>
      </w:r>
    </w:p>
    <w:p w14:paraId="06E3B18D"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aggregation is not diversification unless shared risk decreases.</w:t>
      </w:r>
    </w:p>
    <w:p w14:paraId="681F1316"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The review pathway should therefore be:</w:t>
      </w:r>
    </w:p>
    <w:p w14:paraId="0B2C1AEC"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 xml:space="preserve">unit risk </w:t>
      </w:r>
      <w:r w:rsidRPr="00B479AE">
        <w:rPr>
          <w:rFonts w:ascii="Times New Roman" w:hAnsi="Times New Roman" w:cs="Times New Roman"/>
          <w:i/>
          <w:iCs/>
        </w:rPr>
        <w:t>→</w:t>
      </w:r>
      <w:r w:rsidRPr="00B479AE">
        <w:rPr>
          <w:rFonts w:ascii="Baskerville Old Face" w:hAnsi="Baskerville Old Face"/>
          <w:i/>
          <w:iCs/>
        </w:rPr>
        <w:t xml:space="preserve"> correlation analysis </w:t>
      </w:r>
      <w:r w:rsidRPr="00B479AE">
        <w:rPr>
          <w:rFonts w:ascii="Times New Roman" w:hAnsi="Times New Roman" w:cs="Times New Roman"/>
          <w:i/>
          <w:iCs/>
        </w:rPr>
        <w:t>→</w:t>
      </w:r>
      <w:r w:rsidRPr="00B479AE">
        <w:rPr>
          <w:rFonts w:ascii="Baskerville Old Face" w:hAnsi="Baskerville Old Face"/>
          <w:i/>
          <w:iCs/>
        </w:rPr>
        <w:t xml:space="preserve"> diversification review </w:t>
      </w:r>
      <w:r w:rsidRPr="00B479AE">
        <w:rPr>
          <w:rFonts w:ascii="Times New Roman" w:hAnsi="Times New Roman" w:cs="Times New Roman"/>
          <w:i/>
          <w:iCs/>
        </w:rPr>
        <w:t>→</w:t>
      </w:r>
      <w:r w:rsidRPr="00B479AE">
        <w:rPr>
          <w:rFonts w:ascii="Baskerville Old Face" w:hAnsi="Baskerville Old Face"/>
          <w:i/>
          <w:iCs/>
        </w:rPr>
        <w:t xml:space="preserve"> evidence confidence </w:t>
      </w:r>
      <w:r w:rsidRPr="00B479AE">
        <w:rPr>
          <w:rFonts w:ascii="Times New Roman" w:hAnsi="Times New Roman" w:cs="Times New Roman"/>
          <w:i/>
          <w:iCs/>
        </w:rPr>
        <w:t>→</w:t>
      </w:r>
      <w:r w:rsidRPr="00B479AE">
        <w:rPr>
          <w:rFonts w:ascii="Baskerville Old Face" w:hAnsi="Baskerville Old Face"/>
          <w:i/>
          <w:iCs/>
        </w:rPr>
        <w:t xml:space="preserve"> legal readiness </w:t>
      </w:r>
      <w:r w:rsidRPr="00B479AE">
        <w:rPr>
          <w:rFonts w:ascii="Times New Roman" w:hAnsi="Times New Roman" w:cs="Times New Roman"/>
          <w:i/>
          <w:iCs/>
        </w:rPr>
        <w:t>→</w:t>
      </w:r>
      <w:r w:rsidRPr="00B479AE">
        <w:rPr>
          <w:rFonts w:ascii="Baskerville Old Face" w:hAnsi="Baskerville Old Face"/>
          <w:i/>
          <w:iCs/>
        </w:rPr>
        <w:t xml:space="preserve"> portfolio risk interpretation</w:t>
      </w:r>
    </w:p>
    <w:p w14:paraId="361180BD"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A regenerative portfolio becomes capital-ready only when its diversification is real, its evidence is reviewable, its legal structure is clear, and its governance can metabolize complexity.</w:t>
      </w:r>
    </w:p>
    <w:p w14:paraId="5884A48E"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This is the difference between a collection of projects and an investable regenerative infrastructure portfolio.</w:t>
      </w:r>
    </w:p>
    <w:p w14:paraId="39711FFB" w14:textId="77777777" w:rsidR="00C15FBF" w:rsidRDefault="00C15FBF" w:rsidP="00A75549">
      <w:pPr>
        <w:spacing w:line="360" w:lineRule="auto"/>
        <w:rPr>
          <w:rFonts w:ascii="Baskerville Old Face" w:hAnsi="Baskerville Old Face"/>
          <w:b/>
          <w:bCs/>
          <w:i/>
          <w:iCs/>
        </w:rPr>
      </w:pPr>
    </w:p>
    <w:p w14:paraId="53B2A4F6" w14:textId="6D0A266D" w:rsidR="00A75549" w:rsidRPr="00B479AE" w:rsidRDefault="00A75549" w:rsidP="00A75549">
      <w:pPr>
        <w:spacing w:line="360" w:lineRule="auto"/>
        <w:rPr>
          <w:rFonts w:ascii="Baskerville Old Face" w:hAnsi="Baskerville Old Face"/>
          <w:b/>
          <w:bCs/>
          <w:i/>
          <w:iCs/>
        </w:rPr>
      </w:pPr>
      <w:r w:rsidRPr="00B479AE">
        <w:rPr>
          <w:rFonts w:ascii="Baskerville Old Face" w:hAnsi="Baskerville Old Face"/>
          <w:b/>
          <w:bCs/>
          <w:i/>
          <w:iCs/>
        </w:rPr>
        <w:lastRenderedPageBreak/>
        <w:t>Formula boundary</w:t>
      </w:r>
    </w:p>
    <w:p w14:paraId="076F64B0" w14:textId="77777777" w:rsidR="00A75549" w:rsidRPr="00B479AE" w:rsidRDefault="00A75549" w:rsidP="00A75549">
      <w:pPr>
        <w:spacing w:line="360" w:lineRule="auto"/>
        <w:rPr>
          <w:rFonts w:ascii="Baskerville Old Face" w:hAnsi="Baskerville Old Face"/>
          <w:i/>
          <w:iCs/>
        </w:rPr>
      </w:pPr>
      <w:proofErr w:type="spellStart"/>
      <w:r w:rsidRPr="00B479AE">
        <w:rPr>
          <w:rFonts w:ascii="Baskerville Old Face" w:hAnsi="Baskerville Old Face"/>
          <w:i/>
          <w:iCs/>
        </w:rPr>
        <w:t>RAP_risk</w:t>
      </w:r>
      <w:proofErr w:type="spellEnd"/>
      <w:r w:rsidRPr="00B479AE">
        <w:rPr>
          <w:rFonts w:ascii="Baskerville Old Face" w:hAnsi="Baskerville Old Face"/>
          <w:i/>
          <w:iCs/>
        </w:rPr>
        <w:t xml:space="preserve"> and </w:t>
      </w:r>
      <w:proofErr w:type="spellStart"/>
      <w:r w:rsidRPr="00B479AE">
        <w:rPr>
          <w:rFonts w:ascii="Baskerville Old Face" w:hAnsi="Baskerville Old Face"/>
          <w:i/>
          <w:iCs/>
        </w:rPr>
        <w:t>RAP_risk_adj</w:t>
      </w:r>
      <w:proofErr w:type="spellEnd"/>
      <w:r w:rsidRPr="00B479AE">
        <w:rPr>
          <w:rFonts w:ascii="Baskerville Old Face" w:hAnsi="Baskerville Old Face"/>
          <w:i/>
          <w:iCs/>
        </w:rPr>
        <w:t xml:space="preserve"> are analytical portfolio-risk functions.</w:t>
      </w:r>
    </w:p>
    <w:p w14:paraId="577655F4"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They do not constitute regulated credit ratings, securities ratings, insurance ratings, investment recommendations, guarantees, or promises of risk reduction.</w:t>
      </w:r>
    </w:p>
    <w:p w14:paraId="71CC5D4F" w14:textId="77777777" w:rsidR="00A75549" w:rsidRPr="00B479AE" w:rsidRDefault="00A75549" w:rsidP="00A75549">
      <w:pPr>
        <w:spacing w:line="360" w:lineRule="auto"/>
        <w:rPr>
          <w:rFonts w:ascii="Baskerville Old Face" w:hAnsi="Baskerville Old Face"/>
          <w:i/>
          <w:iCs/>
        </w:rPr>
      </w:pPr>
      <w:r w:rsidRPr="00B479AE">
        <w:rPr>
          <w:rFonts w:ascii="Baskerville Old Face" w:hAnsi="Baskerville Old Face"/>
          <w:i/>
          <w:iCs/>
        </w:rPr>
        <w:t>They may support diligence, portfolio construction, underwriting discussion, and capital-readiness review only where PRU methodology, MRV evidence, legal review, governance review, disclosure, and jurisdiction-specific compliance are present.</w:t>
      </w:r>
    </w:p>
    <w:p w14:paraId="75807E43" w14:textId="4E74C54F"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 xml:space="preserve">R.27 </w:t>
      </w:r>
      <w:r w:rsidR="00392FEB" w:rsidRPr="00B479AE">
        <w:rPr>
          <w:rFonts w:ascii="Baskerville Old Face" w:hAnsi="Baskerville Old Face"/>
          <w:b/>
          <w:bCs/>
          <w:i/>
          <w:iCs/>
        </w:rPr>
        <w:t xml:space="preserve">PRU maturity classes </w:t>
      </w:r>
    </w:p>
    <w:p w14:paraId="5D78C72D" w14:textId="76FB5B22" w:rsidR="00B961DF" w:rsidRPr="00B479AE" w:rsidRDefault="00392FEB" w:rsidP="00B961DF">
      <w:pPr>
        <w:spacing w:line="360" w:lineRule="auto"/>
        <w:rPr>
          <w:rFonts w:ascii="Baskerville Old Face" w:hAnsi="Baskerville Old Face"/>
          <w:i/>
          <w:iCs/>
        </w:rPr>
      </w:pPr>
      <w:r w:rsidRPr="00B479AE">
        <w:rPr>
          <w:rFonts w:ascii="Baskerville Old Face" w:hAnsi="Baskerville Old Face"/>
          <w:i/>
          <w:iCs/>
        </w:rPr>
        <w:t>PRU maturity classes</w:t>
      </w:r>
      <w:r w:rsidR="00B961DF" w:rsidRPr="00B479AE">
        <w:rPr>
          <w:rFonts w:ascii="Baskerville Old Face" w:hAnsi="Baskerville Old Face"/>
          <w:i/>
          <w:iCs/>
        </w:rPr>
        <w:t xml:space="preserve"> should support internal analysis, portfolio screening, capital-readiness review, and institutional diligence.</w:t>
      </w:r>
    </w:p>
    <w:p w14:paraId="7D7DE67B"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They should not be presented as official credit ratings, securities ratings, or regulated investment ratings unless legally authorized.</w:t>
      </w:r>
    </w:p>
    <w:p w14:paraId="61FFF46B" w14:textId="467B73CE"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Prometheus-native analytical maturity scale may be:</w:t>
      </w:r>
    </w:p>
    <w:p w14:paraId="335090E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PRU-R0 = Conceptual</w:t>
      </w:r>
    </w:p>
    <w:p w14:paraId="34D3B434"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PRU-R1 = Observed</w:t>
      </w:r>
    </w:p>
    <w:p w14:paraId="38B4F0E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PRU-R2 = Evidence-backed</w:t>
      </w:r>
    </w:p>
    <w:p w14:paraId="108AA8B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PRU-R3 = MRV-admissible</w:t>
      </w:r>
    </w:p>
    <w:p w14:paraId="3277ED7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PRU-R4 = PRU-eligible</w:t>
      </w:r>
    </w:p>
    <w:p w14:paraId="3DDDDEC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PRU-R5 = Reviewed</w:t>
      </w:r>
    </w:p>
    <w:p w14:paraId="03B82507"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PRU-R6 = Structured-ready</w:t>
      </w:r>
    </w:p>
    <w:p w14:paraId="4A7141E1" w14:textId="548CBBBC" w:rsidR="00B961DF" w:rsidRDefault="00B961DF" w:rsidP="00B961DF">
      <w:pPr>
        <w:spacing w:line="360" w:lineRule="auto"/>
        <w:rPr>
          <w:rFonts w:ascii="Baskerville Old Face" w:hAnsi="Baskerville Old Face"/>
          <w:i/>
          <w:iCs/>
        </w:rPr>
      </w:pPr>
      <w:r w:rsidRPr="00B479AE">
        <w:rPr>
          <w:rFonts w:ascii="Baskerville Old Face" w:hAnsi="Baskerville Old Face"/>
          <w:i/>
          <w:iCs/>
        </w:rPr>
        <w:t>PRU-R7 = Legally structured</w:t>
      </w:r>
      <w:r w:rsidR="006F0BB5" w:rsidRPr="00B479AE">
        <w:rPr>
          <w:rFonts w:ascii="Baskerville Old Face" w:hAnsi="Baskerville Old Face"/>
          <w:i/>
          <w:iCs/>
        </w:rPr>
        <w:t xml:space="preserve"> </w:t>
      </w:r>
    </w:p>
    <w:p w14:paraId="3603E968" w14:textId="77777777" w:rsidR="00C15FBF" w:rsidRPr="00B479AE" w:rsidRDefault="00C15FBF" w:rsidP="00B961DF">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6"/>
        <w:gridCol w:w="4989"/>
        <w:gridCol w:w="2793"/>
      </w:tblGrid>
      <w:tr w:rsidR="00B961DF" w:rsidRPr="00B479AE" w14:paraId="5FF9609E" w14:textId="77777777" w:rsidTr="00B961DF">
        <w:trPr>
          <w:tblHeader/>
          <w:tblCellSpacing w:w="15" w:type="dxa"/>
        </w:trPr>
        <w:tc>
          <w:tcPr>
            <w:tcW w:w="0" w:type="auto"/>
            <w:vAlign w:val="center"/>
            <w:hideMark/>
          </w:tcPr>
          <w:p w14:paraId="75F92163" w14:textId="074C9900" w:rsidR="00B961DF" w:rsidRPr="00B479AE" w:rsidRDefault="00A3259A" w:rsidP="00B961DF">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PRU maturity class</w:t>
            </w:r>
          </w:p>
        </w:tc>
        <w:tc>
          <w:tcPr>
            <w:tcW w:w="0" w:type="auto"/>
            <w:vAlign w:val="center"/>
            <w:hideMark/>
          </w:tcPr>
          <w:p w14:paraId="7182CC32" w14:textId="77777777" w:rsidR="00B961DF" w:rsidRPr="00B479AE" w:rsidRDefault="00B961DF" w:rsidP="00B961DF">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Meaning</w:t>
            </w:r>
          </w:p>
        </w:tc>
        <w:tc>
          <w:tcPr>
            <w:tcW w:w="0" w:type="auto"/>
            <w:vAlign w:val="center"/>
            <w:hideMark/>
          </w:tcPr>
          <w:p w14:paraId="41E09678" w14:textId="77777777" w:rsidR="00B961DF" w:rsidRPr="00B479AE" w:rsidRDefault="00B961DF" w:rsidP="00B961DF">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Use</w:t>
            </w:r>
          </w:p>
        </w:tc>
      </w:tr>
      <w:tr w:rsidR="00B961DF" w:rsidRPr="00B479AE" w14:paraId="676A0635" w14:textId="77777777" w:rsidTr="00B961DF">
        <w:trPr>
          <w:tblCellSpacing w:w="15" w:type="dxa"/>
        </w:trPr>
        <w:tc>
          <w:tcPr>
            <w:tcW w:w="0" w:type="auto"/>
            <w:vAlign w:val="center"/>
            <w:hideMark/>
          </w:tcPr>
          <w:p w14:paraId="7CFC843B"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PRU-R0 — Conceptual</w:t>
            </w:r>
          </w:p>
        </w:tc>
        <w:tc>
          <w:tcPr>
            <w:tcW w:w="0" w:type="auto"/>
            <w:vAlign w:val="center"/>
            <w:hideMark/>
          </w:tcPr>
          <w:p w14:paraId="7E69CEC8"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Methodology or project thesis exists, but evidence is preliminary.</w:t>
            </w:r>
          </w:p>
        </w:tc>
        <w:tc>
          <w:tcPr>
            <w:tcW w:w="0" w:type="auto"/>
            <w:vAlign w:val="center"/>
            <w:hideMark/>
          </w:tcPr>
          <w:p w14:paraId="3C2EB888"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Research and pilot design.</w:t>
            </w:r>
          </w:p>
        </w:tc>
      </w:tr>
      <w:tr w:rsidR="00B961DF" w:rsidRPr="00B479AE" w14:paraId="29B9FC14" w14:textId="77777777" w:rsidTr="00B961DF">
        <w:trPr>
          <w:tblCellSpacing w:w="15" w:type="dxa"/>
        </w:trPr>
        <w:tc>
          <w:tcPr>
            <w:tcW w:w="0" w:type="auto"/>
            <w:vAlign w:val="center"/>
            <w:hideMark/>
          </w:tcPr>
          <w:p w14:paraId="697D000F"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PRU-R1 — Observed</w:t>
            </w:r>
          </w:p>
        </w:tc>
        <w:tc>
          <w:tcPr>
            <w:tcW w:w="0" w:type="auto"/>
            <w:vAlign w:val="center"/>
            <w:hideMark/>
          </w:tcPr>
          <w:p w14:paraId="7B78335C"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Field observations and early records exist.</w:t>
            </w:r>
          </w:p>
        </w:tc>
        <w:tc>
          <w:tcPr>
            <w:tcW w:w="0" w:type="auto"/>
            <w:vAlign w:val="center"/>
            <w:hideMark/>
          </w:tcPr>
          <w:p w14:paraId="4D57508C"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Internal monitoring and learning.</w:t>
            </w:r>
          </w:p>
        </w:tc>
      </w:tr>
      <w:tr w:rsidR="00B961DF" w:rsidRPr="00B479AE" w14:paraId="480284F6" w14:textId="77777777" w:rsidTr="00B961DF">
        <w:trPr>
          <w:tblCellSpacing w:w="15" w:type="dxa"/>
        </w:trPr>
        <w:tc>
          <w:tcPr>
            <w:tcW w:w="0" w:type="auto"/>
            <w:vAlign w:val="center"/>
            <w:hideMark/>
          </w:tcPr>
          <w:p w14:paraId="5F085059"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PRU-R2 — Evidence-backed</w:t>
            </w:r>
          </w:p>
        </w:tc>
        <w:tc>
          <w:tcPr>
            <w:tcW w:w="0" w:type="auto"/>
            <w:vAlign w:val="center"/>
            <w:hideMark/>
          </w:tcPr>
          <w:p w14:paraId="5CFF524D"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with provenance supports selected indicators.</w:t>
            </w:r>
          </w:p>
        </w:tc>
        <w:tc>
          <w:tcPr>
            <w:tcW w:w="0" w:type="auto"/>
            <w:vAlign w:val="center"/>
            <w:hideMark/>
          </w:tcPr>
          <w:p w14:paraId="4A054A5C"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MRV development and pilot reporting.</w:t>
            </w:r>
          </w:p>
        </w:tc>
      </w:tr>
      <w:tr w:rsidR="00B961DF" w:rsidRPr="00B479AE" w14:paraId="655DB1EB" w14:textId="77777777" w:rsidTr="00B961DF">
        <w:trPr>
          <w:tblCellSpacing w:w="15" w:type="dxa"/>
        </w:trPr>
        <w:tc>
          <w:tcPr>
            <w:tcW w:w="0" w:type="auto"/>
            <w:vAlign w:val="center"/>
            <w:hideMark/>
          </w:tcPr>
          <w:p w14:paraId="23B3AD88"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PRU-R3 — MRV-admissible</w:t>
            </w:r>
          </w:p>
        </w:tc>
        <w:tc>
          <w:tcPr>
            <w:tcW w:w="0" w:type="auto"/>
            <w:vAlign w:val="center"/>
            <w:hideMark/>
          </w:tcPr>
          <w:p w14:paraId="3F14FDEB"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meets MRV methodology under defined scope.</w:t>
            </w:r>
          </w:p>
        </w:tc>
        <w:tc>
          <w:tcPr>
            <w:tcW w:w="0" w:type="auto"/>
            <w:vAlign w:val="center"/>
            <w:hideMark/>
          </w:tcPr>
          <w:p w14:paraId="235DED1A"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Controlled reporting and institutional diligence.</w:t>
            </w:r>
          </w:p>
        </w:tc>
      </w:tr>
      <w:tr w:rsidR="00B961DF" w:rsidRPr="00B479AE" w14:paraId="67E8845E" w14:textId="77777777" w:rsidTr="00B961DF">
        <w:trPr>
          <w:tblCellSpacing w:w="15" w:type="dxa"/>
        </w:trPr>
        <w:tc>
          <w:tcPr>
            <w:tcW w:w="0" w:type="auto"/>
            <w:vAlign w:val="center"/>
            <w:hideMark/>
          </w:tcPr>
          <w:p w14:paraId="567F7C68"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PRU-R4 — PRU-eligible</w:t>
            </w:r>
          </w:p>
        </w:tc>
        <w:tc>
          <w:tcPr>
            <w:tcW w:w="0" w:type="auto"/>
            <w:vAlign w:val="center"/>
            <w:hideMark/>
          </w:tcPr>
          <w:p w14:paraId="73D47B2B"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Evidence may support PRU analysis under approved methodology.</w:t>
            </w:r>
          </w:p>
        </w:tc>
        <w:tc>
          <w:tcPr>
            <w:tcW w:w="0" w:type="auto"/>
            <w:vAlign w:val="center"/>
            <w:hideMark/>
          </w:tcPr>
          <w:p w14:paraId="39861536"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PRU report and capital-readiness review.</w:t>
            </w:r>
          </w:p>
        </w:tc>
      </w:tr>
      <w:tr w:rsidR="00B961DF" w:rsidRPr="00B479AE" w14:paraId="2B22C9D9" w14:textId="77777777" w:rsidTr="00B961DF">
        <w:trPr>
          <w:tblCellSpacing w:w="15" w:type="dxa"/>
        </w:trPr>
        <w:tc>
          <w:tcPr>
            <w:tcW w:w="0" w:type="auto"/>
            <w:vAlign w:val="center"/>
            <w:hideMark/>
          </w:tcPr>
          <w:p w14:paraId="5E2AFC7D"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PRU-R5 — Reviewed</w:t>
            </w:r>
          </w:p>
        </w:tc>
        <w:tc>
          <w:tcPr>
            <w:tcW w:w="0" w:type="auto"/>
            <w:vAlign w:val="center"/>
            <w:hideMark/>
          </w:tcPr>
          <w:p w14:paraId="3225284B"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PRU analysis has undergone appropriate review.</w:t>
            </w:r>
          </w:p>
        </w:tc>
        <w:tc>
          <w:tcPr>
            <w:tcW w:w="0" w:type="auto"/>
            <w:vAlign w:val="center"/>
            <w:hideMark/>
          </w:tcPr>
          <w:p w14:paraId="568799C4"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Portfolio screening and underwriting support.</w:t>
            </w:r>
          </w:p>
        </w:tc>
      </w:tr>
      <w:tr w:rsidR="00B961DF" w:rsidRPr="00B479AE" w14:paraId="3458B5E3" w14:textId="77777777" w:rsidTr="00B961DF">
        <w:trPr>
          <w:tblCellSpacing w:w="15" w:type="dxa"/>
        </w:trPr>
        <w:tc>
          <w:tcPr>
            <w:tcW w:w="0" w:type="auto"/>
            <w:vAlign w:val="center"/>
            <w:hideMark/>
          </w:tcPr>
          <w:p w14:paraId="70A654E8"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PRU-R6 — Structured-ready</w:t>
            </w:r>
          </w:p>
        </w:tc>
        <w:tc>
          <w:tcPr>
            <w:tcW w:w="0" w:type="auto"/>
            <w:vAlign w:val="center"/>
            <w:hideMark/>
          </w:tcPr>
          <w:p w14:paraId="381448A2"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Legal, governance, MRV, and reporting elements are sufficiently mature for structuring review.</w:t>
            </w:r>
          </w:p>
        </w:tc>
        <w:tc>
          <w:tcPr>
            <w:tcW w:w="0" w:type="auto"/>
            <w:vAlign w:val="center"/>
            <w:hideMark/>
          </w:tcPr>
          <w:p w14:paraId="7D334E88"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Possible legal instrument design.</w:t>
            </w:r>
          </w:p>
        </w:tc>
      </w:tr>
      <w:tr w:rsidR="00B961DF" w:rsidRPr="00B479AE" w14:paraId="57AE9F92" w14:textId="77777777" w:rsidTr="00B961DF">
        <w:trPr>
          <w:tblCellSpacing w:w="15" w:type="dxa"/>
        </w:trPr>
        <w:tc>
          <w:tcPr>
            <w:tcW w:w="0" w:type="auto"/>
            <w:vAlign w:val="center"/>
            <w:hideMark/>
          </w:tcPr>
          <w:p w14:paraId="4A469051"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b/>
                <w:bCs/>
                <w:i/>
                <w:iCs/>
                <w:sz w:val="20"/>
                <w:szCs w:val="20"/>
              </w:rPr>
              <w:t>PRU-R7 — Legally structured</w:t>
            </w:r>
          </w:p>
        </w:tc>
        <w:tc>
          <w:tcPr>
            <w:tcW w:w="0" w:type="auto"/>
            <w:vAlign w:val="center"/>
            <w:hideMark/>
          </w:tcPr>
          <w:p w14:paraId="101B5EE0"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PRU logic is connected to a compliant legal instrument.</w:t>
            </w:r>
          </w:p>
        </w:tc>
        <w:tc>
          <w:tcPr>
            <w:tcW w:w="0" w:type="auto"/>
            <w:vAlign w:val="center"/>
            <w:hideMark/>
          </w:tcPr>
          <w:p w14:paraId="05137CFD" w14:textId="77777777" w:rsidR="00B961DF" w:rsidRPr="00B479AE" w:rsidRDefault="00B961DF" w:rsidP="00B961DF">
            <w:pPr>
              <w:spacing w:line="360" w:lineRule="auto"/>
              <w:rPr>
                <w:rFonts w:ascii="Baskerville Old Face" w:hAnsi="Baskerville Old Face"/>
                <w:i/>
                <w:iCs/>
                <w:sz w:val="20"/>
                <w:szCs w:val="20"/>
              </w:rPr>
            </w:pPr>
            <w:r w:rsidRPr="00B479AE">
              <w:rPr>
                <w:rFonts w:ascii="Baskerville Old Face" w:hAnsi="Baskerville Old Face"/>
                <w:i/>
                <w:iCs/>
                <w:sz w:val="20"/>
                <w:szCs w:val="20"/>
              </w:rPr>
              <w:t>Controlled capital deployment where permitted.</w:t>
            </w:r>
          </w:p>
        </w:tc>
      </w:tr>
    </w:tbl>
    <w:p w14:paraId="7614EA33" w14:textId="77777777" w:rsidR="008846D7" w:rsidRPr="00B479AE" w:rsidRDefault="008846D7" w:rsidP="008846D7">
      <w:pPr>
        <w:spacing w:line="360" w:lineRule="auto"/>
        <w:rPr>
          <w:rFonts w:ascii="Baskerville Old Face" w:hAnsi="Baskerville Old Face"/>
          <w:i/>
          <w:iCs/>
        </w:rPr>
      </w:pPr>
      <w:r w:rsidRPr="00B479AE">
        <w:rPr>
          <w:rFonts w:ascii="Baskerville Old Face" w:hAnsi="Baskerville Old Face"/>
          <w:i/>
          <w:iCs/>
        </w:rPr>
        <w:t>The threshold for inclusion in more institutional pools may be set at a minimum Prometheus-native maturity class, such as PRU-R4, PRU-R5, or PRU-R6, depending on methodology maturity, MRV admissibility, legal structure, investor mandate, and portfolio-governance requirements. These classes are analytical maturity classes, not official credit ratings, securities ratings, regulated investment ratings, guarantees, or promises of return.</w:t>
      </w:r>
    </w:p>
    <w:p w14:paraId="612C7D94" w14:textId="316EE95D"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These classes are analytical maturity classes.</w:t>
      </w:r>
    </w:p>
    <w:p w14:paraId="02DA72EE"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They are not promises of return.</w:t>
      </w:r>
    </w:p>
    <w:p w14:paraId="1177D7F9"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They are not external ratings.</w:t>
      </w:r>
    </w:p>
    <w:p w14:paraId="3DA53830"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They are not guarantees.</w:t>
      </w:r>
    </w:p>
    <w:p w14:paraId="066953EC"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They are a disciplined map of evidence and readiness.</w:t>
      </w:r>
    </w:p>
    <w:p w14:paraId="0CFD7C5C" w14:textId="77777777" w:rsidR="00084149"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lastRenderedPageBreak/>
        <w:t xml:space="preserve">R.28 </w:t>
      </w:r>
      <w:r w:rsidR="00084149" w:rsidRPr="00B479AE">
        <w:rPr>
          <w:rFonts w:ascii="Baskerville Old Face" w:hAnsi="Baskerville Old Face"/>
          <w:b/>
          <w:bCs/>
          <w:i/>
          <w:iCs/>
        </w:rPr>
        <w:t xml:space="preserve">maturity-class evolution </w:t>
      </w:r>
    </w:p>
    <w:p w14:paraId="39336DEA" w14:textId="73472FB1" w:rsidR="00B961DF" w:rsidRPr="00B479AE" w:rsidRDefault="00E26FEF" w:rsidP="00B961DF">
      <w:pPr>
        <w:spacing w:line="360" w:lineRule="auto"/>
        <w:rPr>
          <w:rFonts w:ascii="Baskerville Old Face" w:hAnsi="Baskerville Old Face"/>
          <w:i/>
          <w:iCs/>
        </w:rPr>
      </w:pPr>
      <w:r w:rsidRPr="00B479AE">
        <w:rPr>
          <w:rFonts w:ascii="Baskerville Old Face" w:hAnsi="Baskerville Old Face"/>
          <w:i/>
          <w:iCs/>
        </w:rPr>
        <w:t>PRU maturity classes should evolve over time.</w:t>
      </w:r>
    </w:p>
    <w:p w14:paraId="050C8A85"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A new regenerative unit may begin with limited data and therefore lower confidence.</w:t>
      </w:r>
    </w:p>
    <w:p w14:paraId="4D2AC1FE" w14:textId="7D1DF4A1"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If the system performs well, accumulates evidence, improves ecological indicators, reduces variance, and maintains governance discipline, its </w:t>
      </w:r>
      <w:r w:rsidR="007E03C6" w:rsidRPr="00B479AE">
        <w:rPr>
          <w:rFonts w:ascii="Baskerville Old Face" w:hAnsi="Baskerville Old Face"/>
          <w:i/>
          <w:iCs/>
        </w:rPr>
        <w:t>maturity</w:t>
      </w:r>
      <w:r w:rsidRPr="00B479AE">
        <w:rPr>
          <w:rFonts w:ascii="Baskerville Old Face" w:hAnsi="Baskerville Old Face"/>
          <w:i/>
          <w:iCs/>
        </w:rPr>
        <w:t xml:space="preserve"> </w:t>
      </w:r>
      <w:r w:rsidR="007E03C6" w:rsidRPr="00B479AE">
        <w:rPr>
          <w:rFonts w:ascii="Baskerville Old Face" w:hAnsi="Baskerville Old Face"/>
          <w:i/>
          <w:iCs/>
        </w:rPr>
        <w:t xml:space="preserve">class </w:t>
      </w:r>
      <w:r w:rsidRPr="00B479AE">
        <w:rPr>
          <w:rFonts w:ascii="Baskerville Old Face" w:hAnsi="Baskerville Old Face"/>
          <w:i/>
          <w:iCs/>
        </w:rPr>
        <w:t>may improve.</w:t>
      </w:r>
    </w:p>
    <w:p w14:paraId="7C611785" w14:textId="3A49DD95"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If the system underperforms, loses data integrity, experiences governance failure, or fails to meet ecological thresholds, its </w:t>
      </w:r>
      <w:r w:rsidR="007E03C6" w:rsidRPr="00B479AE">
        <w:rPr>
          <w:rFonts w:ascii="Baskerville Old Face" w:hAnsi="Baskerville Old Face"/>
          <w:i/>
          <w:iCs/>
        </w:rPr>
        <w:t xml:space="preserve">maturity class </w:t>
      </w:r>
      <w:r w:rsidRPr="00B479AE">
        <w:rPr>
          <w:rFonts w:ascii="Baskerville Old Face" w:hAnsi="Baskerville Old Face"/>
          <w:i/>
          <w:iCs/>
        </w:rPr>
        <w:t>may decline.</w:t>
      </w:r>
    </w:p>
    <w:p w14:paraId="33D038E3"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This dynamic process is essential.</w:t>
      </w:r>
    </w:p>
    <w:p w14:paraId="562321C6"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Regenerative finance should reward actual maturation, not static projection.</w:t>
      </w:r>
    </w:p>
    <w:p w14:paraId="1CD38372" w14:textId="75874D46"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The </w:t>
      </w:r>
      <w:r w:rsidR="007E03C6" w:rsidRPr="00B479AE">
        <w:rPr>
          <w:rFonts w:ascii="Baskerville Old Face" w:hAnsi="Baskerville Old Face"/>
          <w:i/>
          <w:iCs/>
        </w:rPr>
        <w:t xml:space="preserve">maturity-classification </w:t>
      </w:r>
      <w:r w:rsidRPr="00B479AE">
        <w:rPr>
          <w:rFonts w:ascii="Baskerville Old Face" w:hAnsi="Baskerville Old Face"/>
          <w:i/>
          <w:iCs/>
        </w:rPr>
        <w:t>system therefore creates incentives for long-term stewardship.</w:t>
      </w:r>
    </w:p>
    <w:p w14:paraId="79667012" w14:textId="0D7E634C"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The </w:t>
      </w:r>
      <w:r w:rsidR="007E03C6" w:rsidRPr="00B479AE">
        <w:rPr>
          <w:rFonts w:ascii="Baskerville Old Face" w:hAnsi="Baskerville Old Face"/>
          <w:i/>
          <w:iCs/>
        </w:rPr>
        <w:t xml:space="preserve">maturity </w:t>
      </w:r>
      <w:r w:rsidRPr="00B479AE">
        <w:rPr>
          <w:rFonts w:ascii="Baskerville Old Face" w:hAnsi="Baskerville Old Face"/>
          <w:i/>
          <w:iCs/>
        </w:rPr>
        <w:t>evolution pathway may be expressed as:</w:t>
      </w:r>
    </w:p>
    <w:p w14:paraId="49C88EAA" w14:textId="77777777" w:rsidR="00084149" w:rsidRPr="00B479AE" w:rsidRDefault="00B961DF" w:rsidP="00B961DF">
      <w:pPr>
        <w:spacing w:line="360" w:lineRule="auto"/>
        <w:rPr>
          <w:rFonts w:ascii="Baskerville Old Face" w:hAnsi="Baskerville Old Face"/>
          <w:i/>
          <w:iCs/>
        </w:rPr>
      </w:pPr>
      <w:r w:rsidRPr="00B479AE">
        <w:rPr>
          <w:rFonts w:ascii="Baskerville Old Face" w:hAnsi="Baskerville Old Face"/>
          <w:i/>
          <w:iCs/>
        </w:rPr>
        <w:t xml:space="preserve">time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confidence </w:t>
      </w:r>
      <w:r w:rsidRPr="00B479AE">
        <w:rPr>
          <w:rFonts w:ascii="Times New Roman" w:hAnsi="Times New Roman" w:cs="Times New Roman"/>
          <w:i/>
          <w:iCs/>
        </w:rPr>
        <w:t>→</w:t>
      </w:r>
      <w:r w:rsidRPr="00B479AE">
        <w:rPr>
          <w:rFonts w:ascii="Baskerville Old Face" w:hAnsi="Baskerville Old Face"/>
          <w:i/>
          <w:iCs/>
        </w:rPr>
        <w:t xml:space="preserve"> risk adjustment </w:t>
      </w:r>
      <w:r w:rsidRPr="00B479AE">
        <w:rPr>
          <w:rFonts w:ascii="Times New Roman" w:hAnsi="Times New Roman" w:cs="Times New Roman"/>
          <w:i/>
          <w:iCs/>
        </w:rPr>
        <w:t>→</w:t>
      </w:r>
      <w:r w:rsidRPr="00B479AE">
        <w:rPr>
          <w:rFonts w:ascii="Baskerville Old Face" w:hAnsi="Baskerville Old Face"/>
          <w:i/>
          <w:iCs/>
        </w:rPr>
        <w:t xml:space="preserve"> </w:t>
      </w:r>
      <w:r w:rsidR="00084149" w:rsidRPr="00B479AE">
        <w:rPr>
          <w:rFonts w:ascii="Baskerville Old Face" w:hAnsi="Baskerville Old Face"/>
          <w:i/>
          <w:iCs/>
        </w:rPr>
        <w:t xml:space="preserve">maturity-class evolution </w:t>
      </w:r>
    </w:p>
    <w:p w14:paraId="4686836C" w14:textId="35C460F6"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objective is not to assign prestige.</w:t>
      </w:r>
    </w:p>
    <w:p w14:paraId="316CA698" w14:textId="77777777" w:rsidR="00B961DF" w:rsidRPr="00B479AE" w:rsidRDefault="00B961DF" w:rsidP="00B961DF">
      <w:pPr>
        <w:spacing w:line="360" w:lineRule="auto"/>
        <w:rPr>
          <w:rFonts w:ascii="Baskerville Old Face" w:hAnsi="Baskerville Old Face"/>
          <w:i/>
          <w:iCs/>
        </w:rPr>
      </w:pPr>
      <w:r w:rsidRPr="00B479AE">
        <w:rPr>
          <w:rFonts w:ascii="Baskerville Old Face" w:hAnsi="Baskerville Old Face"/>
          <w:i/>
          <w:iCs/>
        </w:rPr>
        <w:t>The objective is to make regenerative performance comparable, monitorable, and capital-admissible.</w:t>
      </w:r>
    </w:p>
    <w:p w14:paraId="1DCC645A" w14:textId="77777777" w:rsidR="0086621A" w:rsidRPr="00B479AE" w:rsidRDefault="0086621A" w:rsidP="0086621A">
      <w:pPr>
        <w:spacing w:line="360" w:lineRule="auto"/>
        <w:rPr>
          <w:rFonts w:ascii="Baskerville Old Face" w:hAnsi="Baskerville Old Face"/>
          <w:b/>
          <w:bCs/>
          <w:i/>
          <w:iCs/>
        </w:rPr>
      </w:pPr>
      <w:r w:rsidRPr="00B479AE">
        <w:rPr>
          <w:rFonts w:ascii="Baskerville Old Face" w:hAnsi="Baskerville Old Face"/>
          <w:b/>
          <w:bCs/>
          <w:i/>
          <w:iCs/>
        </w:rPr>
        <w:t>PRU Evolution Function</w:t>
      </w:r>
    </w:p>
    <w:p w14:paraId="4532910F"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PRU analysis is dynamic.</w:t>
      </w:r>
    </w:p>
    <w:p w14:paraId="3FF3C76A"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A PRU should not be treated as a static label assigned once and preserved forever.</w:t>
      </w:r>
    </w:p>
    <w:p w14:paraId="0635F49E"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As the living system changes, the evidence changes.</w:t>
      </w:r>
    </w:p>
    <w:p w14:paraId="5EF61355"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As the evidence changes, confidence changes.</w:t>
      </w:r>
    </w:p>
    <w:p w14:paraId="21509E17"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As confidence changes, PRU interpretation may evolve.</w:t>
      </w:r>
    </w:p>
    <w:p w14:paraId="2CCD95A6"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This dynamic can be expressed conceptually as:</w:t>
      </w:r>
    </w:p>
    <w:p w14:paraId="65F2CB1B"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 xml:space="preserve">PRU_t+1 = </w:t>
      </w:r>
      <w:proofErr w:type="gramStart"/>
      <w:r w:rsidRPr="00B479AE">
        <w:rPr>
          <w:rFonts w:ascii="Baskerville Old Face" w:hAnsi="Baskerville Old Face"/>
          <w:i/>
          <w:iCs/>
        </w:rPr>
        <w:t>f(</w:t>
      </w:r>
      <w:proofErr w:type="spellStart"/>
      <w:proofErr w:type="gramEnd"/>
      <w:r w:rsidRPr="00B479AE">
        <w:rPr>
          <w:rFonts w:ascii="Baskerville Old Face" w:hAnsi="Baskerville Old Face"/>
          <w:i/>
          <w:iCs/>
        </w:rPr>
        <w:t>PRU_t</w:t>
      </w:r>
      <w:proofErr w:type="spellEnd"/>
      <w:r w:rsidRPr="00B479AE">
        <w:rPr>
          <w:rFonts w:ascii="Baskerville Old Face" w:hAnsi="Baskerville Old Face"/>
          <w:i/>
          <w:iCs/>
        </w:rPr>
        <w:t xml:space="preserve">, </w:t>
      </w:r>
      <w:proofErr w:type="spellStart"/>
      <w:r w:rsidRPr="00B479AE">
        <w:rPr>
          <w:rFonts w:ascii="Cambria" w:hAnsi="Cambria" w:cs="Cambria"/>
          <w:i/>
          <w:iCs/>
        </w:rPr>
        <w:t>Δ</w:t>
      </w:r>
      <w:r w:rsidRPr="00B479AE">
        <w:rPr>
          <w:rFonts w:ascii="Baskerville Old Face" w:hAnsi="Baskerville Old Face"/>
          <w:i/>
          <w:iCs/>
        </w:rPr>
        <w:t>MRV_t</w:t>
      </w:r>
      <w:proofErr w:type="spellEnd"/>
      <w:r w:rsidRPr="00B479AE">
        <w:rPr>
          <w:rFonts w:ascii="Baskerville Old Face" w:hAnsi="Baskerville Old Face"/>
          <w:i/>
          <w:iCs/>
        </w:rPr>
        <w:t>)</w:t>
      </w:r>
    </w:p>
    <w:p w14:paraId="2E66C7CA"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lastRenderedPageBreak/>
        <w:t>Where:</w:t>
      </w:r>
    </w:p>
    <w:p w14:paraId="380B6953" w14:textId="77777777" w:rsidR="0086621A" w:rsidRPr="00B479AE" w:rsidRDefault="0086621A" w:rsidP="0086621A">
      <w:pPr>
        <w:spacing w:line="360" w:lineRule="auto"/>
        <w:rPr>
          <w:rFonts w:ascii="Baskerville Old Face" w:hAnsi="Baskerville Old Face"/>
          <w:i/>
          <w:iCs/>
        </w:rPr>
      </w:pPr>
      <w:proofErr w:type="spellStart"/>
      <w:r w:rsidRPr="00B479AE">
        <w:rPr>
          <w:rFonts w:ascii="Baskerville Old Face" w:hAnsi="Baskerville Old Face"/>
          <w:i/>
          <w:iCs/>
        </w:rPr>
        <w:t>PRU_t</w:t>
      </w:r>
      <w:proofErr w:type="spellEnd"/>
      <w:r w:rsidRPr="00B479AE">
        <w:rPr>
          <w:rFonts w:ascii="Baskerville Old Face" w:hAnsi="Baskerville Old Face"/>
          <w:i/>
          <w:iCs/>
        </w:rPr>
        <w:t xml:space="preserve"> represents the PRU analytical state at time t.</w:t>
      </w:r>
    </w:p>
    <w:p w14:paraId="28D45FEF"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PRU_t+1 represents the updated PRU analytical state after new evidence, review, or performance data.</w:t>
      </w:r>
    </w:p>
    <w:p w14:paraId="767111F0" w14:textId="77777777" w:rsidR="0086621A" w:rsidRPr="00B479AE" w:rsidRDefault="0086621A" w:rsidP="0086621A">
      <w:pPr>
        <w:spacing w:line="360" w:lineRule="auto"/>
        <w:rPr>
          <w:rFonts w:ascii="Baskerville Old Face" w:hAnsi="Baskerville Old Face"/>
          <w:i/>
          <w:iCs/>
        </w:rPr>
      </w:pPr>
      <w:proofErr w:type="spellStart"/>
      <w:r w:rsidRPr="00B479AE">
        <w:rPr>
          <w:rFonts w:ascii="Cambria" w:hAnsi="Cambria" w:cs="Cambria"/>
          <w:i/>
          <w:iCs/>
        </w:rPr>
        <w:t>Δ</w:t>
      </w:r>
      <w:r w:rsidRPr="00B479AE">
        <w:rPr>
          <w:rFonts w:ascii="Baskerville Old Face" w:hAnsi="Baskerville Old Face"/>
          <w:i/>
          <w:iCs/>
        </w:rPr>
        <w:t>MRV_t</w:t>
      </w:r>
      <w:proofErr w:type="spellEnd"/>
      <w:r w:rsidRPr="00B479AE">
        <w:rPr>
          <w:rFonts w:ascii="Baskerville Old Face" w:hAnsi="Baskerville Old Face"/>
          <w:i/>
          <w:iCs/>
        </w:rPr>
        <w:t xml:space="preserve"> represents the change in MRV evidence between time t and time t+1.</w:t>
      </w:r>
    </w:p>
    <w:p w14:paraId="6ACA1447"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This formula does not create automatic PRU issuance.</w:t>
      </w:r>
    </w:p>
    <w:p w14:paraId="6578DDCE"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does not create token issuance.</w:t>
      </w:r>
    </w:p>
    <w:p w14:paraId="68E204F8"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does not create market price.</w:t>
      </w:r>
    </w:p>
    <w:p w14:paraId="41E595D4"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does not create investor rights.</w:t>
      </w:r>
    </w:p>
    <w:p w14:paraId="1FB1C9E6"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does not create automatic rating upgrades.</w:t>
      </w:r>
    </w:p>
    <w:p w14:paraId="029B34E8"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does not create automatic financial value.</w:t>
      </w:r>
    </w:p>
    <w:p w14:paraId="17494C2D"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expresses a methodological principle:</w:t>
      </w:r>
    </w:p>
    <w:p w14:paraId="71FC0E0C"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PRU interpretation evolves only when evidence evolves.</w:t>
      </w:r>
    </w:p>
    <w:p w14:paraId="6DB3DFF0"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 xml:space="preserve">A positive </w:t>
      </w:r>
      <w:proofErr w:type="spellStart"/>
      <w:r w:rsidRPr="00B479AE">
        <w:rPr>
          <w:rFonts w:ascii="Cambria" w:hAnsi="Cambria" w:cs="Cambria"/>
          <w:i/>
          <w:iCs/>
        </w:rPr>
        <w:t>Δ</w:t>
      </w:r>
      <w:r w:rsidRPr="00B479AE">
        <w:rPr>
          <w:rFonts w:ascii="Baskerville Old Face" w:hAnsi="Baskerville Old Face"/>
          <w:i/>
          <w:iCs/>
        </w:rPr>
        <w:t>MRV_t</w:t>
      </w:r>
      <w:proofErr w:type="spellEnd"/>
      <w:r w:rsidRPr="00B479AE">
        <w:rPr>
          <w:rFonts w:ascii="Baskerville Old Face" w:hAnsi="Baskerville Old Face"/>
          <w:i/>
          <w:iCs/>
        </w:rPr>
        <w:t xml:space="preserve"> may indicate improved soil function, water retention, biodiversity, productive stability, input independence, governance maturity, or MRV confidence.</w:t>
      </w:r>
    </w:p>
    <w:p w14:paraId="28A2E483"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 xml:space="preserve">A negative </w:t>
      </w:r>
      <w:proofErr w:type="spellStart"/>
      <w:r w:rsidRPr="00B479AE">
        <w:rPr>
          <w:rFonts w:ascii="Cambria" w:hAnsi="Cambria" w:cs="Cambria"/>
          <w:i/>
          <w:iCs/>
        </w:rPr>
        <w:t>Δ</w:t>
      </w:r>
      <w:r w:rsidRPr="00B479AE">
        <w:rPr>
          <w:rFonts w:ascii="Baskerville Old Face" w:hAnsi="Baskerville Old Face"/>
          <w:i/>
          <w:iCs/>
        </w:rPr>
        <w:t>MRV_t</w:t>
      </w:r>
      <w:proofErr w:type="spellEnd"/>
      <w:r w:rsidRPr="00B479AE">
        <w:rPr>
          <w:rFonts w:ascii="Baskerville Old Face" w:hAnsi="Baskerville Old Face"/>
          <w:i/>
          <w:iCs/>
        </w:rPr>
        <w:t xml:space="preserve"> may indicate ecological regression, weaker evidence, data gaps, governance failure, operational underperformance, adverse events, or loss of confidence.</w:t>
      </w:r>
    </w:p>
    <w:p w14:paraId="0C2545D7"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 xml:space="preserve">A neutral </w:t>
      </w:r>
      <w:proofErr w:type="spellStart"/>
      <w:r w:rsidRPr="00B479AE">
        <w:rPr>
          <w:rFonts w:ascii="Cambria" w:hAnsi="Cambria" w:cs="Cambria"/>
          <w:i/>
          <w:iCs/>
        </w:rPr>
        <w:t>Δ</w:t>
      </w:r>
      <w:r w:rsidRPr="00B479AE">
        <w:rPr>
          <w:rFonts w:ascii="Baskerville Old Face" w:hAnsi="Baskerville Old Face"/>
          <w:i/>
          <w:iCs/>
        </w:rPr>
        <w:t>MRV_t</w:t>
      </w:r>
      <w:proofErr w:type="spellEnd"/>
      <w:r w:rsidRPr="00B479AE">
        <w:rPr>
          <w:rFonts w:ascii="Baskerville Old Face" w:hAnsi="Baskerville Old Face"/>
          <w:i/>
          <w:iCs/>
        </w:rPr>
        <w:t xml:space="preserve"> may indicate stability, insufficient new evidence, or no material change in verified performance.</w:t>
      </w:r>
    </w:p>
    <w:p w14:paraId="0CF51131"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The correct sequence is:</w:t>
      </w:r>
    </w:p>
    <w:p w14:paraId="30A12E3D"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 xml:space="preserve">new evidence </w:t>
      </w:r>
      <w:r w:rsidRPr="00B479AE">
        <w:rPr>
          <w:rFonts w:ascii="Times New Roman" w:hAnsi="Times New Roman" w:cs="Times New Roman"/>
          <w:i/>
          <w:iCs/>
        </w:rPr>
        <w:t>→</w:t>
      </w:r>
      <w:r w:rsidRPr="00B479AE">
        <w:rPr>
          <w:rFonts w:ascii="Baskerville Old Face" w:hAnsi="Baskerville Old Face"/>
          <w:i/>
          <w:iCs/>
        </w:rPr>
        <w:t xml:space="preserve"> confidence update </w:t>
      </w:r>
      <w:r w:rsidRPr="00B479AE">
        <w:rPr>
          <w:rFonts w:ascii="Times New Roman" w:hAnsi="Times New Roman" w:cs="Times New Roman"/>
          <w:i/>
          <w:iCs/>
        </w:rPr>
        <w:t>→</w:t>
      </w:r>
      <w:r w:rsidRPr="00B479AE">
        <w:rPr>
          <w:rFonts w:ascii="Baskerville Old Face" w:hAnsi="Baskerville Old Face"/>
          <w:i/>
          <w:iCs/>
        </w:rPr>
        <w:t xml:space="preserve"> methodology review </w:t>
      </w:r>
      <w:r w:rsidRPr="00B479AE">
        <w:rPr>
          <w:rFonts w:ascii="Times New Roman" w:hAnsi="Times New Roman" w:cs="Times New Roman"/>
          <w:i/>
          <w:iCs/>
        </w:rPr>
        <w:t>→</w:t>
      </w:r>
      <w:r w:rsidRPr="00B479AE">
        <w:rPr>
          <w:rFonts w:ascii="Baskerville Old Face" w:hAnsi="Baskerville Old Face"/>
          <w:i/>
          <w:iCs/>
        </w:rPr>
        <w:t xml:space="preserve"> PRU interpretation update</w:t>
      </w:r>
    </w:p>
    <w:p w14:paraId="32779ECC"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This protects Prometheus from static certification logic.</w:t>
      </w:r>
    </w:p>
    <w:p w14:paraId="3213BA46"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A regenerative asset is alive.</w:t>
      </w:r>
    </w:p>
    <w:p w14:paraId="39DDD1D1"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lastRenderedPageBreak/>
        <w:t>Its analytical representation must therefore remain reviewable, updateable, and evidence-sensitive.</w:t>
      </w:r>
    </w:p>
    <w:p w14:paraId="0DC71638"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The PRU Evolution Function ensures that Prometheus remains faithful to living systems over time:</w:t>
      </w:r>
    </w:p>
    <w:p w14:paraId="29AC2D46" w14:textId="04FE98C2"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performance can improve;</w:t>
      </w:r>
      <w:r w:rsidRPr="00B479AE">
        <w:rPr>
          <w:rFonts w:ascii="Baskerville Old Face" w:hAnsi="Baskerville Old Face"/>
          <w:i/>
          <w:iCs/>
        </w:rPr>
        <w:br/>
        <w:t>performance can decline;</w:t>
      </w:r>
      <w:r w:rsidRPr="00B479AE">
        <w:rPr>
          <w:rFonts w:ascii="Baskerville Old Face" w:hAnsi="Baskerville Old Face"/>
          <w:i/>
          <w:iCs/>
        </w:rPr>
        <w:br/>
        <w:t>confidence can increase;</w:t>
      </w:r>
      <w:r w:rsidRPr="00B479AE">
        <w:rPr>
          <w:rFonts w:ascii="Baskerville Old Face" w:hAnsi="Baskerville Old Face"/>
          <w:i/>
          <w:iCs/>
        </w:rPr>
        <w:br/>
        <w:t>confidence can decrease;</w:t>
      </w:r>
      <w:r w:rsidRPr="00B479AE">
        <w:rPr>
          <w:rFonts w:ascii="Baskerville Old Face" w:hAnsi="Baskerville Old Face"/>
          <w:i/>
          <w:iCs/>
        </w:rPr>
        <w:br/>
      </w:r>
      <w:r w:rsidR="002E7C95" w:rsidRPr="00B479AE">
        <w:rPr>
          <w:rFonts w:ascii="Baskerville Old Face" w:hAnsi="Baskerville Old Face"/>
          <w:i/>
          <w:iCs/>
        </w:rPr>
        <w:t>maturity classes</w:t>
      </w:r>
      <w:r w:rsidRPr="00B479AE">
        <w:rPr>
          <w:rFonts w:ascii="Baskerville Old Face" w:hAnsi="Baskerville Old Face"/>
          <w:i/>
          <w:iCs/>
        </w:rPr>
        <w:t xml:space="preserve"> can evolve;</w:t>
      </w:r>
      <w:r w:rsidRPr="00B479AE">
        <w:rPr>
          <w:rFonts w:ascii="Baskerville Old Face" w:hAnsi="Baskerville Old Face"/>
          <w:i/>
          <w:iCs/>
        </w:rPr>
        <w:br/>
        <w:t>admissibility can change;</w:t>
      </w:r>
      <w:r w:rsidRPr="00B479AE">
        <w:rPr>
          <w:rFonts w:ascii="Baskerville Old Face" w:hAnsi="Baskerville Old Face"/>
          <w:i/>
          <w:iCs/>
        </w:rPr>
        <w:br/>
        <w:t>capital-readiness can mature or regress.</w:t>
      </w:r>
    </w:p>
    <w:p w14:paraId="4D51A27B"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The formula is therefore not an automatic value engine.</w:t>
      </w:r>
    </w:p>
    <w:p w14:paraId="4FD33089"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is a discipline of temporal honesty.</w:t>
      </w:r>
    </w:p>
    <w:p w14:paraId="73F9C82A"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Prometheus does not freeze living systems into fixed abstractions.</w:t>
      </w:r>
    </w:p>
    <w:p w14:paraId="5080EFA3" w14:textId="77777777" w:rsidR="0086621A" w:rsidRPr="00B479AE" w:rsidRDefault="0086621A" w:rsidP="0086621A">
      <w:pPr>
        <w:spacing w:line="360" w:lineRule="auto"/>
        <w:rPr>
          <w:rFonts w:ascii="Baskerville Old Face" w:hAnsi="Baskerville Old Face"/>
          <w:i/>
          <w:iCs/>
        </w:rPr>
      </w:pPr>
      <w:r w:rsidRPr="00B479AE">
        <w:rPr>
          <w:rFonts w:ascii="Baskerville Old Face" w:hAnsi="Baskerville Old Face"/>
          <w:i/>
          <w:iCs/>
        </w:rPr>
        <w:t>It updates interpretation as evidence changes.</w:t>
      </w:r>
    </w:p>
    <w:p w14:paraId="6D7A0D46" w14:textId="77777777" w:rsidR="00F90AA4" w:rsidRPr="00B479AE" w:rsidRDefault="00F90AA4" w:rsidP="00F90AA4">
      <w:pPr>
        <w:spacing w:line="360" w:lineRule="auto"/>
        <w:rPr>
          <w:rFonts w:ascii="Baskerville Old Face" w:hAnsi="Baskerville Old Face"/>
          <w:b/>
          <w:bCs/>
          <w:i/>
          <w:iCs/>
        </w:rPr>
      </w:pPr>
      <w:r w:rsidRPr="00B479AE">
        <w:rPr>
          <w:rFonts w:ascii="Baskerville Old Face" w:hAnsi="Baskerville Old Face"/>
          <w:b/>
          <w:bCs/>
          <w:i/>
          <w:iCs/>
        </w:rPr>
        <w:t>R.29 Maturity-to-Finance Boundary</w:t>
      </w:r>
    </w:p>
    <w:p w14:paraId="7E5C3402"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PRU maturity classes may support finance-readiness assessment.</w:t>
      </w:r>
    </w:p>
    <w:p w14:paraId="32441B0D"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They should not automatically trigger financing.</w:t>
      </w:r>
    </w:p>
    <w:p w14:paraId="79CE91F8"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A PRU maturity classification may help identify:</w:t>
      </w:r>
    </w:p>
    <w:p w14:paraId="04C2C58B"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evidence is mature;</w:t>
      </w:r>
    </w:p>
    <w:p w14:paraId="3F210F15"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MRV confidence is sufficient;</w:t>
      </w:r>
    </w:p>
    <w:p w14:paraId="724C6B32"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governance is ready;</w:t>
      </w:r>
    </w:p>
    <w:p w14:paraId="78B963CF"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legal structure is incomplete;</w:t>
      </w:r>
    </w:p>
    <w:p w14:paraId="7B36E5C5"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reporting is credible;</w:t>
      </w:r>
    </w:p>
    <w:p w14:paraId="0419B43A"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risk is manageable;</w:t>
      </w:r>
    </w:p>
    <w:p w14:paraId="6923B9B5"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additional MRV is needed;</w:t>
      </w:r>
    </w:p>
    <w:p w14:paraId="1A984E24"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lastRenderedPageBreak/>
        <w:t>• whether a project is suitable for further diligence;</w:t>
      </w:r>
    </w:p>
    <w:p w14:paraId="5FFA7871"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whether portfolio inclusion should remain internal, restricted, conditional, or legally structured.</w:t>
      </w:r>
    </w:p>
    <w:p w14:paraId="26EB7E30"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A PRU maturity classification should not automatically create:</w:t>
      </w:r>
    </w:p>
    <w:p w14:paraId="3354C9EF"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loan approval;</w:t>
      </w:r>
    </w:p>
    <w:p w14:paraId="56D3AF23"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security issuance;</w:t>
      </w:r>
    </w:p>
    <w:p w14:paraId="11F2BF57"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token issuance;</w:t>
      </w:r>
    </w:p>
    <w:p w14:paraId="28A3161E"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fund inclusion;</w:t>
      </w:r>
    </w:p>
    <w:p w14:paraId="13944881"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investor suitability;</w:t>
      </w:r>
    </w:p>
    <w:p w14:paraId="3AAE3AE8"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insurance eligibility;</w:t>
      </w:r>
    </w:p>
    <w:p w14:paraId="4916990B"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collateral recognition;</w:t>
      </w:r>
    </w:p>
    <w:p w14:paraId="02FA0EC5"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government guarantee;</w:t>
      </w:r>
    </w:p>
    <w:p w14:paraId="4E1551E4"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regulated credit rating;</w:t>
      </w:r>
    </w:p>
    <w:p w14:paraId="22F365C2"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market price;</w:t>
      </w:r>
    </w:p>
    <w:p w14:paraId="6E938A5B"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investment entitlement.</w:t>
      </w:r>
    </w:p>
    <w:p w14:paraId="2D2FBED2"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Maturity classification informs review.</w:t>
      </w:r>
    </w:p>
    <w:p w14:paraId="1BB83836"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It does not replace underwriting.</w:t>
      </w:r>
    </w:p>
    <w:p w14:paraId="055132C2"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It does not replace legal review.</w:t>
      </w:r>
    </w:p>
    <w:p w14:paraId="1714E65D"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It does not replace investor suitability analysis.</w:t>
      </w:r>
    </w:p>
    <w:p w14:paraId="17D645DE"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It does not replace regulatory compliance.</w:t>
      </w:r>
    </w:p>
    <w:p w14:paraId="12432573"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The correct interpretation is:</w:t>
      </w:r>
    </w:p>
    <w:p w14:paraId="3500716A"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 xml:space="preserve">PRU maturity class </w:t>
      </w:r>
      <w:r w:rsidRPr="00B479AE">
        <w:rPr>
          <w:rFonts w:ascii="Times New Roman" w:hAnsi="Times New Roman" w:cs="Times New Roman"/>
          <w:i/>
          <w:iCs/>
        </w:rPr>
        <w:t>→</w:t>
      </w:r>
      <w:r w:rsidRPr="00B479AE">
        <w:rPr>
          <w:rFonts w:ascii="Baskerville Old Face" w:hAnsi="Baskerville Old Face"/>
          <w:i/>
          <w:iCs/>
        </w:rPr>
        <w:t xml:space="preserve"> diligence signal </w:t>
      </w:r>
      <w:r w:rsidRPr="00B479AE">
        <w:rPr>
          <w:rFonts w:ascii="Times New Roman" w:hAnsi="Times New Roman" w:cs="Times New Roman"/>
          <w:i/>
          <w:iCs/>
        </w:rPr>
        <w:t>→</w:t>
      </w:r>
      <w:r w:rsidRPr="00B479AE">
        <w:rPr>
          <w:rFonts w:ascii="Baskerville Old Face" w:hAnsi="Baskerville Old Face"/>
          <w:i/>
          <w:iCs/>
        </w:rPr>
        <w:t xml:space="preserve"> underwriting review </w:t>
      </w:r>
      <w:r w:rsidRPr="00B479AE">
        <w:rPr>
          <w:rFonts w:ascii="Times New Roman" w:hAnsi="Times New Roman" w:cs="Times New Roman"/>
          <w:i/>
          <w:iCs/>
        </w:rPr>
        <w:t>→</w:t>
      </w:r>
      <w:r w:rsidRPr="00B479AE">
        <w:rPr>
          <w:rFonts w:ascii="Baskerville Old Face" w:hAnsi="Baskerville Old Face"/>
          <w:i/>
          <w:iCs/>
        </w:rPr>
        <w:t xml:space="preserve"> legal structuring where required </w:t>
      </w:r>
      <w:r w:rsidRPr="00B479AE">
        <w:rPr>
          <w:rFonts w:ascii="Times New Roman" w:hAnsi="Times New Roman" w:cs="Times New Roman"/>
          <w:i/>
          <w:iCs/>
        </w:rPr>
        <w:t>→</w:t>
      </w:r>
      <w:r w:rsidRPr="00B479AE">
        <w:rPr>
          <w:rFonts w:ascii="Baskerville Old Face" w:hAnsi="Baskerville Old Face"/>
          <w:i/>
          <w:iCs/>
        </w:rPr>
        <w:t xml:space="preserve"> capital decision.</w:t>
      </w:r>
    </w:p>
    <w:p w14:paraId="6D0BB1AB" w14:textId="77777777"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lastRenderedPageBreak/>
        <w:t>The maturity class may support capital-readiness.</w:t>
      </w:r>
    </w:p>
    <w:p w14:paraId="74ABD5DE" w14:textId="5746DF83" w:rsidR="00F90AA4" w:rsidRPr="00B479AE" w:rsidRDefault="00F90AA4" w:rsidP="00F90AA4">
      <w:pPr>
        <w:spacing w:line="360" w:lineRule="auto"/>
        <w:rPr>
          <w:rFonts w:ascii="Baskerville Old Face" w:hAnsi="Baskerville Old Face"/>
          <w:i/>
          <w:iCs/>
        </w:rPr>
      </w:pPr>
      <w:r w:rsidRPr="00B479AE">
        <w:rPr>
          <w:rFonts w:ascii="Baskerville Old Face" w:hAnsi="Baskerville Old Face"/>
          <w:i/>
          <w:iCs/>
        </w:rPr>
        <w:t>It does not create capital access by itself.</w:t>
      </w:r>
      <w:r w:rsidR="00D133CF" w:rsidRPr="00B479AE">
        <w:rPr>
          <w:rFonts w:ascii="Baskerville Old Face" w:hAnsi="Baskerville Old Face"/>
          <w:i/>
          <w:iCs/>
        </w:rPr>
        <w:t xml:space="preserve"> </w:t>
      </w:r>
    </w:p>
    <w:p w14:paraId="551CF8E3" w14:textId="77777777" w:rsidR="00D133CF" w:rsidRPr="00B479AE" w:rsidRDefault="00D133CF" w:rsidP="00D133CF">
      <w:pPr>
        <w:spacing w:line="360" w:lineRule="auto"/>
        <w:rPr>
          <w:rFonts w:ascii="Baskerville Old Face" w:hAnsi="Baskerville Old Face"/>
          <w:b/>
          <w:bCs/>
          <w:i/>
          <w:iCs/>
        </w:rPr>
      </w:pPr>
      <w:r w:rsidRPr="00B479AE">
        <w:rPr>
          <w:rFonts w:ascii="Baskerville Old Face" w:hAnsi="Baskerville Old Face"/>
          <w:b/>
          <w:bCs/>
          <w:i/>
          <w:iCs/>
        </w:rPr>
        <w:t>R.30 Investor Reporting</w:t>
      </w:r>
    </w:p>
    <w:p w14:paraId="5384EF56"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Investor reporting within Prometheus should integrate financial, ecological, operational, governance, legal, MRV, and risk data.</w:t>
      </w:r>
    </w:p>
    <w:p w14:paraId="2DDE8C09"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A mature report may include:</w:t>
      </w:r>
    </w:p>
    <w:p w14:paraId="4DAF0E49"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NAV or indicative value analysis, where legally and methodologically appropriate;</w:t>
      </w:r>
    </w:p>
    <w:p w14:paraId="4FC3D844"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PRU score, where methodology supports such use;</w:t>
      </w:r>
    </w:p>
    <w:p w14:paraId="274C8910"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PRU maturity class;</w:t>
      </w:r>
    </w:p>
    <w:p w14:paraId="3E32F4EB"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MRV confidence score;</w:t>
      </w:r>
    </w:p>
    <w:p w14:paraId="43EAA780"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ecological delta;</w:t>
      </w:r>
    </w:p>
    <w:p w14:paraId="1C28A1F5"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cash-flow performance;</w:t>
      </w:r>
    </w:p>
    <w:p w14:paraId="5DDA0048"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revenue breakdown;</w:t>
      </w:r>
    </w:p>
    <w:p w14:paraId="0F49A08D"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operating costs;</w:t>
      </w:r>
    </w:p>
    <w:p w14:paraId="16A10543"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reserves;</w:t>
      </w:r>
    </w:p>
    <w:p w14:paraId="3A538C1E"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reinvestment;</w:t>
      </w:r>
    </w:p>
    <w:p w14:paraId="32333E41"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risk dashboard;</w:t>
      </w:r>
    </w:p>
    <w:p w14:paraId="72E817E8"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adverse events;</w:t>
      </w:r>
    </w:p>
    <w:p w14:paraId="4CEA0662"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methodology version;</w:t>
      </w:r>
    </w:p>
    <w:p w14:paraId="4903B50B"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audit status;</w:t>
      </w:r>
    </w:p>
    <w:p w14:paraId="2E453FDD"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no-double-counting statement;</w:t>
      </w:r>
    </w:p>
    <w:p w14:paraId="31AFC519"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legal wrapper status;</w:t>
      </w:r>
    </w:p>
    <w:p w14:paraId="3F291252"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lastRenderedPageBreak/>
        <w:t>• portfolio composition;</w:t>
      </w:r>
    </w:p>
    <w:p w14:paraId="25B09D25"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ESG / nature disclosure compatibility;</w:t>
      </w:r>
    </w:p>
    <w:p w14:paraId="0389679E"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claim traceability and disclosure boundary;</w:t>
      </w:r>
    </w:p>
    <w:p w14:paraId="4958BD56"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source-layer and canonical registry references where relevant.</w:t>
      </w:r>
    </w:p>
    <w:p w14:paraId="6C647B22"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This reporting allows institutional capital to evaluate regenerative infrastructure with seriousness while preserving the distinction between evidence, value, legal rights, investor exposure, and public claims.</w:t>
      </w:r>
    </w:p>
    <w:p w14:paraId="65D4C0F5" w14:textId="793795CD"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Investor reporting should be classified by use:</w:t>
      </w:r>
      <w:r w:rsidR="008B46A5" w:rsidRPr="00B479AE">
        <w:rPr>
          <w:rFonts w:ascii="Baskerville Old Face" w:hAnsi="Baskerville Old Face"/>
          <w:i/>
          <w:iCs/>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7050"/>
      </w:tblGrid>
      <w:tr w:rsidR="00126CF3" w:rsidRPr="00B479AE" w14:paraId="604D8837" w14:textId="77777777" w:rsidTr="000250EB">
        <w:trPr>
          <w:tblHeader/>
          <w:tblCellSpacing w:w="15" w:type="dxa"/>
        </w:trPr>
        <w:tc>
          <w:tcPr>
            <w:tcW w:w="0" w:type="auto"/>
            <w:vAlign w:val="center"/>
            <w:hideMark/>
          </w:tcPr>
          <w:p w14:paraId="54D4F0A3" w14:textId="77777777" w:rsidR="00126CF3" w:rsidRPr="00B479AE" w:rsidRDefault="00126CF3" w:rsidP="000250E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Reporting class</w:t>
            </w:r>
          </w:p>
        </w:tc>
        <w:tc>
          <w:tcPr>
            <w:tcW w:w="0" w:type="auto"/>
            <w:vAlign w:val="center"/>
            <w:hideMark/>
          </w:tcPr>
          <w:p w14:paraId="082075A2" w14:textId="77777777" w:rsidR="00126CF3" w:rsidRPr="00B479AE" w:rsidRDefault="00126CF3" w:rsidP="000250EB">
            <w:pPr>
              <w:spacing w:line="360" w:lineRule="auto"/>
              <w:rPr>
                <w:rFonts w:ascii="Baskerville Old Face" w:hAnsi="Baskerville Old Face"/>
                <w:b/>
                <w:bCs/>
                <w:i/>
                <w:iCs/>
                <w:sz w:val="22"/>
                <w:szCs w:val="22"/>
              </w:rPr>
            </w:pPr>
            <w:r w:rsidRPr="00B479AE">
              <w:rPr>
                <w:rFonts w:ascii="Baskerville Old Face" w:hAnsi="Baskerville Old Face"/>
                <w:b/>
                <w:bCs/>
                <w:i/>
                <w:iCs/>
                <w:sz w:val="22"/>
                <w:szCs w:val="22"/>
              </w:rPr>
              <w:t>Use</w:t>
            </w:r>
          </w:p>
        </w:tc>
      </w:tr>
      <w:tr w:rsidR="00126CF3" w:rsidRPr="00B479AE" w14:paraId="0D8C271F" w14:textId="77777777" w:rsidTr="000250EB">
        <w:trPr>
          <w:tblCellSpacing w:w="15" w:type="dxa"/>
        </w:trPr>
        <w:tc>
          <w:tcPr>
            <w:tcW w:w="0" w:type="auto"/>
            <w:vAlign w:val="center"/>
            <w:hideMark/>
          </w:tcPr>
          <w:p w14:paraId="196F80F2"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Research draft</w:t>
            </w:r>
          </w:p>
        </w:tc>
        <w:tc>
          <w:tcPr>
            <w:tcW w:w="0" w:type="auto"/>
            <w:vAlign w:val="center"/>
            <w:hideMark/>
          </w:tcPr>
          <w:p w14:paraId="65B28B05"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Internal methodology development.</w:t>
            </w:r>
          </w:p>
        </w:tc>
      </w:tr>
      <w:tr w:rsidR="00126CF3" w:rsidRPr="00B479AE" w14:paraId="3C2D6E04" w14:textId="77777777" w:rsidTr="000250EB">
        <w:trPr>
          <w:tblCellSpacing w:w="15" w:type="dxa"/>
        </w:trPr>
        <w:tc>
          <w:tcPr>
            <w:tcW w:w="0" w:type="auto"/>
            <w:vAlign w:val="center"/>
            <w:hideMark/>
          </w:tcPr>
          <w:p w14:paraId="54C57DBE"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Pilot report</w:t>
            </w:r>
          </w:p>
        </w:tc>
        <w:tc>
          <w:tcPr>
            <w:tcW w:w="0" w:type="auto"/>
            <w:vAlign w:val="center"/>
            <w:hideMark/>
          </w:tcPr>
          <w:p w14:paraId="3775C5AE"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Project learning and early MRV interpretation.</w:t>
            </w:r>
          </w:p>
        </w:tc>
      </w:tr>
      <w:tr w:rsidR="00126CF3" w:rsidRPr="00B479AE" w14:paraId="4C76CE76" w14:textId="77777777" w:rsidTr="000250EB">
        <w:trPr>
          <w:tblCellSpacing w:w="15" w:type="dxa"/>
        </w:trPr>
        <w:tc>
          <w:tcPr>
            <w:tcW w:w="0" w:type="auto"/>
            <w:vAlign w:val="center"/>
            <w:hideMark/>
          </w:tcPr>
          <w:p w14:paraId="35E26612"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MRV report</w:t>
            </w:r>
          </w:p>
        </w:tc>
        <w:tc>
          <w:tcPr>
            <w:tcW w:w="0" w:type="auto"/>
            <w:vAlign w:val="center"/>
            <w:hideMark/>
          </w:tcPr>
          <w:p w14:paraId="4972997B"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Evidence-based reporting under defined methodology.</w:t>
            </w:r>
          </w:p>
        </w:tc>
      </w:tr>
      <w:tr w:rsidR="00126CF3" w:rsidRPr="00B479AE" w14:paraId="78174675" w14:textId="77777777" w:rsidTr="000250EB">
        <w:trPr>
          <w:tblCellSpacing w:w="15" w:type="dxa"/>
        </w:trPr>
        <w:tc>
          <w:tcPr>
            <w:tcW w:w="0" w:type="auto"/>
            <w:vAlign w:val="center"/>
            <w:hideMark/>
          </w:tcPr>
          <w:p w14:paraId="04DB695A"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PRU analysis report</w:t>
            </w:r>
          </w:p>
        </w:tc>
        <w:tc>
          <w:tcPr>
            <w:tcW w:w="0" w:type="auto"/>
            <w:vAlign w:val="center"/>
            <w:hideMark/>
          </w:tcPr>
          <w:p w14:paraId="7065450F"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PRU-relevant analytical interpretation.</w:t>
            </w:r>
          </w:p>
        </w:tc>
      </w:tr>
      <w:tr w:rsidR="00126CF3" w:rsidRPr="00B479AE" w14:paraId="6107F50C" w14:textId="77777777" w:rsidTr="000250EB">
        <w:trPr>
          <w:tblCellSpacing w:w="15" w:type="dxa"/>
        </w:trPr>
        <w:tc>
          <w:tcPr>
            <w:tcW w:w="0" w:type="auto"/>
            <w:vAlign w:val="center"/>
            <w:hideMark/>
          </w:tcPr>
          <w:p w14:paraId="2FF6FA01"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Capital-readiness memo</w:t>
            </w:r>
          </w:p>
        </w:tc>
        <w:tc>
          <w:tcPr>
            <w:tcW w:w="0" w:type="auto"/>
            <w:vAlign w:val="center"/>
            <w:hideMark/>
          </w:tcPr>
          <w:p w14:paraId="30E1C9D0"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Diligence-oriented, non-offering material.</w:t>
            </w:r>
          </w:p>
        </w:tc>
      </w:tr>
      <w:tr w:rsidR="00126CF3" w:rsidRPr="00B479AE" w14:paraId="3E659DD3" w14:textId="77777777" w:rsidTr="000250EB">
        <w:trPr>
          <w:tblCellSpacing w:w="15" w:type="dxa"/>
        </w:trPr>
        <w:tc>
          <w:tcPr>
            <w:tcW w:w="0" w:type="auto"/>
            <w:vAlign w:val="center"/>
            <w:hideMark/>
          </w:tcPr>
          <w:p w14:paraId="0950A7F4"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Investor-review report</w:t>
            </w:r>
          </w:p>
        </w:tc>
        <w:tc>
          <w:tcPr>
            <w:tcW w:w="0" w:type="auto"/>
            <w:vAlign w:val="center"/>
            <w:hideMark/>
          </w:tcPr>
          <w:p w14:paraId="7647DFE7"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Shared under defined terms, disclaimers, access controls, and legal review.</w:t>
            </w:r>
          </w:p>
        </w:tc>
      </w:tr>
      <w:tr w:rsidR="00126CF3" w:rsidRPr="00B479AE" w14:paraId="11BF3A2D" w14:textId="77777777" w:rsidTr="000250EB">
        <w:trPr>
          <w:tblCellSpacing w:w="15" w:type="dxa"/>
        </w:trPr>
        <w:tc>
          <w:tcPr>
            <w:tcW w:w="0" w:type="auto"/>
            <w:vAlign w:val="center"/>
            <w:hideMark/>
          </w:tcPr>
          <w:p w14:paraId="5B6479B3"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Legal-structured report</w:t>
            </w:r>
          </w:p>
        </w:tc>
        <w:tc>
          <w:tcPr>
            <w:tcW w:w="0" w:type="auto"/>
            <w:vAlign w:val="center"/>
            <w:hideMark/>
          </w:tcPr>
          <w:p w14:paraId="389D9DE5"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Connected to a specific legal instrument, wrapper, vehicle, or regulated pathway.</w:t>
            </w:r>
          </w:p>
        </w:tc>
      </w:tr>
      <w:tr w:rsidR="00126CF3" w:rsidRPr="00B479AE" w14:paraId="60993075" w14:textId="77777777" w:rsidTr="000250EB">
        <w:trPr>
          <w:tblCellSpacing w:w="15" w:type="dxa"/>
        </w:trPr>
        <w:tc>
          <w:tcPr>
            <w:tcW w:w="0" w:type="auto"/>
            <w:vAlign w:val="center"/>
            <w:hideMark/>
          </w:tcPr>
          <w:p w14:paraId="70279DF9"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Public impact report</w:t>
            </w:r>
          </w:p>
        </w:tc>
        <w:tc>
          <w:tcPr>
            <w:tcW w:w="0" w:type="auto"/>
            <w:vAlign w:val="center"/>
            <w:hideMark/>
          </w:tcPr>
          <w:p w14:paraId="3AE43A31" w14:textId="77777777" w:rsidR="00126CF3" w:rsidRPr="00B479AE" w:rsidRDefault="00126CF3" w:rsidP="000250EB">
            <w:pPr>
              <w:spacing w:line="360" w:lineRule="auto"/>
              <w:rPr>
                <w:rFonts w:ascii="Baskerville Old Face" w:hAnsi="Baskerville Old Face"/>
                <w:i/>
                <w:iCs/>
                <w:sz w:val="22"/>
                <w:szCs w:val="22"/>
              </w:rPr>
            </w:pPr>
            <w:r w:rsidRPr="00B479AE">
              <w:rPr>
                <w:rFonts w:ascii="Baskerville Old Face" w:hAnsi="Baskerville Old Face"/>
                <w:i/>
                <w:iCs/>
                <w:sz w:val="22"/>
                <w:szCs w:val="22"/>
              </w:rPr>
              <w:t>Public communication with carefully bounded claims.</w:t>
            </w:r>
          </w:p>
        </w:tc>
      </w:tr>
    </w:tbl>
    <w:p w14:paraId="42DA2217" w14:textId="5B356A63"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Reporting class determines permitted language.</w:t>
      </w:r>
    </w:p>
    <w:p w14:paraId="455A99D5"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Permitted language determines disclosure risk.</w:t>
      </w:r>
    </w:p>
    <w:p w14:paraId="3FCC532D"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Disclosure risk determines review requirements.</w:t>
      </w:r>
    </w:p>
    <w:p w14:paraId="1C9FB42D"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 xml:space="preserve">No investor-facing report should imply that PRU analysis, maturity classification, RAP aggregation, dashboard output, ecological improvement, or regenerative performance creates investment rights, </w:t>
      </w:r>
      <w:r w:rsidRPr="00B479AE">
        <w:rPr>
          <w:rFonts w:ascii="Baskerville Old Face" w:hAnsi="Baskerville Old Face"/>
          <w:i/>
          <w:iCs/>
        </w:rPr>
        <w:lastRenderedPageBreak/>
        <w:t>token rights, securities, collateral recognition, credit eligibility, insurance eligibility, public-offering status, or market-facing entitlement unless a legally reviewed instrument expressly creates such rights.</w:t>
      </w:r>
    </w:p>
    <w:p w14:paraId="35CFD91F"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The operational rule is:</w:t>
      </w:r>
    </w:p>
    <w:p w14:paraId="01C94BA3"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reporting may inform diligence;</w:t>
      </w:r>
    </w:p>
    <w:p w14:paraId="226769BC"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diligence may support structuring;</w:t>
      </w:r>
    </w:p>
    <w:p w14:paraId="745009A4"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structuring may support capital;</w:t>
      </w:r>
    </w:p>
    <w:p w14:paraId="3D8EE033" w14:textId="77777777" w:rsidR="00D133CF" w:rsidRPr="00B479AE" w:rsidRDefault="00D133CF" w:rsidP="00D133CF">
      <w:pPr>
        <w:spacing w:line="360" w:lineRule="auto"/>
        <w:rPr>
          <w:rFonts w:ascii="Baskerville Old Face" w:hAnsi="Baskerville Old Face"/>
          <w:i/>
          <w:iCs/>
        </w:rPr>
      </w:pPr>
      <w:r w:rsidRPr="00B479AE">
        <w:rPr>
          <w:rFonts w:ascii="Baskerville Old Face" w:hAnsi="Baskerville Old Face"/>
          <w:i/>
          <w:iCs/>
        </w:rPr>
        <w:t>but reporting does not create rights by itself.</w:t>
      </w:r>
    </w:p>
    <w:p w14:paraId="07B90E12" w14:textId="77777777" w:rsidR="008B46A5" w:rsidRPr="00B479AE" w:rsidRDefault="008B46A5" w:rsidP="00B96D64">
      <w:pPr>
        <w:spacing w:line="360" w:lineRule="auto"/>
        <w:rPr>
          <w:rFonts w:ascii="Baskerville Old Face" w:hAnsi="Baskerville Old Face"/>
          <w:b/>
          <w:bCs/>
          <w:i/>
          <w:iCs/>
        </w:rPr>
      </w:pPr>
    </w:p>
    <w:p w14:paraId="0CCB9932" w14:textId="14046590" w:rsidR="00B96D64" w:rsidRPr="00B479AE" w:rsidRDefault="00B96D64" w:rsidP="00B96D64">
      <w:pPr>
        <w:spacing w:line="360" w:lineRule="auto"/>
        <w:rPr>
          <w:rFonts w:ascii="Baskerville Old Face" w:hAnsi="Baskerville Old Face"/>
          <w:b/>
          <w:bCs/>
          <w:i/>
          <w:iCs/>
        </w:rPr>
      </w:pPr>
      <w:r w:rsidRPr="00B479AE">
        <w:rPr>
          <w:rFonts w:ascii="Baskerville Old Face" w:hAnsi="Baskerville Old Face"/>
          <w:b/>
          <w:bCs/>
          <w:i/>
          <w:iCs/>
        </w:rPr>
        <w:t>R.31 Structured Finance and Securitization Boundary</w:t>
      </w:r>
    </w:p>
    <w:p w14:paraId="79C0D386"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PRU and RAP logic may, in future, support structured-finance exploration.</w:t>
      </w:r>
    </w:p>
    <w:p w14:paraId="757FBD01"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Possible structures may include:</w:t>
      </w:r>
    </w:p>
    <w:p w14:paraId="4082BCFC"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project finance;</w:t>
      </w:r>
    </w:p>
    <w:p w14:paraId="7298DF7E"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blended finance;</w:t>
      </w:r>
    </w:p>
    <w:p w14:paraId="6DC2DDB5"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private credit;</w:t>
      </w:r>
    </w:p>
    <w:p w14:paraId="67C0492F"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SPV;</w:t>
      </w:r>
    </w:p>
    <w:p w14:paraId="56C48795"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fund vehicle;</w:t>
      </w:r>
    </w:p>
    <w:p w14:paraId="4C925477"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note;</w:t>
      </w:r>
    </w:p>
    <w:p w14:paraId="24BF444E"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guarantee-backed structure;</w:t>
      </w:r>
    </w:p>
    <w:p w14:paraId="58AC2D77"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insurance-linked structure;</w:t>
      </w:r>
    </w:p>
    <w:p w14:paraId="605912DC"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revenue-linked instrument;</w:t>
      </w:r>
    </w:p>
    <w:p w14:paraId="54355996"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xml:space="preserve">• legally structured digital representation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compliant.</w:t>
      </w:r>
    </w:p>
    <w:p w14:paraId="1DBABD44"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These structures do not arise automatically from PRU analysis.</w:t>
      </w:r>
    </w:p>
    <w:p w14:paraId="1FFB9127"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lastRenderedPageBreak/>
        <w:t>They require legal structuring, disclosure, enforceability, investor protection, jurisdiction-specific review, and institutional safeguards.</w:t>
      </w:r>
    </w:p>
    <w:p w14:paraId="10FC4888"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A long-term Prometheus structured-finance pathway may follow this sequence:</w:t>
      </w:r>
    </w:p>
    <w:p w14:paraId="39774832"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OHE deployment;</w:t>
      </w:r>
    </w:p>
    <w:p w14:paraId="3019883F"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MRV activation;</w:t>
      </w:r>
    </w:p>
    <w:p w14:paraId="5E8CA9CF"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PRU analysis;</w:t>
      </w:r>
    </w:p>
    <w:p w14:paraId="555B4AA2"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PRU maturity classification;</w:t>
      </w:r>
    </w:p>
    <w:p w14:paraId="2A4AF9ED"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RAP aggregation;</w:t>
      </w:r>
    </w:p>
    <w:p w14:paraId="1962C11B"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legal structuring through an SPV, fund, note, or equivalent vehicle where appropriate;</w:t>
      </w:r>
    </w:p>
    <w:p w14:paraId="7C96F1A3"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cash-flow or value-allocation framework where legally defined;</w:t>
      </w:r>
    </w:p>
    <w:p w14:paraId="45C0E955"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credit enhancement where available;</w:t>
      </w:r>
    </w:p>
    <w:p w14:paraId="14C44A1B"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investor reporting;</w:t>
      </w:r>
    </w:p>
    <w:p w14:paraId="495BBAAF"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possible compliant institutional or digital representation.</w:t>
      </w:r>
    </w:p>
    <w:p w14:paraId="5F15B359"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However, securitization eligibility should be treated as a future legal and institutional pathway.</w:t>
      </w:r>
    </w:p>
    <w:p w14:paraId="5E8E4D20"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It requires:</w:t>
      </w:r>
    </w:p>
    <w:p w14:paraId="14319EC4"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underlying asset maturity;</w:t>
      </w:r>
    </w:p>
    <w:p w14:paraId="4EA48C62"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PRU methodology maturity;</w:t>
      </w:r>
    </w:p>
    <w:p w14:paraId="19AA7ADF"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MRV admissibility;</w:t>
      </w:r>
    </w:p>
    <w:p w14:paraId="3C388CBC"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legal enforceability;</w:t>
      </w:r>
    </w:p>
    <w:p w14:paraId="607BEC53"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investor disclosures;</w:t>
      </w:r>
    </w:p>
    <w:p w14:paraId="0D2618CD"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asset eligibility criteria;</w:t>
      </w:r>
    </w:p>
    <w:p w14:paraId="0992327D"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risk stratification;</w:t>
      </w:r>
    </w:p>
    <w:p w14:paraId="48A799DC"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lastRenderedPageBreak/>
        <w:t>• data-room discipline;</w:t>
      </w:r>
    </w:p>
    <w:p w14:paraId="60C66C74"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jurisdictional review;</w:t>
      </w:r>
    </w:p>
    <w:p w14:paraId="373B8EAF"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servicing or monitoring structure;</w:t>
      </w:r>
    </w:p>
    <w:p w14:paraId="02DDA2AC"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no-double-counting controls;</w:t>
      </w:r>
    </w:p>
    <w:p w14:paraId="0BB664D3"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regulatory analysis;</w:t>
      </w:r>
    </w:p>
    <w:p w14:paraId="6F4698F1"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source-to-capital traceability;</w:t>
      </w:r>
    </w:p>
    <w:p w14:paraId="02663F6B"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public-claim boundary discipline.</w:t>
      </w:r>
    </w:p>
    <w:p w14:paraId="279BA964"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The correct language is:</w:t>
      </w:r>
    </w:p>
    <w:p w14:paraId="19BE19AE"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PRU and RAP may support future structured-finance analysis where evidence, methodology, legal structure, and institutional safeguards are mature enough.</w:t>
      </w:r>
    </w:p>
    <w:p w14:paraId="2CEBE31B"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 xml:space="preserve">Prometheus should not imply that PRUs are </w:t>
      </w:r>
      <w:proofErr w:type="spellStart"/>
      <w:r w:rsidRPr="00B479AE">
        <w:rPr>
          <w:rFonts w:ascii="Baskerville Old Face" w:hAnsi="Baskerville Old Face"/>
          <w:i/>
          <w:iCs/>
        </w:rPr>
        <w:t>securitizable</w:t>
      </w:r>
      <w:proofErr w:type="spellEnd"/>
      <w:r w:rsidRPr="00B479AE">
        <w:rPr>
          <w:rFonts w:ascii="Baskerville Old Face" w:hAnsi="Baskerville Old Face"/>
          <w:i/>
          <w:iCs/>
        </w:rPr>
        <w:t xml:space="preserve"> by default.</w:t>
      </w:r>
    </w:p>
    <w:p w14:paraId="707453CE"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Prometheus does not move from evidence to issuance automatically.</w:t>
      </w:r>
    </w:p>
    <w:p w14:paraId="39BFED3D"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It moves from evidence to review, from review to admissibility, from admissibility to legal structure, and only then to possible compliant representation.</w:t>
      </w:r>
    </w:p>
    <w:p w14:paraId="12FD0A1D"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The asset base comes first.</w:t>
      </w:r>
    </w:p>
    <w:p w14:paraId="1079C2EB" w14:textId="77777777" w:rsidR="00B96D64" w:rsidRPr="00B479AE" w:rsidRDefault="00B96D64" w:rsidP="00B96D64">
      <w:pPr>
        <w:spacing w:line="360" w:lineRule="auto"/>
        <w:rPr>
          <w:rFonts w:ascii="Baskerville Old Face" w:hAnsi="Baskerville Old Face"/>
          <w:i/>
          <w:iCs/>
        </w:rPr>
      </w:pPr>
      <w:r w:rsidRPr="00B479AE">
        <w:rPr>
          <w:rFonts w:ascii="Baskerville Old Face" w:hAnsi="Baskerville Old Face"/>
          <w:i/>
          <w:iCs/>
        </w:rPr>
        <w:t>The instrument comes after.</w:t>
      </w:r>
    </w:p>
    <w:p w14:paraId="25877451" w14:textId="77777777" w:rsidR="00C075B7" w:rsidRPr="00B479AE" w:rsidRDefault="00C075B7" w:rsidP="00C075B7">
      <w:pPr>
        <w:spacing w:line="360" w:lineRule="auto"/>
        <w:rPr>
          <w:rFonts w:ascii="Baskerville Old Face" w:hAnsi="Baskerville Old Face"/>
          <w:b/>
          <w:bCs/>
          <w:i/>
          <w:iCs/>
        </w:rPr>
      </w:pPr>
      <w:r w:rsidRPr="00B479AE">
        <w:rPr>
          <w:rFonts w:ascii="Baskerville Old Face" w:hAnsi="Baskerville Old Face"/>
          <w:b/>
          <w:bCs/>
          <w:i/>
          <w:iCs/>
        </w:rPr>
        <w:t>R.32 Integration with Ravel</w:t>
      </w:r>
    </w:p>
    <w:p w14:paraId="58861952"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Ravel may support PRU value analysis and maturity classification by identifying systemic risks.</w:t>
      </w:r>
    </w:p>
    <w:p w14:paraId="2B864D16"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Ravel may flag:</w:t>
      </w:r>
    </w:p>
    <w:p w14:paraId="5A4806DA"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evidence-to-claim mismatch;</w:t>
      </w:r>
    </w:p>
    <w:p w14:paraId="183BCC70"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capital pressure;</w:t>
      </w:r>
    </w:p>
    <w:p w14:paraId="491EA61A"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governance overload;</w:t>
      </w:r>
    </w:p>
    <w:p w14:paraId="37D6FCE0"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lastRenderedPageBreak/>
        <w:t>• legal readiness gaps;</w:t>
      </w:r>
    </w:p>
    <w:p w14:paraId="4DAFF783"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MRV weakness;</w:t>
      </w:r>
    </w:p>
    <w:p w14:paraId="72B74A22"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token-boundary confusion;</w:t>
      </w:r>
    </w:p>
    <w:p w14:paraId="7CA3E99E"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continuity risk;</w:t>
      </w:r>
    </w:p>
    <w:p w14:paraId="37464890"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semantic drift;</w:t>
      </w:r>
    </w:p>
    <w:p w14:paraId="1E5A8106"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portfolio concentration;</w:t>
      </w:r>
    </w:p>
    <w:p w14:paraId="11148C50"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operational fragility;</w:t>
      </w:r>
    </w:p>
    <w:p w14:paraId="5C579754"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dashboard-to-authority confusion;</w:t>
      </w:r>
    </w:p>
    <w:p w14:paraId="2755492F"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source-layer fidelity risk;</w:t>
      </w:r>
    </w:p>
    <w:p w14:paraId="0DE5577C"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 public-claim overreach.</w:t>
      </w:r>
    </w:p>
    <w:p w14:paraId="3259E77F"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Ravel signals should be used as review inputs.</w:t>
      </w:r>
    </w:p>
    <w:p w14:paraId="3E12B67F"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They should not automatically downgrade, suspend, disqualify, restrict, approve, or authorize PRU analysis without review.</w:t>
      </w:r>
    </w:p>
    <w:p w14:paraId="6EF00B4A"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The relationship is:</w:t>
      </w:r>
    </w:p>
    <w:p w14:paraId="09EDF7F8"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Ravel signals risk.</w:t>
      </w:r>
    </w:p>
    <w:p w14:paraId="094E8FBB"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MRV verifies evidence.</w:t>
      </w:r>
    </w:p>
    <w:p w14:paraId="25ECB9F9"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PRU analyzes regenerative performance.</w:t>
      </w:r>
    </w:p>
    <w:p w14:paraId="05A7526A"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Governance reviews admissibility.</w:t>
      </w:r>
    </w:p>
    <w:p w14:paraId="7F114E86"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Legal structure defines enforceability.</w:t>
      </w:r>
    </w:p>
    <w:p w14:paraId="55FE565A"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Capital acts within the resulting boundary.</w:t>
      </w:r>
    </w:p>
    <w:p w14:paraId="19439549"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Ravel is a diagnostic layer.</w:t>
      </w:r>
    </w:p>
    <w:p w14:paraId="50C2DC26"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PRU is an analytical value layer.</w:t>
      </w:r>
    </w:p>
    <w:p w14:paraId="5E847458"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lastRenderedPageBreak/>
        <w:t>Governance is the authorization layer.</w:t>
      </w:r>
    </w:p>
    <w:p w14:paraId="1A704C4E"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Law is the enforceability layer.</w:t>
      </w:r>
    </w:p>
    <w:p w14:paraId="612C1B3C" w14:textId="77777777" w:rsidR="00C075B7" w:rsidRPr="00B479AE" w:rsidRDefault="00C075B7" w:rsidP="00C075B7">
      <w:pPr>
        <w:spacing w:line="360" w:lineRule="auto"/>
        <w:rPr>
          <w:rFonts w:ascii="Baskerville Old Face" w:hAnsi="Baskerville Old Face"/>
          <w:i/>
          <w:iCs/>
        </w:rPr>
      </w:pPr>
      <w:r w:rsidRPr="00B479AE">
        <w:rPr>
          <w:rFonts w:ascii="Baskerville Old Face" w:hAnsi="Baskerville Old Face"/>
          <w:i/>
          <w:iCs/>
        </w:rPr>
        <w:t>Neither Ravel nor PRU becomes sovereign authority.</w:t>
      </w:r>
    </w:p>
    <w:p w14:paraId="630C6EE6" w14:textId="77777777" w:rsidR="00B95061" w:rsidRPr="00B479AE" w:rsidRDefault="00B95061" w:rsidP="00B95061">
      <w:pPr>
        <w:spacing w:line="360" w:lineRule="auto"/>
        <w:rPr>
          <w:rFonts w:ascii="Baskerville Old Face" w:hAnsi="Baskerville Old Face"/>
          <w:b/>
          <w:bCs/>
          <w:i/>
          <w:iCs/>
        </w:rPr>
      </w:pPr>
      <w:r w:rsidRPr="00B479AE">
        <w:rPr>
          <w:rFonts w:ascii="Baskerville Old Face" w:hAnsi="Baskerville Old Face"/>
          <w:b/>
          <w:bCs/>
          <w:i/>
          <w:iCs/>
        </w:rPr>
        <w:t>R.33 Integration with PHI and Planetary Boundaries</w:t>
      </w:r>
    </w:p>
    <w:p w14:paraId="6F075747"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PHI and Planetary Boundaries may support PRU analysis by providing ecological context.</w:t>
      </w:r>
    </w:p>
    <w:p w14:paraId="07AC3AF4"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They do not create PRU value by themselves.</w:t>
      </w:r>
    </w:p>
    <w:p w14:paraId="755E555D"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They do not replace MRV.</w:t>
      </w:r>
    </w:p>
    <w:p w14:paraId="3EFDCFDD"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They do not replace field evidence.</w:t>
      </w:r>
    </w:p>
    <w:p w14:paraId="2A1C2D86"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They do not replace local ecological assessment.</w:t>
      </w:r>
    </w:p>
    <w:p w14:paraId="160B3829"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They do not replace methodology, governance review, legal review, or admissibility analysis.</w:t>
      </w:r>
    </w:p>
    <w:p w14:paraId="47764580"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Their function is contextual.</w:t>
      </w:r>
    </w:p>
    <w:p w14:paraId="1F5519B7"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PHI and Planetary Boundaries may inform:</w:t>
      </w:r>
    </w:p>
    <w:p w14:paraId="1EC84FA2"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indicator selection;</w:t>
      </w:r>
    </w:p>
    <w:p w14:paraId="05A3BEA4"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boundary-pressure profile;</w:t>
      </w:r>
    </w:p>
    <w:p w14:paraId="75D5434F"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bioregional stress interpretation;</w:t>
      </w:r>
    </w:p>
    <w:p w14:paraId="11843493"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climate, water, biodiversity, land-use, nutrient, and pollution risk context;</w:t>
      </w:r>
    </w:p>
    <w:p w14:paraId="17E19D15"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ecological risk weighting;</w:t>
      </w:r>
    </w:p>
    <w:p w14:paraId="4553F284"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resilience analysis;</w:t>
      </w:r>
    </w:p>
    <w:p w14:paraId="408B7B29"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portfolio diversification;</w:t>
      </w:r>
    </w:p>
    <w:p w14:paraId="42009921"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climate and water exposure;</w:t>
      </w:r>
    </w:p>
    <w:p w14:paraId="2BFF5A89"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biodiversity relevance;</w:t>
      </w:r>
    </w:p>
    <w:p w14:paraId="7E41018C"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 protective review signals;</w:t>
      </w:r>
    </w:p>
    <w:p w14:paraId="1EE55883"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lastRenderedPageBreak/>
        <w:t>• capital-readiness risk interpretation.</w:t>
      </w:r>
    </w:p>
    <w:p w14:paraId="5F816EC8"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PHI or planetary-boundary scores should not directly create PRU value.</w:t>
      </w:r>
    </w:p>
    <w:p w14:paraId="0383DCA8"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They support contextual intelligence.</w:t>
      </w:r>
    </w:p>
    <w:p w14:paraId="74B4BF04"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PRU value relevance still depends on MRV-admissible evidence, methodology, confidence scoring, governance review, legal clarity, and no-double-counting discipline.</w:t>
      </w:r>
    </w:p>
    <w:p w14:paraId="5511002D"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A project located in a stressed bioregional context may require stronger evidence, more conservative interpretation, or additional risk review.</w:t>
      </w:r>
    </w:p>
    <w:p w14:paraId="0840A4C7"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A project located in a less stressed context does not automatically become PRU-eligible.</w:t>
      </w:r>
    </w:p>
    <w:p w14:paraId="32FE2562"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 relationship is:</w:t>
      </w:r>
    </w:p>
    <w:p w14:paraId="5AECF831"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planetary context informs design;</w:t>
      </w:r>
    </w:p>
    <w:p w14:paraId="4FFA569A"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bioregional evidence grounds interpretation;</w:t>
      </w:r>
    </w:p>
    <w:p w14:paraId="51D933E0"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MRV verifies performance;</w:t>
      </w:r>
    </w:p>
    <w:p w14:paraId="14A801BA"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PHI supports risk awareness;</w:t>
      </w:r>
    </w:p>
    <w:p w14:paraId="0C56FEE3"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governance determines admissibility;</w:t>
      </w:r>
    </w:p>
    <w:p w14:paraId="007CF46E"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legal structure defines capital-facing use.</w:t>
      </w:r>
    </w:p>
    <w:p w14:paraId="54B9C8A5"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A sustained decline in PHI, even while absolute values remain above critical thresholds, may trigger a yellow protective review signal, prompting proactive governance, MRV, ecological, or operational review before negative trends become harder to reverse.</w:t>
      </w:r>
    </w:p>
    <w:p w14:paraId="765353FB"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This signal should be interpreted as an early-warning and review mechanism.</w:t>
      </w:r>
    </w:p>
    <w:p w14:paraId="75C9BB04"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It should not automatically approve, reject, downgrade, suspend, disqualify, or financially reclassify a PRU, OHE, RAP, project, or portfolio.</w:t>
      </w:r>
    </w:p>
    <w:p w14:paraId="57188BF4"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 planet provides context.</w:t>
      </w:r>
    </w:p>
    <w:p w14:paraId="63BDE116"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The field provides evidence.</w:t>
      </w:r>
    </w:p>
    <w:p w14:paraId="0670F3D8"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lastRenderedPageBreak/>
        <w:t>MRV provides verification.</w:t>
      </w:r>
    </w:p>
    <w:p w14:paraId="364759B2"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Governance provides admissibility.</w:t>
      </w:r>
    </w:p>
    <w:p w14:paraId="6A48CC4A"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Law provides enforceability.</w:t>
      </w:r>
    </w:p>
    <w:p w14:paraId="05D22FCB" w14:textId="77777777" w:rsidR="00B95061" w:rsidRPr="00B479AE" w:rsidRDefault="00B95061" w:rsidP="00B95061">
      <w:pPr>
        <w:spacing w:line="360" w:lineRule="auto"/>
        <w:rPr>
          <w:rFonts w:ascii="Baskerville Old Face" w:hAnsi="Baskerville Old Face"/>
          <w:i/>
          <w:iCs/>
        </w:rPr>
      </w:pPr>
      <w:r w:rsidRPr="00B479AE">
        <w:rPr>
          <w:rFonts w:ascii="Baskerville Old Face" w:hAnsi="Baskerville Old Face"/>
          <w:i/>
          <w:iCs/>
        </w:rPr>
        <w:t>Capital acts only within the resulting boundary.</w:t>
      </w:r>
    </w:p>
    <w:p w14:paraId="2FECA432" w14:textId="77777777" w:rsidR="00D753C8" w:rsidRPr="00B479AE" w:rsidRDefault="00D753C8" w:rsidP="00D753C8">
      <w:pPr>
        <w:spacing w:line="360" w:lineRule="auto"/>
        <w:rPr>
          <w:rFonts w:ascii="Baskerville Old Face" w:hAnsi="Baskerville Old Face"/>
          <w:b/>
          <w:bCs/>
          <w:i/>
          <w:iCs/>
        </w:rPr>
      </w:pPr>
      <w:r w:rsidRPr="00B479AE">
        <w:rPr>
          <w:rFonts w:ascii="Baskerville Old Face" w:hAnsi="Baskerville Old Face"/>
          <w:b/>
          <w:bCs/>
          <w:i/>
          <w:iCs/>
        </w:rPr>
        <w:t>R.34 Integration with Legal Architecture</w:t>
      </w:r>
    </w:p>
    <w:p w14:paraId="2463D2C1"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PRU-related value claims require legal clarity.</w:t>
      </w:r>
    </w:p>
    <w:p w14:paraId="2498FF9F"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PRU analysis may support legal structuring.</w:t>
      </w:r>
    </w:p>
    <w:p w14:paraId="1C933182"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cannot replace legal structuring.</w:t>
      </w:r>
    </w:p>
    <w:p w14:paraId="55DF0B49"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cannot create legal rights by itself.</w:t>
      </w:r>
    </w:p>
    <w:p w14:paraId="68C0DF29"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cannot create investor exposure by itself.</w:t>
      </w:r>
    </w:p>
    <w:p w14:paraId="4A3E1A76"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cannot create token rights by itself.</w:t>
      </w:r>
    </w:p>
    <w:p w14:paraId="4B89F04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cannot create collateral recognition by itself.</w:t>
      </w:r>
    </w:p>
    <w:p w14:paraId="05D43568"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cannot create securities, notes, fund interests, credits, offsets, guarantees, or transferable claims by itself.</w:t>
      </w:r>
    </w:p>
    <w:p w14:paraId="39118730"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Rights arise through legal instruments.</w:t>
      </w:r>
    </w:p>
    <w:p w14:paraId="707BFCF3"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PRU supplies analytical evidence.</w:t>
      </w:r>
    </w:p>
    <w:p w14:paraId="5FA3DF2D"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Legal architecture determines whether that evidence can support a capital-facing structure.</w:t>
      </w:r>
    </w:p>
    <w:p w14:paraId="2CB5A694"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Legal review should address:</w:t>
      </w:r>
    </w:p>
    <w:p w14:paraId="4FC43E73"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PRU language creates financial implications;</w:t>
      </w:r>
    </w:p>
    <w:p w14:paraId="369CB4F1"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PRU analysis is being used internally, privately, institutionally, publicly, or investor-facing;</w:t>
      </w:r>
    </w:p>
    <w:p w14:paraId="34D6625C"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any instrument is a security, note, fund interest, derivative, credit, offset, revenue-linked instrument, tokenized instrument, or other regulated product;</w:t>
      </w:r>
    </w:p>
    <w:p w14:paraId="1F8830F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lastRenderedPageBreak/>
        <w:t>• whether investor disclosures are sufficient;</w:t>
      </w:r>
    </w:p>
    <w:p w14:paraId="46CB9A39"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claims are public, private, data-room limited, research-only, or legally structured;</w:t>
      </w:r>
    </w:p>
    <w:p w14:paraId="0BE8476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tokenization or digital representation is involved;</w:t>
      </w:r>
    </w:p>
    <w:p w14:paraId="690864A7"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data rights support the claim;</w:t>
      </w:r>
    </w:p>
    <w:p w14:paraId="020A4EE3"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land rights, revenue rights, stewardship rights, governance rights, or operational rights are implicated;</w:t>
      </w:r>
    </w:p>
    <w:p w14:paraId="60810360"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environmental claims are substantiated;</w:t>
      </w:r>
    </w:p>
    <w:p w14:paraId="506B5A76"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no-double-counting controls are sufficient;</w:t>
      </w:r>
    </w:p>
    <w:p w14:paraId="417A3084"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public-claim boundaries are clear;</w:t>
      </w:r>
    </w:p>
    <w:p w14:paraId="07A41505"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jurisdictional rules apply;</w:t>
      </w:r>
    </w:p>
    <w:p w14:paraId="3CC704DC"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the relevant legal wrapper is complete;</w:t>
      </w:r>
    </w:p>
    <w:p w14:paraId="3A122D8F"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whether the intended use is compatible with source-layer fidelity and Prometheus boundary rules.</w:t>
      </w:r>
    </w:p>
    <w:p w14:paraId="666AA548"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The legal architecture should preserve separation among:</w:t>
      </w:r>
    </w:p>
    <w:p w14:paraId="2453AF4C"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PRU analysis;</w:t>
      </w:r>
    </w:p>
    <w:p w14:paraId="3978BEE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RAP aggregation;</w:t>
      </w:r>
    </w:p>
    <w:p w14:paraId="6840FBB6"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TRBK governance or participation functions;</w:t>
      </w:r>
    </w:p>
    <w:p w14:paraId="200553C1" w14:textId="77777777" w:rsidR="00D753C8" w:rsidRPr="00B479AE" w:rsidRDefault="00D753C8" w:rsidP="00D753C8">
      <w:pPr>
        <w:spacing w:line="360" w:lineRule="auto"/>
        <w:rPr>
          <w:rFonts w:ascii="Baskerville Old Face" w:hAnsi="Baskerville Old Face"/>
          <w:i/>
          <w:iCs/>
        </w:rPr>
      </w:pP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or operational infrastructure flows;</w:t>
      </w:r>
    </w:p>
    <w:p w14:paraId="076AD667"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land rights;</w:t>
      </w:r>
    </w:p>
    <w:p w14:paraId="28AFE53E"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revenue rights;</w:t>
      </w:r>
    </w:p>
    <w:p w14:paraId="7EFA3B5C"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investor rights;</w:t>
      </w:r>
    </w:p>
    <w:p w14:paraId="60C42F55"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ecological claims;</w:t>
      </w:r>
    </w:p>
    <w:p w14:paraId="6158B3E8"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tokenized or digital representations;</w:t>
      </w:r>
    </w:p>
    <w:p w14:paraId="22FAB7EE"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lastRenderedPageBreak/>
        <w:t>regulated instruments.</w:t>
      </w:r>
    </w:p>
    <w:p w14:paraId="076EE77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This separation is essential.</w:t>
      </w:r>
    </w:p>
    <w:p w14:paraId="44B2E7C5"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A PRU may support value analysis.</w:t>
      </w:r>
    </w:p>
    <w:p w14:paraId="1E72501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A RAP may support portfolio aggregation.</w:t>
      </w:r>
    </w:p>
    <w:p w14:paraId="2277BFA0"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A legal wrapper may create rights.</w:t>
      </w:r>
    </w:p>
    <w:p w14:paraId="66FF3038"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A disclosure framework may define investor-facing language.</w:t>
      </w:r>
    </w:p>
    <w:p w14:paraId="66E9BF0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A jurisdictional review may determine regulatory treatment.</w:t>
      </w:r>
    </w:p>
    <w:p w14:paraId="3052D5A6"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A digital instrument may represent rights only if those rights already exist through a valid legal structure.</w:t>
      </w:r>
    </w:p>
    <w:p w14:paraId="74DB142C"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The correct sequence is:</w:t>
      </w:r>
    </w:p>
    <w:p w14:paraId="13A1D825"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 xml:space="preserve">MRV evidence </w:t>
      </w:r>
      <w:r w:rsidRPr="00B479AE">
        <w:rPr>
          <w:rFonts w:ascii="Times New Roman" w:hAnsi="Times New Roman" w:cs="Times New Roman"/>
          <w:i/>
          <w:iCs/>
        </w:rPr>
        <w:t>→</w:t>
      </w:r>
      <w:r w:rsidRPr="00B479AE">
        <w:rPr>
          <w:rFonts w:ascii="Baskerville Old Face" w:hAnsi="Baskerville Old Face"/>
          <w:i/>
          <w:iCs/>
        </w:rPr>
        <w:t xml:space="preserve"> PRU value analysis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legal review </w:t>
      </w:r>
      <w:r w:rsidRPr="00B479AE">
        <w:rPr>
          <w:rFonts w:ascii="Times New Roman" w:hAnsi="Times New Roman" w:cs="Times New Roman"/>
          <w:i/>
          <w:iCs/>
        </w:rPr>
        <w:t>→</w:t>
      </w:r>
      <w:r w:rsidRPr="00B479AE">
        <w:rPr>
          <w:rFonts w:ascii="Baskerville Old Face" w:hAnsi="Baskerville Old Face"/>
          <w:i/>
          <w:iCs/>
        </w:rPr>
        <w:t xml:space="preserve"> legal structure </w:t>
      </w:r>
      <w:r w:rsidRPr="00B479AE">
        <w:rPr>
          <w:rFonts w:ascii="Times New Roman" w:hAnsi="Times New Roman" w:cs="Times New Roman"/>
          <w:i/>
          <w:iCs/>
        </w:rPr>
        <w:t>→</w:t>
      </w:r>
      <w:r w:rsidRPr="00B479AE">
        <w:rPr>
          <w:rFonts w:ascii="Baskerville Old Face" w:hAnsi="Baskerville Old Face"/>
          <w:i/>
          <w:iCs/>
        </w:rPr>
        <w:t xml:space="preserve"> defined rights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42EDB62B"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Prometheus should not imply that analytical evidence automatically becomes a financial instrument.</w:t>
      </w:r>
    </w:p>
    <w:p w14:paraId="34726856"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should not imply that a PRU automatically creates rights.</w:t>
      </w:r>
    </w:p>
    <w:p w14:paraId="2419877B"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It should not imply that tokenized representation creates the underlying asset.</w:t>
      </w:r>
    </w:p>
    <w:p w14:paraId="026F442B"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The asset, right, claim, or exposure must exist through evidence, legal structure, disclosure, and jurisdiction-specific compliance before any representation can responsibly occur.</w:t>
      </w:r>
    </w:p>
    <w:p w14:paraId="0196C7DE"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The operational rule is:</w:t>
      </w:r>
    </w:p>
    <w:p w14:paraId="107E4381"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evidence informs legal structuring;</w:t>
      </w:r>
    </w:p>
    <w:p w14:paraId="56F06AA5"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legal structuring defines rights;</w:t>
      </w:r>
    </w:p>
    <w:p w14:paraId="60383142"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rights define representation;</w:t>
      </w:r>
    </w:p>
    <w:p w14:paraId="66C6A3EA"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representation does not create the underlying right.</w:t>
      </w:r>
    </w:p>
    <w:p w14:paraId="6D8B3A45"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t>This protects Prometheus from category collapse.</w:t>
      </w:r>
    </w:p>
    <w:p w14:paraId="11476959" w14:textId="77777777" w:rsidR="00D753C8" w:rsidRPr="00B479AE" w:rsidRDefault="00D753C8" w:rsidP="00D753C8">
      <w:pPr>
        <w:spacing w:line="360" w:lineRule="auto"/>
        <w:rPr>
          <w:rFonts w:ascii="Baskerville Old Face" w:hAnsi="Baskerville Old Face"/>
          <w:i/>
          <w:iCs/>
        </w:rPr>
      </w:pPr>
      <w:r w:rsidRPr="00B479AE">
        <w:rPr>
          <w:rFonts w:ascii="Baskerville Old Face" w:hAnsi="Baskerville Old Face"/>
          <w:i/>
          <w:iCs/>
        </w:rPr>
        <w:lastRenderedPageBreak/>
        <w:t>It allows PRU and RAP logic to become institutionally useful while preserving the legal distinction between analysis, reporting, ownership, exposure, claims, and instruments.</w:t>
      </w:r>
    </w:p>
    <w:p w14:paraId="7D2783B2" w14:textId="51ACCAF4" w:rsidR="00B961DF" w:rsidRPr="00B479AE" w:rsidRDefault="00B961DF" w:rsidP="00B961DF">
      <w:pPr>
        <w:spacing w:line="360" w:lineRule="auto"/>
        <w:rPr>
          <w:rFonts w:ascii="Baskerville Old Face" w:hAnsi="Baskerville Old Face"/>
          <w:b/>
          <w:bCs/>
          <w:i/>
          <w:iCs/>
        </w:rPr>
      </w:pPr>
      <w:r w:rsidRPr="00B479AE">
        <w:rPr>
          <w:rFonts w:ascii="Baskerville Old Face" w:hAnsi="Baskerville Old Face"/>
          <w:b/>
          <w:bCs/>
          <w:i/>
          <w:iCs/>
        </w:rPr>
        <w:t>R.35 Minimal PRU analysis schema</w:t>
      </w:r>
    </w:p>
    <w:p w14:paraId="535D6822"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A PRU analysis record should be structured as an analytical, review-bound, and evidence-linked record.</w:t>
      </w:r>
    </w:p>
    <w:p w14:paraId="4170C07C"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should not be structured as an issuance record.</w:t>
      </w:r>
    </w:p>
    <w:p w14:paraId="1D95309D"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should not imply automatic financial value, investor rights, token rights, collateral recognition, securities status, credit eligibility, insurance eligibility, public-offering status, or market-facing entitlement.</w:t>
      </w:r>
    </w:p>
    <w:p w14:paraId="7F76A929"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A minimal PRU analysis schema may include:</w:t>
      </w:r>
    </w:p>
    <w:p w14:paraId="06447798"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pru_analysis_id</w:t>
      </w:r>
      <w:proofErr w:type="spellEnd"/>
      <w:r w:rsidRPr="00B479AE">
        <w:rPr>
          <w:rFonts w:ascii="Baskerville Old Face" w:hAnsi="Baskerville Old Face"/>
          <w:i/>
          <w:iCs/>
        </w:rPr>
        <w:t>": "pru_analysis_0001",</w:t>
      </w:r>
      <w:r w:rsidRPr="00B479AE">
        <w:rPr>
          <w:rFonts w:ascii="Baskerville Old Face" w:hAnsi="Baskerville Old Face"/>
          <w:i/>
          <w:iCs/>
        </w:rPr>
        <w:br/>
        <w:t>"</w:t>
      </w:r>
      <w:proofErr w:type="spellStart"/>
      <w:r w:rsidRPr="00B479AE">
        <w:rPr>
          <w:rFonts w:ascii="Baskerville Old Face" w:hAnsi="Baskerville Old Face"/>
          <w:i/>
          <w:iCs/>
        </w:rPr>
        <w:t>project_or_ohe_id</w:t>
      </w:r>
      <w:proofErr w:type="spellEnd"/>
      <w:r w:rsidRPr="00B479AE">
        <w:rPr>
          <w:rFonts w:ascii="Baskerville Old Face" w:hAnsi="Baskerville Old Face"/>
          <w:i/>
          <w:iCs/>
        </w:rPr>
        <w:t>": "</w:t>
      </w:r>
      <w:proofErr w:type="spellStart"/>
      <w:r w:rsidRPr="00B479AE">
        <w:rPr>
          <w:rFonts w:ascii="Baskerville Old Face" w:hAnsi="Baskerville Old Face"/>
          <w:i/>
          <w:iCs/>
        </w:rPr>
        <w:t>project_reference</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methodology_version</w:t>
      </w:r>
      <w:proofErr w:type="spellEnd"/>
      <w:r w:rsidRPr="00B479AE">
        <w:rPr>
          <w:rFonts w:ascii="Baskerville Old Face" w:hAnsi="Baskerville Old Face"/>
          <w:i/>
          <w:iCs/>
        </w:rPr>
        <w:t>": "pru_method_v1.0",</w:t>
      </w:r>
      <w:r w:rsidRPr="00B479AE">
        <w:rPr>
          <w:rFonts w:ascii="Baskerville Old Face" w:hAnsi="Baskerville Old Face"/>
          <w:i/>
          <w:iCs/>
        </w:rPr>
        <w:br/>
        <w:t>"</w:t>
      </w:r>
      <w:proofErr w:type="spellStart"/>
      <w:r w:rsidRPr="00B479AE">
        <w:rPr>
          <w:rFonts w:ascii="Baskerville Old Face" w:hAnsi="Baskerville Old Face"/>
          <w:i/>
          <w:iCs/>
        </w:rPr>
        <w:t>assessment_date</w:t>
      </w:r>
      <w:proofErr w:type="spellEnd"/>
      <w:r w:rsidRPr="00B479AE">
        <w:rPr>
          <w:rFonts w:ascii="Baskerville Old Face" w:hAnsi="Baskerville Old Face"/>
          <w:i/>
          <w:iCs/>
        </w:rPr>
        <w:t>": "2026-01-01",</w:t>
      </w:r>
      <w:r w:rsidRPr="00B479AE">
        <w:rPr>
          <w:rFonts w:ascii="Baskerville Old Face" w:hAnsi="Baskerville Old Face"/>
          <w:i/>
          <w:iCs/>
        </w:rPr>
        <w:br/>
        <w:t>"</w:t>
      </w:r>
      <w:proofErr w:type="spellStart"/>
      <w:r w:rsidRPr="00B479AE">
        <w:rPr>
          <w:rFonts w:ascii="Baskerville Old Face" w:hAnsi="Baskerville Old Face"/>
          <w:i/>
          <w:iCs/>
        </w:rPr>
        <w:t>assessment_status</w:t>
      </w:r>
      <w:proofErr w:type="spellEnd"/>
      <w:r w:rsidRPr="00B479AE">
        <w:rPr>
          <w:rFonts w:ascii="Baskerville Old Face" w:hAnsi="Baskerville Old Face"/>
          <w:i/>
          <w:iCs/>
        </w:rPr>
        <w:t xml:space="preserve">": "draft | </w:t>
      </w:r>
      <w:proofErr w:type="spellStart"/>
      <w:r w:rsidRPr="00B479AE">
        <w:rPr>
          <w:rFonts w:ascii="Baskerville Old Face" w:hAnsi="Baskerville Old Face"/>
          <w:i/>
          <w:iCs/>
        </w:rPr>
        <w:t>internal_review</w:t>
      </w:r>
      <w:proofErr w:type="spellEnd"/>
      <w:r w:rsidRPr="00B479AE">
        <w:rPr>
          <w:rFonts w:ascii="Baskerville Old Face" w:hAnsi="Baskerville Old Face"/>
          <w:i/>
          <w:iCs/>
        </w:rPr>
        <w:t xml:space="preserve"> | reviewed | </w:t>
      </w:r>
      <w:proofErr w:type="spellStart"/>
      <w:r w:rsidRPr="00B479AE">
        <w:rPr>
          <w:rFonts w:ascii="Baskerville Old Face" w:hAnsi="Baskerville Old Face"/>
          <w:i/>
          <w:iCs/>
        </w:rPr>
        <w:t>legally_structured_where_applicable</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permitted_use</w:t>
      </w:r>
      <w:proofErr w:type="spellEnd"/>
      <w:r w:rsidRPr="00B479AE">
        <w:rPr>
          <w:rFonts w:ascii="Baskerville Old Face" w:hAnsi="Baskerville Old Face"/>
          <w:i/>
          <w:iCs/>
        </w:rPr>
        <w:t xml:space="preserve">": "research | </w:t>
      </w:r>
      <w:proofErr w:type="spellStart"/>
      <w:r w:rsidRPr="00B479AE">
        <w:rPr>
          <w:rFonts w:ascii="Baskerville Old Face" w:hAnsi="Baskerville Old Face"/>
          <w:i/>
          <w:iCs/>
        </w:rPr>
        <w:t>pilot_reporting</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MRV_report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PRU_analysis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capital_readiness</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investor_review</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legal_structured_report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public_impact_report</w:t>
      </w:r>
      <w:proofErr w:type="spellEnd"/>
      <w:r w:rsidRPr="00B479AE">
        <w:rPr>
          <w:rFonts w:ascii="Baskerville Old Face" w:hAnsi="Baskerville Old Face"/>
          <w:i/>
          <w:iCs/>
        </w:rPr>
        <w:t>",</w:t>
      </w:r>
    </w:p>
    <w:p w14:paraId="0BACB2B3"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evidence</w:t>
      </w:r>
      <w:proofErr w:type="gramEnd"/>
      <w:r w:rsidRPr="00B479AE">
        <w:rPr>
          <w:rFonts w:ascii="Baskerville Old Face" w:hAnsi="Baskerville Old Face"/>
          <w:i/>
          <w:iCs/>
        </w:rPr>
        <w:t>_profile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mrv_status</w:t>
      </w:r>
      <w:proofErr w:type="spellEnd"/>
      <w:r w:rsidRPr="00B479AE">
        <w:rPr>
          <w:rFonts w:ascii="Baskerville Old Face" w:hAnsi="Baskerville Old Face"/>
          <w:i/>
          <w:iCs/>
        </w:rPr>
        <w:t xml:space="preserve">": "observed | </w:t>
      </w:r>
      <w:proofErr w:type="spellStart"/>
      <w:r w:rsidRPr="00B479AE">
        <w:rPr>
          <w:rFonts w:ascii="Baskerville Old Face" w:hAnsi="Baskerville Old Face"/>
          <w:i/>
          <w:iCs/>
        </w:rPr>
        <w:t>evidence_backed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MRV_admissible</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PRU_eligible</w:t>
      </w:r>
      <w:proofErr w:type="spellEnd"/>
      <w:r w:rsidRPr="00B479AE">
        <w:rPr>
          <w:rFonts w:ascii="Baskerville Old Face" w:hAnsi="Baskerville Old Face"/>
          <w:i/>
          <w:iCs/>
        </w:rPr>
        <w:t xml:space="preserve"> | reviewed",</w:t>
      </w:r>
      <w:r w:rsidRPr="00B479AE">
        <w:rPr>
          <w:rFonts w:ascii="Baskerville Old Face" w:hAnsi="Baskerville Old Face"/>
          <w:i/>
          <w:iCs/>
        </w:rPr>
        <w:br/>
        <w:t>"confidence": 0.74,</w:t>
      </w:r>
      <w:r w:rsidRPr="00B479AE">
        <w:rPr>
          <w:rFonts w:ascii="Baskerville Old Face" w:hAnsi="Baskerville Old Face"/>
          <w:i/>
          <w:iCs/>
        </w:rPr>
        <w:br/>
        <w:t>"</w:t>
      </w:r>
      <w:proofErr w:type="spellStart"/>
      <w:r w:rsidRPr="00B479AE">
        <w:rPr>
          <w:rFonts w:ascii="Baskerville Old Face" w:hAnsi="Baskerville Old Face"/>
          <w:i/>
          <w:iCs/>
        </w:rPr>
        <w:t>third_party_review</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provenance_complete</w:t>
      </w:r>
      <w:proofErr w:type="spellEnd"/>
      <w:r w:rsidRPr="00B479AE">
        <w:rPr>
          <w:rFonts w:ascii="Baskerville Old Face" w:hAnsi="Baskerville Old Face"/>
          <w:i/>
          <w:iCs/>
        </w:rPr>
        <w:t>": true,</w:t>
      </w:r>
      <w:r w:rsidRPr="00B479AE">
        <w:rPr>
          <w:rFonts w:ascii="Baskerville Old Face" w:hAnsi="Baskerville Old Face"/>
          <w:i/>
          <w:iCs/>
        </w:rPr>
        <w:br/>
        <w:t>"</w:t>
      </w:r>
      <w:proofErr w:type="spellStart"/>
      <w:r w:rsidRPr="00B479AE">
        <w:rPr>
          <w:rFonts w:ascii="Baskerville Old Face" w:hAnsi="Baskerville Old Face"/>
          <w:i/>
          <w:iCs/>
        </w:rPr>
        <w:t>methodology_aligned</w:t>
      </w:r>
      <w:proofErr w:type="spellEnd"/>
      <w:r w:rsidRPr="00B479AE">
        <w:rPr>
          <w:rFonts w:ascii="Baskerville Old Face" w:hAnsi="Baskerville Old Face"/>
          <w:i/>
          <w:iCs/>
        </w:rPr>
        <w:t>": true,</w:t>
      </w:r>
      <w:r w:rsidRPr="00B479AE">
        <w:rPr>
          <w:rFonts w:ascii="Baskerville Old Face" w:hAnsi="Baskerville Old Face"/>
          <w:i/>
          <w:iCs/>
        </w:rPr>
        <w:br/>
        <w:t>"limitations": [</w:t>
      </w:r>
      <w:r w:rsidRPr="00B479AE">
        <w:rPr>
          <w:rFonts w:ascii="Baskerville Old Face" w:hAnsi="Baskerville Old Face"/>
          <w:i/>
          <w:iCs/>
        </w:rPr>
        <w:br/>
        <w:t>"Biodiversity survey incomplete",</w:t>
      </w:r>
      <w:r w:rsidRPr="00B479AE">
        <w:rPr>
          <w:rFonts w:ascii="Baskerville Old Face" w:hAnsi="Baskerville Old Face"/>
          <w:i/>
          <w:iCs/>
        </w:rPr>
        <w:br/>
        <w:t>"Soil carbon time series less than three years"</w:t>
      </w:r>
      <w:r w:rsidRPr="00B479AE">
        <w:rPr>
          <w:rFonts w:ascii="Baskerville Old Face" w:hAnsi="Baskerville Old Face"/>
          <w:i/>
          <w:iCs/>
        </w:rPr>
        <w:br/>
        <w:t>]</w:t>
      </w:r>
      <w:r w:rsidRPr="00B479AE">
        <w:rPr>
          <w:rFonts w:ascii="Baskerville Old Face" w:hAnsi="Baskerville Old Face"/>
          <w:i/>
          <w:iCs/>
        </w:rPr>
        <w:br/>
        <w:t>},</w:t>
      </w:r>
    </w:p>
    <w:p w14:paraId="7B504481"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lastRenderedPageBreak/>
        <w:t>"</w:t>
      </w:r>
      <w:proofErr w:type="spellStart"/>
      <w:proofErr w:type="gramStart"/>
      <w:r w:rsidRPr="00B479AE">
        <w:rPr>
          <w:rFonts w:ascii="Baskerville Old Face" w:hAnsi="Baskerville Old Face"/>
          <w:i/>
          <w:iCs/>
        </w:rPr>
        <w:t>regenerative</w:t>
      </w:r>
      <w:proofErr w:type="gramEnd"/>
      <w:r w:rsidRPr="00B479AE">
        <w:rPr>
          <w:rFonts w:ascii="Baskerville Old Face" w:hAnsi="Baskerville Old Face"/>
          <w:i/>
          <w:iCs/>
        </w:rPr>
        <w:t>_performance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soil_score</w:t>
      </w:r>
      <w:proofErr w:type="spellEnd"/>
      <w:r w:rsidRPr="00B479AE">
        <w:rPr>
          <w:rFonts w:ascii="Baskerville Old Face" w:hAnsi="Baskerville Old Face"/>
          <w:i/>
          <w:iCs/>
        </w:rPr>
        <w:t>": 0.68,</w:t>
      </w:r>
      <w:r w:rsidRPr="00B479AE">
        <w:rPr>
          <w:rFonts w:ascii="Baskerville Old Face" w:hAnsi="Baskerville Old Face"/>
          <w:i/>
          <w:iCs/>
        </w:rPr>
        <w:br/>
        <w:t>"</w:t>
      </w:r>
      <w:proofErr w:type="spellStart"/>
      <w:r w:rsidRPr="00B479AE">
        <w:rPr>
          <w:rFonts w:ascii="Baskerville Old Face" w:hAnsi="Baskerville Old Face"/>
          <w:i/>
          <w:iCs/>
        </w:rPr>
        <w:t>water_score</w:t>
      </w:r>
      <w:proofErr w:type="spellEnd"/>
      <w:r w:rsidRPr="00B479AE">
        <w:rPr>
          <w:rFonts w:ascii="Baskerville Old Face" w:hAnsi="Baskerville Old Face"/>
          <w:i/>
          <w:iCs/>
        </w:rPr>
        <w:t>": 0.72,</w:t>
      </w:r>
      <w:r w:rsidRPr="00B479AE">
        <w:rPr>
          <w:rFonts w:ascii="Baskerville Old Face" w:hAnsi="Baskerville Old Face"/>
          <w:i/>
          <w:iCs/>
        </w:rPr>
        <w:br/>
        <w:t>"</w:t>
      </w:r>
      <w:proofErr w:type="spellStart"/>
      <w:r w:rsidRPr="00B479AE">
        <w:rPr>
          <w:rFonts w:ascii="Baskerville Old Face" w:hAnsi="Baskerville Old Face"/>
          <w:i/>
          <w:iCs/>
        </w:rPr>
        <w:t>biodiversity_score</w:t>
      </w:r>
      <w:proofErr w:type="spellEnd"/>
      <w:r w:rsidRPr="00B479AE">
        <w:rPr>
          <w:rFonts w:ascii="Baskerville Old Face" w:hAnsi="Baskerville Old Face"/>
          <w:i/>
          <w:iCs/>
        </w:rPr>
        <w:t>": 0.44,</w:t>
      </w:r>
      <w:r w:rsidRPr="00B479AE">
        <w:rPr>
          <w:rFonts w:ascii="Baskerville Old Face" w:hAnsi="Baskerville Old Face"/>
          <w:i/>
          <w:iCs/>
        </w:rPr>
        <w:br/>
        <w:t>"</w:t>
      </w:r>
      <w:proofErr w:type="spellStart"/>
      <w:r w:rsidRPr="00B479AE">
        <w:rPr>
          <w:rFonts w:ascii="Baskerville Old Face" w:hAnsi="Baskerville Old Face"/>
          <w:i/>
          <w:iCs/>
        </w:rPr>
        <w:t>productive_resilience_score</w:t>
      </w:r>
      <w:proofErr w:type="spellEnd"/>
      <w:r w:rsidRPr="00B479AE">
        <w:rPr>
          <w:rFonts w:ascii="Baskerville Old Face" w:hAnsi="Baskerville Old Face"/>
          <w:i/>
          <w:iCs/>
        </w:rPr>
        <w:t>": 0.63,</w:t>
      </w:r>
      <w:r w:rsidRPr="00B479AE">
        <w:rPr>
          <w:rFonts w:ascii="Baskerville Old Face" w:hAnsi="Baskerville Old Face"/>
          <w:i/>
          <w:iCs/>
        </w:rPr>
        <w:br/>
        <w:t>"</w:t>
      </w:r>
      <w:proofErr w:type="spellStart"/>
      <w:r w:rsidRPr="00B479AE">
        <w:rPr>
          <w:rFonts w:ascii="Baskerville Old Face" w:hAnsi="Baskerville Old Face"/>
          <w:i/>
          <w:iCs/>
        </w:rPr>
        <w:t>input_dependency_reduction_score</w:t>
      </w:r>
      <w:proofErr w:type="spellEnd"/>
      <w:r w:rsidRPr="00B479AE">
        <w:rPr>
          <w:rFonts w:ascii="Baskerville Old Face" w:hAnsi="Baskerville Old Face"/>
          <w:i/>
          <w:iCs/>
        </w:rPr>
        <w:t>": 0.55,</w:t>
      </w:r>
      <w:r w:rsidRPr="00B479AE">
        <w:rPr>
          <w:rFonts w:ascii="Baskerville Old Face" w:hAnsi="Baskerville Old Face"/>
          <w:i/>
          <w:iCs/>
        </w:rPr>
        <w:br/>
        <w:t>"</w:t>
      </w:r>
      <w:proofErr w:type="spellStart"/>
      <w:r w:rsidRPr="00B479AE">
        <w:rPr>
          <w:rFonts w:ascii="Baskerville Old Face" w:hAnsi="Baskerville Old Face"/>
          <w:i/>
          <w:iCs/>
        </w:rPr>
        <w:t>biomass_cycling_score</w:t>
      </w:r>
      <w:proofErr w:type="spellEnd"/>
      <w:r w:rsidRPr="00B479AE">
        <w:rPr>
          <w:rFonts w:ascii="Baskerville Old Face" w:hAnsi="Baskerville Old Face"/>
          <w:i/>
          <w:iCs/>
        </w:rPr>
        <w:t>": 0.61</w:t>
      </w:r>
      <w:r w:rsidRPr="00B479AE">
        <w:rPr>
          <w:rFonts w:ascii="Baskerville Old Face" w:hAnsi="Baskerville Old Face"/>
          <w:i/>
          <w:iCs/>
        </w:rPr>
        <w:br/>
        <w:t>},</w:t>
      </w:r>
    </w:p>
    <w:p w14:paraId="51611401"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"indices": {</w:t>
      </w:r>
      <w:r w:rsidRPr="00B479AE">
        <w:rPr>
          <w:rFonts w:ascii="Baskerville Old Face" w:hAnsi="Baskerville Old Face"/>
          <w:i/>
          <w:iCs/>
        </w:rPr>
        <w:br/>
        <w:t>"SRI": 0.70,</w:t>
      </w:r>
      <w:r w:rsidRPr="00B479AE">
        <w:rPr>
          <w:rFonts w:ascii="Baskerville Old Face" w:hAnsi="Baskerville Old Face"/>
          <w:i/>
          <w:iCs/>
        </w:rPr>
        <w:br/>
        <w:t>"RPI": 0.66,</w:t>
      </w:r>
      <w:r w:rsidRPr="00B479AE">
        <w:rPr>
          <w:rFonts w:ascii="Baskerville Old Face" w:hAnsi="Baskerville Old Face"/>
          <w:i/>
          <w:iCs/>
        </w:rPr>
        <w:br/>
        <w:t>"CESI": 0.51,</w:t>
      </w:r>
      <w:r w:rsidRPr="00B479AE">
        <w:rPr>
          <w:rFonts w:ascii="Baskerville Old Face" w:hAnsi="Baskerville Old Face"/>
          <w:i/>
          <w:iCs/>
        </w:rPr>
        <w:br/>
        <w:t>"</w:t>
      </w:r>
      <w:proofErr w:type="spellStart"/>
      <w:r w:rsidRPr="00B479AE">
        <w:rPr>
          <w:rFonts w:ascii="Baskerville Old Face" w:hAnsi="Baskerville Old Face"/>
          <w:i/>
          <w:iCs/>
        </w:rPr>
        <w:t>MRV_integrity</w:t>
      </w:r>
      <w:proofErr w:type="spellEnd"/>
      <w:r w:rsidRPr="00B479AE">
        <w:rPr>
          <w:rFonts w:ascii="Baskerville Old Face" w:hAnsi="Baskerville Old Face"/>
          <w:i/>
          <w:iCs/>
        </w:rPr>
        <w:t>": 0.74,</w:t>
      </w:r>
      <w:r w:rsidRPr="00B479AE">
        <w:rPr>
          <w:rFonts w:ascii="Baskerville Old Face" w:hAnsi="Baskerville Old Face"/>
          <w:i/>
          <w:iCs/>
        </w:rPr>
        <w:br/>
        <w:t>"</w:t>
      </w:r>
      <w:proofErr w:type="spellStart"/>
      <w:r w:rsidRPr="00B479AE">
        <w:rPr>
          <w:rFonts w:ascii="Baskerville Old Face" w:hAnsi="Baskerville Old Face"/>
          <w:i/>
          <w:iCs/>
        </w:rPr>
        <w:t>confidence_total</w:t>
      </w:r>
      <w:proofErr w:type="spellEnd"/>
      <w:r w:rsidRPr="00B479AE">
        <w:rPr>
          <w:rFonts w:ascii="Baskerville Old Face" w:hAnsi="Baskerville Old Face"/>
          <w:i/>
          <w:iCs/>
        </w:rPr>
        <w:t>": 0.72</w:t>
      </w:r>
      <w:r w:rsidRPr="00B479AE">
        <w:rPr>
          <w:rFonts w:ascii="Baskerville Old Face" w:hAnsi="Baskerville Old Face"/>
          <w:i/>
          <w:iCs/>
        </w:rPr>
        <w:br/>
        <w:t>},</w:t>
      </w:r>
    </w:p>
    <w:p w14:paraId="1449500B"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maturity</w:t>
      </w:r>
      <w:proofErr w:type="gramEnd"/>
      <w:r w:rsidRPr="00B479AE">
        <w:rPr>
          <w:rFonts w:ascii="Baskerville Old Face" w:hAnsi="Baskerville Old Face"/>
          <w:i/>
          <w:iCs/>
        </w:rPr>
        <w:t>_profile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pru_maturity_class</w:t>
      </w:r>
      <w:proofErr w:type="spellEnd"/>
      <w:r w:rsidRPr="00B479AE">
        <w:rPr>
          <w:rFonts w:ascii="Baskerville Old Face" w:hAnsi="Baskerville Old Face"/>
          <w:i/>
          <w:iCs/>
        </w:rPr>
        <w:t>": "PRU-R3",</w:t>
      </w:r>
      <w:r w:rsidRPr="00B479AE">
        <w:rPr>
          <w:rFonts w:ascii="Baskerville Old Face" w:hAnsi="Baskerville Old Face"/>
          <w:i/>
          <w:iCs/>
        </w:rPr>
        <w:br/>
        <w:t>"</w:t>
      </w:r>
      <w:proofErr w:type="spellStart"/>
      <w:r w:rsidRPr="00B479AE">
        <w:rPr>
          <w:rFonts w:ascii="Baskerville Old Face" w:hAnsi="Baskerville Old Face"/>
          <w:i/>
          <w:iCs/>
        </w:rPr>
        <w:t>maturity_basis</w:t>
      </w:r>
      <w:proofErr w:type="spellEnd"/>
      <w:r w:rsidRPr="00B479AE">
        <w:rPr>
          <w:rFonts w:ascii="Baskerville Old Face" w:hAnsi="Baskerville Old Face"/>
          <w:i/>
          <w:iCs/>
        </w:rPr>
        <w:t>": "MRV-admissible evidence under defined scope",</w:t>
      </w:r>
      <w:r w:rsidRPr="00B479AE">
        <w:rPr>
          <w:rFonts w:ascii="Baskerville Old Face" w:hAnsi="Baskerville Old Face"/>
          <w:i/>
          <w:iCs/>
        </w:rPr>
        <w:br/>
        <w:t>"</w:t>
      </w:r>
      <w:proofErr w:type="spellStart"/>
      <w:r w:rsidRPr="00B479AE">
        <w:rPr>
          <w:rFonts w:ascii="Baskerville Old Face" w:hAnsi="Baskerville Old Face"/>
          <w:i/>
          <w:iCs/>
        </w:rPr>
        <w:t>next_required_step</w:t>
      </w:r>
      <w:proofErr w:type="spellEnd"/>
      <w:r w:rsidRPr="00B479AE">
        <w:rPr>
          <w:rFonts w:ascii="Baskerville Old Face" w:hAnsi="Baskerville Old Face"/>
          <w:i/>
          <w:iCs/>
        </w:rPr>
        <w:t>": "methodology review and additional evidence continuity"</w:t>
      </w:r>
      <w:r w:rsidRPr="00B479AE">
        <w:rPr>
          <w:rFonts w:ascii="Baskerville Old Face" w:hAnsi="Baskerville Old Face"/>
          <w:i/>
          <w:iCs/>
        </w:rPr>
        <w:br/>
        <w:t>},</w:t>
      </w:r>
    </w:p>
    <w:p w14:paraId="5B907C21"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admissibility</w:t>
      </w:r>
      <w:proofErr w:type="gramEnd"/>
      <w:r w:rsidRPr="00B479AE">
        <w:rPr>
          <w:rFonts w:ascii="Baskerville Old Face" w:hAnsi="Baskerville Old Face"/>
          <w:i/>
          <w:iCs/>
        </w:rPr>
        <w:t>_profile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value_analysis_permitted</w:t>
      </w:r>
      <w:proofErr w:type="spellEnd"/>
      <w:r w:rsidRPr="00B479AE">
        <w:rPr>
          <w:rFonts w:ascii="Baskerville Old Face" w:hAnsi="Baskerville Old Face"/>
          <w:i/>
          <w:iCs/>
        </w:rPr>
        <w:t>": true,</w:t>
      </w:r>
      <w:r w:rsidRPr="00B479AE">
        <w:rPr>
          <w:rFonts w:ascii="Baskerville Old Face" w:hAnsi="Baskerville Old Face"/>
          <w:i/>
          <w:iCs/>
        </w:rPr>
        <w:br/>
        <w:t>"</w:t>
      </w:r>
      <w:proofErr w:type="spellStart"/>
      <w:r w:rsidRPr="00B479AE">
        <w:rPr>
          <w:rFonts w:ascii="Baskerville Old Face" w:hAnsi="Baskerville Old Face"/>
          <w:i/>
          <w:iCs/>
        </w:rPr>
        <w:t>capital_readiness_review_permitted</w:t>
      </w:r>
      <w:proofErr w:type="spellEnd"/>
      <w:r w:rsidRPr="00B479AE">
        <w:rPr>
          <w:rFonts w:ascii="Baskerville Old Face" w:hAnsi="Baskerville Old Face"/>
          <w:i/>
          <w:iCs/>
        </w:rPr>
        <w:t>": true,</w:t>
      </w:r>
      <w:r w:rsidRPr="00B479AE">
        <w:rPr>
          <w:rFonts w:ascii="Baskerville Old Face" w:hAnsi="Baskerville Old Face"/>
          <w:i/>
          <w:iCs/>
        </w:rPr>
        <w:br/>
        <w:t>"</w:t>
      </w:r>
      <w:proofErr w:type="spellStart"/>
      <w:r w:rsidRPr="00B479AE">
        <w:rPr>
          <w:rFonts w:ascii="Baskerville Old Face" w:hAnsi="Baskerville Old Face"/>
          <w:i/>
          <w:iCs/>
        </w:rPr>
        <w:t>investor_facing_use_permitted</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public_claim_use_permitted</w:t>
      </w:r>
      <w:proofErr w:type="spellEnd"/>
      <w:r w:rsidRPr="00B479AE">
        <w:rPr>
          <w:rFonts w:ascii="Baskerville Old Face" w:hAnsi="Baskerville Old Face"/>
          <w:i/>
          <w:iCs/>
        </w:rPr>
        <w:t>": "bounded",</w:t>
      </w:r>
      <w:r w:rsidRPr="00B479AE">
        <w:rPr>
          <w:rFonts w:ascii="Baskerville Old Face" w:hAnsi="Baskerville Old Face"/>
          <w:i/>
          <w:iCs/>
        </w:rPr>
        <w:br/>
        <w:t>"</w:t>
      </w:r>
      <w:proofErr w:type="spellStart"/>
      <w:r w:rsidRPr="00B479AE">
        <w:rPr>
          <w:rFonts w:ascii="Baskerville Old Face" w:hAnsi="Baskerville Old Face"/>
          <w:i/>
          <w:iCs/>
        </w:rPr>
        <w:t>financial_instrument_status</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automatic_rights_created</w:t>
      </w:r>
      <w:proofErr w:type="spellEnd"/>
      <w:r w:rsidRPr="00B479AE">
        <w:rPr>
          <w:rFonts w:ascii="Baskerville Old Face" w:hAnsi="Baskerville Old Face"/>
          <w:i/>
          <w:iCs/>
        </w:rPr>
        <w:t>": false</w:t>
      </w:r>
      <w:r w:rsidRPr="00B479AE">
        <w:rPr>
          <w:rFonts w:ascii="Baskerville Old Face" w:hAnsi="Baskerville Old Face"/>
          <w:i/>
          <w:iCs/>
        </w:rPr>
        <w:br/>
        <w:t>},</w:t>
      </w:r>
    </w:p>
    <w:p w14:paraId="50F6D86D"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legal</w:t>
      </w:r>
      <w:proofErr w:type="gramEnd"/>
      <w:r w:rsidRPr="00B479AE">
        <w:rPr>
          <w:rFonts w:ascii="Baskerville Old Face" w:hAnsi="Baskerville Old Face"/>
          <w:i/>
          <w:iCs/>
        </w:rPr>
        <w:t>_boundary</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legal_wrapper_status</w:t>
      </w:r>
      <w:proofErr w:type="spellEnd"/>
      <w:r w:rsidRPr="00B479AE">
        <w:rPr>
          <w:rFonts w:ascii="Baskerville Old Face" w:hAnsi="Baskerville Old Face"/>
          <w:i/>
          <w:iCs/>
        </w:rPr>
        <w:t xml:space="preserve">": "none | </w:t>
      </w:r>
      <w:proofErr w:type="spellStart"/>
      <w:r w:rsidRPr="00B479AE">
        <w:rPr>
          <w:rFonts w:ascii="Baskerville Old Face" w:hAnsi="Baskerville Old Face"/>
          <w:i/>
          <w:iCs/>
        </w:rPr>
        <w:t>under_review</w:t>
      </w:r>
      <w:proofErr w:type="spellEnd"/>
      <w:r w:rsidRPr="00B479AE">
        <w:rPr>
          <w:rFonts w:ascii="Baskerville Old Face" w:hAnsi="Baskerville Old Face"/>
          <w:i/>
          <w:iCs/>
        </w:rPr>
        <w:t xml:space="preserve"> | structured | </w:t>
      </w:r>
      <w:proofErr w:type="spellStart"/>
      <w:r w:rsidRPr="00B479AE">
        <w:rPr>
          <w:rFonts w:ascii="Baskerville Old Face" w:hAnsi="Baskerville Old Face"/>
          <w:i/>
          <w:iCs/>
        </w:rPr>
        <w:t>regulated_pathway</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rights_created</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token_rights_created</w:t>
      </w:r>
      <w:proofErr w:type="spellEnd"/>
      <w:r w:rsidRPr="00B479AE">
        <w:rPr>
          <w:rFonts w:ascii="Baskerville Old Face" w:hAnsi="Baskerville Old Face"/>
          <w:i/>
          <w:iCs/>
        </w:rPr>
        <w:t>": false,</w:t>
      </w:r>
      <w:r w:rsidRPr="00B479AE">
        <w:rPr>
          <w:rFonts w:ascii="Baskerville Old Face" w:hAnsi="Baskerville Old Face"/>
          <w:i/>
          <w:iCs/>
        </w:rPr>
        <w:br/>
      </w:r>
      <w:r w:rsidRPr="00B479AE">
        <w:rPr>
          <w:rFonts w:ascii="Baskerville Old Face" w:hAnsi="Baskerville Old Face"/>
          <w:i/>
          <w:iCs/>
        </w:rPr>
        <w:lastRenderedPageBreak/>
        <w:t>"</w:t>
      </w:r>
      <w:proofErr w:type="spellStart"/>
      <w:r w:rsidRPr="00B479AE">
        <w:rPr>
          <w:rFonts w:ascii="Baskerville Old Face" w:hAnsi="Baskerville Old Face"/>
          <w:i/>
          <w:iCs/>
        </w:rPr>
        <w:t>investor_entitlement_created</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collateral_recognition_created</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jurisdictional_review_required</w:t>
      </w:r>
      <w:proofErr w:type="spellEnd"/>
      <w:r w:rsidRPr="00B479AE">
        <w:rPr>
          <w:rFonts w:ascii="Baskerville Old Face" w:hAnsi="Baskerville Old Face"/>
          <w:i/>
          <w:iCs/>
        </w:rPr>
        <w:t>": true</w:t>
      </w:r>
      <w:r w:rsidRPr="00B479AE">
        <w:rPr>
          <w:rFonts w:ascii="Baskerville Old Face" w:hAnsi="Baskerville Old Face"/>
          <w:i/>
          <w:iCs/>
        </w:rPr>
        <w:br/>
        <w:t>},</w:t>
      </w:r>
    </w:p>
    <w:p w14:paraId="28D9B0A8"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claim</w:t>
      </w:r>
      <w:proofErr w:type="gramEnd"/>
      <w:r w:rsidRPr="00B479AE">
        <w:rPr>
          <w:rFonts w:ascii="Baskerville Old Face" w:hAnsi="Baskerville Old Face"/>
          <w:i/>
          <w:iCs/>
        </w:rPr>
        <w:t>_integrity</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no_double_counting_review</w:t>
      </w:r>
      <w:proofErr w:type="spellEnd"/>
      <w:r w:rsidRPr="00B479AE">
        <w:rPr>
          <w:rFonts w:ascii="Baskerville Old Face" w:hAnsi="Baskerville Old Face"/>
          <w:i/>
          <w:iCs/>
        </w:rPr>
        <w:t>": "pending | passed | restricted | failed",</w:t>
      </w:r>
      <w:r w:rsidRPr="00B479AE">
        <w:rPr>
          <w:rFonts w:ascii="Baskerville Old Face" w:hAnsi="Baskerville Old Face"/>
          <w:i/>
          <w:iCs/>
        </w:rPr>
        <w:br/>
        <w:t>"</w:t>
      </w:r>
      <w:proofErr w:type="spellStart"/>
      <w:r w:rsidRPr="00B479AE">
        <w:rPr>
          <w:rFonts w:ascii="Baskerville Old Face" w:hAnsi="Baskerville Old Face"/>
          <w:i/>
          <w:iCs/>
        </w:rPr>
        <w:t>claim_traceability</w:t>
      </w:r>
      <w:proofErr w:type="spellEnd"/>
      <w:r w:rsidRPr="00B479AE">
        <w:rPr>
          <w:rFonts w:ascii="Baskerville Old Face" w:hAnsi="Baskerville Old Face"/>
          <w:i/>
          <w:iCs/>
        </w:rPr>
        <w:t>": "partial | complete | reviewed",</w:t>
      </w:r>
      <w:r w:rsidRPr="00B479AE">
        <w:rPr>
          <w:rFonts w:ascii="Baskerville Old Face" w:hAnsi="Baskerville Old Face"/>
          <w:i/>
          <w:iCs/>
        </w:rPr>
        <w:br/>
        <w:t>"</w:t>
      </w:r>
      <w:proofErr w:type="spellStart"/>
      <w:r w:rsidRPr="00B479AE">
        <w:rPr>
          <w:rFonts w:ascii="Baskerville Old Face" w:hAnsi="Baskerville Old Face"/>
          <w:i/>
          <w:iCs/>
        </w:rPr>
        <w:t>public_claim_boundary</w:t>
      </w:r>
      <w:proofErr w:type="spellEnd"/>
      <w:r w:rsidRPr="00B479AE">
        <w:rPr>
          <w:rFonts w:ascii="Baskerville Old Face" w:hAnsi="Baskerville Old Face"/>
          <w:i/>
          <w:iCs/>
        </w:rPr>
        <w:t>": "</w:t>
      </w:r>
      <w:proofErr w:type="spellStart"/>
      <w:r w:rsidRPr="00B479AE">
        <w:rPr>
          <w:rFonts w:ascii="Baskerville Old Face" w:hAnsi="Baskerville Old Face"/>
          <w:i/>
          <w:iCs/>
        </w:rPr>
        <w:t>research_only</w:t>
      </w:r>
      <w:proofErr w:type="spellEnd"/>
      <w:r w:rsidRPr="00B479AE">
        <w:rPr>
          <w:rFonts w:ascii="Baskerville Old Face" w:hAnsi="Baskerville Old Face"/>
          <w:i/>
          <w:iCs/>
        </w:rPr>
        <w:t xml:space="preserve"> | pilot | </w:t>
      </w:r>
      <w:proofErr w:type="spellStart"/>
      <w:r w:rsidRPr="00B479AE">
        <w:rPr>
          <w:rFonts w:ascii="Baskerville Old Face" w:hAnsi="Baskerville Old Face"/>
          <w:i/>
          <w:iCs/>
        </w:rPr>
        <w:t>investor_review</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public_impact</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legally_structured</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source_to_capital_traceability</w:t>
      </w:r>
      <w:proofErr w:type="spellEnd"/>
      <w:r w:rsidRPr="00B479AE">
        <w:rPr>
          <w:rFonts w:ascii="Baskerville Old Face" w:hAnsi="Baskerville Old Face"/>
          <w:i/>
          <w:iCs/>
        </w:rPr>
        <w:t>": "partial | complete | reviewed"</w:t>
      </w:r>
      <w:r w:rsidRPr="00B479AE">
        <w:rPr>
          <w:rFonts w:ascii="Baskerville Old Face" w:hAnsi="Baskerville Old Face"/>
          <w:i/>
          <w:iCs/>
        </w:rPr>
        <w:br/>
        <w:t>},</w:t>
      </w:r>
    </w:p>
    <w:p w14:paraId="425AD574"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governance</w:t>
      </w:r>
      <w:proofErr w:type="gramEnd"/>
      <w:r w:rsidRPr="00B479AE">
        <w:rPr>
          <w:rFonts w:ascii="Baskerville Old Face" w:hAnsi="Baskerville Old Face"/>
          <w:i/>
          <w:iCs/>
        </w:rPr>
        <w:t>_profile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governance_maturity</w:t>
      </w:r>
      <w:proofErr w:type="spellEnd"/>
      <w:r w:rsidRPr="00B479AE">
        <w:rPr>
          <w:rFonts w:ascii="Baskerville Old Face" w:hAnsi="Baskerville Old Face"/>
          <w:i/>
          <w:iCs/>
        </w:rPr>
        <w:t>": "low | moderate | high",</w:t>
      </w:r>
      <w:r w:rsidRPr="00B479AE">
        <w:rPr>
          <w:rFonts w:ascii="Baskerville Old Face" w:hAnsi="Baskerville Old Face"/>
          <w:i/>
          <w:iCs/>
        </w:rPr>
        <w:br/>
        <w:t>"</w:t>
      </w:r>
      <w:proofErr w:type="spellStart"/>
      <w:r w:rsidRPr="00B479AE">
        <w:rPr>
          <w:rFonts w:ascii="Baskerville Old Face" w:hAnsi="Baskerville Old Face"/>
          <w:i/>
          <w:iCs/>
        </w:rPr>
        <w:t>decision_records_available</w:t>
      </w:r>
      <w:proofErr w:type="spellEnd"/>
      <w:r w:rsidRPr="00B479AE">
        <w:rPr>
          <w:rFonts w:ascii="Baskerville Old Face" w:hAnsi="Baskerville Old Face"/>
          <w:i/>
          <w:iCs/>
        </w:rPr>
        <w:t>": true,</w:t>
      </w:r>
      <w:r w:rsidRPr="00B479AE">
        <w:rPr>
          <w:rFonts w:ascii="Baskerville Old Face" w:hAnsi="Baskerville Old Face"/>
          <w:i/>
          <w:iCs/>
        </w:rPr>
        <w:br/>
        <w:t>"</w:t>
      </w:r>
      <w:proofErr w:type="spellStart"/>
      <w:r w:rsidRPr="00B479AE">
        <w:rPr>
          <w:rFonts w:ascii="Baskerville Old Face" w:hAnsi="Baskerville Old Face"/>
          <w:i/>
          <w:iCs/>
        </w:rPr>
        <w:t>review_required</w:t>
      </w:r>
      <w:proofErr w:type="spellEnd"/>
      <w:r w:rsidRPr="00B479AE">
        <w:rPr>
          <w:rFonts w:ascii="Baskerville Old Face" w:hAnsi="Baskerville Old Face"/>
          <w:i/>
          <w:iCs/>
        </w:rPr>
        <w:t>": true,</w:t>
      </w:r>
      <w:r w:rsidRPr="00B479AE">
        <w:rPr>
          <w:rFonts w:ascii="Baskerville Old Face" w:hAnsi="Baskerville Old Face"/>
          <w:i/>
          <w:iCs/>
        </w:rPr>
        <w:br/>
        <w:t>"</w:t>
      </w:r>
      <w:proofErr w:type="spellStart"/>
      <w:r w:rsidRPr="00B479AE">
        <w:rPr>
          <w:rFonts w:ascii="Baskerville Old Face" w:hAnsi="Baskerville Old Face"/>
          <w:i/>
          <w:iCs/>
        </w:rPr>
        <w:t>appeal_or_correction_pathway</w:t>
      </w:r>
      <w:proofErr w:type="spellEnd"/>
      <w:r w:rsidRPr="00B479AE">
        <w:rPr>
          <w:rFonts w:ascii="Baskerville Old Face" w:hAnsi="Baskerville Old Face"/>
          <w:i/>
          <w:iCs/>
        </w:rPr>
        <w:t>": true</w:t>
      </w:r>
      <w:r w:rsidRPr="00B479AE">
        <w:rPr>
          <w:rFonts w:ascii="Baskerville Old Face" w:hAnsi="Baskerville Old Face"/>
          <w:i/>
          <w:iCs/>
        </w:rPr>
        <w:br/>
        <w:t>},</w:t>
      </w:r>
    </w:p>
    <w:p w14:paraId="31BB945D"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risk</w:t>
      </w:r>
      <w:proofErr w:type="gramEnd"/>
      <w:r w:rsidRPr="00B479AE">
        <w:rPr>
          <w:rFonts w:ascii="Baskerville Old Face" w:hAnsi="Baskerville Old Face"/>
          <w:i/>
          <w:iCs/>
        </w:rPr>
        <w:t>_profile</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ravel_signal</w:t>
      </w:r>
      <w:proofErr w:type="spellEnd"/>
      <w:r w:rsidRPr="00B479AE">
        <w:rPr>
          <w:rFonts w:ascii="Baskerville Old Face" w:hAnsi="Baskerville Old Face"/>
          <w:i/>
          <w:iCs/>
        </w:rPr>
        <w:t xml:space="preserve">": "green | yellow | red | </w:t>
      </w:r>
      <w:proofErr w:type="spellStart"/>
      <w:r w:rsidRPr="00B479AE">
        <w:rPr>
          <w:rFonts w:ascii="Baskerville Old Face" w:hAnsi="Baskerville Old Face"/>
          <w:i/>
          <w:iCs/>
        </w:rPr>
        <w:t>manual_review</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phi_context_signal</w:t>
      </w:r>
      <w:proofErr w:type="spellEnd"/>
      <w:r w:rsidRPr="00B479AE">
        <w:rPr>
          <w:rFonts w:ascii="Baskerville Old Face" w:hAnsi="Baskerville Old Face"/>
          <w:i/>
          <w:iCs/>
        </w:rPr>
        <w:t xml:space="preserve">": "green | yellow | red | </w:t>
      </w:r>
      <w:proofErr w:type="spellStart"/>
      <w:r w:rsidRPr="00B479AE">
        <w:rPr>
          <w:rFonts w:ascii="Baskerville Old Face" w:hAnsi="Baskerville Old Face"/>
          <w:i/>
          <w:iCs/>
        </w:rPr>
        <w:t>not_applicable</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portfolio_concentration_risk</w:t>
      </w:r>
      <w:proofErr w:type="spellEnd"/>
      <w:r w:rsidRPr="00B479AE">
        <w:rPr>
          <w:rFonts w:ascii="Baskerville Old Face" w:hAnsi="Baskerville Old Face"/>
          <w:i/>
          <w:iCs/>
        </w:rPr>
        <w:t>": "low | moderate | high",</w:t>
      </w:r>
      <w:r w:rsidRPr="00B479AE">
        <w:rPr>
          <w:rFonts w:ascii="Baskerville Old Face" w:hAnsi="Baskerville Old Face"/>
          <w:i/>
          <w:iCs/>
        </w:rPr>
        <w:br/>
        <w:t>"</w:t>
      </w:r>
      <w:proofErr w:type="spellStart"/>
      <w:r w:rsidRPr="00B479AE">
        <w:rPr>
          <w:rFonts w:ascii="Baskerville Old Face" w:hAnsi="Baskerville Old Face"/>
          <w:i/>
          <w:iCs/>
        </w:rPr>
        <w:t>legal_readiness_risk</w:t>
      </w:r>
      <w:proofErr w:type="spellEnd"/>
      <w:r w:rsidRPr="00B479AE">
        <w:rPr>
          <w:rFonts w:ascii="Baskerville Old Face" w:hAnsi="Baskerville Old Face"/>
          <w:i/>
          <w:iCs/>
        </w:rPr>
        <w:t>": "low | moderate | high",</w:t>
      </w:r>
      <w:r w:rsidRPr="00B479AE">
        <w:rPr>
          <w:rFonts w:ascii="Baskerville Old Face" w:hAnsi="Baskerville Old Face"/>
          <w:i/>
          <w:iCs/>
        </w:rPr>
        <w:br/>
        <w:t>"</w:t>
      </w:r>
      <w:proofErr w:type="spellStart"/>
      <w:r w:rsidRPr="00B479AE">
        <w:rPr>
          <w:rFonts w:ascii="Baskerville Old Face" w:hAnsi="Baskerville Old Face"/>
          <w:i/>
          <w:iCs/>
        </w:rPr>
        <w:t>data_gap_risk</w:t>
      </w:r>
      <w:proofErr w:type="spellEnd"/>
      <w:r w:rsidRPr="00B479AE">
        <w:rPr>
          <w:rFonts w:ascii="Baskerville Old Face" w:hAnsi="Baskerville Old Face"/>
          <w:i/>
          <w:iCs/>
        </w:rPr>
        <w:t>": "low | moderate | high"</w:t>
      </w:r>
      <w:r w:rsidRPr="00B479AE">
        <w:rPr>
          <w:rFonts w:ascii="Baskerville Old Face" w:hAnsi="Baskerville Old Face"/>
          <w:i/>
          <w:iCs/>
        </w:rPr>
        <w:br/>
        <w:t>},</w:t>
      </w:r>
    </w:p>
    <w:p w14:paraId="043789BB"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w:t>
      </w:r>
      <w:proofErr w:type="spellStart"/>
      <w:proofErr w:type="gramStart"/>
      <w:r w:rsidRPr="00B479AE">
        <w:rPr>
          <w:rFonts w:ascii="Baskerville Old Face" w:hAnsi="Baskerville Old Face"/>
          <w:i/>
          <w:iCs/>
        </w:rPr>
        <w:t>capital</w:t>
      </w:r>
      <w:proofErr w:type="gramEnd"/>
      <w:r w:rsidRPr="00B479AE">
        <w:rPr>
          <w:rFonts w:ascii="Baskerville Old Face" w:hAnsi="Baskerville Old Face"/>
          <w:i/>
          <w:iCs/>
        </w:rPr>
        <w:t>_readiness</w:t>
      </w:r>
      <w:proofErr w:type="spellEnd"/>
      <w:r w:rsidRPr="00B479AE">
        <w:rPr>
          <w:rFonts w:ascii="Baskerville Old Face" w:hAnsi="Baskerville Old Face"/>
          <w:i/>
          <w:iCs/>
        </w:rPr>
        <w:t>": {</w:t>
      </w:r>
      <w:r w:rsidRPr="00B479AE">
        <w:rPr>
          <w:rFonts w:ascii="Baskerville Old Face" w:hAnsi="Baskerville Old Face"/>
          <w:i/>
          <w:iCs/>
        </w:rPr>
        <w:br/>
        <w:t>"</w:t>
      </w:r>
      <w:proofErr w:type="spellStart"/>
      <w:r w:rsidRPr="00B479AE">
        <w:rPr>
          <w:rFonts w:ascii="Baskerville Old Face" w:hAnsi="Baskerville Old Face"/>
          <w:i/>
          <w:iCs/>
        </w:rPr>
        <w:t>capital_readiness_status</w:t>
      </w:r>
      <w:proofErr w:type="spellEnd"/>
      <w:r w:rsidRPr="00B479AE">
        <w:rPr>
          <w:rFonts w:ascii="Baskerville Old Face" w:hAnsi="Baskerville Old Face"/>
          <w:i/>
          <w:iCs/>
        </w:rPr>
        <w:t>": "</w:t>
      </w:r>
      <w:proofErr w:type="spellStart"/>
      <w:r w:rsidRPr="00B479AE">
        <w:rPr>
          <w:rFonts w:ascii="Baskerville Old Face" w:hAnsi="Baskerville Old Face"/>
          <w:i/>
          <w:iCs/>
        </w:rPr>
        <w:t>not_ready</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internal_review</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diligence_ready</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legal_structuring_required</w:t>
      </w:r>
      <w:proofErr w:type="spellEnd"/>
      <w:r w:rsidRPr="00B479AE">
        <w:rPr>
          <w:rFonts w:ascii="Baskerville Old Face" w:hAnsi="Baskerville Old Face"/>
          <w:i/>
          <w:iCs/>
        </w:rPr>
        <w:t xml:space="preserve"> | </w:t>
      </w:r>
      <w:proofErr w:type="spellStart"/>
      <w:r w:rsidRPr="00B479AE">
        <w:rPr>
          <w:rFonts w:ascii="Baskerville Old Face" w:hAnsi="Baskerville Old Face"/>
          <w:i/>
          <w:iCs/>
        </w:rPr>
        <w:t>legally_structured</w:t>
      </w:r>
      <w:proofErr w:type="spellEnd"/>
      <w:r w:rsidRPr="00B479AE">
        <w:rPr>
          <w:rFonts w:ascii="Baskerville Old Face" w:hAnsi="Baskerville Old Face"/>
          <w:i/>
          <w:iCs/>
        </w:rPr>
        <w:t>",</w:t>
      </w:r>
      <w:r w:rsidRPr="00B479AE">
        <w:rPr>
          <w:rFonts w:ascii="Baskerville Old Face" w:hAnsi="Baskerville Old Face"/>
          <w:i/>
          <w:iCs/>
        </w:rPr>
        <w:br/>
        <w:t>"</w:t>
      </w:r>
      <w:proofErr w:type="spellStart"/>
      <w:r w:rsidRPr="00B479AE">
        <w:rPr>
          <w:rFonts w:ascii="Baskerville Old Face" w:hAnsi="Baskerville Old Face"/>
          <w:i/>
          <w:iCs/>
        </w:rPr>
        <w:t>structured_finance_ready</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compliant_representation_ready</w:t>
      </w:r>
      <w:proofErr w:type="spellEnd"/>
      <w:r w:rsidRPr="00B479AE">
        <w:rPr>
          <w:rFonts w:ascii="Baskerville Old Face" w:hAnsi="Baskerville Old Face"/>
          <w:i/>
          <w:iCs/>
        </w:rPr>
        <w:t>": false,</w:t>
      </w:r>
      <w:r w:rsidRPr="00B479AE">
        <w:rPr>
          <w:rFonts w:ascii="Baskerville Old Face" w:hAnsi="Baskerville Old Face"/>
          <w:i/>
          <w:iCs/>
        </w:rPr>
        <w:br/>
        <w:t>"</w:t>
      </w:r>
      <w:proofErr w:type="spellStart"/>
      <w:r w:rsidRPr="00B479AE">
        <w:rPr>
          <w:rFonts w:ascii="Baskerville Old Face" w:hAnsi="Baskerville Old Face"/>
          <w:i/>
          <w:iCs/>
        </w:rPr>
        <w:t>required_conditions</w:t>
      </w:r>
      <w:proofErr w:type="spellEnd"/>
      <w:r w:rsidRPr="00B479AE">
        <w:rPr>
          <w:rFonts w:ascii="Baskerville Old Face" w:hAnsi="Baskerville Old Face"/>
          <w:i/>
          <w:iCs/>
        </w:rPr>
        <w:t>": [</w:t>
      </w:r>
      <w:r w:rsidRPr="00B479AE">
        <w:rPr>
          <w:rFonts w:ascii="Baskerville Old Face" w:hAnsi="Baskerville Old Face"/>
          <w:i/>
          <w:iCs/>
        </w:rPr>
        <w:br/>
        <w:t>"legal review",</w:t>
      </w:r>
      <w:r w:rsidRPr="00B479AE">
        <w:rPr>
          <w:rFonts w:ascii="Baskerville Old Face" w:hAnsi="Baskerville Old Face"/>
          <w:i/>
          <w:iCs/>
        </w:rPr>
        <w:br/>
        <w:t>"additional MRV continuity",</w:t>
      </w:r>
      <w:r w:rsidRPr="00B479AE">
        <w:rPr>
          <w:rFonts w:ascii="Baskerville Old Face" w:hAnsi="Baskerville Old Face"/>
          <w:i/>
          <w:iCs/>
        </w:rPr>
        <w:br/>
      </w:r>
      <w:r w:rsidRPr="00B479AE">
        <w:rPr>
          <w:rFonts w:ascii="Baskerville Old Face" w:hAnsi="Baskerville Old Face"/>
          <w:i/>
          <w:iCs/>
        </w:rPr>
        <w:lastRenderedPageBreak/>
        <w:t>"no-double-counting review",</w:t>
      </w:r>
      <w:r w:rsidRPr="00B479AE">
        <w:rPr>
          <w:rFonts w:ascii="Baskerville Old Face" w:hAnsi="Baskerville Old Face"/>
          <w:i/>
          <w:iCs/>
        </w:rPr>
        <w:br/>
        <w:t>"investor disclosure review"</w:t>
      </w:r>
      <w:r w:rsidRPr="00B479AE">
        <w:rPr>
          <w:rFonts w:ascii="Baskerville Old Face" w:hAnsi="Baskerville Old Face"/>
          <w:i/>
          <w:iCs/>
        </w:rPr>
        <w:br/>
        <w:t>]</w:t>
      </w:r>
      <w:r w:rsidRPr="00B479AE">
        <w:rPr>
          <w:rFonts w:ascii="Baskerville Old Face" w:hAnsi="Baskerville Old Face"/>
          <w:i/>
          <w:iCs/>
        </w:rPr>
        <w:br/>
        <w:t>}</w:t>
      </w:r>
      <w:r w:rsidRPr="00B479AE">
        <w:rPr>
          <w:rFonts w:ascii="Baskerville Old Face" w:hAnsi="Baskerville Old Face"/>
          <w:i/>
          <w:iCs/>
        </w:rPr>
        <w:br/>
        <w:t>}</w:t>
      </w:r>
    </w:p>
    <w:p w14:paraId="61AB8B85"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This schema is intentionally conservative.</w:t>
      </w:r>
    </w:p>
    <w:p w14:paraId="0D145D30"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records analytical status.</w:t>
      </w:r>
    </w:p>
    <w:p w14:paraId="6147B52E"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does not record issuance.</w:t>
      </w:r>
    </w:p>
    <w:p w14:paraId="16FE8F23"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records maturity.</w:t>
      </w:r>
    </w:p>
    <w:p w14:paraId="3EC5FAFF"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does not create rights.</w:t>
      </w:r>
    </w:p>
    <w:p w14:paraId="4C3AD4D7"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records evidence.</w:t>
      </w:r>
    </w:p>
    <w:p w14:paraId="08040B88"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does not create market price.</w:t>
      </w:r>
    </w:p>
    <w:p w14:paraId="1E3B2891"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records readiness.</w:t>
      </w:r>
    </w:p>
    <w:p w14:paraId="5E8FF314"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does not create capital access.</w:t>
      </w:r>
    </w:p>
    <w:p w14:paraId="536D2D24"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The correct interpretation is:</w:t>
      </w:r>
    </w:p>
    <w:p w14:paraId="1E69A6FB"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 xml:space="preserve">PRU analysis record </w:t>
      </w:r>
      <w:r w:rsidRPr="00B479AE">
        <w:rPr>
          <w:rFonts w:ascii="Times New Roman" w:hAnsi="Times New Roman" w:cs="Times New Roman"/>
          <w:i/>
          <w:iCs/>
        </w:rPr>
        <w:t>→</w:t>
      </w:r>
      <w:r w:rsidRPr="00B479AE">
        <w:rPr>
          <w:rFonts w:ascii="Baskerville Old Face" w:hAnsi="Baskerville Old Face"/>
          <w:i/>
          <w:iCs/>
        </w:rPr>
        <w:t xml:space="preserve"> evidence review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capital-readiness assessment </w:t>
      </w:r>
      <w:r w:rsidRPr="00B479AE">
        <w:rPr>
          <w:rFonts w:ascii="Times New Roman" w:hAnsi="Times New Roman" w:cs="Times New Roman"/>
          <w:i/>
          <w:iCs/>
        </w:rPr>
        <w:t>→</w:t>
      </w:r>
      <w:r w:rsidRPr="00B479AE">
        <w:rPr>
          <w:rFonts w:ascii="Baskerville Old Face" w:hAnsi="Baskerville Old Face"/>
          <w:i/>
          <w:iCs/>
        </w:rPr>
        <w:t xml:space="preserve"> legal structuring where required </w:t>
      </w:r>
      <w:r w:rsidRPr="00B479AE">
        <w:rPr>
          <w:rFonts w:ascii="Times New Roman" w:hAnsi="Times New Roman" w:cs="Times New Roman"/>
          <w:i/>
          <w:iCs/>
        </w:rPr>
        <w:t>→</w:t>
      </w:r>
      <w:r w:rsidRPr="00B479AE">
        <w:rPr>
          <w:rFonts w:ascii="Baskerville Old Face" w:hAnsi="Baskerville Old Face"/>
          <w:i/>
          <w:iCs/>
        </w:rPr>
        <w:t xml:space="preserve"> possible compliant representation.</w:t>
      </w:r>
    </w:p>
    <w:p w14:paraId="5637AA0C"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A PRU analysis schema should make institutional diligence easier without allowing data structure to become financial authority.</w:t>
      </w:r>
    </w:p>
    <w:p w14:paraId="30837769"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The schema is therefore part of the Prometheus evidence discipline.</w:t>
      </w:r>
    </w:p>
    <w:p w14:paraId="3E88C3F2" w14:textId="77777777" w:rsidR="00D86805" w:rsidRPr="00B479AE" w:rsidRDefault="00D86805" w:rsidP="00D86805">
      <w:pPr>
        <w:spacing w:line="360" w:lineRule="auto"/>
        <w:rPr>
          <w:rFonts w:ascii="Baskerville Old Face" w:hAnsi="Baskerville Old Face"/>
          <w:i/>
          <w:iCs/>
        </w:rPr>
      </w:pPr>
      <w:r w:rsidRPr="00B479AE">
        <w:rPr>
          <w:rFonts w:ascii="Baskerville Old Face" w:hAnsi="Baskerville Old Face"/>
          <w:i/>
          <w:iCs/>
        </w:rPr>
        <w:t>It preserves the distinction between analytical interpretation, investor-facing use, legal rights, and future compliant representation.</w:t>
      </w:r>
    </w:p>
    <w:p w14:paraId="44BFD6E5" w14:textId="77777777" w:rsidR="00AB1107" w:rsidRPr="00B479AE" w:rsidRDefault="00AB1107" w:rsidP="00AB1107">
      <w:pPr>
        <w:spacing w:line="360" w:lineRule="auto"/>
        <w:rPr>
          <w:rFonts w:ascii="Baskerville Old Face" w:hAnsi="Baskerville Old Face"/>
          <w:b/>
          <w:bCs/>
          <w:i/>
          <w:iCs/>
        </w:rPr>
      </w:pPr>
      <w:r w:rsidRPr="00B479AE">
        <w:rPr>
          <w:rFonts w:ascii="Baskerville Old Face" w:hAnsi="Baskerville Old Face"/>
          <w:b/>
          <w:bCs/>
          <w:i/>
          <w:iCs/>
        </w:rPr>
        <w:t>R.36 Anti-Overclaiming Language</w:t>
      </w:r>
    </w:p>
    <w:p w14:paraId="0EA3F7CB"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Prometheus should use disciplined language around PRU value analysis, maturity classification, capital-readiness, and compliant representation.</w:t>
      </w:r>
    </w:p>
    <w:p w14:paraId="4365F01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lastRenderedPageBreak/>
        <w:t>Language determines interpretation.</w:t>
      </w:r>
    </w:p>
    <w:p w14:paraId="38B8E89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Interpretation determines legal, financial, governance, and reputational risk.</w:t>
      </w:r>
    </w:p>
    <w:p w14:paraId="28C0C0B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For this reason, PRU-related language should avoid implying automatic financial value, investor entitlement, credit rating, securities rating, token rights, collateral recognition, insurance eligibility, public-offering status, or market price.</w:t>
      </w:r>
    </w:p>
    <w:p w14:paraId="05AD81ED"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Preferred language should distinguish among:</w:t>
      </w:r>
    </w:p>
    <w:p w14:paraId="6C5E0DF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evidence;</w:t>
      </w:r>
    </w:p>
    <w:p w14:paraId="6F4B287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observation;</w:t>
      </w:r>
    </w:p>
    <w:p w14:paraId="315BD511"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verified indicator;</w:t>
      </w:r>
    </w:p>
    <w:p w14:paraId="2B09A87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admissibility;</w:t>
      </w:r>
    </w:p>
    <w:p w14:paraId="2C8FEAE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PRU value analysis;</w:t>
      </w:r>
    </w:p>
    <w:p w14:paraId="2832FFA0"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PRU maturity classification;</w:t>
      </w:r>
    </w:p>
    <w:p w14:paraId="47856BF3"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capital-readiness;</w:t>
      </w:r>
    </w:p>
    <w:p w14:paraId="648B2669"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legal structuring;</w:t>
      </w:r>
    </w:p>
    <w:p w14:paraId="494D81E1"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compliant representation;</w:t>
      </w:r>
    </w:p>
    <w:p w14:paraId="3D7C789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investor-facing use;</w:t>
      </w:r>
    </w:p>
    <w:p w14:paraId="6B2C241B"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public claims.</w:t>
      </w:r>
    </w:p>
    <w:p w14:paraId="1772106E" w14:textId="615D8A53"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The following language discipline should be applied:</w:t>
      </w:r>
      <w:r w:rsidR="008B46A5" w:rsidRPr="00B479AE">
        <w:rPr>
          <w:rFonts w:ascii="Baskerville Old Face" w:hAnsi="Baskerville Old Face"/>
          <w:i/>
          <w:iCs/>
        </w:rPr>
        <w:t xml:space="preserve"> </w:t>
      </w:r>
    </w:p>
    <w:p w14:paraId="2E4EE122" w14:textId="77777777" w:rsidR="008B46A5" w:rsidRPr="00B479AE" w:rsidRDefault="008B46A5" w:rsidP="00AB1107">
      <w:pPr>
        <w:spacing w:line="360" w:lineRule="auto"/>
        <w:rPr>
          <w:rFonts w:ascii="Baskerville Old Face" w:hAnsi="Baskerville Old Face"/>
          <w:i/>
          <w:iCs/>
        </w:rPr>
      </w:pPr>
    </w:p>
    <w:p w14:paraId="0F0CD972" w14:textId="77777777" w:rsidR="008B46A5" w:rsidRPr="00B479AE" w:rsidRDefault="008B46A5" w:rsidP="00AB1107">
      <w:pPr>
        <w:spacing w:line="360" w:lineRule="auto"/>
        <w:rPr>
          <w:rFonts w:ascii="Baskerville Old Face" w:hAnsi="Baskerville Old Face"/>
          <w:i/>
          <w:iCs/>
        </w:rPr>
      </w:pPr>
    </w:p>
    <w:p w14:paraId="1546C224" w14:textId="77777777" w:rsidR="008B46A5" w:rsidRPr="00B479AE" w:rsidRDefault="008B46A5" w:rsidP="00AB1107">
      <w:pPr>
        <w:spacing w:line="360" w:lineRule="auto"/>
        <w:rPr>
          <w:rFonts w:ascii="Baskerville Old Face" w:hAnsi="Baskerville Old Face"/>
          <w:i/>
          <w:iCs/>
        </w:rPr>
      </w:pPr>
    </w:p>
    <w:p w14:paraId="512C9653" w14:textId="77777777" w:rsidR="008B46A5" w:rsidRPr="00B479AE" w:rsidRDefault="008B46A5" w:rsidP="00AB1107">
      <w:pPr>
        <w:spacing w:line="360" w:lineRule="auto"/>
        <w:rPr>
          <w:rFonts w:ascii="Baskerville Old Face" w:hAnsi="Baskerville Old Face"/>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7"/>
        <w:gridCol w:w="7171"/>
      </w:tblGrid>
      <w:tr w:rsidR="00AB1107" w:rsidRPr="00B479AE" w14:paraId="59B47A17" w14:textId="77777777" w:rsidTr="00AB1107">
        <w:trPr>
          <w:tblHeader/>
          <w:tblCellSpacing w:w="15" w:type="dxa"/>
        </w:trPr>
        <w:tc>
          <w:tcPr>
            <w:tcW w:w="0" w:type="auto"/>
            <w:vAlign w:val="center"/>
            <w:hideMark/>
          </w:tcPr>
          <w:p w14:paraId="37290BA5" w14:textId="77777777" w:rsidR="00AB1107" w:rsidRPr="00B479AE" w:rsidRDefault="00AB1107" w:rsidP="00AB110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lastRenderedPageBreak/>
              <w:t>Overclaiming language</w:t>
            </w:r>
          </w:p>
        </w:tc>
        <w:tc>
          <w:tcPr>
            <w:tcW w:w="0" w:type="auto"/>
            <w:vAlign w:val="center"/>
            <w:hideMark/>
          </w:tcPr>
          <w:p w14:paraId="3CB07CE7" w14:textId="77777777" w:rsidR="00AB1107" w:rsidRPr="00B479AE" w:rsidRDefault="00AB1107" w:rsidP="00AB1107">
            <w:pPr>
              <w:spacing w:line="360" w:lineRule="auto"/>
              <w:rPr>
                <w:rFonts w:ascii="Baskerville Old Face" w:hAnsi="Baskerville Old Face"/>
                <w:b/>
                <w:bCs/>
                <w:i/>
                <w:iCs/>
                <w:sz w:val="20"/>
                <w:szCs w:val="20"/>
              </w:rPr>
            </w:pPr>
            <w:r w:rsidRPr="00B479AE">
              <w:rPr>
                <w:rFonts w:ascii="Baskerville Old Face" w:hAnsi="Baskerville Old Face"/>
                <w:b/>
                <w:bCs/>
                <w:i/>
                <w:iCs/>
                <w:sz w:val="20"/>
                <w:szCs w:val="20"/>
              </w:rPr>
              <w:t>Preferred language</w:t>
            </w:r>
          </w:p>
        </w:tc>
      </w:tr>
      <w:tr w:rsidR="00AB1107" w:rsidRPr="00B479AE" w14:paraId="2514F43C" w14:textId="77777777" w:rsidTr="00AB1107">
        <w:trPr>
          <w:tblCellSpacing w:w="15" w:type="dxa"/>
        </w:trPr>
        <w:tc>
          <w:tcPr>
            <w:tcW w:w="0" w:type="auto"/>
            <w:vAlign w:val="center"/>
            <w:hideMark/>
          </w:tcPr>
          <w:p w14:paraId="7BBCABD4"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has a market value.”</w:t>
            </w:r>
          </w:p>
        </w:tc>
        <w:tc>
          <w:tcPr>
            <w:tcW w:w="0" w:type="auto"/>
            <w:vAlign w:val="center"/>
            <w:hideMark/>
          </w:tcPr>
          <w:p w14:paraId="1018DE4D"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analysis may support value interpretation where evidence, methodology, admissibility, and legal structure allow.”</w:t>
            </w:r>
          </w:p>
        </w:tc>
      </w:tr>
      <w:tr w:rsidR="00AB1107" w:rsidRPr="00B479AE" w14:paraId="1FD6B245" w14:textId="77777777" w:rsidTr="00AB1107">
        <w:trPr>
          <w:tblCellSpacing w:w="15" w:type="dxa"/>
        </w:trPr>
        <w:tc>
          <w:tcPr>
            <w:tcW w:w="0" w:type="auto"/>
            <w:vAlign w:val="center"/>
            <w:hideMark/>
          </w:tcPr>
          <w:p w14:paraId="2FEA677B"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is investment-grade.”</w:t>
            </w:r>
          </w:p>
        </w:tc>
        <w:tc>
          <w:tcPr>
            <w:tcW w:w="0" w:type="auto"/>
            <w:vAlign w:val="center"/>
            <w:hideMark/>
          </w:tcPr>
          <w:p w14:paraId="4E90B0AD"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has reached a defined maturity class that may support further diligence.”</w:t>
            </w:r>
          </w:p>
        </w:tc>
      </w:tr>
      <w:tr w:rsidR="00AB1107" w:rsidRPr="00B479AE" w14:paraId="4491D113" w14:textId="77777777" w:rsidTr="00AB1107">
        <w:trPr>
          <w:tblCellSpacing w:w="15" w:type="dxa"/>
        </w:trPr>
        <w:tc>
          <w:tcPr>
            <w:tcW w:w="0" w:type="auto"/>
            <w:vAlign w:val="center"/>
            <w:hideMark/>
          </w:tcPr>
          <w:p w14:paraId="0A81B73E"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maturity class guarantees finance.”</w:t>
            </w:r>
          </w:p>
        </w:tc>
        <w:tc>
          <w:tcPr>
            <w:tcW w:w="0" w:type="auto"/>
            <w:vAlign w:val="center"/>
            <w:hideMark/>
          </w:tcPr>
          <w:p w14:paraId="2D5F8583"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maturity class supports diligence and does not replace underwriting, legal review, investor suitability analysis, or capital decision-making.”</w:t>
            </w:r>
          </w:p>
        </w:tc>
      </w:tr>
      <w:tr w:rsidR="00AB1107" w:rsidRPr="00B479AE" w14:paraId="07E19653" w14:textId="77777777" w:rsidTr="00AB1107">
        <w:trPr>
          <w:tblCellSpacing w:w="15" w:type="dxa"/>
        </w:trPr>
        <w:tc>
          <w:tcPr>
            <w:tcW w:w="0" w:type="auto"/>
            <w:vAlign w:val="center"/>
            <w:hideMark/>
          </w:tcPr>
          <w:p w14:paraId="290EA19E"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can be tokenized.”</w:t>
            </w:r>
          </w:p>
        </w:tc>
        <w:tc>
          <w:tcPr>
            <w:tcW w:w="0" w:type="auto"/>
            <w:vAlign w:val="center"/>
            <w:hideMark/>
          </w:tcPr>
          <w:p w14:paraId="315AEA77"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logic may support possible compliant representation only where legal structure, disclosure, and jurisdiction-specific review allow.”</w:t>
            </w:r>
          </w:p>
        </w:tc>
      </w:tr>
      <w:tr w:rsidR="00AB1107" w:rsidRPr="00B479AE" w14:paraId="0055E891" w14:textId="77777777" w:rsidTr="00AB1107">
        <w:trPr>
          <w:tblCellSpacing w:w="15" w:type="dxa"/>
        </w:trPr>
        <w:tc>
          <w:tcPr>
            <w:tcW w:w="0" w:type="auto"/>
            <w:vAlign w:val="center"/>
            <w:hideMark/>
          </w:tcPr>
          <w:p w14:paraId="74509F61"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creates investor rights.”</w:t>
            </w:r>
          </w:p>
        </w:tc>
        <w:tc>
          <w:tcPr>
            <w:tcW w:w="0" w:type="auto"/>
            <w:vAlign w:val="center"/>
            <w:hideMark/>
          </w:tcPr>
          <w:p w14:paraId="53FF330A"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“Investor rights may arise only through a valid legal instrument.”</w:t>
            </w:r>
          </w:p>
        </w:tc>
      </w:tr>
      <w:tr w:rsidR="00AB1107" w:rsidRPr="00B479AE" w14:paraId="03260A54" w14:textId="77777777" w:rsidTr="00AB1107">
        <w:trPr>
          <w:tblCellSpacing w:w="15" w:type="dxa"/>
        </w:trPr>
        <w:tc>
          <w:tcPr>
            <w:tcW w:w="0" w:type="auto"/>
            <w:vAlign w:val="center"/>
            <w:hideMark/>
          </w:tcPr>
          <w:p w14:paraId="7AC7C5A9"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is collateral.”</w:t>
            </w:r>
          </w:p>
        </w:tc>
        <w:tc>
          <w:tcPr>
            <w:tcW w:w="0" w:type="auto"/>
            <w:vAlign w:val="center"/>
            <w:hideMark/>
          </w:tcPr>
          <w:p w14:paraId="5CF6CD12"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“Collateral recognition requires separate legal, financial, and institutional review.”</w:t>
            </w:r>
          </w:p>
        </w:tc>
      </w:tr>
      <w:tr w:rsidR="00AB1107" w:rsidRPr="00B479AE" w14:paraId="6EBEE2E1" w14:textId="77777777" w:rsidTr="00AB1107">
        <w:trPr>
          <w:tblCellSpacing w:w="15" w:type="dxa"/>
        </w:trPr>
        <w:tc>
          <w:tcPr>
            <w:tcW w:w="0" w:type="auto"/>
            <w:vAlign w:val="center"/>
            <w:hideMark/>
          </w:tcPr>
          <w:p w14:paraId="6566E35F"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creates credit eligibility.”</w:t>
            </w:r>
          </w:p>
        </w:tc>
        <w:tc>
          <w:tcPr>
            <w:tcW w:w="0" w:type="auto"/>
            <w:vAlign w:val="center"/>
            <w:hideMark/>
          </w:tcPr>
          <w:p w14:paraId="372DAFD2"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“Credit eligibility requires lender, guarantor, insurer, or public-program assessment under applicable rules.”</w:t>
            </w:r>
          </w:p>
        </w:tc>
      </w:tr>
      <w:tr w:rsidR="00AB1107" w:rsidRPr="00B479AE" w14:paraId="262B172A" w14:textId="77777777" w:rsidTr="00AB1107">
        <w:trPr>
          <w:tblCellSpacing w:w="15" w:type="dxa"/>
        </w:trPr>
        <w:tc>
          <w:tcPr>
            <w:tcW w:w="0" w:type="auto"/>
            <w:vAlign w:val="center"/>
            <w:hideMark/>
          </w:tcPr>
          <w:p w14:paraId="2C12B88B"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proves ecological value.”</w:t>
            </w:r>
          </w:p>
        </w:tc>
        <w:tc>
          <w:tcPr>
            <w:tcW w:w="0" w:type="auto"/>
            <w:vAlign w:val="center"/>
            <w:hideMark/>
          </w:tcPr>
          <w:p w14:paraId="653E6810"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PRU analysis is based on evidence, methodology, confidence scoring, and admissibility review.”</w:t>
            </w:r>
          </w:p>
        </w:tc>
      </w:tr>
      <w:tr w:rsidR="00AB1107" w:rsidRPr="00B479AE" w14:paraId="0058B3D7" w14:textId="77777777" w:rsidTr="00AB1107">
        <w:trPr>
          <w:tblCellSpacing w:w="15" w:type="dxa"/>
        </w:trPr>
        <w:tc>
          <w:tcPr>
            <w:tcW w:w="0" w:type="auto"/>
            <w:vAlign w:val="center"/>
            <w:hideMark/>
          </w:tcPr>
          <w:p w14:paraId="5E246891"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dashboard authorizes action.”</w:t>
            </w:r>
          </w:p>
        </w:tc>
        <w:tc>
          <w:tcPr>
            <w:tcW w:w="0" w:type="auto"/>
            <w:vAlign w:val="center"/>
            <w:hideMark/>
          </w:tcPr>
          <w:p w14:paraId="35CC795D"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“Dashboard outputs are decision-support signals and require the applicable review or authorization pathway.”</w:t>
            </w:r>
          </w:p>
        </w:tc>
      </w:tr>
      <w:tr w:rsidR="00AB1107" w:rsidRPr="00B479AE" w14:paraId="6FC8E5E9" w14:textId="77777777" w:rsidTr="00AB1107">
        <w:trPr>
          <w:tblCellSpacing w:w="15" w:type="dxa"/>
        </w:trPr>
        <w:tc>
          <w:tcPr>
            <w:tcW w:w="0" w:type="auto"/>
            <w:vAlign w:val="center"/>
            <w:hideMark/>
          </w:tcPr>
          <w:p w14:paraId="65F7E46B"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AI output validates the PRU.”</w:t>
            </w:r>
          </w:p>
        </w:tc>
        <w:tc>
          <w:tcPr>
            <w:tcW w:w="0" w:type="auto"/>
            <w:vAlign w:val="center"/>
            <w:hideMark/>
          </w:tcPr>
          <w:p w14:paraId="7202C83E"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“AI outputs may support analysis but do not replace MRV, governance review, or legal review.”</w:t>
            </w:r>
          </w:p>
        </w:tc>
      </w:tr>
      <w:tr w:rsidR="00AB1107" w:rsidRPr="00B479AE" w14:paraId="1612966F" w14:textId="77777777" w:rsidTr="00AB1107">
        <w:trPr>
          <w:tblCellSpacing w:w="15" w:type="dxa"/>
        </w:trPr>
        <w:tc>
          <w:tcPr>
            <w:tcW w:w="0" w:type="auto"/>
            <w:vAlign w:val="center"/>
            <w:hideMark/>
          </w:tcPr>
          <w:p w14:paraId="0929115C"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PHI signal downgrades the project.”</w:t>
            </w:r>
          </w:p>
        </w:tc>
        <w:tc>
          <w:tcPr>
            <w:tcW w:w="0" w:type="auto"/>
            <w:vAlign w:val="center"/>
            <w:hideMark/>
          </w:tcPr>
          <w:p w14:paraId="078BB7B0"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“PHI signals may trigger protective review but do not automatically reclassify a PRU, OHE, RAP, project, or portfolio.”</w:t>
            </w:r>
          </w:p>
        </w:tc>
      </w:tr>
      <w:tr w:rsidR="00AB1107" w:rsidRPr="00B479AE" w14:paraId="7E10595D" w14:textId="77777777" w:rsidTr="00AB1107">
        <w:trPr>
          <w:tblCellSpacing w:w="15" w:type="dxa"/>
        </w:trPr>
        <w:tc>
          <w:tcPr>
            <w:tcW w:w="0" w:type="auto"/>
            <w:vAlign w:val="center"/>
            <w:hideMark/>
          </w:tcPr>
          <w:p w14:paraId="6221DC57"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 xml:space="preserve">“This RAP is </w:t>
            </w:r>
            <w:proofErr w:type="spellStart"/>
            <w:r w:rsidRPr="00B479AE">
              <w:rPr>
                <w:rFonts w:ascii="Baskerville Old Face" w:hAnsi="Baskerville Old Face"/>
                <w:i/>
                <w:iCs/>
                <w:sz w:val="20"/>
                <w:szCs w:val="20"/>
              </w:rPr>
              <w:t>securitizable</w:t>
            </w:r>
            <w:proofErr w:type="spellEnd"/>
            <w:r w:rsidRPr="00B479AE">
              <w:rPr>
                <w:rFonts w:ascii="Baskerville Old Face" w:hAnsi="Baskerville Old Face"/>
                <w:i/>
                <w:iCs/>
                <w:sz w:val="20"/>
                <w:szCs w:val="20"/>
              </w:rPr>
              <w:t>.”</w:t>
            </w:r>
          </w:p>
        </w:tc>
        <w:tc>
          <w:tcPr>
            <w:tcW w:w="0" w:type="auto"/>
            <w:vAlign w:val="center"/>
            <w:hideMark/>
          </w:tcPr>
          <w:p w14:paraId="480EE267"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“RAP logic may support future structured-finance analysis where asset maturity, legal structure, disclosure, and institutional safeguards are sufficient.”</w:t>
            </w:r>
          </w:p>
        </w:tc>
      </w:tr>
      <w:tr w:rsidR="00AB1107" w:rsidRPr="00B479AE" w14:paraId="4E1D20DD" w14:textId="77777777" w:rsidTr="00AB1107">
        <w:trPr>
          <w:tblCellSpacing w:w="15" w:type="dxa"/>
        </w:trPr>
        <w:tc>
          <w:tcPr>
            <w:tcW w:w="0" w:type="auto"/>
            <w:vAlign w:val="center"/>
            <w:hideMark/>
          </w:tcPr>
          <w:p w14:paraId="54413DB8"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report is an offering document.”</w:t>
            </w:r>
          </w:p>
        </w:tc>
        <w:tc>
          <w:tcPr>
            <w:tcW w:w="0" w:type="auto"/>
            <w:vAlign w:val="center"/>
            <w:hideMark/>
          </w:tcPr>
          <w:p w14:paraId="65E99C46" w14:textId="77777777" w:rsidR="00AB1107" w:rsidRPr="00B479AE" w:rsidRDefault="00AB1107" w:rsidP="00AB1107">
            <w:pPr>
              <w:spacing w:line="360" w:lineRule="auto"/>
              <w:rPr>
                <w:rFonts w:ascii="Baskerville Old Face" w:hAnsi="Baskerville Old Face"/>
                <w:i/>
                <w:iCs/>
                <w:sz w:val="20"/>
                <w:szCs w:val="20"/>
              </w:rPr>
            </w:pPr>
            <w:r w:rsidRPr="00B479AE">
              <w:rPr>
                <w:rFonts w:ascii="Baskerville Old Face" w:hAnsi="Baskerville Old Face"/>
                <w:i/>
                <w:iCs/>
                <w:sz w:val="20"/>
                <w:szCs w:val="20"/>
              </w:rPr>
              <w:t>“This report is classified according to its permitted use and does not create offering status unless legally structured as such.”</w:t>
            </w:r>
          </w:p>
        </w:tc>
      </w:tr>
    </w:tbl>
    <w:p w14:paraId="6EB84FB1"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The operational rule is:</w:t>
      </w:r>
    </w:p>
    <w:p w14:paraId="2FD62CC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lastRenderedPageBreak/>
        <w:t>language must follow status;</w:t>
      </w:r>
    </w:p>
    <w:p w14:paraId="46803198"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status must follow evidence;</w:t>
      </w:r>
    </w:p>
    <w:p w14:paraId="3EFB7E9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evidence must follow methodology;</w:t>
      </w:r>
    </w:p>
    <w:p w14:paraId="51354A8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methodology must follow review;</w:t>
      </w:r>
    </w:p>
    <w:p w14:paraId="0479737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review must follow governance;</w:t>
      </w:r>
    </w:p>
    <w:p w14:paraId="425056B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financial meaning must follow law.</w:t>
      </w:r>
    </w:p>
    <w:p w14:paraId="1F1B1E7F"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Prometheus should therefore avoid language that moves faster than evidence, methodology, governance, or legal structure.</w:t>
      </w:r>
    </w:p>
    <w:p w14:paraId="6E6D9F36"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Where uncertainty exists, the correct language is not promotional.</w:t>
      </w:r>
    </w:p>
    <w:p w14:paraId="7E81D9D8"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is conditional, review-bound, and evidence-linked.</w:t>
      </w:r>
    </w:p>
    <w:p w14:paraId="568F1DC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This protects the credibility of Prometheus.</w:t>
      </w:r>
    </w:p>
    <w:p w14:paraId="4B76C4F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participants.</w:t>
      </w:r>
    </w:p>
    <w:p w14:paraId="267032B8"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capital allocators.</w:t>
      </w:r>
    </w:p>
    <w:p w14:paraId="39568CA5"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the source layer.</w:t>
      </w:r>
    </w:p>
    <w:p w14:paraId="485E5A93"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the future asset class from premature inflation.</w:t>
      </w:r>
    </w:p>
    <w:p w14:paraId="5A31CD4C" w14:textId="77777777" w:rsidR="00AB1107" w:rsidRPr="00B479AE" w:rsidRDefault="00AB1107" w:rsidP="00AB1107">
      <w:pPr>
        <w:spacing w:line="360" w:lineRule="auto"/>
        <w:rPr>
          <w:rFonts w:ascii="Baskerville Old Face" w:hAnsi="Baskerville Old Face"/>
          <w:b/>
          <w:bCs/>
          <w:i/>
          <w:iCs/>
        </w:rPr>
      </w:pPr>
      <w:r w:rsidRPr="00B479AE">
        <w:rPr>
          <w:rFonts w:ascii="Baskerville Old Face" w:hAnsi="Baskerville Old Face"/>
          <w:b/>
          <w:bCs/>
          <w:i/>
          <w:iCs/>
        </w:rPr>
        <w:t>R.37 Final PRU Value-Analysis Principle</w:t>
      </w:r>
    </w:p>
    <w:p w14:paraId="439DBC25"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The final PRU value-analysis principle is:</w:t>
      </w:r>
    </w:p>
    <w:p w14:paraId="1547A1A0"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life generates value;</w:t>
      </w:r>
    </w:p>
    <w:p w14:paraId="781023DB"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evidence makes value legible;</w:t>
      </w:r>
    </w:p>
    <w:p w14:paraId="1E3C734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MRV makes value reviewable;</w:t>
      </w:r>
    </w:p>
    <w:p w14:paraId="101E77A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methodology makes value interpretable;</w:t>
      </w:r>
    </w:p>
    <w:p w14:paraId="7BE02E5B"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admissibility makes value usable;</w:t>
      </w:r>
    </w:p>
    <w:p w14:paraId="625F5537"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lastRenderedPageBreak/>
        <w:t>PRU analysis makes value comparable;</w:t>
      </w:r>
    </w:p>
    <w:p w14:paraId="7E54F811"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maturity classification makes value readable for diligence;</w:t>
      </w:r>
    </w:p>
    <w:p w14:paraId="1CBDA34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legal structure makes rights enforceable;</w:t>
      </w:r>
    </w:p>
    <w:p w14:paraId="322CD0D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capital makes scale possible.</w:t>
      </w:r>
    </w:p>
    <w:p w14:paraId="7C5505AC"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Prometheus should never reverse this order.</w:t>
      </w:r>
    </w:p>
    <w:p w14:paraId="64C7867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Capital does not create regeneration.</w:t>
      </w:r>
    </w:p>
    <w:p w14:paraId="557DEA6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Tokens do not create regeneration.</w:t>
      </w:r>
    </w:p>
    <w:p w14:paraId="5A975314"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Ratings do not create regeneration.</w:t>
      </w:r>
    </w:p>
    <w:p w14:paraId="7A5B0D4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Dashboards do not create regeneration.</w:t>
      </w:r>
    </w:p>
    <w:p w14:paraId="1219C6B9"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AI does not create regeneration.</w:t>
      </w:r>
    </w:p>
    <w:p w14:paraId="01E95DFC"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Legal instruments do not create regeneration.</w:t>
      </w:r>
    </w:p>
    <w:p w14:paraId="70C7378E"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They may support, represent, finance, coordinate, or scale regenerative value only after living systems generate performance and evidence makes that performance reviewable.</w:t>
      </w:r>
    </w:p>
    <w:p w14:paraId="25AB2678"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The final boundary is:</w:t>
      </w:r>
    </w:p>
    <w:p w14:paraId="31EF98F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 xml:space="preserve">living system </w:t>
      </w:r>
      <w:r w:rsidRPr="00B479AE">
        <w:rPr>
          <w:rFonts w:ascii="Times New Roman" w:hAnsi="Times New Roman" w:cs="Times New Roman"/>
          <w:i/>
          <w:iCs/>
        </w:rPr>
        <w:t>→</w:t>
      </w:r>
      <w:r w:rsidRPr="00B479AE">
        <w:rPr>
          <w:rFonts w:ascii="Baskerville Old Face" w:hAnsi="Baskerville Old Face"/>
          <w:i/>
          <w:iCs/>
        </w:rPr>
        <w:t xml:space="preserve"> evidence </w:t>
      </w:r>
      <w:r w:rsidRPr="00B479AE">
        <w:rPr>
          <w:rFonts w:ascii="Times New Roman" w:hAnsi="Times New Roman" w:cs="Times New Roman"/>
          <w:i/>
          <w:iCs/>
        </w:rPr>
        <w:t>→</w:t>
      </w:r>
      <w:r w:rsidRPr="00B479AE">
        <w:rPr>
          <w:rFonts w:ascii="Baskerville Old Face" w:hAnsi="Baskerville Old Face"/>
          <w:i/>
          <w:iCs/>
        </w:rPr>
        <w:t xml:space="preserve"> MRV </w:t>
      </w:r>
      <w:r w:rsidRPr="00B479AE">
        <w:rPr>
          <w:rFonts w:ascii="Times New Roman" w:hAnsi="Times New Roman" w:cs="Times New Roman"/>
          <w:i/>
          <w:iCs/>
        </w:rPr>
        <w:t>→</w:t>
      </w:r>
      <w:r w:rsidRPr="00B479AE">
        <w:rPr>
          <w:rFonts w:ascii="Baskerville Old Face" w:hAnsi="Baskerville Old Face"/>
          <w:i/>
          <w:iCs/>
        </w:rPr>
        <w:t xml:space="preserve"> admissibility </w:t>
      </w:r>
      <w:r w:rsidRPr="00B479AE">
        <w:rPr>
          <w:rFonts w:ascii="Times New Roman" w:hAnsi="Times New Roman" w:cs="Times New Roman"/>
          <w:i/>
          <w:iCs/>
        </w:rPr>
        <w:t>→</w:t>
      </w:r>
      <w:r w:rsidRPr="00B479AE">
        <w:rPr>
          <w:rFonts w:ascii="Baskerville Old Face" w:hAnsi="Baskerville Old Face"/>
          <w:i/>
          <w:iCs/>
        </w:rPr>
        <w:t xml:space="preserve"> PRU value analysis </w:t>
      </w:r>
      <w:r w:rsidRPr="00B479AE">
        <w:rPr>
          <w:rFonts w:ascii="Times New Roman" w:hAnsi="Times New Roman" w:cs="Times New Roman"/>
          <w:i/>
          <w:iCs/>
        </w:rPr>
        <w:t>→</w:t>
      </w:r>
      <w:r w:rsidRPr="00B479AE">
        <w:rPr>
          <w:rFonts w:ascii="Baskerville Old Face" w:hAnsi="Baskerville Old Face"/>
          <w:i/>
          <w:iCs/>
        </w:rPr>
        <w:t xml:space="preserve"> maturity classification </w:t>
      </w:r>
      <w:r w:rsidRPr="00B479AE">
        <w:rPr>
          <w:rFonts w:ascii="Times New Roman" w:hAnsi="Times New Roman" w:cs="Times New Roman"/>
          <w:i/>
          <w:iCs/>
        </w:rPr>
        <w:t>→</w:t>
      </w:r>
      <w:r w:rsidRPr="00B479AE">
        <w:rPr>
          <w:rFonts w:ascii="Baskerville Old Face" w:hAnsi="Baskerville Old Face"/>
          <w:i/>
          <w:iCs/>
        </w:rPr>
        <w:t xml:space="preserve"> legal structure </w:t>
      </w:r>
      <w:r w:rsidRPr="00B479AE">
        <w:rPr>
          <w:rFonts w:ascii="Times New Roman" w:hAnsi="Times New Roman" w:cs="Times New Roman"/>
          <w:i/>
          <w:iCs/>
        </w:rPr>
        <w:t>→</w:t>
      </w:r>
      <w:r w:rsidRPr="00B479AE">
        <w:rPr>
          <w:rFonts w:ascii="Baskerville Old Face" w:hAnsi="Baskerville Old Face"/>
          <w:i/>
          <w:iCs/>
        </w:rPr>
        <w:t xml:space="preserve"> possible compliant representation </w:t>
      </w:r>
      <w:r w:rsidRPr="00B479AE">
        <w:rPr>
          <w:rFonts w:ascii="Times New Roman" w:hAnsi="Times New Roman" w:cs="Times New Roman"/>
          <w:i/>
          <w:iCs/>
        </w:rPr>
        <w:t>→</w:t>
      </w:r>
      <w:r w:rsidRPr="00B479AE">
        <w:rPr>
          <w:rFonts w:ascii="Baskerville Old Face" w:hAnsi="Baskerville Old Face"/>
          <w:i/>
          <w:iCs/>
        </w:rPr>
        <w:t xml:space="preserve"> capital allocation.</w:t>
      </w:r>
    </w:p>
    <w:p w14:paraId="4FCB3D1A"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This sequence protects Prometheus from premature financialization.</w:t>
      </w:r>
    </w:p>
    <w:p w14:paraId="42F3E955"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preserves the primacy of living systems.</w:t>
      </w:r>
    </w:p>
    <w:p w14:paraId="224B486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ecological truth from market narrative.</w:t>
      </w:r>
    </w:p>
    <w:p w14:paraId="3D249DA9"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governance from automation.</w:t>
      </w:r>
    </w:p>
    <w:p w14:paraId="40C12FDD"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legal rights from semantic inflation.</w:t>
      </w:r>
    </w:p>
    <w:p w14:paraId="4E561876"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It protects capital from unsupported claims.</w:t>
      </w:r>
    </w:p>
    <w:p w14:paraId="57F54547"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lastRenderedPageBreak/>
        <w:t>It protects the source layer from category collapse.</w:t>
      </w:r>
    </w:p>
    <w:p w14:paraId="776F8989"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The final principle is:</w:t>
      </w:r>
    </w:p>
    <w:p w14:paraId="0CFC3752"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regeneration comes first;</w:t>
      </w:r>
    </w:p>
    <w:p w14:paraId="42E303A7" w14:textId="77777777" w:rsidR="00AB1107" w:rsidRPr="00B479AE" w:rsidRDefault="00AB1107" w:rsidP="00AB1107">
      <w:pPr>
        <w:spacing w:line="360" w:lineRule="auto"/>
        <w:rPr>
          <w:rFonts w:ascii="Baskerville Old Face" w:hAnsi="Baskerville Old Face"/>
          <w:i/>
          <w:iCs/>
        </w:rPr>
      </w:pPr>
      <w:r w:rsidRPr="00B479AE">
        <w:rPr>
          <w:rFonts w:ascii="Baskerville Old Face" w:hAnsi="Baskerville Old Face"/>
          <w:i/>
          <w:iCs/>
        </w:rPr>
        <w:t>financial meaning comes later.</w:t>
      </w:r>
    </w:p>
    <w:p w14:paraId="6CC5F93F" w14:textId="77777777" w:rsidR="006C5552" w:rsidRPr="00ED0D46" w:rsidRDefault="006C5552" w:rsidP="00ED0D46">
      <w:pPr>
        <w:pStyle w:val="Titolo1"/>
        <w:rPr>
          <w:rFonts w:ascii="Baskerville Old Face" w:hAnsi="Baskerville Old Face"/>
          <w:b/>
          <w:bCs/>
          <w:i/>
          <w:iCs/>
          <w:sz w:val="24"/>
          <w:szCs w:val="24"/>
        </w:rPr>
      </w:pPr>
      <w:r w:rsidRPr="00ED0D46">
        <w:rPr>
          <w:rFonts w:ascii="Baskerville Old Face" w:hAnsi="Baskerville Old Face"/>
          <w:b/>
          <w:bCs/>
          <w:i/>
          <w:iCs/>
          <w:sz w:val="24"/>
          <w:szCs w:val="24"/>
        </w:rPr>
        <w:t>Appendix S: Canonical Protection, Fork Governance, and Global Legal Survival Architecture</w:t>
      </w:r>
    </w:p>
    <w:p w14:paraId="01F7DDDA"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S.1 Purpose and Boundary</w:t>
      </w:r>
    </w:p>
    <w:p w14:paraId="1D06A05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is designed to survive replication, translation, implementation, fork attempts, AI-generated similarity, institutional adoption, and future technological change without losing its canonical meaning.</w:t>
      </w:r>
    </w:p>
    <w:p w14:paraId="22418FD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This appendix defines the protection architecture through which Prometheus preserves source-layer fidelity, canonical lineage, public verification, lawful use, fork discipline, and institutional trust.</w:t>
      </w:r>
    </w:p>
    <w:p w14:paraId="4837BC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purpose of this appendix is not to prevent learning, inspiration, interoperability, research, implementation, or compatible evolution.</w:t>
      </w:r>
    </w:p>
    <w:p w14:paraId="1D4CA66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purpose is to prevent confusion between:</w:t>
      </w:r>
    </w:p>
    <w:p w14:paraId="2097F06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as a canonical source-layer architecture;</w:t>
      </w:r>
    </w:p>
    <w:p w14:paraId="7FEE10A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Prometheus-compatible implementations;</w:t>
      </w:r>
    </w:p>
    <w:p w14:paraId="6B01DF2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independent derivatives;</w:t>
      </w:r>
    </w:p>
    <w:p w14:paraId="41DC0C7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misleading forks;</w:t>
      </w:r>
    </w:p>
    <w:p w14:paraId="31D78EA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unauthorized public claims;</w:t>
      </w:r>
    </w:p>
    <w:p w14:paraId="3588201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hostile or deceptive uses of Prometheus identity;</w:t>
      </w:r>
    </w:p>
    <w:p w14:paraId="4244E00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AI-generated replicas that imitate form without preserving lineage.</w:t>
      </w:r>
    </w:p>
    <w:p w14:paraId="6752A70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may be copied in form.</w:t>
      </w:r>
    </w:p>
    <w:p w14:paraId="68DDE25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may be studied.</w:t>
      </w:r>
    </w:p>
    <w:p w14:paraId="23415C6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Prometheus may inspire independent systems.</w:t>
      </w:r>
    </w:p>
    <w:p w14:paraId="1D81CC3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may be forked under defined rules.</w:t>
      </w:r>
    </w:p>
    <w:p w14:paraId="1784C8D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But canonical status is not created by similarity.</w:t>
      </w:r>
    </w:p>
    <w:p w14:paraId="5C1A2FB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status is created by verifiable lineage.</w:t>
      </w:r>
    </w:p>
    <w:p w14:paraId="73A5FF4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may copy the form of Prometheus.</w:t>
      </w:r>
    </w:p>
    <w:p w14:paraId="423F720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Only fidelity to the source layer preserves the lineage of Prometheus.</w:t>
      </w:r>
    </w:p>
    <w:p w14:paraId="17056C2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core protection principle is:</w:t>
      </w:r>
    </w:p>
    <w:p w14:paraId="4612DB3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copying is not continuity;</w:t>
      </w:r>
    </w:p>
    <w:p w14:paraId="5C7014D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similarity is not lineage;</w:t>
      </w:r>
    </w:p>
    <w:p w14:paraId="52DD13E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forking is not authority;</w:t>
      </w:r>
    </w:p>
    <w:p w14:paraId="0650CEC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verification creates canonical trust.</w:t>
      </w:r>
    </w:p>
    <w:p w14:paraId="651842B6"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S.2 Source-Layer Protection Principle</w:t>
      </w:r>
    </w:p>
    <w:p w14:paraId="6EC42B5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source layer is the constitutional, semantic, methodological, and evidentiary foundation of Prometheus.</w:t>
      </w:r>
    </w:p>
    <w:p w14:paraId="76BF7FA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includes:</w:t>
      </w:r>
    </w:p>
    <w:p w14:paraId="2B91C60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definitions;</w:t>
      </w:r>
    </w:p>
    <w:p w14:paraId="1266943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constitutional articles;</w:t>
      </w:r>
    </w:p>
    <w:p w14:paraId="0451F3F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Eternity Clauses;</w:t>
      </w:r>
    </w:p>
    <w:p w14:paraId="5709956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Access Covenant;</w:t>
      </w:r>
    </w:p>
    <w:p w14:paraId="25B5C3F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source-layer glossary;</w:t>
      </w:r>
    </w:p>
    <w:p w14:paraId="492AFCD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 / RAP / MRV boundary rules;</w:t>
      </w:r>
    </w:p>
    <w:p w14:paraId="1132D3D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 governance rules;</w:t>
      </w:r>
    </w:p>
    <w:p w14:paraId="65F4E19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anti-bypass rules;</w:t>
      </w:r>
    </w:p>
    <w:p w14:paraId="7E7FA14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verification-first discipline;</w:t>
      </w:r>
    </w:p>
    <w:p w14:paraId="015AA31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no-double-counting discipline;</w:t>
      </w:r>
    </w:p>
    <w:p w14:paraId="0D3081A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public-claim boundaries;</w:t>
      </w:r>
    </w:p>
    <w:p w14:paraId="18EAAFA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release records;</w:t>
      </w:r>
    </w:p>
    <w:p w14:paraId="7E61395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hashes;</w:t>
      </w:r>
    </w:p>
    <w:p w14:paraId="72E1085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detached signatures;</w:t>
      </w:r>
    </w:p>
    <w:p w14:paraId="3E0907E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repositories;</w:t>
      </w:r>
    </w:p>
    <w:p w14:paraId="7B8037B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registry references;</w:t>
      </w:r>
    </w:p>
    <w:p w14:paraId="00E5BCA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source-layer continuity materials.</w:t>
      </w:r>
    </w:p>
    <w:p w14:paraId="0881FD8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source layer must remain distinguishable from:</w:t>
      </w:r>
    </w:p>
    <w:p w14:paraId="7DE6D3E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software implementations;</w:t>
      </w:r>
    </w:p>
    <w:p w14:paraId="1B5BC69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dashboards;</w:t>
      </w:r>
    </w:p>
    <w:p w14:paraId="2ADEF26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APIs;</w:t>
      </w:r>
    </w:p>
    <w:p w14:paraId="460698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AI agents;</w:t>
      </w:r>
    </w:p>
    <w:p w14:paraId="061A6DA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field deployments;</w:t>
      </w:r>
    </w:p>
    <w:p w14:paraId="3EEE2BC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token layers;</w:t>
      </w:r>
    </w:p>
    <w:p w14:paraId="5211AE3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investment instruments;</w:t>
      </w:r>
    </w:p>
    <w:p w14:paraId="0B55F7D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governance mechanisms;</w:t>
      </w:r>
    </w:p>
    <w:p w14:paraId="7C117D8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forks;</w:t>
      </w:r>
    </w:p>
    <w:p w14:paraId="46093AA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derivative methodologies;</w:t>
      </w:r>
    </w:p>
    <w:p w14:paraId="6B1CACE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 narratives;</w:t>
      </w:r>
    </w:p>
    <w:p w14:paraId="4622F52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investor-facing materials.</w:t>
      </w:r>
    </w:p>
    <w:p w14:paraId="46230F1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This distinction is essential.</w:t>
      </w:r>
    </w:p>
    <w:p w14:paraId="4A05C05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software implementation may change.</w:t>
      </w:r>
    </w:p>
    <w:p w14:paraId="59B18AA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dashboard may evolve.</w:t>
      </w:r>
    </w:p>
    <w:p w14:paraId="0B21CEF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An API may be replaced.</w:t>
      </w:r>
    </w:p>
    <w:p w14:paraId="2B0E85F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repository may be mirrored.</w:t>
      </w:r>
    </w:p>
    <w:p w14:paraId="67364E9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may be created.</w:t>
      </w:r>
    </w:p>
    <w:p w14:paraId="2970D17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An AI model may summarize, translate, or emulate Prometheus language.</w:t>
      </w:r>
    </w:p>
    <w:p w14:paraId="682186D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But the canonical source layer remains the reference against which continuity, compatibility, and legitimacy are evaluated.</w:t>
      </w:r>
    </w:p>
    <w:p w14:paraId="693DFB0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source layer is therefore not merely documentation.</w:t>
      </w:r>
    </w:p>
    <w:p w14:paraId="09D44C7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is the constitutional memory of Prometheus.</w:t>
      </w:r>
    </w:p>
    <w:p w14:paraId="3085E338"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S.3 Canonical Lineage and Verification</w:t>
      </w:r>
    </w:p>
    <w:p w14:paraId="1B6AB67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survives by preserving verifiable lineage.</w:t>
      </w:r>
    </w:p>
    <w:p w14:paraId="67E67B8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lineage should be established through a combination of cryptographic, documentary, institutional, and custodial mechanisms.</w:t>
      </w:r>
    </w:p>
    <w:p w14:paraId="101E89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These may include:</w:t>
      </w:r>
    </w:p>
    <w:p w14:paraId="7E9DD0F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text releases;</w:t>
      </w:r>
    </w:p>
    <w:p w14:paraId="0766705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DOCX, PDF, Markdown, and machine-readable source formats;</w:t>
      </w:r>
    </w:p>
    <w:p w14:paraId="7FF0A6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SHA-256 checksums;</w:t>
      </w:r>
    </w:p>
    <w:p w14:paraId="4E40AC7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SHA256_SUMS.txt;</w:t>
      </w:r>
    </w:p>
    <w:p w14:paraId="2225071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detached GPG signatures;</w:t>
      </w:r>
    </w:p>
    <w:p w14:paraId="018E614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xml:space="preserve">• </w:t>
      </w:r>
      <w:proofErr w:type="spellStart"/>
      <w:r w:rsidRPr="00B479AE">
        <w:rPr>
          <w:rFonts w:ascii="Baskerville Old Face" w:hAnsi="Baskerville Old Face"/>
          <w:i/>
          <w:iCs/>
        </w:rPr>
        <w:t>RELEASE_MANIFEST.json</w:t>
      </w:r>
      <w:proofErr w:type="spellEnd"/>
      <w:r w:rsidRPr="00B479AE">
        <w:rPr>
          <w:rFonts w:ascii="Baskerville Old Face" w:hAnsi="Baskerville Old Face"/>
          <w:i/>
          <w:iCs/>
        </w:rPr>
        <w:t>;</w:t>
      </w:r>
    </w:p>
    <w:p w14:paraId="4E371C7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signed release manifests;</w:t>
      </w:r>
    </w:p>
    <w:p w14:paraId="334CC1A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 key publication;</w:t>
      </w:r>
    </w:p>
    <w:p w14:paraId="22ACF0B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notes;</w:t>
      </w:r>
    </w:p>
    <w:p w14:paraId="5F9C65C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repository references;</w:t>
      </w:r>
    </w:p>
    <w:p w14:paraId="0DF9DC2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domain references;</w:t>
      </w:r>
    </w:p>
    <w:p w14:paraId="457EF7D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registry entries;</w:t>
      </w:r>
    </w:p>
    <w:p w14:paraId="32F5E33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offline continuity packages;</w:t>
      </w:r>
    </w:p>
    <w:p w14:paraId="1E1BA4F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institutional archive references;</w:t>
      </w:r>
    </w:p>
    <w:p w14:paraId="2593FFE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data-room verification links;</w:t>
      </w:r>
    </w:p>
    <w:p w14:paraId="39CD23E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authorized custodial records;</w:t>
      </w:r>
    </w:p>
    <w:p w14:paraId="0DE7066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 notices;</w:t>
      </w:r>
    </w:p>
    <w:p w14:paraId="72EC3FD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compromised-key notices where necessary.</w:t>
      </w:r>
    </w:p>
    <w:p w14:paraId="6C5A8A2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single platform should be treated as the sole source of canonical authority.</w:t>
      </w:r>
    </w:p>
    <w:p w14:paraId="6871D83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GitHub may serve as a public online mirror.</w:t>
      </w:r>
    </w:p>
    <w:p w14:paraId="7281D50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domain may serve as a public access point.</w:t>
      </w:r>
    </w:p>
    <w:p w14:paraId="79D58BA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registry may serve as a verification layer.</w:t>
      </w:r>
    </w:p>
    <w:p w14:paraId="105CB06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Offline archives may serve as resilience infrastructure.</w:t>
      </w:r>
    </w:p>
    <w:p w14:paraId="4EE78A8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Institutional deposits may serve as evidentiary support.</w:t>
      </w:r>
    </w:p>
    <w:p w14:paraId="23BA183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trust emerges from the convergence of these layers.</w:t>
      </w:r>
    </w:p>
    <w:p w14:paraId="3540A2A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operational rule is:</w:t>
      </w:r>
    </w:p>
    <w:p w14:paraId="0BAD510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repository makes Prometheus visible;</w:t>
      </w:r>
    </w:p>
    <w:p w14:paraId="130ABB1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the hashes make Prometheus verifiable;</w:t>
      </w:r>
    </w:p>
    <w:p w14:paraId="1DB7F54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signatures make Prometheus attributable;</w:t>
      </w:r>
    </w:p>
    <w:p w14:paraId="3549D77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manifest makes Prometheus reproducible;</w:t>
      </w:r>
    </w:p>
    <w:p w14:paraId="6CDD052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registry makes Prometheus publicly checkable;</w:t>
      </w:r>
    </w:p>
    <w:p w14:paraId="761B266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offline continuity makes Prometheus resilient.</w:t>
      </w:r>
    </w:p>
    <w:p w14:paraId="0A9CD553"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S.4 Official Online Mirror</w:t>
      </w:r>
    </w:p>
    <w:p w14:paraId="3DB0828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GitHub repository at:</w:t>
      </w:r>
    </w:p>
    <w:p w14:paraId="378C69C8" w14:textId="77777777" w:rsidR="006C5552" w:rsidRPr="00B479AE" w:rsidRDefault="006C5552" w:rsidP="006C5552">
      <w:pPr>
        <w:spacing w:line="360" w:lineRule="auto"/>
        <w:rPr>
          <w:rFonts w:ascii="Baskerville Old Face" w:hAnsi="Baskerville Old Face"/>
          <w:i/>
          <w:iCs/>
        </w:rPr>
      </w:pPr>
      <w:hyperlink r:id="rId70" w:history="1">
        <w:r w:rsidRPr="00B479AE">
          <w:rPr>
            <w:rStyle w:val="Collegamentoipertestuale"/>
            <w:rFonts w:ascii="Baskerville Old Face" w:hAnsi="Baskerville Old Face"/>
            <w:i/>
            <w:iCs/>
          </w:rPr>
          <w:t>https://github.com/Uwohali/hearth-prometheus-whitepaper</w:t>
        </w:r>
      </w:hyperlink>
    </w:p>
    <w:p w14:paraId="20C2F75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currently serves as the public online canonical mirror for the White Paper release lineage and verification artifacts.</w:t>
      </w:r>
    </w:p>
    <w:p w14:paraId="7297D51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This repository should be referenced in the Global Canonical Registry as an official online mirror.</w:t>
      </w:r>
    </w:p>
    <w:p w14:paraId="45D5CEC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should include, where applicable:</w:t>
      </w:r>
    </w:p>
    <w:p w14:paraId="366BA8C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White Paper files;</w:t>
      </w:r>
    </w:p>
    <w:p w14:paraId="5B35A78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manifests;</w:t>
      </w:r>
    </w:p>
    <w:p w14:paraId="34683DA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SHA-256 checksum files;</w:t>
      </w:r>
    </w:p>
    <w:p w14:paraId="1E12338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detached signatures;</w:t>
      </w:r>
    </w:p>
    <w:p w14:paraId="3B50295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public-key verification materials;</w:t>
      </w:r>
    </w:p>
    <w:p w14:paraId="0D4F0A9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README.md;</w:t>
      </w:r>
    </w:p>
    <w:p w14:paraId="2C56BCE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VERIFICATION.md;</w:t>
      </w:r>
    </w:p>
    <w:p w14:paraId="169955D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RELEASE_NOTES.md;</w:t>
      </w:r>
    </w:p>
    <w:p w14:paraId="137ED8D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LICENSE or Constitutional Rider;</w:t>
      </w:r>
    </w:p>
    <w:p w14:paraId="0452AC9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FORK_POLICY.md;</w:t>
      </w:r>
    </w:p>
    <w:p w14:paraId="72B404E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CANONICAL_REGISTRY.md;</w:t>
      </w:r>
    </w:p>
    <w:p w14:paraId="7F2E03C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contact information;</w:t>
      </w:r>
    </w:p>
    <w:p w14:paraId="23533FD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ZIP archives;</w:t>
      </w:r>
    </w:p>
    <w:p w14:paraId="4BC5A3A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offline continuity package identifiers.</w:t>
      </w:r>
    </w:p>
    <w:p w14:paraId="78250BF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GitHub is not the ontology of Prometheus.</w:t>
      </w:r>
    </w:p>
    <w:p w14:paraId="404A21E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GitHub is a public verification mirror.</w:t>
      </w:r>
    </w:p>
    <w:p w14:paraId="7703AD4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authority does not depend on GitHub alone.</w:t>
      </w:r>
    </w:p>
    <w:p w14:paraId="631A66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depends on the combined continuity of signed releases, SHA-256 hashes, detached signatures, release manifests, public-key verification, official registry references, offline continuity packages, and authorized custodial records.</w:t>
      </w:r>
    </w:p>
    <w:p w14:paraId="06E054C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If GitHub becomes unavailable, compromised, censored, forked, deprecated, or technically obsolete, Prometheus canonical status should remain verifiable through alternative mirrors, offline archives, institutional deposits, signed release packages, and registry continuity mechanisms.</w:t>
      </w:r>
    </w:p>
    <w:p w14:paraId="67204C46"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S.5 Global Canonical Registry</w:t>
      </w:r>
    </w:p>
    <w:p w14:paraId="5D1B034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create and maintain a Global Canonical Registry.</w:t>
      </w:r>
    </w:p>
    <w:p w14:paraId="705A940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registry is the public “is this real?” layer of Prometheus.</w:t>
      </w:r>
    </w:p>
    <w:p w14:paraId="5DEF03A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allows participants, researchers, investors, institutions, communities, platforms, auditors, regulators, AI agents, and future custodians to verify whether a document, release, fork, methodology, dashboard, API, token claim, certification, public statement, or implementation is canonical, compatible, independent, under review, non-admissible, revoked, or non-canonical.</w:t>
      </w:r>
    </w:p>
    <w:p w14:paraId="356BEF6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registry should include:</w:t>
      </w:r>
    </w:p>
    <w:p w14:paraId="08CC95D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text releases;</w:t>
      </w:r>
    </w:p>
    <w:p w14:paraId="2B9E2FC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hashes;</w:t>
      </w:r>
    </w:p>
    <w:p w14:paraId="6E9ACB3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dates;</w:t>
      </w:r>
    </w:p>
    <w:p w14:paraId="4373D1F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official repositories;</w:t>
      </w:r>
    </w:p>
    <w:p w14:paraId="4D4B568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domains;</w:t>
      </w:r>
    </w:p>
    <w:p w14:paraId="5E43A32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marks;</w:t>
      </w:r>
    </w:p>
    <w:p w14:paraId="63D60F4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contact points;</w:t>
      </w:r>
    </w:p>
    <w:p w14:paraId="26147B3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 keys;</w:t>
      </w:r>
    </w:p>
    <w:p w14:paraId="7AC7F32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release manifests;</w:t>
      </w:r>
    </w:p>
    <w:p w14:paraId="63C8EB6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checksum files;</w:t>
      </w:r>
    </w:p>
    <w:p w14:paraId="2DFB912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detached signature references;</w:t>
      </w:r>
    </w:p>
    <w:p w14:paraId="26FD657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certified implementations;</w:t>
      </w:r>
    </w:p>
    <w:p w14:paraId="622AFC5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approved methodologies;</w:t>
      </w:r>
    </w:p>
    <w:p w14:paraId="2620967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 / MRV status categories;</w:t>
      </w:r>
    </w:p>
    <w:p w14:paraId="4B381CE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RAP status categories;</w:t>
      </w:r>
    </w:p>
    <w:p w14:paraId="42BAB2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revoked or expired certifications;</w:t>
      </w:r>
    </w:p>
    <w:p w14:paraId="0F6EE71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non-canonical fork notices;</w:t>
      </w:r>
    </w:p>
    <w:p w14:paraId="2CA54C8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misleading-use notices;</w:t>
      </w:r>
    </w:p>
    <w:p w14:paraId="5C74CC3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compromised-key notices;</w:t>
      </w:r>
    </w:p>
    <w:p w14:paraId="07CAAA7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legal notices;</w:t>
      </w:r>
    </w:p>
    <w:p w14:paraId="04FADE0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 disclaimers;</w:t>
      </w:r>
    </w:p>
    <w:p w14:paraId="2724152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data-room verification links;</w:t>
      </w:r>
    </w:p>
    <w:p w14:paraId="2E4D0B0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investor-facing claim verification links;</w:t>
      </w:r>
    </w:p>
    <w:p w14:paraId="5CAD07C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offline continuity package identifiers;</w:t>
      </w:r>
    </w:p>
    <w:p w14:paraId="751016E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institutional archive references.</w:t>
      </w:r>
    </w:p>
    <w:p w14:paraId="054BDC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The Global Canonical Registry should distinguish among the following statuses:</w:t>
      </w:r>
    </w:p>
    <w:p w14:paraId="4A5C139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w:t>
      </w:r>
    </w:p>
    <w:p w14:paraId="4968281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Compatible.</w:t>
      </w:r>
    </w:p>
    <w:p w14:paraId="3BD63EC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Independent.</w:t>
      </w:r>
    </w:p>
    <w:p w14:paraId="253395B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Under review.</w:t>
      </w:r>
    </w:p>
    <w:p w14:paraId="4703482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Restricted.</w:t>
      </w:r>
    </w:p>
    <w:p w14:paraId="63F3BC4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Non-admissible.</w:t>
      </w:r>
    </w:p>
    <w:p w14:paraId="188A23B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Quarantined.</w:t>
      </w:r>
    </w:p>
    <w:p w14:paraId="0689FBD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Revoked.</w:t>
      </w:r>
    </w:p>
    <w:p w14:paraId="768FAD2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Non-canonical.</w:t>
      </w:r>
    </w:p>
    <w:p w14:paraId="00F21AD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Misleading or hostile.</w:t>
      </w:r>
    </w:p>
    <w:p w14:paraId="62FC7F2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This registry should not become a centralized instrument of arbitrary control.</w:t>
      </w:r>
    </w:p>
    <w:p w14:paraId="0BA6B4D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Its purpose is evidentiary and constitutional.</w:t>
      </w:r>
    </w:p>
    <w:p w14:paraId="1575625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helps the world verify lineage.</w:t>
      </w:r>
    </w:p>
    <w:p w14:paraId="534A9E9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helps compatible builders preserve fidelity.</w:t>
      </w:r>
    </w:p>
    <w:p w14:paraId="70B1D6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helps investors avoid misleading claims.</w:t>
      </w:r>
    </w:p>
    <w:p w14:paraId="718F090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helps communities distinguish authentic Prometheus releases from imitations.</w:t>
      </w:r>
    </w:p>
    <w:p w14:paraId="175B388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helps AI systems avoid training, citing, or executing from corrupted source-layer references.</w:t>
      </w:r>
    </w:p>
    <w:p w14:paraId="21944FD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If a future ASI creates a perfect fake, the registry is where the world checks the lineage.</w:t>
      </w:r>
    </w:p>
    <w:p w14:paraId="51C69DF3"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S.6 International Protection Stack</w:t>
      </w:r>
    </w:p>
    <w:p w14:paraId="4BA666B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use a coordinated international protection stack.</w:t>
      </w:r>
    </w:p>
    <w:p w14:paraId="49C05D5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single legal mechanism is sufficient.</w:t>
      </w:r>
    </w:p>
    <w:p w14:paraId="73C9B60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A trademark protects public identity.</w:t>
      </w:r>
    </w:p>
    <w:p w14:paraId="1C59528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Copyright protects expression.</w:t>
      </w:r>
    </w:p>
    <w:p w14:paraId="29C00E8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Patents or defensive publication may protect technical inventions where appropriate.</w:t>
      </w:r>
    </w:p>
    <w:p w14:paraId="47FA838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Trade secrets protect non-public implementation details.</w:t>
      </w:r>
    </w:p>
    <w:p w14:paraId="709478C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Licenses protect permitted use.</w:t>
      </w:r>
    </w:p>
    <w:p w14:paraId="0AEA66F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Certification policies protect compatibility claims.</w:t>
      </w:r>
    </w:p>
    <w:p w14:paraId="5D7D41E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Data agreements protect evidence.</w:t>
      </w:r>
    </w:p>
    <w:p w14:paraId="29557CB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Dispute-resolution mechanisms protect enforceability.</w:t>
      </w:r>
    </w:p>
    <w:p w14:paraId="4F9ECE8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protection architecture may include the following layers.</w:t>
      </w:r>
    </w:p>
    <w:p w14:paraId="1A66CF0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Trademark / service mark protection.</w:t>
      </w:r>
    </w:p>
    <w:p w14:paraId="752187F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evaluate trademark or service mark protection for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official logos, seals, badges, canonical designations, certification marks, and public identity terms across relevant jurisdictions.</w:t>
      </w:r>
    </w:p>
    <w:p w14:paraId="226A576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Where appropriate, international trademark protection may be pursued through the Madrid System or national filings.</w:t>
      </w:r>
    </w:p>
    <w:p w14:paraId="64A75B9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purpose is to protect public identity, prevent confusing use, and preserve trust in official Prometheus designations.</w:t>
      </w:r>
    </w:p>
    <w:p w14:paraId="0371758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Copyright protection.</w:t>
      </w:r>
    </w:p>
    <w:p w14:paraId="32B7062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White Paper text, constitutional language, diagrams, documentation, manuals, interfaces, source-code expression, methodological explanations, and original written materials should be protected through copyright notices, authorship records, publication records, and international copyright frameworks.</w:t>
      </w:r>
    </w:p>
    <w:p w14:paraId="3272CF0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Copyright does not protect abstract ideas.</w:t>
      </w:r>
    </w:p>
    <w:p w14:paraId="797DB58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protects original expression.</w:t>
      </w:r>
    </w:p>
    <w:p w14:paraId="66AA08C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This distinction should be preserved.</w:t>
      </w:r>
    </w:p>
    <w:p w14:paraId="241ED91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Patent and defensive-publication strategy.</w:t>
      </w:r>
    </w:p>
    <w:p w14:paraId="4E7BF0D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Where genuinely patentable inventions exist, Prometheus may evaluate patent or defensive-publication pathways.</w:t>
      </w:r>
    </w:p>
    <w:p w14:paraId="03D2867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Relevant domains may include evidence-provenance architecture, MRV validation systems, policy engines, canonical registry methods, verification workflows, or AI-governance coordination systems.</w:t>
      </w:r>
    </w:p>
    <w:p w14:paraId="3E7DB62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Patent strategy should be used carefully.</w:t>
      </w:r>
    </w:p>
    <w:p w14:paraId="77C2137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not patent broad principles of regeneration, ecology, or community stewardship.</w:t>
      </w:r>
    </w:p>
    <w:p w14:paraId="6B70BA0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Where patents are not appropriate, defensive publication may prevent hostile actors from enclosing essential technical methods.</w:t>
      </w:r>
    </w:p>
    <w:p w14:paraId="5E9C9E3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Trade-secret protection.</w:t>
      </w:r>
    </w:p>
    <w:p w14:paraId="396D91F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Certain implementation details should remain confidential until appropriate.</w:t>
      </w:r>
    </w:p>
    <w:p w14:paraId="3B84CA1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These may include non-public algorithms, scoring weights, security procedures, private datasets, key-management procedures, risk matrices, internal review protocols, data-room structures, and sensitive operational methods.</w:t>
      </w:r>
    </w:p>
    <w:p w14:paraId="704940F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Trade secrets require discipline.</w:t>
      </w:r>
    </w:p>
    <w:p w14:paraId="454D826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They must be treated as confidential, access-controlled, documented, and protected through agreements and operational controls.</w:t>
      </w:r>
    </w:p>
    <w:p w14:paraId="4990278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Domain and impersonation protection.</w:t>
      </w:r>
    </w:p>
    <w:p w14:paraId="3A49EAF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protect official domains and monitor confusingly similar domains.</w:t>
      </w:r>
    </w:p>
    <w:p w14:paraId="40C70B8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Domain dispute mechanisms, including UDRP or equivalent procedures, may be used against cybersquatting, phishing, deceptive forks, or misleading public identity.</w:t>
      </w:r>
    </w:p>
    <w:p w14:paraId="2F11E3B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Domain protection is not cosmetic.</w:t>
      </w:r>
    </w:p>
    <w:p w14:paraId="5C5949E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is part of public trust infrastructure.</w:t>
      </w:r>
    </w:p>
    <w:p w14:paraId="68760B9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Open-source or source-available licensing.</w:t>
      </w:r>
    </w:p>
    <w:p w14:paraId="13A8BC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may use open-source, source-available, or hybrid licensing structures depending on the layer involved.</w:t>
      </w:r>
    </w:p>
    <w:p w14:paraId="4B5985F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license structure should distinguish among:</w:t>
      </w:r>
    </w:p>
    <w:p w14:paraId="4474486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constitutional texts;</w:t>
      </w:r>
    </w:p>
    <w:p w14:paraId="3C09F60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documentation;</w:t>
      </w:r>
    </w:p>
    <w:p w14:paraId="652F376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diagrams;</w:t>
      </w:r>
    </w:p>
    <w:p w14:paraId="5F6CC58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APIs;</w:t>
      </w:r>
    </w:p>
    <w:p w14:paraId="6AE3A45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code;</w:t>
      </w:r>
    </w:p>
    <w:p w14:paraId="3A24699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datasets;</w:t>
      </w:r>
    </w:p>
    <w:p w14:paraId="21F35A2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methodologies;</w:t>
      </w:r>
    </w:p>
    <w:p w14:paraId="0FD6B95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marks;</w:t>
      </w:r>
    </w:p>
    <w:p w14:paraId="3B917F1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certification claims;</w:t>
      </w:r>
    </w:p>
    <w:p w14:paraId="57C5ADE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investor-facing materials;</w:t>
      </w:r>
    </w:p>
    <w:p w14:paraId="55AD969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data-room materials.</w:t>
      </w:r>
    </w:p>
    <w:p w14:paraId="7F76FB9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Not every layer should have the same license.</w:t>
      </w:r>
    </w:p>
    <w:p w14:paraId="129FB14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license should allow learning, review, and compatible implementation while preserving attribution, notices, source-layer integrity, and anti-misrepresentation rules.</w:t>
      </w:r>
    </w:p>
    <w:p w14:paraId="13615C7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Constitutional rider license.</w:t>
      </w:r>
    </w:p>
    <w:p w14:paraId="19243ED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attach a Constitutional Rider to relevant texts, code, APIs, datasets, methods, documentation, and certified-use pathways.</w:t>
      </w:r>
    </w:p>
    <w:p w14:paraId="1E8C2F4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The rider should condition Prometheus-compatible use on preserving foundational articles, Eternity Clauses, the Access Covenant, canonical glossary, anti-bypass rules, evidence discipline, and fork-governance boundaries.</w:t>
      </w:r>
    </w:p>
    <w:p w14:paraId="02FF6B5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license grants permission.</w:t>
      </w:r>
    </w:p>
    <w:p w14:paraId="1BC60F0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rider preserves meaning.</w:t>
      </w:r>
    </w:p>
    <w:p w14:paraId="183B1C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Certification and canonical mark policy.</w:t>
      </w:r>
    </w:p>
    <w:p w14:paraId="2ED135A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define a certification and mark-use policy for terms such as:</w:t>
      </w:r>
    </w:p>
    <w:p w14:paraId="2B03BF5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Prometheus-compatible;</w:t>
      </w:r>
    </w:p>
    <w:p w14:paraId="49D0B35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Prometheus-canonical;</w:t>
      </w:r>
    </w:p>
    <w:p w14:paraId="667BF92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PRU-ready;</w:t>
      </w:r>
    </w:p>
    <w:p w14:paraId="3D13098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MRV-admissible;</w:t>
      </w:r>
    </w:p>
    <w:p w14:paraId="1E60E27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Source-Layer Verified;</w:t>
      </w:r>
    </w:p>
    <w:p w14:paraId="05DC12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Release;</w:t>
      </w:r>
    </w:p>
    <w:p w14:paraId="66CEA39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Compatible Fork;</w:t>
      </w:r>
    </w:p>
    <w:p w14:paraId="206729C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Certified Implementation.</w:t>
      </w:r>
    </w:p>
    <w:p w14:paraId="30BB9C0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actor should be allowed to claim canonical or certified status merely by using Prometheus language.</w:t>
      </w:r>
    </w:p>
    <w:p w14:paraId="285D8A5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Certification must be tied to defined review, registry status, methodology conformity, and public-claim boundaries.</w:t>
      </w:r>
    </w:p>
    <w:p w14:paraId="2791F91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AI governance contracts.</w:t>
      </w:r>
    </w:p>
    <w:p w14:paraId="260E938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create model-provider, agent-operator, API, integration, and deployer terms where AI systems interact with Prometheus materials.</w:t>
      </w:r>
    </w:p>
    <w:p w14:paraId="183E21D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These agreements should preserve assistive-only AI authority, protected-domain review, source-layer fidelity, attribution,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 human or governance review, and boundary discipline.</w:t>
      </w:r>
    </w:p>
    <w:p w14:paraId="22A43A3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AI may assist interpretation.</w:t>
      </w:r>
    </w:p>
    <w:p w14:paraId="115A7AB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AI may not create canonical authority by imitation.</w:t>
      </w:r>
    </w:p>
    <w:p w14:paraId="5723A34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Data governance agreements.</w:t>
      </w:r>
    </w:p>
    <w:p w14:paraId="0D3C26A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use data-processing agreements, data-room terms, MRV data licenses, HSI consent architecture, confidentiality agreements, and access controls where sensitive data is involved.</w:t>
      </w:r>
    </w:p>
    <w:p w14:paraId="57A477B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Protected data may include:</w:t>
      </w:r>
    </w:p>
    <w:p w14:paraId="5B9087A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ecological evidence;</w:t>
      </w:r>
    </w:p>
    <w:p w14:paraId="52B1276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pilot records;</w:t>
      </w:r>
    </w:p>
    <w:p w14:paraId="7140649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field data;</w:t>
      </w:r>
    </w:p>
    <w:p w14:paraId="4E5EEE9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laboratory data;</w:t>
      </w:r>
    </w:p>
    <w:p w14:paraId="2AF3B72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human-state information;</w:t>
      </w:r>
    </w:p>
    <w:p w14:paraId="62C611A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investor data-room materials;</w:t>
      </w:r>
    </w:p>
    <w:p w14:paraId="63A0469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partner documentation;</w:t>
      </w:r>
    </w:p>
    <w:p w14:paraId="16C1635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private governance records;</w:t>
      </w:r>
    </w:p>
    <w:p w14:paraId="140D52A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risk and methodology files.</w:t>
      </w:r>
    </w:p>
    <w:p w14:paraId="5E27C9A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Data governance is part of Prometheus protection because corrupted, misused, or misrepresented data can damage canonical trust.</w:t>
      </w:r>
    </w:p>
    <w:p w14:paraId="376FB30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Dispute resolution.</w:t>
      </w:r>
    </w:p>
    <w:p w14:paraId="5333151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may use WIPO Arbitration and Mediation, ICC, LCIA, SIAC, or jurisdiction-specific courts depending on the agreement, party, jurisdiction, and dispute type.</w:t>
      </w:r>
    </w:p>
    <w:p w14:paraId="69BBEF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Dispute pathways should support:</w:t>
      </w:r>
    </w:p>
    <w:p w14:paraId="69E51E7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emergency relief;</w:t>
      </w:r>
    </w:p>
    <w:p w14:paraId="15CEF52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injunctive remedies;</w:t>
      </w:r>
    </w:p>
    <w:p w14:paraId="3F9EBF6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expert determination;</w:t>
      </w:r>
    </w:p>
    <w:p w14:paraId="482229D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domain and mark disputes;</w:t>
      </w:r>
    </w:p>
    <w:p w14:paraId="61ABD8E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confidentiality enforcement;</w:t>
      </w:r>
    </w:p>
    <w:p w14:paraId="18ACC77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fork-use disputes;</w:t>
      </w:r>
    </w:p>
    <w:p w14:paraId="376C3CB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certification revocation;</w:t>
      </w:r>
    </w:p>
    <w:p w14:paraId="4E627D0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data misuse claims;</w:t>
      </w:r>
    </w:p>
    <w:p w14:paraId="3362ED4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investor-claim misrepresentation;</w:t>
      </w:r>
    </w:p>
    <w:p w14:paraId="75367D8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source-layer misappropriation.</w:t>
      </w:r>
    </w:p>
    <w:p w14:paraId="467BC7F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dispute layer should not be theatrical.</w:t>
      </w:r>
    </w:p>
    <w:p w14:paraId="15B23F1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should be practical, enforceable, and proportionate.</w:t>
      </w:r>
    </w:p>
    <w:p w14:paraId="722B4DB0"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S.7 Protected Names, Marks, and Designations</w:t>
      </w:r>
    </w:p>
    <w:p w14:paraId="02504E3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identify and prioritize protected names, marks, designations, and certification terms.</w:t>
      </w:r>
    </w:p>
    <w:p w14:paraId="5DD4DEB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Potential protected terms may include:</w:t>
      </w:r>
    </w:p>
    <w:p w14:paraId="4A7099F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w:t>
      </w:r>
    </w:p>
    <w:p w14:paraId="5CCFDC9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 where registrable and strategically appropriate;</w:t>
      </w:r>
    </w:p>
    <w:p w14:paraId="2D4E85B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 Regenerative Unit;</w:t>
      </w:r>
    </w:p>
    <w:p w14:paraId="386C96C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 where registrable and sufficiently distinctive;</w:t>
      </w:r>
    </w:p>
    <w:p w14:paraId="38E1D75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Regenerative Asset Pool;</w:t>
      </w:r>
    </w:p>
    <w:p w14:paraId="4B10010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RAP, where registrable and sufficiently distinctive;</w:t>
      </w:r>
    </w:p>
    <w:p w14:paraId="40040EC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Access Covenant;</w:t>
      </w:r>
    </w:p>
    <w:p w14:paraId="76B7F30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 Layer;</w:t>
      </w:r>
    </w:p>
    <w:p w14:paraId="09F46F9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source-layer marks;</w:t>
      </w:r>
    </w:p>
    <w:p w14:paraId="01692E4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certification marks;</w:t>
      </w:r>
    </w:p>
    <w:p w14:paraId="3B200A8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logos, seals, badges, and symbols;</w:t>
      </w:r>
    </w:p>
    <w:p w14:paraId="5741404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Prometheus-compatible;</w:t>
      </w:r>
    </w:p>
    <w:p w14:paraId="7D4CAC0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Prometheus-canonical;</w:t>
      </w:r>
    </w:p>
    <w:p w14:paraId="0171660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MRV-admissible;</w:t>
      </w:r>
    </w:p>
    <w:p w14:paraId="76633B2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PRU-ready;</w:t>
      </w:r>
    </w:p>
    <w:p w14:paraId="57E164F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Source-Layer Verified, if adopted;</w:t>
      </w:r>
    </w:p>
    <w:p w14:paraId="7CEB51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Release;</w:t>
      </w:r>
    </w:p>
    <w:p w14:paraId="6AA7C85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Compatible Fork;</w:t>
      </w:r>
    </w:p>
    <w:p w14:paraId="41BE4BD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Certified Implementation.</w:t>
      </w:r>
    </w:p>
    <w:p w14:paraId="3C7119F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Not every term will be registrable in every jurisdiction.</w:t>
      </w:r>
    </w:p>
    <w:p w14:paraId="59FE6A9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Some terms may be descriptive.</w:t>
      </w:r>
    </w:p>
    <w:p w14:paraId="104C8D8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Some may require acquired distinctiveness.</w:t>
      </w:r>
    </w:p>
    <w:p w14:paraId="63DE705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Some may be better protected through certification policy, copyright, license terms, or contractual control rather than trademark registration alone.</w:t>
      </w:r>
    </w:p>
    <w:p w14:paraId="6788ED4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correct strategy is layered:</w:t>
      </w:r>
    </w:p>
    <w:p w14:paraId="0B03D30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distinctive public identity should be trademarked where possible;</w:t>
      </w:r>
    </w:p>
    <w:p w14:paraId="2CC36E4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technical expression should be copyrighted;</w:t>
      </w:r>
    </w:p>
    <w:p w14:paraId="606ACFF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confidential implementation should be protected as trade secret;</w:t>
      </w:r>
    </w:p>
    <w:p w14:paraId="7CB8403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methodological use should be licensed;</w:t>
      </w:r>
    </w:p>
    <w:p w14:paraId="43838A5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certification claims should be controlled by mark policy;</w:t>
      </w:r>
    </w:p>
    <w:p w14:paraId="286007A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canonical status should be verified through registry and cryptographic release integrity.</w:t>
      </w:r>
    </w:p>
    <w:p w14:paraId="07123A6F"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S.8 Derivative Categories and Fork Governance</w:t>
      </w:r>
    </w:p>
    <w:p w14:paraId="6158609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distinguishes among three broad derivative categories.</w:t>
      </w:r>
    </w:p>
    <w:p w14:paraId="167F019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Compatible derivative.</w:t>
      </w:r>
    </w:p>
    <w:p w14:paraId="216BB05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compatible derivative preserves source-layer fidelity, attribution, canonical meanings, evidence discipline, legal boundaries, public-claim constraints, and anti-bypass rules.</w:t>
      </w:r>
    </w:p>
    <w:p w14:paraId="3B58572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compatible derivative may implement, translate, adapt, or extend Prometheus while remaining faithful to the source layer.</w:t>
      </w:r>
    </w:p>
    <w:p w14:paraId="4713C4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Independent derivative.</w:t>
      </w:r>
    </w:p>
    <w:p w14:paraId="5C6B82C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An independent derivative uses ideas, inspiration, methods, or general concepts without claiming canonical Prometheus status.</w:t>
      </w:r>
    </w:p>
    <w:p w14:paraId="2384AC7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Independent derivatives should not use Prometheus marks, official identity, certification language, or public claims likely to confuse users, investors, communities, or institutions.</w:t>
      </w:r>
    </w:p>
    <w:p w14:paraId="33D81B9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Misleading or hostile derivative.</w:t>
      </w:r>
    </w:p>
    <w:p w14:paraId="04A7D7C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misleading or hostile derivative uses Prometheus name, marks, language, interface, claims, methods, dashboards, token narratives, or public authority while weakening the source layer, misleading participants, bypassing review, inflating claims, or creating confusion about canonical status.</w:t>
      </w:r>
    </w:p>
    <w:p w14:paraId="360D0E2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legal and constitutional rule is:</w:t>
      </w:r>
    </w:p>
    <w:p w14:paraId="2DE4145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ideas may inspire;</w:t>
      </w:r>
    </w:p>
    <w:p w14:paraId="21ECBC8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expression requires permission;</w:t>
      </w:r>
    </w:p>
    <w:p w14:paraId="12092A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official identity requires authorization;</w:t>
      </w:r>
    </w:p>
    <w:p w14:paraId="04B56D6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misleading continuity activates correction.</w:t>
      </w:r>
    </w:p>
    <w:p w14:paraId="3F32FF7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may be technically permissible while still being non-canonical.</w:t>
      </w:r>
    </w:p>
    <w:p w14:paraId="227FDD3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A fork may be independent without being hostile.</w:t>
      </w:r>
    </w:p>
    <w:p w14:paraId="1E563E0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becomes problematic when it claims lineage without fidelity, authority without authorization, or compatibility without review.</w:t>
      </w:r>
    </w:p>
    <w:p w14:paraId="6D9765F7"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S.9 Fork Status Matrix</w:t>
      </w:r>
    </w:p>
    <w:p w14:paraId="642FAE7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fork governance should distinguish status, not merely existence.</w:t>
      </w:r>
    </w:p>
    <w:p w14:paraId="1445D1B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may be classified as:</w:t>
      </w:r>
    </w:p>
    <w:p w14:paraId="558A5CC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fork.</w:t>
      </w:r>
    </w:p>
    <w:p w14:paraId="3816F4B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authorized by the canonical registry, preserving source-layer fidelity and release continuity.</w:t>
      </w:r>
    </w:p>
    <w:p w14:paraId="63B7254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Compatible fork.</w:t>
      </w:r>
    </w:p>
    <w:p w14:paraId="041E57A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that preserves attribution, source-layer meanings, boundary rules, and compatibility requirements, but is not the canonical source.</w:t>
      </w:r>
    </w:p>
    <w:p w14:paraId="1B16993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Independent fork.</w:t>
      </w:r>
    </w:p>
    <w:p w14:paraId="4D006EC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that uses ideas or inspiration while clearly avoiding claims of canonical identity, official status, or Prometheus-certified authority.</w:t>
      </w:r>
    </w:p>
    <w:p w14:paraId="24A6B10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Experimental fork.</w:t>
      </w:r>
    </w:p>
    <w:p w14:paraId="29E2CA4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research or sandbox implementation not suitable for public claims, investor use, PRU / MRV claims, or certified deployment.</w:t>
      </w:r>
    </w:p>
    <w:p w14:paraId="7C7743C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Under-review fork.</w:t>
      </w:r>
    </w:p>
    <w:p w14:paraId="06714E9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submitted for compatibility, certification, or canonical review.</w:t>
      </w:r>
    </w:p>
    <w:p w14:paraId="43E1C4F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Non-admissible fork.</w:t>
      </w:r>
    </w:p>
    <w:p w14:paraId="474DE8B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that may exist but cannot enter protected pathways such as PRU analysis, MRV admissibility, certification, investor-facing claims, or official registry use.</w:t>
      </w:r>
    </w:p>
    <w:p w14:paraId="12E6463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Quarantined fork.</w:t>
      </w:r>
    </w:p>
    <w:p w14:paraId="271FB41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A fork isolated due to serious risk, such as misleading claims, corrupted source-layer meaning, security concerns, unauthorized token claims, false certification, or public confusion.</w:t>
      </w:r>
    </w:p>
    <w:p w14:paraId="064CE4F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Hostile fork.</w:t>
      </w:r>
    </w:p>
    <w:p w14:paraId="4EF7E4C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 fork that misrepresents Prometheus, appropriates official identity, weakens source-layer protections, impersonates canonical releases, or uses Prometheus language to create unauthorized financial, legal, ecological, or governance claims.</w:t>
      </w:r>
    </w:p>
    <w:p w14:paraId="1711012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fork-governance rule is:</w:t>
      </w:r>
    </w:p>
    <w:p w14:paraId="02664B5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forking may preserve innovation;</w:t>
      </w:r>
    </w:p>
    <w:p w14:paraId="2964894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fidelity preserves lineage;</w:t>
      </w:r>
    </w:p>
    <w:p w14:paraId="10F3C96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registry preserves trust;</w:t>
      </w:r>
    </w:p>
    <w:p w14:paraId="738360D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misrepresentation triggers correction.</w:t>
      </w:r>
    </w:p>
    <w:p w14:paraId="122811AC"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S.10 Certification and Claim Control</w:t>
      </w:r>
    </w:p>
    <w:p w14:paraId="263AB20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define strict rules for public claims.</w:t>
      </w:r>
    </w:p>
    <w:p w14:paraId="34CD69E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following claims should require authorization, registry status, certification, or defined review:</w:t>
      </w:r>
    </w:p>
    <w:p w14:paraId="476479D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Prometheus-compatible;</w:t>
      </w:r>
    </w:p>
    <w:p w14:paraId="74A30C6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Prometheus-canonical;</w:t>
      </w:r>
    </w:p>
    <w:p w14:paraId="2E201A2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Prometheus implementation;</w:t>
      </w:r>
    </w:p>
    <w:p w14:paraId="2097DCF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certified Prometheus implementation;</w:t>
      </w:r>
    </w:p>
    <w:p w14:paraId="7D052CF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PRU-ready;</w:t>
      </w:r>
    </w:p>
    <w:p w14:paraId="4A9C2C1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MRV-admissible;</w:t>
      </w:r>
    </w:p>
    <w:p w14:paraId="64547F7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PRU-eligible;</w:t>
      </w:r>
    </w:p>
    <w:p w14:paraId="18ABD86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RAP-ready;</w:t>
      </w:r>
    </w:p>
    <w:p w14:paraId="1399697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Source-Layer Verified;</w:t>
      </w:r>
    </w:p>
    <w:p w14:paraId="7F6EEA3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Prometheus-approved;</w:t>
      </w:r>
    </w:p>
    <w:p w14:paraId="5D1C3BD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Prometheus-certified;</w:t>
      </w:r>
    </w:p>
    <w:p w14:paraId="1F30645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fork;</w:t>
      </w:r>
    </w:p>
    <w:p w14:paraId="1E8586F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compatible fork;</w:t>
      </w:r>
    </w:p>
    <w:p w14:paraId="039872A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verified regenerative asset;</w:t>
      </w:r>
    </w:p>
    <w:p w14:paraId="0A7322E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investor-ready Prometheus asset;</w:t>
      </w:r>
    </w:p>
    <w:p w14:paraId="7E0D934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legal-structured PRU instrument;</w:t>
      </w:r>
    </w:p>
    <w:p w14:paraId="69D936C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tokenized Prometheus instrument;</w:t>
      </w:r>
    </w:p>
    <w:p w14:paraId="4D1784E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Prometheus-backed claim.</w:t>
      </w:r>
    </w:p>
    <w:p w14:paraId="1A5166A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party should claim compatibility merely because it uses similar language.</w:t>
      </w:r>
    </w:p>
    <w:p w14:paraId="3FDB25D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party should claim MRV admissibility without methodology review.</w:t>
      </w:r>
    </w:p>
    <w:p w14:paraId="5547DD3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party should claim PRU readiness without evidence and maturity review.</w:t>
      </w:r>
    </w:p>
    <w:p w14:paraId="40FF13C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party should claim investor readiness without legal and disclosure review.</w:t>
      </w:r>
    </w:p>
    <w:p w14:paraId="2A8B5EA9" w14:textId="382E5475"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No party should claim canonical status without registry recognition.</w:t>
      </w:r>
      <w:r w:rsidR="00326B07">
        <w:rPr>
          <w:rFonts w:ascii="Baskerville Old Face" w:hAnsi="Baskerville Old Face"/>
          <w:i/>
          <w:iCs/>
        </w:rPr>
        <w:t xml:space="preserve"> </w:t>
      </w:r>
      <w:r w:rsidRPr="00B479AE">
        <w:rPr>
          <w:rFonts w:ascii="Baskerville Old Face" w:hAnsi="Baskerville Old Face"/>
          <w:i/>
          <w:iCs/>
        </w:rPr>
        <w:t>The public-claim rule is:</w:t>
      </w:r>
    </w:p>
    <w:p w14:paraId="3FBB53E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public language must match verified status;</w:t>
      </w:r>
    </w:p>
    <w:p w14:paraId="108ED54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verified status must match evidence;</w:t>
      </w:r>
    </w:p>
    <w:p w14:paraId="5299EC0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evidence must match methodology;</w:t>
      </w:r>
    </w:p>
    <w:p w14:paraId="75FF8D9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methodology must match source-layer rules;</w:t>
      </w:r>
    </w:p>
    <w:p w14:paraId="67E7F90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source-layer rules must match canonical release.</w:t>
      </w:r>
    </w:p>
    <w:p w14:paraId="49486DB6" w14:textId="4A2E1C49"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S.11 AI-Generated Replicas and ASI-Scale Fork Risk</w:t>
      </w:r>
    </w:p>
    <w:p w14:paraId="7AA5AA7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must assume that future AI and ASI systems may be able to generate highly convincing imitations.</w:t>
      </w:r>
    </w:p>
    <w:p w14:paraId="408A99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These systems may imitate:</w:t>
      </w:r>
    </w:p>
    <w:p w14:paraId="2034D16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writing style;</w:t>
      </w:r>
    </w:p>
    <w:p w14:paraId="2552A92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diagrams;</w:t>
      </w:r>
    </w:p>
    <w:p w14:paraId="6F2EED6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terminology;</w:t>
      </w:r>
    </w:p>
    <w:p w14:paraId="7655FB1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governance models;</w:t>
      </w:r>
    </w:p>
    <w:p w14:paraId="5B8E21E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PRU logic;</w:t>
      </w:r>
    </w:p>
    <w:p w14:paraId="76B6991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MRV language;</w:t>
      </w:r>
    </w:p>
    <w:p w14:paraId="561B035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dashboards;</w:t>
      </w:r>
    </w:p>
    <w:p w14:paraId="655BABE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 code;</w:t>
      </w:r>
    </w:p>
    <w:p w14:paraId="08DF40A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investor materials;</w:t>
      </w:r>
    </w:p>
    <w:p w14:paraId="77BEDCF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token narratives;</w:t>
      </w:r>
    </w:p>
    <w:p w14:paraId="702FDB5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visual identity;</w:t>
      </w:r>
    </w:p>
    <w:p w14:paraId="76FDF90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constitutional language.</w:t>
      </w:r>
    </w:p>
    <w:p w14:paraId="0848A2A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Similarity will therefore become a weak test.</w:t>
      </w:r>
    </w:p>
    <w:p w14:paraId="65955B7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stronger test is lineage.</w:t>
      </w:r>
    </w:p>
    <w:p w14:paraId="2DE2491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treat AI-generated similarity as non-canonical unless it can be traced to authorized source-layer materials, signed releases, registry status, and permitted use.</w:t>
      </w:r>
    </w:p>
    <w:p w14:paraId="5D1B741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AI/ASI fork rule is:</w:t>
      </w:r>
    </w:p>
    <w:p w14:paraId="014163B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AI may reproduce form;</w:t>
      </w:r>
    </w:p>
    <w:p w14:paraId="4499F56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only verified lineage preserves authority.</w:t>
      </w:r>
    </w:p>
    <w:p w14:paraId="61697A6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Prometheus-compatible AI systems should be instructed to:</w:t>
      </w:r>
    </w:p>
    <w:p w14:paraId="2689362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cite canonical releases;</w:t>
      </w:r>
    </w:p>
    <w:p w14:paraId="78F0531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verify hashes where applicable;</w:t>
      </w:r>
    </w:p>
    <w:p w14:paraId="36B12F3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check registry status;</w:t>
      </w:r>
    </w:p>
    <w:p w14:paraId="466C325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distinguish canonical from derivative;</w:t>
      </w:r>
    </w:p>
    <w:p w14:paraId="3FD4B8C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preserve attribution;</w:t>
      </w:r>
    </w:p>
    <w:p w14:paraId="5EC2985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avoid unauthorized claims;</w:t>
      </w:r>
    </w:p>
    <w:p w14:paraId="6A5A415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avoid generating fake certification;</w:t>
      </w:r>
    </w:p>
    <w:p w14:paraId="23890E8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avoid inventing official status;</w:t>
      </w:r>
    </w:p>
    <w:p w14:paraId="5C002BA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avoid collapsing PRU, TRBK, RAP, land rights, governance rights, or investor rights;</w:t>
      </w:r>
    </w:p>
    <w:p w14:paraId="0D97D69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route protected-domain outputs to review.</w:t>
      </w:r>
    </w:p>
    <w:p w14:paraId="150F99A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also maintain machine-readable verification materials so that future AI agents can check canonical status without relying only on narrative context.</w:t>
      </w:r>
    </w:p>
    <w:p w14:paraId="128548E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These materials may include:</w:t>
      </w:r>
    </w:p>
    <w:p w14:paraId="1E4A54C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RELEASE_MANIFEST.json</w:t>
      </w:r>
      <w:proofErr w:type="spellEnd"/>
      <w:r w:rsidRPr="00B479AE">
        <w:rPr>
          <w:rFonts w:ascii="Baskerville Old Face" w:hAnsi="Baskerville Old Face"/>
          <w:i/>
          <w:iCs/>
        </w:rPr>
        <w:t>;</w:t>
      </w:r>
    </w:p>
    <w:p w14:paraId="24A2489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CANONICAL_REGISTRY.json</w:t>
      </w:r>
      <w:proofErr w:type="spellEnd"/>
      <w:r w:rsidRPr="00B479AE">
        <w:rPr>
          <w:rFonts w:ascii="Baskerville Old Face" w:hAnsi="Baskerville Old Face"/>
          <w:i/>
          <w:iCs/>
        </w:rPr>
        <w:t>;</w:t>
      </w:r>
    </w:p>
    <w:p w14:paraId="00C829A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 key files;</w:t>
      </w:r>
    </w:p>
    <w:p w14:paraId="19F24F6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signed checksums;</w:t>
      </w:r>
    </w:p>
    <w:p w14:paraId="7FDDA9B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fork-status metadata;</w:t>
      </w:r>
    </w:p>
    <w:p w14:paraId="75C4C1C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certification status metadata;</w:t>
      </w:r>
    </w:p>
    <w:p w14:paraId="184A23D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license metadata;</w:t>
      </w:r>
    </w:p>
    <w:p w14:paraId="6F4DCC6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domain list;</w:t>
      </w:r>
    </w:p>
    <w:p w14:paraId="16A6F7A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repository list;</w:t>
      </w:r>
    </w:p>
    <w:p w14:paraId="1E7703D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revocation notices;</w:t>
      </w:r>
    </w:p>
    <w:p w14:paraId="56DBA1A7"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compromised-key notices.</w:t>
      </w:r>
    </w:p>
    <w:p w14:paraId="42D56D3E" w14:textId="77777777" w:rsidR="006C5552" w:rsidRPr="00B479AE" w:rsidRDefault="006C5552" w:rsidP="006C5552">
      <w:pPr>
        <w:spacing w:line="360" w:lineRule="auto"/>
        <w:rPr>
          <w:rFonts w:ascii="Baskerville Old Face" w:hAnsi="Baskerville Old Face"/>
          <w:b/>
          <w:bCs/>
          <w:i/>
          <w:iCs/>
        </w:rPr>
      </w:pPr>
      <w:r w:rsidRPr="00B479AE">
        <w:rPr>
          <w:rFonts w:ascii="Baskerville Old Face" w:hAnsi="Baskerville Old Face"/>
          <w:b/>
          <w:bCs/>
          <w:i/>
          <w:iCs/>
        </w:rPr>
        <w:t>S.12 Offline Continuity and Internet-Independent Survival</w:t>
      </w:r>
    </w:p>
    <w:p w14:paraId="10CCBAB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not depend on continuous public internet availability for canonical survival.</w:t>
      </w:r>
    </w:p>
    <w:p w14:paraId="1924CEF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Internet availability may fail.</w:t>
      </w:r>
    </w:p>
    <w:p w14:paraId="342569B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Domains may expire.</w:t>
      </w:r>
    </w:p>
    <w:p w14:paraId="1A559F5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Repositories may be removed.</w:t>
      </w:r>
    </w:p>
    <w:p w14:paraId="61CDE0B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Platforms may change policy.</w:t>
      </w:r>
    </w:p>
    <w:p w14:paraId="32326A6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Accounts may be compromised.</w:t>
      </w:r>
    </w:p>
    <w:p w14:paraId="5327D0E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Censorship may occur.</w:t>
      </w:r>
    </w:p>
    <w:p w14:paraId="3986C4B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Cloud infrastructure may fail.</w:t>
      </w:r>
    </w:p>
    <w:p w14:paraId="0235E8F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Search engines may de-rank or misrepresent official sources.</w:t>
      </w:r>
    </w:p>
    <w:p w14:paraId="69380E7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AI systems may hallucinate canonical status.</w:t>
      </w:r>
    </w:p>
    <w:p w14:paraId="268F11C5"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should therefore maintain offline continuity packages.</w:t>
      </w:r>
    </w:p>
    <w:p w14:paraId="59A981B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An offline continuity package may include:</w:t>
      </w:r>
    </w:p>
    <w:p w14:paraId="56E135F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White Paper release;</w:t>
      </w:r>
    </w:p>
    <w:p w14:paraId="18DF6C2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source Markdown;</w:t>
      </w:r>
    </w:p>
    <w:p w14:paraId="4E456CA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PDF institutional release;</w:t>
      </w:r>
    </w:p>
    <w:p w14:paraId="586579D6"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DOCX release;</w:t>
      </w:r>
    </w:p>
    <w:p w14:paraId="47FFF1A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SHA256_SUMS.txt;</w:t>
      </w:r>
    </w:p>
    <w:p w14:paraId="40E6E85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detached signatures;</w:t>
      </w:r>
    </w:p>
    <w:p w14:paraId="756B31E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RELEASE_MANIFEST.json</w:t>
      </w:r>
      <w:proofErr w:type="spellEnd"/>
      <w:r w:rsidRPr="00B479AE">
        <w:rPr>
          <w:rFonts w:ascii="Baskerville Old Face" w:hAnsi="Baskerville Old Face"/>
          <w:i/>
          <w:iCs/>
        </w:rPr>
        <w:t>;</w:t>
      </w:r>
    </w:p>
    <w:p w14:paraId="2C6774B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public key;</w:t>
      </w:r>
    </w:p>
    <w:p w14:paraId="17F66B7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verification instructions;</w:t>
      </w:r>
    </w:p>
    <w:p w14:paraId="6385E19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license and Constitutional Rider;</w:t>
      </w:r>
    </w:p>
    <w:p w14:paraId="222D2A0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fork policy;</w:t>
      </w:r>
    </w:p>
    <w:p w14:paraId="39B1971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canonical registry snapshot;</w:t>
      </w:r>
    </w:p>
    <w:p w14:paraId="6CFE640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domain and repository list;</w:t>
      </w:r>
    </w:p>
    <w:p w14:paraId="765091D2"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key-rotation policy;</w:t>
      </w:r>
    </w:p>
    <w:p w14:paraId="0BF71C8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compromised-key procedure;</w:t>
      </w:r>
    </w:p>
    <w:p w14:paraId="220D340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institutional archive references;</w:t>
      </w:r>
    </w:p>
    <w:p w14:paraId="6F923FC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printed hash sheet;</w:t>
      </w:r>
    </w:p>
    <w:p w14:paraId="58A6389E"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notarized or timestamped evidence where appropriate;</w:t>
      </w:r>
    </w:p>
    <w:p w14:paraId="7BD6F88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cold-storage backup;</w:t>
      </w:r>
    </w:p>
    <w:p w14:paraId="010A8D2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distributed custodian copies.</w:t>
      </w:r>
    </w:p>
    <w:p w14:paraId="0CD4ABD1"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The offline continuity principle is:</w:t>
      </w:r>
    </w:p>
    <w:p w14:paraId="55D02454"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Prometheus must remain verifiable even when the web is not available.</w:t>
      </w:r>
    </w:p>
    <w:p w14:paraId="2D0E80B9"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Canonical continuity should therefore be stored across multiple media:</w:t>
      </w:r>
    </w:p>
    <w:p w14:paraId="206CFF0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GitHub repository;</w:t>
      </w:r>
    </w:p>
    <w:p w14:paraId="10810790"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official website;</w:t>
      </w:r>
    </w:p>
    <w:p w14:paraId="410BEC7D"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offline encrypted archive;</w:t>
      </w:r>
    </w:p>
    <w:p w14:paraId="017C54B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printed verification packet;</w:t>
      </w:r>
    </w:p>
    <w:p w14:paraId="19CA0FFA"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institutional deposit;</w:t>
      </w:r>
    </w:p>
    <w:p w14:paraId="77D39F1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trusted custodian archive;</w:t>
      </w:r>
    </w:p>
    <w:p w14:paraId="0C8B46AF"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cold-storage device;</w:t>
      </w:r>
    </w:p>
    <w:p w14:paraId="5623531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lastRenderedPageBreak/>
        <w:t>• future decentralized storage where appropriate;</w:t>
      </w:r>
    </w:p>
    <w:p w14:paraId="2438211B"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 xml:space="preserve">• notarized or timestamped archive </w:t>
      </w:r>
      <w:proofErr w:type="gramStart"/>
      <w:r w:rsidRPr="00B479AE">
        <w:rPr>
          <w:rFonts w:ascii="Baskerville Old Face" w:hAnsi="Baskerville Old Face"/>
          <w:i/>
          <w:iCs/>
        </w:rPr>
        <w:t>where</w:t>
      </w:r>
      <w:proofErr w:type="gramEnd"/>
      <w:r w:rsidRPr="00B479AE">
        <w:rPr>
          <w:rFonts w:ascii="Baskerville Old Face" w:hAnsi="Baskerville Old Face"/>
          <w:i/>
          <w:iCs/>
        </w:rPr>
        <w:t xml:space="preserve"> useful.</w:t>
      </w:r>
    </w:p>
    <w:p w14:paraId="185ACAA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This does not make Prometheus immutable in the sense of never evolving.</w:t>
      </w:r>
    </w:p>
    <w:p w14:paraId="6E1DF55C"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It makes each release verifiably stable.</w:t>
      </w:r>
    </w:p>
    <w:p w14:paraId="0E5AB233"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Future releases may evolve.</w:t>
      </w:r>
    </w:p>
    <w:p w14:paraId="48731808" w14:textId="77777777" w:rsidR="006C5552" w:rsidRPr="00B479AE" w:rsidRDefault="006C5552" w:rsidP="006C5552">
      <w:pPr>
        <w:spacing w:line="360" w:lineRule="auto"/>
        <w:rPr>
          <w:rFonts w:ascii="Baskerville Old Face" w:hAnsi="Baskerville Old Face"/>
          <w:i/>
          <w:iCs/>
        </w:rPr>
      </w:pPr>
      <w:r w:rsidRPr="00B479AE">
        <w:rPr>
          <w:rFonts w:ascii="Baskerville Old Face" w:hAnsi="Baskerville Old Face"/>
          <w:i/>
          <w:iCs/>
        </w:rPr>
        <w:t>Past releases must remain checkable.</w:t>
      </w:r>
    </w:p>
    <w:p w14:paraId="6132592B" w14:textId="03490592" w:rsidR="0077031A" w:rsidRPr="00B479AE" w:rsidRDefault="0077031A" w:rsidP="0077031A">
      <w:pPr>
        <w:spacing w:line="360" w:lineRule="auto"/>
        <w:rPr>
          <w:rFonts w:ascii="Baskerville Old Face" w:hAnsi="Baskerville Old Face"/>
          <w:b/>
          <w:bCs/>
          <w:i/>
          <w:iCs/>
        </w:rPr>
      </w:pPr>
      <w:r w:rsidRPr="00B479AE">
        <w:rPr>
          <w:rFonts w:ascii="Baskerville Old Face" w:hAnsi="Baskerville Old Face"/>
          <w:b/>
          <w:bCs/>
          <w:i/>
          <w:iCs/>
        </w:rPr>
        <w:t xml:space="preserve">S.13 </w:t>
      </w:r>
      <w:r w:rsidR="002F2301" w:rsidRPr="002F2301">
        <w:rPr>
          <w:rFonts w:ascii="Baskerville Old Face" w:hAnsi="Baskerville Old Face"/>
          <w:b/>
          <w:bCs/>
          <w:i/>
          <w:iCs/>
        </w:rPr>
        <w:t>Canonical Protection Baseline</w:t>
      </w:r>
      <w:r w:rsidR="002F2301">
        <w:rPr>
          <w:rFonts w:ascii="Baskerville Old Face" w:hAnsi="Baskerville Old Face"/>
          <w:b/>
          <w:bCs/>
          <w:i/>
          <w:iCs/>
        </w:rPr>
        <w:t xml:space="preserve"> </w:t>
      </w:r>
    </w:p>
    <w:p w14:paraId="1699061A"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Before any major public release, GitHub update, investor circulation, certification claim, institutional distribution, or runtime deployment, Prometheus should preserve a Canonical Protection Baseline.</w:t>
      </w:r>
    </w:p>
    <w:p w14:paraId="078BBE15"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This baseline is not a separate technical accessory.</w:t>
      </w:r>
    </w:p>
    <w:p w14:paraId="1707ECA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It is part of the source-layer discipline of Prometheus.</w:t>
      </w:r>
    </w:p>
    <w:p w14:paraId="260F291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The baseline protects the relationship among:</w:t>
      </w:r>
    </w:p>
    <w:p w14:paraId="2EA7864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canonical text;</w:t>
      </w:r>
    </w:p>
    <w:p w14:paraId="6BD763D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cryptographic integrity;</w:t>
      </w:r>
    </w:p>
    <w:p w14:paraId="411D968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repository continuity;</w:t>
      </w:r>
    </w:p>
    <w:p w14:paraId="2724A311" w14:textId="77777777" w:rsidR="00631DB0" w:rsidRPr="00B479AE" w:rsidRDefault="00631DB0" w:rsidP="00631DB0">
      <w:p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implementation;</w:t>
      </w:r>
    </w:p>
    <w:p w14:paraId="43909DD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runtime documentation;</w:t>
      </w:r>
    </w:p>
    <w:p w14:paraId="1E0412B4"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fork governance;</w:t>
      </w:r>
    </w:p>
    <w:p w14:paraId="1D4E55D0"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public verification;</w:t>
      </w:r>
    </w:p>
    <w:p w14:paraId="613EDEE8"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offline survivability.</w:t>
      </w:r>
    </w:p>
    <w:p w14:paraId="43FA5C06"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The Canonical Protection Baseline should include:</w:t>
      </w:r>
    </w:p>
    <w:p w14:paraId="76A921AD"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final canonical White Paper files;</w:t>
      </w:r>
    </w:p>
    <w:p w14:paraId="517DDF56"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lastRenderedPageBreak/>
        <w:t>• canonical DOCX;</w:t>
      </w:r>
    </w:p>
    <w:p w14:paraId="64EDB8E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canonical PDF;</w:t>
      </w:r>
    </w:p>
    <w:p w14:paraId="0EDAC3B8"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canonical Markdown or source text where applicable;</w:t>
      </w:r>
    </w:p>
    <w:p w14:paraId="799328D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SHA-256 hashes for each release file;</w:t>
      </w:r>
    </w:p>
    <w:p w14:paraId="1D93508C"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SHA256_SUMS.txt;</w:t>
      </w:r>
    </w:p>
    <w:p w14:paraId="3785CF6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detached GPG signatures;</w:t>
      </w:r>
    </w:p>
    <w:p w14:paraId="23731D6E"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RELEASE_MANIFEST.json</w:t>
      </w:r>
      <w:proofErr w:type="spellEnd"/>
      <w:r w:rsidRPr="00B479AE">
        <w:rPr>
          <w:rFonts w:ascii="Baskerville Old Face" w:hAnsi="Baskerville Old Face"/>
          <w:i/>
          <w:iCs/>
        </w:rPr>
        <w:t>;</w:t>
      </w:r>
    </w:p>
    <w:p w14:paraId="123CCB7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signed release manifest;</w:t>
      </w:r>
    </w:p>
    <w:p w14:paraId="4156918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public key publication;</w:t>
      </w:r>
    </w:p>
    <w:p w14:paraId="31191D0A"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README.md;</w:t>
      </w:r>
    </w:p>
    <w:p w14:paraId="2B7BE94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VERIFICATION.md;</w:t>
      </w:r>
    </w:p>
    <w:p w14:paraId="4BB1A1DC"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RELEASE_NOTES.md;</w:t>
      </w:r>
    </w:p>
    <w:p w14:paraId="789B56ED"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REPRODUCIBLE_RELEASE.md;</w:t>
      </w:r>
    </w:p>
    <w:p w14:paraId="7A62B26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Root_Of_Trust.md;</w:t>
      </w:r>
    </w:p>
    <w:p w14:paraId="3763712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Runbook.md;</w:t>
      </w:r>
    </w:p>
    <w:p w14:paraId="7CF82374"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Technical verification and cryptographic integrity manual;</w:t>
      </w:r>
    </w:p>
    <w:p w14:paraId="56750DE1"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LICENSE or Constitutional Rider;</w:t>
      </w:r>
    </w:p>
    <w:p w14:paraId="63A24A9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FORK_POLICY.md;</w:t>
      </w:r>
    </w:p>
    <w:p w14:paraId="6413E170"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CANONICAL_REGISTRY.md;</w:t>
      </w:r>
    </w:p>
    <w:p w14:paraId="69BC5F1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canonical document index;</w:t>
      </w:r>
    </w:p>
    <w:p w14:paraId="7A98507D"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official repository reference;</w:t>
      </w:r>
    </w:p>
    <w:p w14:paraId="4054BD8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official contact point;</w:t>
      </w:r>
    </w:p>
    <w:p w14:paraId="0DF7B01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lastRenderedPageBreak/>
        <w:t>• official domain reference where available;</w:t>
      </w:r>
    </w:p>
    <w:p w14:paraId="722B7091"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copyright notice;</w:t>
      </w:r>
    </w:p>
    <w:p w14:paraId="078A6171"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authorship and release-date records;</w:t>
      </w:r>
    </w:p>
    <w:p w14:paraId="62C8DBC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repository synchronization notes;</w:t>
      </w:r>
    </w:p>
    <w:p w14:paraId="4EA4562E"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 or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integration notes where applicable;</w:t>
      </w:r>
    </w:p>
    <w:p w14:paraId="118B0A5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runtime alignment notes where applicable;</w:t>
      </w:r>
    </w:p>
    <w:p w14:paraId="1E18671A"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offline continuity package;</w:t>
      </w:r>
    </w:p>
    <w:p w14:paraId="29380C7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local backup;</w:t>
      </w:r>
    </w:p>
    <w:p w14:paraId="6642F7A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institutional or trusted-custodian backup.</w:t>
      </w:r>
    </w:p>
    <w:p w14:paraId="322404B5"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xml:space="preserve">Where Prometheus is implemented through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the baseline should also preserve coherence among:</w:t>
      </w:r>
    </w:p>
    <w:p w14:paraId="2AD56654"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canonical documentation;</w:t>
      </w:r>
    </w:p>
    <w:p w14:paraId="57C35E6F"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repository;</w:t>
      </w:r>
    </w:p>
    <w:p w14:paraId="7D0AB1D2"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bridge repository;</w:t>
      </w:r>
    </w:p>
    <w:p w14:paraId="1E54BBE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console or interface repository;</w:t>
      </w:r>
    </w:p>
    <w:p w14:paraId="33B9551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evaluation stack;</w:t>
      </w:r>
    </w:p>
    <w:p w14:paraId="680190A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operations documentation;</w:t>
      </w:r>
    </w:p>
    <w:p w14:paraId="1F17D700"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pilot handoff pack;</w:t>
      </w:r>
    </w:p>
    <w:p w14:paraId="709FDD8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runtime integration notes;</w:t>
      </w:r>
    </w:p>
    <w:p w14:paraId="4002B5FF"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build and deployment runbooks;</w:t>
      </w:r>
    </w:p>
    <w:p w14:paraId="430CE0C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verification and troubleshooting procedures;</w:t>
      </w:r>
    </w:p>
    <w:p w14:paraId="60176C9C"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source-layer references;</w:t>
      </w:r>
    </w:p>
    <w:p w14:paraId="7DAE795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lastRenderedPageBreak/>
        <w:t>• methodology references;</w:t>
      </w:r>
    </w:p>
    <w:p w14:paraId="29728C5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release metadata;</w:t>
      </w:r>
    </w:p>
    <w:p w14:paraId="2A7F089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public verification artifacts.</w:t>
      </w:r>
    </w:p>
    <w:p w14:paraId="6678CBDD"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This ensures that Prometheus does not split into a beautiful White Paper on one side and an incoherent runtime implementation on the other.</w:t>
      </w:r>
    </w:p>
    <w:p w14:paraId="4331BCA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The canonical document layer and the implementation layer must remain synchronized.</w:t>
      </w:r>
    </w:p>
    <w:p w14:paraId="661FCEBA"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A canonical text without repository continuity becomes difficult to verify.</w:t>
      </w:r>
    </w:p>
    <w:p w14:paraId="6D4A90E8"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A repository without cryptographic integrity becomes easy to confuse.</w:t>
      </w:r>
    </w:p>
    <w:p w14:paraId="60A5FE3A"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A runtime implementation without source-layer fidelity becomes drift.</w:t>
      </w:r>
    </w:p>
    <w:p w14:paraId="5B16F147"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xml:space="preserve">A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deployment without canonical discipline becomes technically active but constitutionally weak.</w:t>
      </w:r>
    </w:p>
    <w:p w14:paraId="1A33147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The reason is simple:</w:t>
      </w:r>
    </w:p>
    <w:p w14:paraId="34A44995"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once Prometheus becomes visible, it becomes copyable.</w:t>
      </w:r>
    </w:p>
    <w:p w14:paraId="1DA7AFC0"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Once it becomes copyable, lineage must be verifiable.</w:t>
      </w:r>
    </w:p>
    <w:p w14:paraId="450E0B54"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Once lineage is verifiable, forks can exist without confusing the source.</w:t>
      </w:r>
    </w:p>
    <w:p w14:paraId="46D5604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Once implementation begins, runtime behavior must remain aligned with canonical meaning.</w:t>
      </w:r>
    </w:p>
    <w:p w14:paraId="02DC01B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The baseline rule is:</w:t>
      </w:r>
    </w:p>
    <w:p w14:paraId="4D3B064D"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canonical text defines meaning;</w:t>
      </w:r>
    </w:p>
    <w:p w14:paraId="6C6D879F"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repository structure preserves access;</w:t>
      </w:r>
    </w:p>
    <w:p w14:paraId="40F8D2D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cryptographic sealing preserves integrity;</w:t>
      </w:r>
    </w:p>
    <w:p w14:paraId="24BCD06E"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public verification preserves trust;</w:t>
      </w:r>
    </w:p>
    <w:p w14:paraId="7A94D563"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runtime documentation preserves implementation fidelity;</w:t>
      </w:r>
    </w:p>
    <w:p w14:paraId="3ACB3778" w14:textId="77777777" w:rsidR="00631DB0" w:rsidRPr="00B479AE" w:rsidRDefault="00631DB0" w:rsidP="00631DB0">
      <w:pPr>
        <w:spacing w:line="360" w:lineRule="auto"/>
        <w:rPr>
          <w:rFonts w:ascii="Baskerville Old Face" w:hAnsi="Baskerville Old Face"/>
          <w:i/>
          <w:iCs/>
        </w:rPr>
      </w:pPr>
      <w:proofErr w:type="spellStart"/>
      <w:r w:rsidRPr="00B479AE">
        <w:rPr>
          <w:rFonts w:ascii="Baskerville Old Face" w:hAnsi="Baskerville Old Face"/>
          <w:i/>
          <w:iCs/>
        </w:rPr>
        <w:lastRenderedPageBreak/>
        <w:t>Holochain</w:t>
      </w:r>
      <w:proofErr w:type="spellEnd"/>
      <w:r w:rsidRPr="00B479AE">
        <w:rPr>
          <w:rFonts w:ascii="Baskerville Old Face" w:hAnsi="Baskerville Old Face"/>
          <w:i/>
          <w:iCs/>
        </w:rPr>
        <w:t>-compatible deployment must preserve source-layer coherence;</w:t>
      </w:r>
    </w:p>
    <w:p w14:paraId="211BBDDA"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offline continuity preserves survival beyond any single platform.</w:t>
      </w:r>
    </w:p>
    <w:p w14:paraId="404F2412"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The Canonical Protection Baseline therefore protects Prometheus across three dimensions:</w:t>
      </w:r>
    </w:p>
    <w:p w14:paraId="37279224"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meaning;</w:t>
      </w:r>
    </w:p>
    <w:p w14:paraId="041E537C"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integrity;</w:t>
      </w:r>
    </w:p>
    <w:p w14:paraId="1A757ED0"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execution.</w:t>
      </w:r>
    </w:p>
    <w:p w14:paraId="288E9EF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Meaning is protected by the source layer.</w:t>
      </w:r>
    </w:p>
    <w:p w14:paraId="02756CC9"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Integrity is protected by hashes, signatures, manifests, and registry references.</w:t>
      </w:r>
    </w:p>
    <w:p w14:paraId="6DDB0294"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 xml:space="preserve">Execution is protected by repository synchronization, runtime documentation,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implementation notes, and deployment discipline.</w:t>
      </w:r>
    </w:p>
    <w:p w14:paraId="05FEE461"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This baseline should be active before broader institutional circulation, investor-facing use, public certification claims, major GitHub updates, or runtime deployment.</w:t>
      </w:r>
    </w:p>
    <w:p w14:paraId="1E8C03FB" w14:textId="77777777" w:rsidR="00631DB0" w:rsidRPr="00B479AE" w:rsidRDefault="00631DB0" w:rsidP="00631DB0">
      <w:pPr>
        <w:spacing w:line="360" w:lineRule="auto"/>
        <w:rPr>
          <w:rFonts w:ascii="Baskerville Old Face" w:hAnsi="Baskerville Old Face"/>
          <w:i/>
          <w:iCs/>
        </w:rPr>
      </w:pPr>
      <w:r w:rsidRPr="00B479AE">
        <w:rPr>
          <w:rFonts w:ascii="Baskerville Old Face" w:hAnsi="Baskerville Old Face"/>
          <w:i/>
          <w:iCs/>
        </w:rPr>
        <w:t>It is the minimum condition for Prometheus to move from authored architecture to verifiable institutional artifact.</w:t>
      </w:r>
    </w:p>
    <w:p w14:paraId="4DB364E5" w14:textId="31DC1372" w:rsidR="00B24243" w:rsidRPr="00B479AE" w:rsidRDefault="00B24243" w:rsidP="00B24243">
      <w:pPr>
        <w:spacing w:line="360" w:lineRule="auto"/>
        <w:rPr>
          <w:rFonts w:ascii="Baskerville Old Face" w:hAnsi="Baskerville Old Face"/>
          <w:b/>
          <w:bCs/>
          <w:i/>
          <w:iCs/>
        </w:rPr>
      </w:pPr>
      <w:r w:rsidRPr="00B479AE">
        <w:rPr>
          <w:rFonts w:ascii="Baskerville Old Face" w:hAnsi="Baskerville Old Face"/>
          <w:b/>
          <w:bCs/>
          <w:i/>
          <w:iCs/>
        </w:rPr>
        <w:t>S.14 Strategic Protection Roadmap</w:t>
      </w:r>
    </w:p>
    <w:p w14:paraId="1A41C1B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Prometheus protection should mature through a disciplined sequence of canonical readiness, cryptographic authentication, public verification, repository and runtime coherence, legal identity protection, licensing, institutional enforcement, and long-term continuity.</w:t>
      </w:r>
    </w:p>
    <w:p w14:paraId="67B03B0D"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roadmap does not treat protection as a single legal filing, a single GitHub repository, a single signature, or a single technical action.</w:t>
      </w:r>
    </w:p>
    <w:p w14:paraId="6ED651D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It treats protection as a layered survival architecture.</w:t>
      </w:r>
    </w:p>
    <w:p w14:paraId="2F0D8E93" w14:textId="77777777" w:rsidR="0077031A" w:rsidRPr="00B479AE" w:rsidRDefault="0077031A" w:rsidP="0077031A">
      <w:pPr>
        <w:spacing w:line="360" w:lineRule="auto"/>
        <w:rPr>
          <w:rFonts w:ascii="Baskerville Old Face" w:hAnsi="Baskerville Old Face"/>
          <w:b/>
          <w:bCs/>
          <w:i/>
          <w:iCs/>
        </w:rPr>
      </w:pPr>
      <w:r w:rsidRPr="00B479AE">
        <w:rPr>
          <w:rFonts w:ascii="Baskerville Old Face" w:hAnsi="Baskerville Old Face"/>
          <w:b/>
          <w:bCs/>
          <w:i/>
          <w:iCs/>
        </w:rPr>
        <w:t>Phase 0 — Canonical Readiness and Release Integrity.</w:t>
      </w:r>
    </w:p>
    <w:p w14:paraId="36237A8A"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Before public release, Prometheus should reach canonical readiness.</w:t>
      </w:r>
    </w:p>
    <w:p w14:paraId="0A20D18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lastRenderedPageBreak/>
        <w:t>This phase confirms that the release artifact is clean, coherent, internally consistent, and suitable for cryptographic sealing, repository publication, and implementation alignment.</w:t>
      </w:r>
    </w:p>
    <w:p w14:paraId="281225BF"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Before release:</w:t>
      </w:r>
    </w:p>
    <w:p w14:paraId="5B3EC8BB"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freeze canonical text;</w:t>
      </w:r>
    </w:p>
    <w:p w14:paraId="12A79E8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remove tracked changes and comments;</w:t>
      </w:r>
    </w:p>
    <w:p w14:paraId="437A614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normalize document styles;</w:t>
      </w:r>
    </w:p>
    <w:p w14:paraId="48F3141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tables and formulas;</w:t>
      </w:r>
    </w:p>
    <w:p w14:paraId="3056D01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internal references;</w:t>
      </w:r>
    </w:p>
    <w:p w14:paraId="0D7A918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glossary consistency;</w:t>
      </w:r>
    </w:p>
    <w:p w14:paraId="322D82D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protected terminology;</w:t>
      </w:r>
    </w:p>
    <w:p w14:paraId="1702598A"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source-layer references;</w:t>
      </w:r>
    </w:p>
    <w:p w14:paraId="5031C34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GitHub repository references;</w:t>
      </w:r>
    </w:p>
    <w:p w14:paraId="201D1A7D"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 verify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implementation references where applicable;</w:t>
      </w:r>
    </w:p>
    <w:p w14:paraId="178E00E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verify consistency between White Paper, canonical documents, and runtime documentation;</w:t>
      </w:r>
    </w:p>
    <w:p w14:paraId="3DC49EEA"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scrub metadata where appropriate;</w:t>
      </w:r>
    </w:p>
    <w:p w14:paraId="3B11556B"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confirm copyright notices;</w:t>
      </w:r>
    </w:p>
    <w:p w14:paraId="2306BE9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confirm authorship and release-date records;</w:t>
      </w:r>
    </w:p>
    <w:p w14:paraId="54CB779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confirm official contact references;</w:t>
      </w:r>
    </w:p>
    <w:p w14:paraId="1CB7743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verification files;</w:t>
      </w:r>
    </w:p>
    <w:p w14:paraId="44F1F05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release manifest;</w:t>
      </w:r>
    </w:p>
    <w:p w14:paraId="109F1B3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fork policy;</w:t>
      </w:r>
    </w:p>
    <w:p w14:paraId="42E306D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Constitutional Rider;</w:t>
      </w:r>
    </w:p>
    <w:p w14:paraId="1A8AFA8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lastRenderedPageBreak/>
        <w:t>• prepare canonical registry;</w:t>
      </w:r>
    </w:p>
    <w:p w14:paraId="60B9769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runtime alignment notes where applicable.</w:t>
      </w:r>
    </w:p>
    <w:p w14:paraId="46065FA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purpose of this phase is to ensure that Prometheus does not authenticate an unstable artifact.</w:t>
      </w:r>
    </w:p>
    <w:p w14:paraId="7D8FA43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Canonical readiness comes before cryptographic authority.</w:t>
      </w:r>
    </w:p>
    <w:p w14:paraId="0A9BAE12" w14:textId="77777777" w:rsidR="0077031A" w:rsidRPr="00B479AE" w:rsidRDefault="0077031A" w:rsidP="0077031A">
      <w:pPr>
        <w:spacing w:line="360" w:lineRule="auto"/>
        <w:rPr>
          <w:rFonts w:ascii="Baskerville Old Face" w:hAnsi="Baskerville Old Face"/>
          <w:b/>
          <w:bCs/>
          <w:i/>
          <w:iCs/>
        </w:rPr>
      </w:pPr>
      <w:r w:rsidRPr="00B479AE">
        <w:rPr>
          <w:rFonts w:ascii="Baskerville Old Face" w:hAnsi="Baskerville Old Face"/>
          <w:b/>
          <w:bCs/>
          <w:i/>
          <w:iCs/>
        </w:rPr>
        <w:t>Phase 1 — Cryptographic Sealing and Release Authentication.</w:t>
      </w:r>
    </w:p>
    <w:p w14:paraId="1171A52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At release, Prometheus should authenticate the canonical artifact.</w:t>
      </w:r>
    </w:p>
    <w:p w14:paraId="4FD9C75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This phase transforms the release from an editable document into a verifiable canonical object.</w:t>
      </w:r>
    </w:p>
    <w:p w14:paraId="70C176A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At release:</w:t>
      </w:r>
    </w:p>
    <w:p w14:paraId="48F2A06A"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generate canonical DOCX, PDF, and Markdown or source files where applicable;</w:t>
      </w:r>
    </w:p>
    <w:p w14:paraId="1F00ED2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compute SHA-256 hashes for each release file;</w:t>
      </w:r>
    </w:p>
    <w:p w14:paraId="0195F70A"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create SHA256_SUMS.txt;</w:t>
      </w:r>
    </w:p>
    <w:p w14:paraId="7132EB4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 create </w:t>
      </w:r>
      <w:proofErr w:type="spellStart"/>
      <w:r w:rsidRPr="00B479AE">
        <w:rPr>
          <w:rFonts w:ascii="Baskerville Old Face" w:hAnsi="Baskerville Old Face"/>
          <w:i/>
          <w:iCs/>
        </w:rPr>
        <w:t>RELEASE_MANIFEST.json</w:t>
      </w:r>
      <w:proofErr w:type="spellEnd"/>
      <w:r w:rsidRPr="00B479AE">
        <w:rPr>
          <w:rFonts w:ascii="Baskerville Old Face" w:hAnsi="Baskerville Old Face"/>
          <w:i/>
          <w:iCs/>
        </w:rPr>
        <w:t>;</w:t>
      </w:r>
    </w:p>
    <w:p w14:paraId="49783EC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sign checksum files through detached signatures;</w:t>
      </w:r>
    </w:p>
    <w:p w14:paraId="250C808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sign the release manifest;</w:t>
      </w:r>
    </w:p>
    <w:p w14:paraId="6BAC868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create the canonical release package;</w:t>
      </w:r>
    </w:p>
    <w:p w14:paraId="54B1B2B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compute the hash of the release package;</w:t>
      </w:r>
    </w:p>
    <w:p w14:paraId="402145C8"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sign the release package;</w:t>
      </w:r>
    </w:p>
    <w:p w14:paraId="577EF1C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or prepare the public verification key;</w:t>
      </w:r>
    </w:p>
    <w:p w14:paraId="3C0F581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verification instructions;</w:t>
      </w:r>
    </w:p>
    <w:p w14:paraId="33B3EFB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prepare release notes.</w:t>
      </w:r>
    </w:p>
    <w:p w14:paraId="18FFBBD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purpose of this phase is authentication.</w:t>
      </w:r>
    </w:p>
    <w:p w14:paraId="25D4D1DD"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lastRenderedPageBreak/>
        <w:t>After this phase, any participant should be able to verify whether a file corresponds to the canonical release or has been altered.</w:t>
      </w:r>
    </w:p>
    <w:p w14:paraId="7083C0B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release becomes checkable, attributable, and reproducible.</w:t>
      </w:r>
    </w:p>
    <w:p w14:paraId="0984CD27" w14:textId="77777777" w:rsidR="0077031A" w:rsidRPr="00B479AE" w:rsidRDefault="0077031A" w:rsidP="0077031A">
      <w:pPr>
        <w:spacing w:line="360" w:lineRule="auto"/>
        <w:rPr>
          <w:rFonts w:ascii="Baskerville Old Face" w:hAnsi="Baskerville Old Face"/>
          <w:b/>
          <w:bCs/>
          <w:i/>
          <w:iCs/>
        </w:rPr>
      </w:pPr>
      <w:r w:rsidRPr="00B479AE">
        <w:rPr>
          <w:rFonts w:ascii="Baskerville Old Face" w:hAnsi="Baskerville Old Face"/>
          <w:b/>
          <w:bCs/>
          <w:i/>
          <w:iCs/>
        </w:rPr>
        <w:t>Phase 2 — Public Verification and Canonical Mirror Publication.</w:t>
      </w:r>
    </w:p>
    <w:p w14:paraId="46BF0C2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Immediately after cryptographic sealing, Prometheus should make the authenticated release publicly verifiable.</w:t>
      </w:r>
    </w:p>
    <w:p w14:paraId="2A4172AF"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This phase publishes the canonical artifact and its verification materials through official online mirrors and registry references.</w:t>
      </w:r>
    </w:p>
    <w:p w14:paraId="2BD9607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Immediately after release:</w:t>
      </w:r>
    </w:p>
    <w:p w14:paraId="4D578F1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update the official GitHub repository;</w:t>
      </w:r>
    </w:p>
    <w:p w14:paraId="33199D4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canonical release files;</w:t>
      </w:r>
    </w:p>
    <w:p w14:paraId="78B4906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checksum files;</w:t>
      </w:r>
    </w:p>
    <w:p w14:paraId="42149BC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detached signatures;</w:t>
      </w:r>
    </w:p>
    <w:p w14:paraId="2BAA0654"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 publish </w:t>
      </w:r>
      <w:proofErr w:type="spellStart"/>
      <w:r w:rsidRPr="00B479AE">
        <w:rPr>
          <w:rFonts w:ascii="Baskerville Old Face" w:hAnsi="Baskerville Old Face"/>
          <w:i/>
          <w:iCs/>
        </w:rPr>
        <w:t>RELEASE_MANIFEST.json</w:t>
      </w:r>
      <w:proofErr w:type="spellEnd"/>
      <w:r w:rsidRPr="00B479AE">
        <w:rPr>
          <w:rFonts w:ascii="Baskerville Old Face" w:hAnsi="Baskerville Old Face"/>
          <w:i/>
          <w:iCs/>
        </w:rPr>
        <w:t>;</w:t>
      </w:r>
    </w:p>
    <w:p w14:paraId="34C18BD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README.md;</w:t>
      </w:r>
    </w:p>
    <w:p w14:paraId="001EDAA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VERIFICATION.md;</w:t>
      </w:r>
    </w:p>
    <w:p w14:paraId="3AB7E654"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RELEASE_NOTES.md;</w:t>
      </w:r>
    </w:p>
    <w:p w14:paraId="3C0C094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REPRODUCIBLE_RELEASE.md;</w:t>
      </w:r>
    </w:p>
    <w:p w14:paraId="34CD763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Root_Of_Trust.md;</w:t>
      </w:r>
    </w:p>
    <w:p w14:paraId="493DBC87"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LICENSE or Constitutional Rider;</w:t>
      </w:r>
    </w:p>
    <w:p w14:paraId="607673FD"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FORK_POLICY.md;</w:t>
      </w:r>
    </w:p>
    <w:p w14:paraId="3B4C8EC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CANONICAL_REGISTRY.md;</w:t>
      </w:r>
    </w:p>
    <w:p w14:paraId="030EF271"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publish official contact and repository references;</w:t>
      </w:r>
    </w:p>
    <w:p w14:paraId="6F7793B8"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lastRenderedPageBreak/>
        <w:t>• tag the release;</w:t>
      </w:r>
    </w:p>
    <w:p w14:paraId="596ADC4D"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create a GitHub release package;</w:t>
      </w:r>
    </w:p>
    <w:p w14:paraId="73925A7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archive the release package externally;</w:t>
      </w:r>
    </w:p>
    <w:p w14:paraId="50A4DDDF"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record the release in the canonical registry.</w:t>
      </w:r>
    </w:p>
    <w:p w14:paraId="5FE083A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purpose of this phase is public verification.</w:t>
      </w:r>
    </w:p>
    <w:p w14:paraId="4327C77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GitHub, official domains, and public mirrors do not create canonical authority by themselves.</w:t>
      </w:r>
    </w:p>
    <w:p w14:paraId="681B9DE8"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They make canonical authority visible and testable.</w:t>
      </w:r>
    </w:p>
    <w:p w14:paraId="0685B54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rule is:</w:t>
      </w:r>
    </w:p>
    <w:p w14:paraId="5288697D"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Phase 1 authenticates the release.</w:t>
      </w:r>
    </w:p>
    <w:p w14:paraId="5643D48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Phase 2 makes the authenticated release publicly verifiable.</w:t>
      </w:r>
    </w:p>
    <w:p w14:paraId="033DED88" w14:textId="77777777" w:rsidR="0077031A" w:rsidRPr="00B479AE" w:rsidRDefault="0077031A" w:rsidP="0077031A">
      <w:pPr>
        <w:spacing w:line="360" w:lineRule="auto"/>
        <w:rPr>
          <w:rFonts w:ascii="Baskerville Old Face" w:hAnsi="Baskerville Old Face"/>
          <w:b/>
          <w:bCs/>
          <w:i/>
          <w:iCs/>
        </w:rPr>
      </w:pPr>
      <w:r w:rsidRPr="00B479AE">
        <w:rPr>
          <w:rFonts w:ascii="Baskerville Old Face" w:hAnsi="Baskerville Old Face"/>
          <w:b/>
          <w:bCs/>
          <w:i/>
          <w:iCs/>
        </w:rPr>
        <w:t>Phase 3 — Repository and Runtime Coherence.</w:t>
      </w:r>
    </w:p>
    <w:p w14:paraId="79CE38B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Where Prometheus is implemented through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infrastructure, the canonical release should remain synchronized with the operational repository stack.</w:t>
      </w:r>
    </w:p>
    <w:p w14:paraId="7763D605"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This phase protects the bridge between constitutional meaning and runtime implementation.</w:t>
      </w:r>
    </w:p>
    <w:p w14:paraId="4C167E78"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Repository and runtime coherence may include:</w:t>
      </w:r>
    </w:p>
    <w:p w14:paraId="15FE96CA"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alignment between the White Paper and canonical documentation;</w:t>
      </w:r>
    </w:p>
    <w:p w14:paraId="62EB8B0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 alignment between canonical documentation and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implementation notes;</w:t>
      </w:r>
    </w:p>
    <w:p w14:paraId="0140E4CF"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 alignment among </w:t>
      </w:r>
      <w:proofErr w:type="spellStart"/>
      <w:r w:rsidRPr="00B479AE">
        <w:rPr>
          <w:rFonts w:ascii="Baskerville Old Face" w:hAnsi="Baskerville Old Face"/>
          <w:i/>
          <w:iCs/>
        </w:rPr>
        <w:t>hApp</w:t>
      </w:r>
      <w:proofErr w:type="spellEnd"/>
      <w:r w:rsidRPr="00B479AE">
        <w:rPr>
          <w:rFonts w:ascii="Baskerville Old Face" w:hAnsi="Baskerville Old Face"/>
          <w:i/>
          <w:iCs/>
        </w:rPr>
        <w:t>, bridge, console, evaluation stack, operations documentation, and pilot handoff pack;</w:t>
      </w:r>
    </w:p>
    <w:p w14:paraId="3196903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build and deployment runbooks;</w:t>
      </w:r>
    </w:p>
    <w:p w14:paraId="7826B47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troubleshooting procedures;</w:t>
      </w:r>
    </w:p>
    <w:p w14:paraId="7FE53611"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verification and integrity manuals;</w:t>
      </w:r>
    </w:p>
    <w:p w14:paraId="175818B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lastRenderedPageBreak/>
        <w:t xml:space="preserve">• preservation of API, </w:t>
      </w:r>
      <w:proofErr w:type="spellStart"/>
      <w:r w:rsidRPr="00B479AE">
        <w:rPr>
          <w:rFonts w:ascii="Baskerville Old Face" w:hAnsi="Baskerville Old Face"/>
          <w:i/>
          <w:iCs/>
        </w:rPr>
        <w:t>zome</w:t>
      </w:r>
      <w:proofErr w:type="spellEnd"/>
      <w:r w:rsidRPr="00B479AE">
        <w:rPr>
          <w:rFonts w:ascii="Baskerville Old Face" w:hAnsi="Baskerville Old Face"/>
          <w:i/>
          <w:iCs/>
        </w:rPr>
        <w:t>, bridge, and console boundaries;</w:t>
      </w:r>
    </w:p>
    <w:p w14:paraId="29B83B82"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1BCFB1B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 preservation of PRU, MRV, RAP,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settlement rails, and governance separation;</w:t>
      </w:r>
    </w:p>
    <w:p w14:paraId="09E15189"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assistive-only AI authority;</w:t>
      </w:r>
    </w:p>
    <w:p w14:paraId="2401B40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protected-domain review;</w:t>
      </w:r>
    </w:p>
    <w:p w14:paraId="7063964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pilot-first deployment boundaries;</w:t>
      </w:r>
    </w:p>
    <w:p w14:paraId="37881A2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preservation of release metadata and canonical references across repositories.</w:t>
      </w:r>
    </w:p>
    <w:p w14:paraId="7B60ECD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purpose of this phase is implementation fidelity.</w:t>
      </w:r>
    </w:p>
    <w:p w14:paraId="5069D7CE"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A canonical White Paper without runtime coherence becomes symbolic.</w:t>
      </w:r>
    </w:p>
    <w:p w14:paraId="0788D793"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A runtime implementation without canonical discipline becomes drift.</w:t>
      </w:r>
    </w:p>
    <w:p w14:paraId="27C2DECC"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Prometheus requires both.</w:t>
      </w:r>
    </w:p>
    <w:p w14:paraId="79E9FB04"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The correct relationship is:</w:t>
      </w:r>
    </w:p>
    <w:p w14:paraId="204FD086"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i/>
          <w:iCs/>
        </w:rPr>
        <w:t xml:space="preserve">canonical source layer </w:t>
      </w:r>
      <w:r w:rsidRPr="00B479AE">
        <w:rPr>
          <w:rFonts w:ascii="Times New Roman" w:hAnsi="Times New Roman" w:cs="Times New Roman"/>
          <w:i/>
          <w:iCs/>
        </w:rPr>
        <w:t>→</w:t>
      </w:r>
      <w:r w:rsidRPr="00B479AE">
        <w:rPr>
          <w:rFonts w:ascii="Baskerville Old Face" w:hAnsi="Baskerville Old Face"/>
          <w:i/>
          <w:iCs/>
        </w:rPr>
        <w:t xml:space="preserve"> repository structure </w:t>
      </w:r>
      <w:r w:rsidRPr="00B479AE">
        <w:rPr>
          <w:rFonts w:ascii="Times New Roman" w:hAnsi="Times New Roman" w:cs="Times New Roman"/>
          <w:i/>
          <w:iCs/>
        </w:rPr>
        <w:t>→</w:t>
      </w:r>
      <w:r w:rsidRPr="00B479AE">
        <w:rPr>
          <w:rFonts w:ascii="Baskerville Old Face" w:hAnsi="Baskerville Old Face"/>
          <w:i/>
          <w:iCs/>
        </w:rPr>
        <w:t xml:space="preserv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implementation </w:t>
      </w:r>
      <w:r w:rsidRPr="00B479AE">
        <w:rPr>
          <w:rFonts w:ascii="Times New Roman" w:hAnsi="Times New Roman" w:cs="Times New Roman"/>
          <w:i/>
          <w:iCs/>
        </w:rPr>
        <w:t>→</w:t>
      </w:r>
      <w:r w:rsidRPr="00B479AE">
        <w:rPr>
          <w:rFonts w:ascii="Baskerville Old Face" w:hAnsi="Baskerville Old Face"/>
          <w:i/>
          <w:iCs/>
        </w:rPr>
        <w:t xml:space="preserve"> runtime behavior </w:t>
      </w:r>
      <w:r w:rsidRPr="00B479AE">
        <w:rPr>
          <w:rFonts w:ascii="Times New Roman" w:hAnsi="Times New Roman" w:cs="Times New Roman"/>
          <w:i/>
          <w:iCs/>
        </w:rPr>
        <w:t>→</w:t>
      </w:r>
      <w:r w:rsidRPr="00B479AE">
        <w:rPr>
          <w:rFonts w:ascii="Baskerville Old Face" w:hAnsi="Baskerville Old Face"/>
          <w:i/>
          <w:iCs/>
        </w:rPr>
        <w:t xml:space="preserve"> verification </w:t>
      </w:r>
      <w:r w:rsidRPr="00B479AE">
        <w:rPr>
          <w:rFonts w:ascii="Times New Roman" w:hAnsi="Times New Roman" w:cs="Times New Roman"/>
          <w:i/>
          <w:iCs/>
        </w:rPr>
        <w:t>→</w:t>
      </w:r>
      <w:r w:rsidRPr="00B479AE">
        <w:rPr>
          <w:rFonts w:ascii="Baskerville Old Face" w:hAnsi="Baskerville Old Face"/>
          <w:i/>
          <w:iCs/>
        </w:rPr>
        <w:t xml:space="preserve"> governance review.</w:t>
      </w:r>
    </w:p>
    <w:p w14:paraId="30FF7920" w14:textId="77777777" w:rsidR="0077031A" w:rsidRPr="00B479AE" w:rsidRDefault="0077031A" w:rsidP="0077031A">
      <w:pPr>
        <w:spacing w:line="360" w:lineRule="auto"/>
        <w:rPr>
          <w:rFonts w:ascii="Baskerville Old Face" w:hAnsi="Baskerville Old Face"/>
          <w:i/>
          <w:iCs/>
        </w:rPr>
      </w:pPr>
      <w:r w:rsidRPr="00B479AE">
        <w:rPr>
          <w:rFonts w:ascii="Baskerville Old Face" w:hAnsi="Baskerville Old Face"/>
          <w:b/>
          <w:bCs/>
          <w:i/>
          <w:iCs/>
        </w:rPr>
        <w:t>Phase 4 — Legal Identity and Mark Protection</w:t>
      </w:r>
      <w:r w:rsidRPr="00B479AE">
        <w:rPr>
          <w:rFonts w:ascii="Baskerville Old Face" w:hAnsi="Baskerville Old Face"/>
          <w:i/>
          <w:iCs/>
        </w:rPr>
        <w:t>.</w:t>
      </w:r>
    </w:p>
    <w:p w14:paraId="3645ADC5"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After canonical release, Prometheus should begin or continue formal legal identity protection.</w:t>
      </w:r>
    </w:p>
    <w:p w14:paraId="17FDB119" w14:textId="509F5A0A"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This phase protects the names, marks, designations, certification language, public identity, domain identity, and official-use boundaries of Prometheus.</w:t>
      </w:r>
      <w:r w:rsidR="00FA515D" w:rsidRPr="00B479AE">
        <w:rPr>
          <w:rFonts w:ascii="Baskerville Old Face" w:hAnsi="Baskerville Old Face"/>
          <w:i/>
          <w:iCs/>
        </w:rPr>
        <w:t xml:space="preserve"> </w:t>
      </w:r>
      <w:r w:rsidRPr="00B479AE">
        <w:rPr>
          <w:rFonts w:ascii="Baskerville Old Face" w:hAnsi="Baskerville Old Face"/>
          <w:i/>
          <w:iCs/>
        </w:rPr>
        <w:t>After canonical release:</w:t>
      </w:r>
    </w:p>
    <w:p w14:paraId="15B036E9"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evaluate trademark and service-mark strategy;</w:t>
      </w:r>
    </w:p>
    <w:p w14:paraId="79F295ED"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identify registrable marks;</w:t>
      </w:r>
    </w:p>
    <w:p w14:paraId="2F83A6D8"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identify certification marks or controlled designations;</w:t>
      </w:r>
    </w:p>
    <w:p w14:paraId="0A00BF0A"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prioritize jurisdictions;</w:t>
      </w:r>
    </w:p>
    <w:p w14:paraId="7475958E"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lastRenderedPageBreak/>
        <w:t>• file national or Madrid System trademark applications where appropriate;</w:t>
      </w:r>
    </w:p>
    <w:p w14:paraId="763CCD68"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define official mark-use rules;</w:t>
      </w:r>
    </w:p>
    <w:p w14:paraId="5E475130"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define certification-mark use rules;</w:t>
      </w:r>
    </w:p>
    <w:p w14:paraId="07DE212F"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define compatibility-claim boundaries;</w:t>
      </w:r>
    </w:p>
    <w:p w14:paraId="290AB01F"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define canonical-status claim boundaries;</w:t>
      </w:r>
    </w:p>
    <w:p w14:paraId="757A970C"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define enforcement thresholds;</w:t>
      </w:r>
    </w:p>
    <w:p w14:paraId="07F962E9"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monitor confusing public uses;</w:t>
      </w:r>
    </w:p>
    <w:p w14:paraId="0AF40F32"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secure relevant domains;</w:t>
      </w:r>
    </w:p>
    <w:p w14:paraId="6B9EEBCC"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monitor confusingly similar domains;</w:t>
      </w:r>
    </w:p>
    <w:p w14:paraId="18D027F8"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prepare UDRP or equivalent response pathways;</w:t>
      </w:r>
    </w:p>
    <w:p w14:paraId="25D168FF"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prepare correction notices for misleading uses;</w:t>
      </w:r>
    </w:p>
    <w:p w14:paraId="700E623A"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 prepare impersonation, phishing, or fake-release response pathways.</w:t>
      </w:r>
    </w:p>
    <w:p w14:paraId="6239CA4C"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The purpose of this phase is to protect public identity without confusing legal ownership with canonical meaning.</w:t>
      </w:r>
    </w:p>
    <w:p w14:paraId="0B3113D1"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Trademark protects identity.</w:t>
      </w:r>
    </w:p>
    <w:p w14:paraId="33250B93"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Certification marks protect controlled public claims.</w:t>
      </w:r>
    </w:p>
    <w:p w14:paraId="5A7EFAA4"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Domain protection protects discoverability and prevents impersonation.</w:t>
      </w:r>
    </w:p>
    <w:p w14:paraId="5C2CCF3E"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Correction notices protect public clarity.</w:t>
      </w:r>
    </w:p>
    <w:p w14:paraId="238D3948"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Copyright protects expression.</w:t>
      </w:r>
    </w:p>
    <w:p w14:paraId="279ECF92"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Cryptographic verification protects release integrity.</w:t>
      </w:r>
    </w:p>
    <w:p w14:paraId="67FD38A7" w14:textId="77777777"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The canonical registry protects lineage.</w:t>
      </w:r>
    </w:p>
    <w:p w14:paraId="1094C670" w14:textId="79F7C61E" w:rsidR="00BD1C37" w:rsidRPr="00B479AE" w:rsidRDefault="00BD1C37" w:rsidP="00BD1C37">
      <w:pPr>
        <w:spacing w:line="360" w:lineRule="auto"/>
        <w:rPr>
          <w:rFonts w:ascii="Baskerville Old Face" w:hAnsi="Baskerville Old Face"/>
          <w:i/>
          <w:iCs/>
        </w:rPr>
      </w:pPr>
      <w:r w:rsidRPr="00B479AE">
        <w:rPr>
          <w:rFonts w:ascii="Baskerville Old Face" w:hAnsi="Baskerville Old Face"/>
          <w:i/>
          <w:iCs/>
        </w:rPr>
        <w:t>The source layer protects meaning.</w:t>
      </w:r>
    </w:p>
    <w:p w14:paraId="72489628" w14:textId="77777777" w:rsidR="00062324" w:rsidRPr="00B479AE" w:rsidRDefault="00062324" w:rsidP="00062324">
      <w:pPr>
        <w:spacing w:line="360" w:lineRule="auto"/>
        <w:rPr>
          <w:rFonts w:ascii="Baskerville Old Face" w:hAnsi="Baskerville Old Face"/>
          <w:b/>
          <w:bCs/>
          <w:i/>
          <w:iCs/>
        </w:rPr>
      </w:pPr>
      <w:r w:rsidRPr="00B479AE">
        <w:rPr>
          <w:rFonts w:ascii="Baskerville Old Face" w:hAnsi="Baskerville Old Face"/>
          <w:b/>
          <w:bCs/>
          <w:i/>
          <w:iCs/>
        </w:rPr>
        <w:lastRenderedPageBreak/>
        <w:t>Phase 5 — Licensing and Contributor Infrastructure.</w:t>
      </w:r>
    </w:p>
    <w:p w14:paraId="7EC9C6AD" w14:textId="77777777"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As development expands, Prometheus should define how texts, code, documentation, datasets, methodologies, APIs, interfaces, templates, diagrams, and implementation materials may be used, contributed to, adapted, shared, or integrated.</w:t>
      </w:r>
    </w:p>
    <w:p w14:paraId="7F261A6E" w14:textId="77777777"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This phase does not primarily protect public identity.</w:t>
      </w:r>
    </w:p>
    <w:p w14:paraId="32C62224" w14:textId="77777777"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That function belongs to mark protection.</w:t>
      </w:r>
    </w:p>
    <w:p w14:paraId="048B8635" w14:textId="248D70A3"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This phase governs permission, contribution, reuse, compatibility, attribution, derivative use, methodology integrity, and implementation discipline.</w:t>
      </w:r>
    </w:p>
    <w:p w14:paraId="0D63711B" w14:textId="77777777"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 adopt contributor license agreements where needed;</w:t>
      </w:r>
    </w:p>
    <w:p w14:paraId="2BFEBC0D" w14:textId="77777777"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 use developer certificate of origin where appropriate;</w:t>
      </w:r>
    </w:p>
    <w:p w14:paraId="7F75F68D"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code </w:t>
      </w:r>
      <w:proofErr w:type="spellStart"/>
      <w:r w:rsidRPr="005907F1">
        <w:rPr>
          <w:rFonts w:ascii="Baskerville Old Face" w:hAnsi="Baskerville Old Face"/>
          <w:i/>
          <w:iCs/>
          <w:lang w:val="it-IT"/>
        </w:rPr>
        <w:t>license</w:t>
      </w:r>
      <w:proofErr w:type="spellEnd"/>
      <w:r w:rsidRPr="005907F1">
        <w:rPr>
          <w:rFonts w:ascii="Baskerville Old Face" w:hAnsi="Baskerville Old Face"/>
          <w:i/>
          <w:iCs/>
          <w:lang w:val="it-IT"/>
        </w:rPr>
        <w:t>;</w:t>
      </w:r>
    </w:p>
    <w:p w14:paraId="3DEFAFF6"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documentation</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license</w:t>
      </w:r>
      <w:proofErr w:type="spellEnd"/>
      <w:r w:rsidRPr="005907F1">
        <w:rPr>
          <w:rFonts w:ascii="Baskerville Old Face" w:hAnsi="Baskerville Old Face"/>
          <w:i/>
          <w:iCs/>
          <w:lang w:val="it-IT"/>
        </w:rPr>
        <w:t>;</w:t>
      </w:r>
    </w:p>
    <w:p w14:paraId="052D13DC"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data </w:t>
      </w:r>
      <w:proofErr w:type="spellStart"/>
      <w:r w:rsidRPr="005907F1">
        <w:rPr>
          <w:rFonts w:ascii="Baskerville Old Face" w:hAnsi="Baskerville Old Face"/>
          <w:i/>
          <w:iCs/>
          <w:lang w:val="it-IT"/>
        </w:rPr>
        <w:t>license</w:t>
      </w:r>
      <w:proofErr w:type="spellEnd"/>
      <w:r w:rsidRPr="005907F1">
        <w:rPr>
          <w:rFonts w:ascii="Baskerville Old Face" w:hAnsi="Baskerville Old Face"/>
          <w:i/>
          <w:iCs/>
          <w:lang w:val="it-IT"/>
        </w:rPr>
        <w:t>;</w:t>
      </w:r>
    </w:p>
    <w:p w14:paraId="45667167"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methodology</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license</w:t>
      </w:r>
      <w:proofErr w:type="spellEnd"/>
      <w:r w:rsidRPr="005907F1">
        <w:rPr>
          <w:rFonts w:ascii="Baskerville Old Face" w:hAnsi="Baskerville Old Face"/>
          <w:i/>
          <w:iCs/>
          <w:lang w:val="it-IT"/>
        </w:rPr>
        <w:t>;</w:t>
      </w:r>
    </w:p>
    <w:p w14:paraId="124613B9"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API </w:t>
      </w:r>
      <w:proofErr w:type="spellStart"/>
      <w:r w:rsidRPr="005907F1">
        <w:rPr>
          <w:rFonts w:ascii="Baskerville Old Face" w:hAnsi="Baskerville Old Face"/>
          <w:i/>
          <w:iCs/>
          <w:lang w:val="it-IT"/>
        </w:rPr>
        <w:t>terms</w:t>
      </w:r>
      <w:proofErr w:type="spellEnd"/>
      <w:r w:rsidRPr="005907F1">
        <w:rPr>
          <w:rFonts w:ascii="Baskerville Old Face" w:hAnsi="Baskerville Old Face"/>
          <w:i/>
          <w:iCs/>
          <w:lang w:val="it-IT"/>
        </w:rPr>
        <w:t>;</w:t>
      </w:r>
    </w:p>
    <w:p w14:paraId="3E87C89B"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MRV data </w:t>
      </w:r>
      <w:proofErr w:type="spellStart"/>
      <w:r w:rsidRPr="005907F1">
        <w:rPr>
          <w:rFonts w:ascii="Baskerville Old Face" w:hAnsi="Baskerville Old Face"/>
          <w:i/>
          <w:iCs/>
          <w:lang w:val="it-IT"/>
        </w:rPr>
        <w:t>terms</w:t>
      </w:r>
      <w:proofErr w:type="spellEnd"/>
      <w:r w:rsidRPr="005907F1">
        <w:rPr>
          <w:rFonts w:ascii="Baskerville Old Face" w:hAnsi="Baskerville Old Face"/>
          <w:i/>
          <w:iCs/>
          <w:lang w:val="it-IT"/>
        </w:rPr>
        <w:t>;</w:t>
      </w:r>
    </w:p>
    <w:p w14:paraId="5DF4774F"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certification</w:t>
      </w:r>
      <w:proofErr w:type="spellEnd"/>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terms</w:t>
      </w:r>
      <w:proofErr w:type="spellEnd"/>
      <w:r w:rsidRPr="005907F1">
        <w:rPr>
          <w:rFonts w:ascii="Baskerville Old Face" w:hAnsi="Baskerville Old Face"/>
          <w:i/>
          <w:iCs/>
          <w:lang w:val="it-IT"/>
        </w:rPr>
        <w:t>;</w:t>
      </w:r>
    </w:p>
    <w:p w14:paraId="2778D9A2" w14:textId="77777777" w:rsidR="00062324" w:rsidRPr="005907F1" w:rsidRDefault="00062324" w:rsidP="00062324">
      <w:pPr>
        <w:spacing w:line="360" w:lineRule="auto"/>
        <w:rPr>
          <w:rFonts w:ascii="Baskerville Old Face" w:hAnsi="Baskerville Old Face"/>
          <w:i/>
          <w:iCs/>
          <w:lang w:val="it-IT"/>
        </w:rPr>
      </w:pPr>
      <w:r w:rsidRPr="005907F1">
        <w:rPr>
          <w:rFonts w:ascii="Baskerville Old Face" w:hAnsi="Baskerville Old Face"/>
          <w:i/>
          <w:iCs/>
          <w:lang w:val="it-IT"/>
        </w:rPr>
        <w:t xml:space="preserve">• </w:t>
      </w:r>
      <w:proofErr w:type="spellStart"/>
      <w:r w:rsidRPr="005907F1">
        <w:rPr>
          <w:rFonts w:ascii="Baskerville Old Face" w:hAnsi="Baskerville Old Face"/>
          <w:i/>
          <w:iCs/>
          <w:lang w:val="it-IT"/>
        </w:rPr>
        <w:t>define</w:t>
      </w:r>
      <w:proofErr w:type="spellEnd"/>
      <w:r w:rsidRPr="005907F1">
        <w:rPr>
          <w:rFonts w:ascii="Baskerville Old Face" w:hAnsi="Baskerville Old Face"/>
          <w:i/>
          <w:iCs/>
          <w:lang w:val="it-IT"/>
        </w:rPr>
        <w:t xml:space="preserve"> partner-use </w:t>
      </w:r>
      <w:proofErr w:type="spellStart"/>
      <w:r w:rsidRPr="005907F1">
        <w:rPr>
          <w:rFonts w:ascii="Baskerville Old Face" w:hAnsi="Baskerville Old Face"/>
          <w:i/>
          <w:iCs/>
          <w:lang w:val="it-IT"/>
        </w:rPr>
        <w:t>terms</w:t>
      </w:r>
      <w:proofErr w:type="spellEnd"/>
      <w:r w:rsidRPr="005907F1">
        <w:rPr>
          <w:rFonts w:ascii="Baskerville Old Face" w:hAnsi="Baskerville Old Face"/>
          <w:i/>
          <w:iCs/>
          <w:lang w:val="it-IT"/>
        </w:rPr>
        <w:t>;</w:t>
      </w:r>
    </w:p>
    <w:p w14:paraId="6220BDE5" w14:textId="15B52D69" w:rsidR="00062324" w:rsidRPr="00B479AE" w:rsidRDefault="00062324" w:rsidP="00062324">
      <w:pPr>
        <w:spacing w:line="360" w:lineRule="auto"/>
        <w:rPr>
          <w:rFonts w:ascii="Baskerville Old Face" w:hAnsi="Baskerville Old Face"/>
          <w:i/>
          <w:iCs/>
        </w:rPr>
      </w:pPr>
      <w:r w:rsidRPr="00B479AE">
        <w:rPr>
          <w:rFonts w:ascii="Baskerville Old Face" w:hAnsi="Baskerville Old Face"/>
          <w:i/>
          <w:iCs/>
        </w:rPr>
        <w:t>• define investor-data-room terms.</w:t>
      </w:r>
    </w:p>
    <w:p w14:paraId="268F97E9" w14:textId="77777777" w:rsidR="00B474A6" w:rsidRPr="00B479AE" w:rsidRDefault="00B474A6" w:rsidP="00B474A6">
      <w:pPr>
        <w:spacing w:line="360" w:lineRule="auto"/>
        <w:rPr>
          <w:rFonts w:ascii="Baskerville Old Face" w:hAnsi="Baskerville Old Face"/>
          <w:b/>
          <w:bCs/>
          <w:i/>
          <w:iCs/>
        </w:rPr>
      </w:pPr>
      <w:r w:rsidRPr="00B479AE">
        <w:rPr>
          <w:rFonts w:ascii="Baskerville Old Face" w:hAnsi="Baskerville Old Face"/>
          <w:b/>
          <w:bCs/>
          <w:i/>
          <w:iCs/>
        </w:rPr>
        <w:t>Phase 6 — Institutional Protection and Partnership Governance.</w:t>
      </w:r>
    </w:p>
    <w:p w14:paraId="6DC38D2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As Prometheus moves from canonical release to pilots, partnerships, data rooms, capital conversations, institutional circulation, and implementation alliances, it should establish institutional protection and partnership-governance safeguards.</w:t>
      </w:r>
    </w:p>
    <w:p w14:paraId="0209E96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This phase protects Prometheus when external actors begin to interact with the architecture.</w:t>
      </w:r>
    </w:p>
    <w:p w14:paraId="514BFA1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governs the relationship between the source layer and the institutional world.</w:t>
      </w:r>
    </w:p>
    <w:p w14:paraId="6AC6573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primarily about public identity.</w:t>
      </w:r>
    </w:p>
    <w:p w14:paraId="560CCA6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That function belongs to mark protection.</w:t>
      </w:r>
    </w:p>
    <w:p w14:paraId="43BE6B6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primarily about code, documentation, APIs, or contributor permissions.</w:t>
      </w:r>
    </w:p>
    <w:p w14:paraId="7B2A090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That function belongs to licensing and contributor infrastructure.</w:t>
      </w:r>
    </w:p>
    <w:p w14:paraId="16AA4D5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phase governs institutional use, partner access, data-room discipline, pilot participation, capital-facing conversations, methodology sharing, certification pathways, confidentiality, claim boundaries, and dispute pathways.</w:t>
      </w:r>
    </w:p>
    <w:p w14:paraId="1E666BD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As pilots, partners, and capital pathways mature, Prometheus should establish:</w:t>
      </w:r>
    </w:p>
    <w:p w14:paraId="5A449B8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data-room agreements;</w:t>
      </w:r>
    </w:p>
    <w:p w14:paraId="15107F1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confidentiality agreements;</w:t>
      </w:r>
    </w:p>
    <w:p w14:paraId="34E93DE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non-disclosure agreements where appropriate;</w:t>
      </w:r>
    </w:p>
    <w:p w14:paraId="72F95E0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partnership agreements;</w:t>
      </w:r>
    </w:p>
    <w:p w14:paraId="6398FD7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pilot participation agreements;</w:t>
      </w:r>
    </w:p>
    <w:p w14:paraId="7F40D70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MRV methodology-use agreements;</w:t>
      </w:r>
    </w:p>
    <w:p w14:paraId="75854F9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laboratory and auditor engagement terms;</w:t>
      </w:r>
    </w:p>
    <w:p w14:paraId="164AB15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research collaboration agreements;</w:t>
      </w:r>
    </w:p>
    <w:p w14:paraId="4A812E1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university or institutional partnership terms;</w:t>
      </w:r>
    </w:p>
    <w:p w14:paraId="58D2150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public-sector collaboration terms;</w:t>
      </w:r>
    </w:p>
    <w:p w14:paraId="0E7C896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investor data-room access terms;</w:t>
      </w:r>
    </w:p>
    <w:p w14:paraId="5AAF02B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investor disclaimers;</w:t>
      </w:r>
    </w:p>
    <w:p w14:paraId="0706F97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institutional presentation disclaimers;</w:t>
      </w:r>
    </w:p>
    <w:p w14:paraId="319D612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public-claim review procedures;</w:t>
      </w:r>
    </w:p>
    <w:p w14:paraId="7DA44EC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certification review procedures;</w:t>
      </w:r>
    </w:p>
    <w:p w14:paraId="237045E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methodology review procedures;</w:t>
      </w:r>
    </w:p>
    <w:p w14:paraId="2536553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audit and verification workflows;</w:t>
      </w:r>
    </w:p>
    <w:p w14:paraId="306FA52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adverse-event reporting procedures;</w:t>
      </w:r>
    </w:p>
    <w:p w14:paraId="461E926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correction and withdrawal procedures;</w:t>
      </w:r>
    </w:p>
    <w:p w14:paraId="1DE3EBE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misuse and misrepresentation response procedures;</w:t>
      </w:r>
    </w:p>
    <w:p w14:paraId="4BDD353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dispute-resolution clauses;</w:t>
      </w:r>
    </w:p>
    <w:p w14:paraId="004F38F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governing-law and jurisdictional clauses where appropriate;</w:t>
      </w:r>
    </w:p>
    <w:p w14:paraId="7A4998E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registry-governance procedures.</w:t>
      </w:r>
    </w:p>
    <w:p w14:paraId="747C883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purpose of this phase is to prevent Prometheus from being diluted, misrepresented, overclaimed, prematurely financialized, or institutionally captured during partnership formation.</w:t>
      </w:r>
    </w:p>
    <w:p w14:paraId="6882EFE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Institutional protection should preserve the distinction among:</w:t>
      </w:r>
    </w:p>
    <w:p w14:paraId="023AAB9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research access;</w:t>
      </w:r>
    </w:p>
    <w:p w14:paraId="1FD49F1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pilot participation;</w:t>
      </w:r>
    </w:p>
    <w:p w14:paraId="3AE6E3E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methodology review;</w:t>
      </w:r>
    </w:p>
    <w:p w14:paraId="46C31E5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MRV reporting;</w:t>
      </w:r>
    </w:p>
    <w:p w14:paraId="4670CE1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PRU value analysis;</w:t>
      </w:r>
    </w:p>
    <w:p w14:paraId="70A04A2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capital-readiness review;</w:t>
      </w:r>
    </w:p>
    <w:p w14:paraId="5049EB0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investor-review materials;</w:t>
      </w:r>
    </w:p>
    <w:p w14:paraId="3EC92C4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legally structured instruments;</w:t>
      </w:r>
    </w:p>
    <w:p w14:paraId="46B3778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public impact communication;</w:t>
      </w:r>
    </w:p>
    <w:p w14:paraId="6DFC6B0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certified or canonical use.</w:t>
      </w:r>
    </w:p>
    <w:p w14:paraId="07A3ADB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partner should receive broader authority than the agreement grants.</w:t>
      </w:r>
    </w:p>
    <w:p w14:paraId="2D4CE13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data-room access should imply investment entitlement.</w:t>
      </w:r>
    </w:p>
    <w:p w14:paraId="79698FC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pilot participation should imply certification.</w:t>
      </w:r>
    </w:p>
    <w:p w14:paraId="61BD2B4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research collaboration should imply PRU eligibility.</w:t>
      </w:r>
    </w:p>
    <w:p w14:paraId="3132B50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investor conversation should imply offering status.</w:t>
      </w:r>
    </w:p>
    <w:p w14:paraId="0157FD7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institutional presentation should imply endorsement unless expressly authorized.</w:t>
      </w:r>
    </w:p>
    <w:p w14:paraId="27A3F7A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methodology sharing should imply permission to create non-canonical forks, unreviewed claims, or unauthorized public certification.</w:t>
      </w:r>
    </w:p>
    <w:p w14:paraId="5861973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institutional rule is:</w:t>
      </w:r>
    </w:p>
    <w:p w14:paraId="32F214F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access is not authority;</w:t>
      </w:r>
    </w:p>
    <w:p w14:paraId="0C1C42D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partnership is not certification;</w:t>
      </w:r>
    </w:p>
    <w:p w14:paraId="333E1C6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review is not endorsement;</w:t>
      </w:r>
    </w:p>
    <w:p w14:paraId="70D3BE5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data-room visibility is not investment entitlement;</w:t>
      </w:r>
    </w:p>
    <w:p w14:paraId="063A925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pilot participation is not canonical status;</w:t>
      </w:r>
    </w:p>
    <w:p w14:paraId="100CA8A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institutional interest is not legal structuring.</w:t>
      </w:r>
    </w:p>
    <w:p w14:paraId="50AF36C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should also maintain a clear institutional claim-control process.</w:t>
      </w:r>
    </w:p>
    <w:p w14:paraId="6CD66DC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Before any partner, pilot, capital allocator, researcher, media actor, public institution, or technology provider uses Prometheus-related language externally, the relevant claim should be reviewed for:</w:t>
      </w:r>
    </w:p>
    <w:p w14:paraId="793D54A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source-layer fidelity;</w:t>
      </w:r>
    </w:p>
    <w:p w14:paraId="40E6BA2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evidence support;</w:t>
      </w:r>
    </w:p>
    <w:p w14:paraId="6E81533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methodology alignment;</w:t>
      </w:r>
    </w:p>
    <w:p w14:paraId="72637E3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legal boundary;</w:t>
      </w:r>
    </w:p>
    <w:p w14:paraId="6DEEC8C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public-claim admissibility;</w:t>
      </w:r>
    </w:p>
    <w:p w14:paraId="7C99FD7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investor-facing risk;</w:t>
      </w:r>
    </w:p>
    <w:p w14:paraId="3A9DC9D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no-double-counting risk;</w:t>
      </w:r>
    </w:p>
    <w:p w14:paraId="5254666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token-boundary risk;</w:t>
      </w:r>
    </w:p>
    <w:p w14:paraId="0AE9C44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certification-status accuracy;</w:t>
      </w:r>
    </w:p>
    <w:p w14:paraId="451BB47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registry-status accuracy;</w:t>
      </w:r>
    </w:p>
    <w:p w14:paraId="52E7A09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reputational risk;</w:t>
      </w:r>
    </w:p>
    <w:p w14:paraId="1B0956E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jurisdictional sensitivity.</w:t>
      </w:r>
    </w:p>
    <w:p w14:paraId="50582B7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phase is especially important because Prometheus is designed to become attractive to many actors at once: regenerative operators, capital allocators, researchers, public institutions, technology providers, communities, auditors, and future digital-instrument developers.</w:t>
      </w:r>
    </w:p>
    <w:p w14:paraId="618879F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Attraction creates adoption.</w:t>
      </w:r>
    </w:p>
    <w:p w14:paraId="4BBC4E6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Adoption creates interpretation risk.</w:t>
      </w:r>
    </w:p>
    <w:p w14:paraId="121986F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Interpretation risk creates the need for institutional discipline.</w:t>
      </w:r>
    </w:p>
    <w:p w14:paraId="785A68C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correct relationship is:</w:t>
      </w:r>
    </w:p>
    <w:p w14:paraId="3F7247A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xml:space="preserve">source layer </w:t>
      </w:r>
      <w:r w:rsidRPr="00B479AE">
        <w:rPr>
          <w:rFonts w:ascii="Times New Roman" w:hAnsi="Times New Roman" w:cs="Times New Roman"/>
          <w:i/>
          <w:iCs/>
        </w:rPr>
        <w:t>→</w:t>
      </w:r>
      <w:r w:rsidRPr="00B479AE">
        <w:rPr>
          <w:rFonts w:ascii="Baskerville Old Face" w:hAnsi="Baskerville Old Face"/>
          <w:i/>
          <w:iCs/>
        </w:rPr>
        <w:t xml:space="preserve"> permitted access </w:t>
      </w:r>
      <w:r w:rsidRPr="00B479AE">
        <w:rPr>
          <w:rFonts w:ascii="Times New Roman" w:hAnsi="Times New Roman" w:cs="Times New Roman"/>
          <w:i/>
          <w:iCs/>
        </w:rPr>
        <w:t>→</w:t>
      </w:r>
      <w:r w:rsidRPr="00B479AE">
        <w:rPr>
          <w:rFonts w:ascii="Baskerville Old Face" w:hAnsi="Baskerville Old Face"/>
          <w:i/>
          <w:iCs/>
        </w:rPr>
        <w:t xml:space="preserve"> defined use </w:t>
      </w:r>
      <w:r w:rsidRPr="00B479AE">
        <w:rPr>
          <w:rFonts w:ascii="Times New Roman" w:hAnsi="Times New Roman" w:cs="Times New Roman"/>
          <w:i/>
          <w:iCs/>
        </w:rPr>
        <w:t>→</w:t>
      </w:r>
      <w:r w:rsidRPr="00B479AE">
        <w:rPr>
          <w:rFonts w:ascii="Baskerville Old Face" w:hAnsi="Baskerville Old Face"/>
          <w:i/>
          <w:iCs/>
        </w:rPr>
        <w:t xml:space="preserve"> review pathway </w:t>
      </w:r>
      <w:r w:rsidRPr="00B479AE">
        <w:rPr>
          <w:rFonts w:ascii="Times New Roman" w:hAnsi="Times New Roman" w:cs="Times New Roman"/>
          <w:i/>
          <w:iCs/>
        </w:rPr>
        <w:t>→</w:t>
      </w:r>
      <w:r w:rsidRPr="00B479AE">
        <w:rPr>
          <w:rFonts w:ascii="Baskerville Old Face" w:hAnsi="Baskerville Old Face"/>
          <w:i/>
          <w:iCs/>
        </w:rPr>
        <w:t xml:space="preserve"> authorized claim </w:t>
      </w:r>
      <w:r w:rsidRPr="00B479AE">
        <w:rPr>
          <w:rFonts w:ascii="Times New Roman" w:hAnsi="Times New Roman" w:cs="Times New Roman"/>
          <w:i/>
          <w:iCs/>
        </w:rPr>
        <w:t>→</w:t>
      </w:r>
      <w:r w:rsidRPr="00B479AE">
        <w:rPr>
          <w:rFonts w:ascii="Baskerville Old Face" w:hAnsi="Baskerville Old Face"/>
          <w:i/>
          <w:iCs/>
        </w:rPr>
        <w:t xml:space="preserve"> registry status where applicable.</w:t>
      </w:r>
    </w:p>
    <w:p w14:paraId="1E329AE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Institutional partnership should strengthen Prometheus.</w:t>
      </w:r>
    </w:p>
    <w:p w14:paraId="166E026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should not create semantic drift.</w:t>
      </w:r>
    </w:p>
    <w:p w14:paraId="155E61B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should not create unauthorized claims.</w:t>
      </w:r>
    </w:p>
    <w:p w14:paraId="60D7637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should not bypass MRV.</w:t>
      </w:r>
    </w:p>
    <w:p w14:paraId="4210096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It should not bypass legal review.</w:t>
      </w:r>
    </w:p>
    <w:p w14:paraId="7C4666B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xml:space="preserve">It should not collapse PRU, RAP, TRBK, </w:t>
      </w:r>
      <w:proofErr w:type="spellStart"/>
      <w:r w:rsidRPr="00B479AE">
        <w:rPr>
          <w:rFonts w:ascii="Baskerville Old Face" w:hAnsi="Baskerville Old Face"/>
          <w:i/>
          <w:iCs/>
        </w:rPr>
        <w:t>HoloFuel</w:t>
      </w:r>
      <w:proofErr w:type="spellEnd"/>
      <w:r w:rsidRPr="00B479AE">
        <w:rPr>
          <w:rFonts w:ascii="Baskerville Old Face" w:hAnsi="Baskerville Old Face"/>
          <w:i/>
          <w:iCs/>
        </w:rPr>
        <w:t>, settlement rails, governance rights, land rights, investor rights, or compliant digital instruments into one undifferentiated narrative.</w:t>
      </w:r>
    </w:p>
    <w:p w14:paraId="33DFB60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Phase 6 therefore protects Prometheus at the point where the architecture meets institutions.</w:t>
      </w:r>
    </w:p>
    <w:p w14:paraId="2856F6E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ensures that external collaboration increases credibility rather than confusion.</w:t>
      </w:r>
    </w:p>
    <w:p w14:paraId="2B4A8C8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Prometheus to open doors without losing the keys to its own house.</w:t>
      </w:r>
    </w:p>
    <w:p w14:paraId="148A649E" w14:textId="77777777" w:rsidR="00B474A6" w:rsidRPr="00B479AE" w:rsidRDefault="00B474A6" w:rsidP="00B474A6">
      <w:pPr>
        <w:spacing w:line="360" w:lineRule="auto"/>
        <w:rPr>
          <w:rFonts w:ascii="Baskerville Old Face" w:hAnsi="Baskerville Old Face"/>
          <w:b/>
          <w:bCs/>
          <w:i/>
          <w:iCs/>
        </w:rPr>
      </w:pPr>
      <w:r w:rsidRPr="00B479AE">
        <w:rPr>
          <w:rFonts w:ascii="Baskerville Old Face" w:hAnsi="Baskerville Old Face"/>
          <w:b/>
          <w:bCs/>
          <w:i/>
          <w:iCs/>
        </w:rPr>
        <w:t>Phase 7 — International Survivability and Multi-Jurisdictional Continuity.</w:t>
      </w:r>
    </w:p>
    <w:p w14:paraId="1C42B08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As Prometheus expands across jurisdictions, languages, bioregions, institutions, repositories, legal systems, and implementation partners, it should develop an international survivability architecture.</w:t>
      </w:r>
    </w:p>
    <w:p w14:paraId="457B0E8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phase protects Prometheus from dependency on any single platform, country, legal regime, institutional partner, repository, domain, cloud provider, custodian, or communication channel.</w:t>
      </w:r>
    </w:p>
    <w:p w14:paraId="1CE9F31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primarily about partner agreements.</w:t>
      </w:r>
    </w:p>
    <w:p w14:paraId="561F983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That function belongs to institutional protection and partnership governance.</w:t>
      </w:r>
    </w:p>
    <w:p w14:paraId="151F4E2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primarily about public identity.</w:t>
      </w:r>
    </w:p>
    <w:p w14:paraId="6D06BFC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That function belongs to legal identity and mark protection.</w:t>
      </w:r>
    </w:p>
    <w:p w14:paraId="36F9292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primarily about code and contributor permissions.</w:t>
      </w:r>
    </w:p>
    <w:p w14:paraId="0FACF65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That function belongs to licensing and contributor infrastructure.</w:t>
      </w:r>
    </w:p>
    <w:p w14:paraId="797254E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phase governs long-term continuity across jurisdictions, mirrors, archives, custodians, official translations, legal appendices, public verification channels, and international deployment environments.</w:t>
      </w:r>
    </w:p>
    <w:p w14:paraId="322FBC5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As Prometheus scales globally, it should maintain:</w:t>
      </w:r>
    </w:p>
    <w:p w14:paraId="6C5A40A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mirrored repositories;</w:t>
      </w:r>
    </w:p>
    <w:p w14:paraId="5D6E629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domain references;</w:t>
      </w:r>
    </w:p>
    <w:p w14:paraId="6EC814B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alternative public mirrors;</w:t>
      </w:r>
    </w:p>
    <w:p w14:paraId="0CD07C1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offline continuity packages;</w:t>
      </w:r>
    </w:p>
    <w:p w14:paraId="35363C4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institutional deposits;</w:t>
      </w:r>
    </w:p>
    <w:p w14:paraId="7CB33E2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trusted-custodian archives;</w:t>
      </w:r>
    </w:p>
    <w:p w14:paraId="0364D15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cold-storage backups;</w:t>
      </w:r>
    </w:p>
    <w:p w14:paraId="4DBEADD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printed or notarized verification packets where appropriate;</w:t>
      </w:r>
    </w:p>
    <w:p w14:paraId="27212C9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jurisdiction-specific legal appendices where necessary;</w:t>
      </w:r>
    </w:p>
    <w:p w14:paraId="3EB94C6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multilingual official releases where appropriate;</w:t>
      </w:r>
    </w:p>
    <w:p w14:paraId="65B46B7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translation-control procedures;</w:t>
      </w:r>
    </w:p>
    <w:p w14:paraId="558CD8C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cross-jurisdictional trademark and service-mark strategy;</w:t>
      </w:r>
    </w:p>
    <w:p w14:paraId="17661F5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certification-mark or controlled-designation strategy where appropriate;</w:t>
      </w:r>
    </w:p>
    <w:p w14:paraId="43CE2C6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WIPO, Madrid System, UDRP, or equivalent pathways where applicable;</w:t>
      </w:r>
    </w:p>
    <w:p w14:paraId="5789F0F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key-rotation procedures;</w:t>
      </w:r>
    </w:p>
    <w:p w14:paraId="61EDF82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compromised-key notices;</w:t>
      </w:r>
    </w:p>
    <w:p w14:paraId="015550B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repository-compromise response procedures;</w:t>
      </w:r>
    </w:p>
    <w:p w14:paraId="4105B1C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domain-compromise response procedures;</w:t>
      </w:r>
    </w:p>
    <w:p w14:paraId="1281F57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non-canonical fork notices;</w:t>
      </w:r>
    </w:p>
    <w:p w14:paraId="1EB290D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misleading-use notices;</w:t>
      </w:r>
    </w:p>
    <w:p w14:paraId="436ACA2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fake-release response procedures;</w:t>
      </w:r>
    </w:p>
    <w:p w14:paraId="72D9989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impersonation and phishing response procedures;</w:t>
      </w:r>
    </w:p>
    <w:p w14:paraId="20C0176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 verification protocols for institutional users;</w:t>
      </w:r>
    </w:p>
    <w:p w14:paraId="044E7A9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 verification protocols for AI and agentic systems;</w:t>
      </w:r>
    </w:p>
    <w:p w14:paraId="51C2118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official registry snapshots;</w:t>
      </w:r>
    </w:p>
    <w:p w14:paraId="1D28437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machine-readable canonical metadata;</w:t>
      </w:r>
    </w:p>
    <w:p w14:paraId="2CB1D02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release-preservation procedures across time.</w:t>
      </w:r>
    </w:p>
    <w:p w14:paraId="3C8B356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purpose of this phase is to ensure that Prometheus remains verifiable even if one part of the ecosystem fails.</w:t>
      </w:r>
    </w:p>
    <w:p w14:paraId="438D2E2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repository may disappear.</w:t>
      </w:r>
    </w:p>
    <w:p w14:paraId="1A2F5CD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domain may expire.</w:t>
      </w:r>
    </w:p>
    <w:p w14:paraId="2608739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platform may change policy.</w:t>
      </w:r>
    </w:p>
    <w:p w14:paraId="2D46AA5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jurisdiction may become restrictive.</w:t>
      </w:r>
    </w:p>
    <w:p w14:paraId="0B01A09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custodian may become unavailable.</w:t>
      </w:r>
    </w:p>
    <w:p w14:paraId="587A007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partner may misrepresent the framework.</w:t>
      </w:r>
    </w:p>
    <w:p w14:paraId="5B71BA7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fork may imitate the language.</w:t>
      </w:r>
    </w:p>
    <w:p w14:paraId="350C29A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An AI system may generate convincing but non-canonical materials.</w:t>
      </w:r>
    </w:p>
    <w:p w14:paraId="2EA68FC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public mirror may be compromised.</w:t>
      </w:r>
    </w:p>
    <w:p w14:paraId="46E6DAA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key may need rotation.</w:t>
      </w:r>
    </w:p>
    <w:p w14:paraId="215E065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should remain verifiable under all of these conditions.</w:t>
      </w:r>
    </w:p>
    <w:p w14:paraId="2F2605C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international survivability rule is:</w:t>
      </w:r>
    </w:p>
    <w:p w14:paraId="60B7A84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single platform is the source layer;</w:t>
      </w:r>
    </w:p>
    <w:p w14:paraId="00BEE27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single repository is the canon;</w:t>
      </w:r>
    </w:p>
    <w:p w14:paraId="3601C33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single domain is the identity;</w:t>
      </w:r>
    </w:p>
    <w:p w14:paraId="7CAA2D3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single partner is the authority;</w:t>
      </w:r>
    </w:p>
    <w:p w14:paraId="2795199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single jurisdiction is the future;</w:t>
      </w:r>
    </w:p>
    <w:p w14:paraId="1E04109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no single AI model is the memory;</w:t>
      </w:r>
    </w:p>
    <w:p w14:paraId="1CFC92E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no single archive is the survival layer.</w:t>
      </w:r>
    </w:p>
    <w:p w14:paraId="209C3D9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Canonical continuity should be distributed across:</w:t>
      </w:r>
    </w:p>
    <w:p w14:paraId="24F2F6D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source-layer fidelity;</w:t>
      </w:r>
    </w:p>
    <w:p w14:paraId="17F43FB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cryptographic verification;</w:t>
      </w:r>
    </w:p>
    <w:p w14:paraId="103C3BE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 registry status;</w:t>
      </w:r>
    </w:p>
    <w:p w14:paraId="71D1BA4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repositories;</w:t>
      </w:r>
    </w:p>
    <w:p w14:paraId="15E4B8B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domains;</w:t>
      </w:r>
    </w:p>
    <w:p w14:paraId="029047A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offline continuity packages;</w:t>
      </w:r>
    </w:p>
    <w:p w14:paraId="7419004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institutional archives;</w:t>
      </w:r>
    </w:p>
    <w:p w14:paraId="7E2D336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trusted custodians;</w:t>
      </w:r>
    </w:p>
    <w:p w14:paraId="271A1EC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legal identity protection;</w:t>
      </w:r>
    </w:p>
    <w:p w14:paraId="301BBE3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translation control;</w:t>
      </w:r>
    </w:p>
    <w:p w14:paraId="335C27F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runtime coherence;</w:t>
      </w:r>
    </w:p>
    <w:p w14:paraId="71769B4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 verification procedures.</w:t>
      </w:r>
    </w:p>
    <w:p w14:paraId="6E2FDD7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International expansion should also preserve jurisdictional discipline.</w:t>
      </w:r>
    </w:p>
    <w:p w14:paraId="3D50F76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claim that is permissible in one jurisdiction may not be permissible in another.</w:t>
      </w:r>
    </w:p>
    <w:p w14:paraId="6630E38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mark that is registrable in one jurisdiction may be unavailable in another.</w:t>
      </w:r>
    </w:p>
    <w:p w14:paraId="7C96284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data practice that is acceptable in one jurisdiction may be restricted in another.</w:t>
      </w:r>
    </w:p>
    <w:p w14:paraId="279340D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token, note, fund interest, digital instrument, land right, revenue right, certification claim, or public statement may require different treatment across legal systems.</w:t>
      </w:r>
    </w:p>
    <w:p w14:paraId="572C7D3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Prometheus should therefore treat international deployment as a governed adaptation process, not as automatic replication.</w:t>
      </w:r>
    </w:p>
    <w:p w14:paraId="60CC3E0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operational rule is:</w:t>
      </w:r>
    </w:p>
    <w:p w14:paraId="16759D3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global reach requires local review;</w:t>
      </w:r>
    </w:p>
    <w:p w14:paraId="391C2F2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local deployment requires source-layer fidelity;</w:t>
      </w:r>
    </w:p>
    <w:p w14:paraId="094AAB0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source-layer fidelity requires canonical verification;</w:t>
      </w:r>
    </w:p>
    <w:p w14:paraId="1090625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canonical verification requires release integrity;</w:t>
      </w:r>
    </w:p>
    <w:p w14:paraId="0E1A91C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release integrity requires survivable records.</w:t>
      </w:r>
    </w:p>
    <w:p w14:paraId="2C57732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Official translations should follow the same principle.</w:t>
      </w:r>
    </w:p>
    <w:p w14:paraId="31E8B22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translation may improve access.</w:t>
      </w:r>
    </w:p>
    <w:p w14:paraId="47072AA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should not silently alter meaning.</w:t>
      </w:r>
    </w:p>
    <w:p w14:paraId="78FB3F9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Where official translations are produced, they should preserve:</w:t>
      </w:r>
    </w:p>
    <w:p w14:paraId="59C4AE7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canonical definitions;</w:t>
      </w:r>
    </w:p>
    <w:p w14:paraId="6967222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legal boundaries;</w:t>
      </w:r>
    </w:p>
    <w:p w14:paraId="349691E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PRU / RAP / MRV separation;</w:t>
      </w:r>
    </w:p>
    <w:p w14:paraId="0F68334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xml:space="preserve">• TRBK /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 settlement-rail separation;</w:t>
      </w:r>
    </w:p>
    <w:p w14:paraId="2B849F1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public-claim boundaries;</w:t>
      </w:r>
    </w:p>
    <w:p w14:paraId="19D6E1F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no-double-counting discipline;</w:t>
      </w:r>
    </w:p>
    <w:p w14:paraId="63A84AB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source-layer terms;</w:t>
      </w:r>
    </w:p>
    <w:p w14:paraId="4A4794A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fork-governance rules;</w:t>
      </w:r>
    </w:p>
    <w:p w14:paraId="371F287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institutional disclaimers;</w:t>
      </w:r>
    </w:p>
    <w:p w14:paraId="415FDD2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release metadata;</w:t>
      </w:r>
    </w:p>
    <w:p w14:paraId="15B41A6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version references.</w:t>
      </w:r>
    </w:p>
    <w:p w14:paraId="3965B73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If a translation creates ambiguity, the canonical source-language release should govern unless a formally reviewed multilingual release states otherwise.</w:t>
      </w:r>
    </w:p>
    <w:p w14:paraId="0E326BA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should also prepare for long-duration public verification.</w:t>
      </w:r>
    </w:p>
    <w:p w14:paraId="3F57F79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Future users should be able to answer:</w:t>
      </w:r>
    </w:p>
    <w:p w14:paraId="2CC288F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release is this?</w:t>
      </w:r>
    </w:p>
    <w:p w14:paraId="3E0C4FA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Who signed it?</w:t>
      </w:r>
    </w:p>
    <w:p w14:paraId="7958AC2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hash verifies it?</w:t>
      </w:r>
    </w:p>
    <w:p w14:paraId="59D1695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manifest describes it?</w:t>
      </w:r>
    </w:p>
    <w:p w14:paraId="51C36E0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public key verifies the signature?</w:t>
      </w:r>
    </w:p>
    <w:p w14:paraId="51619FB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repository mirrored it?</w:t>
      </w:r>
    </w:p>
    <w:p w14:paraId="29393C1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registry recognized it?</w:t>
      </w:r>
    </w:p>
    <w:p w14:paraId="13C448C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archive preserved it?</w:t>
      </w:r>
    </w:p>
    <w:p w14:paraId="6C28DA2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translation status applies?</w:t>
      </w:r>
    </w:p>
    <w:p w14:paraId="7644E3A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fork status applies?</w:t>
      </w:r>
    </w:p>
    <w:p w14:paraId="4BDF4CF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legal boundary applies?</w:t>
      </w:r>
    </w:p>
    <w:p w14:paraId="5098C04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Which runtime version corresponds to it?</w:t>
      </w:r>
    </w:p>
    <w:p w14:paraId="0F162DA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is the practical meaning of international survivability.</w:t>
      </w:r>
    </w:p>
    <w:p w14:paraId="60E1434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does not survive globally by becoming everywhere at once.</w:t>
      </w:r>
    </w:p>
    <w:p w14:paraId="3CDF6AD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survives by remaining verifiable wherever it appears.</w:t>
      </w:r>
    </w:p>
    <w:p w14:paraId="6213793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Phase 7 therefore protects Prometheus from platform dependency, jurisdictional fragility, archive loss, translation drift, fake releases, hostile forks, public confusion, and institutional capture across borders.</w:t>
      </w:r>
    </w:p>
    <w:p w14:paraId="201E70D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It allows Prometheus to internationalize without dissolving.</w:t>
      </w:r>
    </w:p>
    <w:p w14:paraId="4ADC194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Prometheus to replicate without losing lineage.</w:t>
      </w:r>
    </w:p>
    <w:p w14:paraId="78C3DBC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Prometheus to enter many legal and cultural environments without abandoning its source-layer discipline.</w:t>
      </w:r>
    </w:p>
    <w:p w14:paraId="0CD3CA6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final principle is:</w:t>
      </w:r>
    </w:p>
    <w:p w14:paraId="340861D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global Prometheus is not one copy everywhere;</w:t>
      </w:r>
    </w:p>
    <w:p w14:paraId="409DD36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global Prometheus is verifiable continuity across many contexts.</w:t>
      </w:r>
    </w:p>
    <w:p w14:paraId="62042128" w14:textId="77777777" w:rsidR="00B474A6" w:rsidRPr="00B479AE" w:rsidRDefault="00B474A6" w:rsidP="00B474A6">
      <w:pPr>
        <w:spacing w:line="360" w:lineRule="auto"/>
        <w:rPr>
          <w:rFonts w:ascii="Baskerville Old Face" w:hAnsi="Baskerville Old Face"/>
          <w:b/>
          <w:bCs/>
          <w:i/>
          <w:iCs/>
        </w:rPr>
      </w:pPr>
      <w:r w:rsidRPr="00B479AE">
        <w:rPr>
          <w:rFonts w:ascii="Baskerville Old Face" w:hAnsi="Baskerville Old Face"/>
          <w:b/>
          <w:bCs/>
          <w:i/>
          <w:iCs/>
        </w:rPr>
        <w:t>S.15 Legal Survival Architecture</w:t>
      </w:r>
    </w:p>
    <w:p w14:paraId="5378E3F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Global Legal Survival Architecture of Prometheus is the permanent legal, institutional, cryptographic, documentary, and operational structure through which Prometheus preserves identity, lineage, source-layer fidelity, public trust, and lawful use over time.</w:t>
      </w:r>
    </w:p>
    <w:p w14:paraId="5FCEF5F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a single legal filing.</w:t>
      </w:r>
    </w:p>
    <w:p w14:paraId="21BEE02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a single license.</w:t>
      </w:r>
    </w:p>
    <w:p w14:paraId="32A9B5F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a single repository.</w:t>
      </w:r>
    </w:p>
    <w:p w14:paraId="33B7C73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a single trademark.</w:t>
      </w:r>
    </w:p>
    <w:p w14:paraId="2C6238B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a single signature.</w:t>
      </w:r>
    </w:p>
    <w:p w14:paraId="4F266CA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not a single institution.</w:t>
      </w:r>
    </w:p>
    <w:p w14:paraId="1022B73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is a layered architecture.</w:t>
      </w:r>
    </w:p>
    <w:p w14:paraId="1EDB27C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Its purpose is to ensure that Prometheus can be authored, verified, published, implemented, licensed, protected, forked, translated, partnered, defended, and institutionalized without losing its canonical meaning.</w:t>
      </w:r>
    </w:p>
    <w:p w14:paraId="5890ACC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Legal Survival Architecture may include:</w:t>
      </w:r>
    </w:p>
    <w:p w14:paraId="4140C80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trademark and service-mark registrations;</w:t>
      </w:r>
    </w:p>
    <w:p w14:paraId="6D4577F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certification mark policies;</w:t>
      </w:r>
    </w:p>
    <w:p w14:paraId="1D1777D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controlled-designation policies;</w:t>
      </w:r>
    </w:p>
    <w:p w14:paraId="285DA04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mark-use rules;</w:t>
      </w:r>
    </w:p>
    <w:p w14:paraId="2ADA21C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domain and impersonation protection;</w:t>
      </w:r>
    </w:p>
    <w:p w14:paraId="0D4E974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copyright notices;</w:t>
      </w:r>
    </w:p>
    <w:p w14:paraId="1B0F2DC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authorship records;</w:t>
      </w:r>
    </w:p>
    <w:p w14:paraId="305D009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publication records;</w:t>
      </w:r>
    </w:p>
    <w:p w14:paraId="7AEC890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canonical release records;</w:t>
      </w:r>
    </w:p>
    <w:p w14:paraId="5F50D7A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SHA-256 checksum records;</w:t>
      </w:r>
    </w:p>
    <w:p w14:paraId="3B6D4DD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detached GPG signatures;</w:t>
      </w:r>
    </w:p>
    <w:p w14:paraId="6B4F67A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signed release manifests;</w:t>
      </w:r>
    </w:p>
    <w:p w14:paraId="6049316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public-key verification materials;</w:t>
      </w:r>
    </w:p>
    <w:p w14:paraId="72F87F3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constitutional rider licenses;</w:t>
      </w:r>
    </w:p>
    <w:p w14:paraId="4234B85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documentation licenses;</w:t>
      </w:r>
    </w:p>
    <w:p w14:paraId="7B91DD4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code licenses;</w:t>
      </w:r>
    </w:p>
    <w:p w14:paraId="25E261D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data licenses;</w:t>
      </w:r>
    </w:p>
    <w:p w14:paraId="78D0D49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methodology licenses;</w:t>
      </w:r>
    </w:p>
    <w:p w14:paraId="7E7984D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API terms;</w:t>
      </w:r>
    </w:p>
    <w:p w14:paraId="16EB1FF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contributor license agreements;</w:t>
      </w:r>
    </w:p>
    <w:p w14:paraId="55367FE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developer certificates of origin;</w:t>
      </w:r>
    </w:p>
    <w:p w14:paraId="26D4AE3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terms of use;</w:t>
      </w:r>
    </w:p>
    <w:p w14:paraId="482C0E6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participation agreements;</w:t>
      </w:r>
    </w:p>
    <w:p w14:paraId="5D32705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Access Covenant agreements;</w:t>
      </w:r>
    </w:p>
    <w:p w14:paraId="730DC14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data-processing agreements;</w:t>
      </w:r>
    </w:p>
    <w:p w14:paraId="71BBC52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confidentiality agreements;</w:t>
      </w:r>
    </w:p>
    <w:p w14:paraId="4B879B1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non-disclosure agreements where appropriate;</w:t>
      </w:r>
    </w:p>
    <w:p w14:paraId="2C56DD6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MRV methodology-use agreements;</w:t>
      </w:r>
    </w:p>
    <w:p w14:paraId="1B77F2B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certification terms;</w:t>
      </w:r>
    </w:p>
    <w:p w14:paraId="63A7F2F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data-room agreements;</w:t>
      </w:r>
    </w:p>
    <w:p w14:paraId="3D217B7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investor disclaimers;</w:t>
      </w:r>
    </w:p>
    <w:p w14:paraId="488AA73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institutional presentation disclaimers;</w:t>
      </w:r>
    </w:p>
    <w:p w14:paraId="0A3D2BF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partnership agreements;</w:t>
      </w:r>
    </w:p>
    <w:p w14:paraId="67CD684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pilot participation agreements;</w:t>
      </w:r>
    </w:p>
    <w:p w14:paraId="4E26E7D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research collaboration agreements;</w:t>
      </w:r>
    </w:p>
    <w:p w14:paraId="4599718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public-sector collaboration terms;</w:t>
      </w:r>
    </w:p>
    <w:p w14:paraId="2AA5585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laboratory and auditor engagement terms;</w:t>
      </w:r>
    </w:p>
    <w:p w14:paraId="243B6EC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fork-use notices;</w:t>
      </w:r>
    </w:p>
    <w:p w14:paraId="1714B7D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correction notices;</w:t>
      </w:r>
    </w:p>
    <w:p w14:paraId="10DD386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misleading-use notices;</w:t>
      </w:r>
    </w:p>
    <w:p w14:paraId="11CA837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non-canonical fork notices;</w:t>
      </w:r>
    </w:p>
    <w:p w14:paraId="21224C3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compromised-key notices;</w:t>
      </w:r>
    </w:p>
    <w:p w14:paraId="3BD2A79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repository-compromise procedures;</w:t>
      </w:r>
    </w:p>
    <w:p w14:paraId="1B74C60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domain-compromise procedures;</w:t>
      </w:r>
    </w:p>
    <w:p w14:paraId="69DE5A9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fake-release response procedures;</w:t>
      </w:r>
    </w:p>
    <w:p w14:paraId="1245BDA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 public canonical registry terms;</w:t>
      </w:r>
    </w:p>
    <w:p w14:paraId="18897A0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dispute-resolution clauses;</w:t>
      </w:r>
    </w:p>
    <w:p w14:paraId="6D1A0CA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governing-law and jurisdictional clauses where appropriate;</w:t>
      </w:r>
    </w:p>
    <w:p w14:paraId="1B64DE9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key-management policies;</w:t>
      </w:r>
    </w:p>
    <w:p w14:paraId="07BBA15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repository governance procedures;</w:t>
      </w:r>
    </w:p>
    <w:p w14:paraId="44287A3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runtime-coherence procedures;</w:t>
      </w:r>
    </w:p>
    <w:p w14:paraId="5FE4748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integration notes;</w:t>
      </w:r>
    </w:p>
    <w:p w14:paraId="5A56565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build and deployment runbooks;</w:t>
      </w:r>
    </w:p>
    <w:p w14:paraId="3D3C6EB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public verification rules;</w:t>
      </w:r>
    </w:p>
    <w:p w14:paraId="5270A4D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offline continuity package procedures;</w:t>
      </w:r>
    </w:p>
    <w:p w14:paraId="4670D30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institutional archive procedures;</w:t>
      </w:r>
    </w:p>
    <w:p w14:paraId="715D78B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trusted-custodian continuity procedures;</w:t>
      </w:r>
    </w:p>
    <w:p w14:paraId="29ED841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official translation-control procedures.</w:t>
      </w:r>
    </w:p>
    <w:p w14:paraId="17F0237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architecture is not intended to over-legalize Prometheus.</w:t>
      </w:r>
    </w:p>
    <w:p w14:paraId="728D7B4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xml:space="preserve">It is intended to preserve clarity as Prometheus moves from White Paper to canonical release, from canonical release to public verification, from public verification to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implementation, from implementation to pilot, from pilot to institutional partnership, and from institutional partnership to capital-readiness.</w:t>
      </w:r>
    </w:p>
    <w:p w14:paraId="38BF0D9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regenerative architecture without legal survival discipline can be copied, diluted, misrepresented, prematurely financialized, captured, or severed from its source-layer intent.</w:t>
      </w:r>
    </w:p>
    <w:p w14:paraId="147A0A2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should therefore treat legal survival as part of regenerative design.</w:t>
      </w:r>
    </w:p>
    <w:p w14:paraId="28E3D33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legal survival architecture should preserve five core separations.</w:t>
      </w:r>
    </w:p>
    <w:p w14:paraId="472A60B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First, it should preserve the separation between canonical meaning and implementation.</w:t>
      </w:r>
    </w:p>
    <w:p w14:paraId="3FCCF26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The source layer defines meaning.</w:t>
      </w:r>
    </w:p>
    <w:p w14:paraId="347BE31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Software implements functions.</w:t>
      </w:r>
    </w:p>
    <w:p w14:paraId="0FC3870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runtime may execute workflows.</w:t>
      </w:r>
    </w:p>
    <w:p w14:paraId="5B1FEEA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dashboard may display signals.</w:t>
      </w:r>
    </w:p>
    <w:p w14:paraId="731492E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repository may mirror artifacts.</w:t>
      </w:r>
    </w:p>
    <w:p w14:paraId="775588C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But none of these layers may rewrite the constitutional meaning of Prometheus without the appropriate canonical process.</w:t>
      </w:r>
    </w:p>
    <w:p w14:paraId="276C3B4B"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Second, it should preserve the separation between identity and use.</w:t>
      </w:r>
    </w:p>
    <w:p w14:paraId="7E2B645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Trademark, service-mark, domain, certification-mark, and controlled-designation rules protect public identity.</w:t>
      </w:r>
    </w:p>
    <w:p w14:paraId="61B645D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Licenses, contributor agreements, API terms, data terms, methodology terms, and partner agreements govern use.</w:t>
      </w:r>
    </w:p>
    <w:p w14:paraId="28A2EF5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party may be allowed to study, contribute to, or implement certain parts of Prometheus without being authorized to claim canonical status, certification, official endorsement, PRU readiness, MRV admissibility, or investor-facing authority.</w:t>
      </w:r>
    </w:p>
    <w:p w14:paraId="0DC50EC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Third, it should preserve the separation between evidence and rights.</w:t>
      </w:r>
    </w:p>
    <w:p w14:paraId="5BD50C9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MRV may produce evidence.</w:t>
      </w:r>
    </w:p>
    <w:p w14:paraId="1751A37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PRU analysis may interpret verified regenerative performance.</w:t>
      </w:r>
    </w:p>
    <w:p w14:paraId="31F93AE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RAP logic may support aggregation.</w:t>
      </w:r>
    </w:p>
    <w:p w14:paraId="4154FFD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Reports may support diligence.</w:t>
      </w:r>
    </w:p>
    <w:p w14:paraId="74E6B73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But rights arise only through valid legal instruments, enforceable structures, disclosure, jurisdiction-specific review, and applicable law.</w:t>
      </w:r>
    </w:p>
    <w:p w14:paraId="52106F7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Evidence may inform legal structuring.</w:t>
      </w:r>
    </w:p>
    <w:p w14:paraId="5B91B71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Evidence does not create rights by itself.</w:t>
      </w:r>
    </w:p>
    <w:p w14:paraId="002A05C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Fourth, it should preserve the separation between partnership and authority.</w:t>
      </w:r>
    </w:p>
    <w:p w14:paraId="672BCED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research partner is not automatically an official certifier.</w:t>
      </w:r>
    </w:p>
    <w:p w14:paraId="16AB3FD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pilot participant is not automatically a canonical implementation.</w:t>
      </w:r>
    </w:p>
    <w:p w14:paraId="42BCD74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data-room recipient is not automatically an investor.</w:t>
      </w:r>
    </w:p>
    <w:p w14:paraId="619B6CC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An institutional conversation is not automatically an endorsement.</w:t>
      </w:r>
    </w:p>
    <w:p w14:paraId="22A9BC2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GitHub contributor is not automatically a protocol steward.</w:t>
      </w:r>
    </w:p>
    <w:p w14:paraId="64A5040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service provider is not automatically a source-layer authority.</w:t>
      </w:r>
    </w:p>
    <w:p w14:paraId="2998802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Access must remain tied to defined use.</w:t>
      </w:r>
    </w:p>
    <w:p w14:paraId="5A78F21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Defined use must remain tied to review.</w:t>
      </w:r>
    </w:p>
    <w:p w14:paraId="6CEC56B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Review must remain tied to authorized claims.</w:t>
      </w:r>
    </w:p>
    <w:p w14:paraId="41C775B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Fifth, it should preserve the separation between replication and lineage.</w:t>
      </w:r>
    </w:p>
    <w:p w14:paraId="1BFB88A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may be copied, translated, implemented, studied, forked, summarized, or imitated.</w:t>
      </w:r>
    </w:p>
    <w:p w14:paraId="1BB7529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But similarity does not create canonical status.</w:t>
      </w:r>
    </w:p>
    <w:p w14:paraId="62E7C9A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Canonical status requires verifiable lineage, source-layer fidelity, cryptographic integrity, registry status, and custodial continuity.</w:t>
      </w:r>
    </w:p>
    <w:p w14:paraId="713046B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Legal Survival Architecture should therefore operate through the following permanent control layers:</w:t>
      </w:r>
    </w:p>
    <w:p w14:paraId="6414B629"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Identity Control.</w:t>
      </w:r>
    </w:p>
    <w:p w14:paraId="099D363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protects names, marks, domains, seals, badges, certification terms, controlled designations, and public-facing Prometheus identity.</w:t>
      </w:r>
    </w:p>
    <w:p w14:paraId="6F357DFF"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Use Control.</w:t>
      </w:r>
    </w:p>
    <w:p w14:paraId="722F8B4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governs licensing, contribution, reuse, APIs, datasets, methodologies, documentation, code, partner access, and implementation materials.</w:t>
      </w:r>
    </w:p>
    <w:p w14:paraId="2500304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Claim Control.</w:t>
      </w:r>
    </w:p>
    <w:p w14:paraId="1349519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governs public statements, investor-facing language, certification claims, PRU-related claims, MRV claims, RAP claims, compatible-fork claims, and canonical-status claims.</w:t>
      </w:r>
    </w:p>
    <w:p w14:paraId="7ECBC50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Evidence Control.</w:t>
      </w:r>
    </w:p>
    <w:p w14:paraId="6A51853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governs MRV data, provenance, no-double-counting, auditability, data-room integrity, methodology versioning, and review pathways.</w:t>
      </w:r>
    </w:p>
    <w:p w14:paraId="54705E5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Rights Control.</w:t>
      </w:r>
    </w:p>
    <w:p w14:paraId="75DFA41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governs whether any legal right, investor exposure, token right, revenue right, land right, fund interest, note, security, collateral recognition, guarantee, credit, offset, or compliant digital representation exists.</w:t>
      </w:r>
    </w:p>
    <w:p w14:paraId="1FA5FB1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Runtime Control.</w:t>
      </w:r>
    </w:p>
    <w:p w14:paraId="3D9D7B6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 xml:space="preserve">This layer governs repository alignment,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-compatible implementation notes,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behavior, bridge behavior, console behavior, evaluation stack behavior, operational runbooks, API boundaries,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boundaries, and source-layer non-</w:t>
      </w:r>
      <w:proofErr w:type="spellStart"/>
      <w:r w:rsidRPr="00B479AE">
        <w:rPr>
          <w:rFonts w:ascii="Baskerville Old Face" w:hAnsi="Baskerville Old Face"/>
          <w:i/>
          <w:iCs/>
        </w:rPr>
        <w:t>bypassability</w:t>
      </w:r>
      <w:proofErr w:type="spellEnd"/>
      <w:r w:rsidRPr="00B479AE">
        <w:rPr>
          <w:rFonts w:ascii="Baskerville Old Face" w:hAnsi="Baskerville Old Face"/>
          <w:i/>
          <w:iCs/>
        </w:rPr>
        <w:t>.</w:t>
      </w:r>
    </w:p>
    <w:p w14:paraId="5D93785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Continuity Control.</w:t>
      </w:r>
    </w:p>
    <w:p w14:paraId="7D7D0A6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governs hashes, signatures, manifests, official repositories, official domains, public keys, registry records, offline continuity packages, archives, custodians, key rotation, and compromised-key procedures.</w:t>
      </w:r>
    </w:p>
    <w:p w14:paraId="41051F5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Dispute Control.</w:t>
      </w:r>
    </w:p>
    <w:p w14:paraId="7C8FDAE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layer governs correction notices, misleading-use responses, certification revocation, fork disputes, domain disputes, mark disputes, data misuse claims, confidentiality breaches, investor-claim misrepresentation, and emergency remedies.</w:t>
      </w:r>
    </w:p>
    <w:p w14:paraId="35CE3773"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legal survival rule is:</w:t>
      </w:r>
    </w:p>
    <w:p w14:paraId="4331F4BE"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identity must be protected;</w:t>
      </w:r>
    </w:p>
    <w:p w14:paraId="6E86FF2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use must be permissioned;</w:t>
      </w:r>
    </w:p>
    <w:p w14:paraId="4BF85F9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claims must be reviewable;</w:t>
      </w:r>
    </w:p>
    <w:p w14:paraId="1278735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evidence must be traceable;</w:t>
      </w:r>
    </w:p>
    <w:p w14:paraId="31ED5C4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rights must be legally created;</w:t>
      </w:r>
    </w:p>
    <w:p w14:paraId="79FA8FF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runtime must remain aligned;</w:t>
      </w:r>
    </w:p>
    <w:p w14:paraId="1C721E6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lineage must be verifiable;</w:t>
      </w:r>
    </w:p>
    <w:p w14:paraId="6105DC7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continuity must survive platforms.</w:t>
      </w:r>
    </w:p>
    <w:p w14:paraId="38E89DA6"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This architecture allows Prometheus to remain open without becoming unprotected.</w:t>
      </w:r>
    </w:p>
    <w:p w14:paraId="4EF4B4E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collaboration without confusion.</w:t>
      </w:r>
    </w:p>
    <w:p w14:paraId="1CCD0CB0"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implementation without drift.</w:t>
      </w:r>
    </w:p>
    <w:p w14:paraId="016C7EB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international expansion without dilution.</w:t>
      </w:r>
    </w:p>
    <w:p w14:paraId="3A456CC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forks without false continuity.</w:t>
      </w:r>
    </w:p>
    <w:p w14:paraId="146BAAC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capital formation without premature financialization.</w:t>
      </w:r>
    </w:p>
    <w:p w14:paraId="01842D8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AI assistance without AI-generated authority.</w:t>
      </w:r>
    </w:p>
    <w:p w14:paraId="46D255BA"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It allows public visibility without losing canonical control.</w:t>
      </w:r>
    </w:p>
    <w:p w14:paraId="0E2F8C5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goal is not to freeze Prometheus.</w:t>
      </w:r>
    </w:p>
    <w:p w14:paraId="51272398"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goal is to let Prometheus evolve without losing itself.</w:t>
      </w:r>
    </w:p>
    <w:p w14:paraId="658D5715"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living system survives through adaptation.</w:t>
      </w:r>
    </w:p>
    <w:p w14:paraId="7A52AACD"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constitutional system survives through continuity.</w:t>
      </w:r>
    </w:p>
    <w:p w14:paraId="506F6312"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A legal architecture survives through clarity.</w:t>
      </w:r>
    </w:p>
    <w:p w14:paraId="5C389941"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requires all three.</w:t>
      </w:r>
    </w:p>
    <w:p w14:paraId="025C4C27"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The final principle is:</w:t>
      </w:r>
    </w:p>
    <w:p w14:paraId="29E2191C"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t>Prometheus legal survival is not defensive bureaucracy.</w:t>
      </w:r>
    </w:p>
    <w:p w14:paraId="61EA0FB4" w14:textId="77777777" w:rsidR="00B474A6" w:rsidRPr="00B479AE" w:rsidRDefault="00B474A6" w:rsidP="00B474A6">
      <w:pPr>
        <w:spacing w:line="360" w:lineRule="auto"/>
        <w:rPr>
          <w:rFonts w:ascii="Baskerville Old Face" w:hAnsi="Baskerville Old Face"/>
          <w:i/>
          <w:iCs/>
        </w:rPr>
      </w:pPr>
      <w:r w:rsidRPr="00B479AE">
        <w:rPr>
          <w:rFonts w:ascii="Baskerville Old Face" w:hAnsi="Baskerville Old Face"/>
          <w:i/>
          <w:iCs/>
        </w:rPr>
        <w:lastRenderedPageBreak/>
        <w:t>It is the governance architecture that allows regeneration to become visible, verifiable, implementable, investable, and globally replicable without being captured, diluted, or misrepresented.</w:t>
      </w:r>
    </w:p>
    <w:p w14:paraId="5257A020" w14:textId="77777777" w:rsidR="00A97DB8" w:rsidRPr="00B479AE" w:rsidRDefault="00A97DB8" w:rsidP="00A97DB8">
      <w:pPr>
        <w:spacing w:line="360" w:lineRule="auto"/>
        <w:rPr>
          <w:rFonts w:ascii="Baskerville Old Face" w:hAnsi="Baskerville Old Face"/>
          <w:b/>
          <w:bCs/>
          <w:i/>
          <w:iCs/>
        </w:rPr>
      </w:pPr>
      <w:r w:rsidRPr="00B479AE">
        <w:rPr>
          <w:rFonts w:ascii="Baskerville Old Face" w:hAnsi="Baskerville Old Face"/>
          <w:b/>
          <w:bCs/>
          <w:i/>
          <w:iCs/>
        </w:rPr>
        <w:t>S.16 Non-Capture Principle</w:t>
      </w:r>
    </w:p>
    <w:p w14:paraId="06A6D95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must protect itself not only from hostile outsiders, but also from internal drift, institutional capture, speculative pressure, platform dependency, semantic dilution, governance shortcuts, and premature simplification.</w:t>
      </w:r>
    </w:p>
    <w:p w14:paraId="49EBF5A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system designed to regenerate living systems can still be captured if the layers that protect meaning, evidence, rights, governance, implementation, and continuity are collapsed.</w:t>
      </w:r>
    </w:p>
    <w:p w14:paraId="7C3B0F5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Capture may occur through capital.</w:t>
      </w:r>
    </w:p>
    <w:p w14:paraId="00C814A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speculative token narratives.</w:t>
      </w:r>
    </w:p>
    <w:p w14:paraId="16CD56B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investor pressure.</w:t>
      </w:r>
    </w:p>
    <w:p w14:paraId="5E844A4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governance shortcuts.</w:t>
      </w:r>
    </w:p>
    <w:p w14:paraId="14215F3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AI authority drift.</w:t>
      </w:r>
    </w:p>
    <w:p w14:paraId="5F4DA62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dashboard authority confusion.</w:t>
      </w:r>
    </w:p>
    <w:p w14:paraId="40ED023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public-claim overreach.</w:t>
      </w:r>
    </w:p>
    <w:p w14:paraId="5F7AA0B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trademark misuse.</w:t>
      </w:r>
    </w:p>
    <w:p w14:paraId="7E756BA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methodology inflation.</w:t>
      </w:r>
    </w:p>
    <w:p w14:paraId="79B0665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fork confusion.</w:t>
      </w:r>
    </w:p>
    <w:p w14:paraId="7F54300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source-layer dilution.</w:t>
      </w:r>
    </w:p>
    <w:p w14:paraId="5BC3CE4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platform dependency.</w:t>
      </w:r>
    </w:p>
    <w:p w14:paraId="01CCF06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domain capture.</w:t>
      </w:r>
    </w:p>
    <w:p w14:paraId="2E306AC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repository compromise.</w:t>
      </w:r>
    </w:p>
    <w:p w14:paraId="127C29D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key compromise.</w:t>
      </w:r>
    </w:p>
    <w:p w14:paraId="405DB84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It may occur through institutional misrepresentation.</w:t>
      </w:r>
    </w:p>
    <w:p w14:paraId="66745FB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partner overreach.</w:t>
      </w:r>
    </w:p>
    <w:p w14:paraId="19884E4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occur through well-intentioned acceleration beyond evidentiary maturity.</w:t>
      </w:r>
    </w:p>
    <w:p w14:paraId="1D3034D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danger is not only malicious attack.</w:t>
      </w:r>
    </w:p>
    <w:p w14:paraId="5D66F7C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deeper danger is category collapse.</w:t>
      </w:r>
    </w:p>
    <w:p w14:paraId="523CCD4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Category collapse occurs when distinct layers of Prometheus are confused, merged, or used beyond their proper function.</w:t>
      </w:r>
    </w:p>
    <w:p w14:paraId="019B44C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For this reason, Prometheus must preserve the separation among:</w:t>
      </w:r>
    </w:p>
    <w:p w14:paraId="3CA9698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source layer;</w:t>
      </w:r>
    </w:p>
    <w:p w14:paraId="4A42D3A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canonical releases;</w:t>
      </w:r>
    </w:p>
    <w:p w14:paraId="00BDE6D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public mirrors;</w:t>
      </w:r>
    </w:p>
    <w:p w14:paraId="104E6D2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GitHub repositories;</w:t>
      </w:r>
    </w:p>
    <w:p w14:paraId="2BBF165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runtime;</w:t>
      </w:r>
    </w:p>
    <w:p w14:paraId="5CC9C9E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implementation;</w:t>
      </w:r>
    </w:p>
    <w:p w14:paraId="4453C2D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bridge layer;</w:t>
      </w:r>
    </w:p>
    <w:p w14:paraId="5C67073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console or interface layer;</w:t>
      </w:r>
    </w:p>
    <w:p w14:paraId="778C1FD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evaluation stack;</w:t>
      </w:r>
    </w:p>
    <w:p w14:paraId="55AE860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operations documentation;</w:t>
      </w:r>
    </w:p>
    <w:p w14:paraId="2358650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pilot handoff pack;</w:t>
      </w:r>
    </w:p>
    <w:p w14:paraId="1128970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MRV evidence;</w:t>
      </w:r>
    </w:p>
    <w:p w14:paraId="5D35FCE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PRU value analysis;</w:t>
      </w:r>
    </w:p>
    <w:p w14:paraId="7B34B15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PRU maturity classification;</w:t>
      </w:r>
    </w:p>
    <w:p w14:paraId="2F852F8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 RAP aggregation;</w:t>
      </w:r>
    </w:p>
    <w:p w14:paraId="237C1EF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TRBK governance or participation functions;</w:t>
      </w:r>
    </w:p>
    <w:p w14:paraId="6BBBA41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operational infrastructure;</w:t>
      </w:r>
    </w:p>
    <w:p w14:paraId="189219F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fiat, stablecoin, banking, or settlement rails;</w:t>
      </w:r>
    </w:p>
    <w:p w14:paraId="37F9C61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dashboards;</w:t>
      </w:r>
    </w:p>
    <w:p w14:paraId="0431E35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AI-assisted interpretation;</w:t>
      </w:r>
    </w:p>
    <w:p w14:paraId="08EA1DF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legal instruments;</w:t>
      </w:r>
    </w:p>
    <w:p w14:paraId="188BBB5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investor rights;</w:t>
      </w:r>
    </w:p>
    <w:p w14:paraId="439F883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land rights;</w:t>
      </w:r>
    </w:p>
    <w:p w14:paraId="5A39B75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revenue rights;</w:t>
      </w:r>
    </w:p>
    <w:p w14:paraId="733B6D2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certification claims;</w:t>
      </w:r>
    </w:p>
    <w:p w14:paraId="49D673B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public impact claims.</w:t>
      </w:r>
    </w:p>
    <w:p w14:paraId="4322F11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actor, investor, fork, AI system, repository, dashboard, token, foundation, company, partner, contributor, data-room recipient, public institution, certifier, auditor, platform, or implementation may override the source layer by popularity, capital, automation, narrative force, technical convenience, market demand, institutional prestige, or operational dependency.</w:t>
      </w:r>
    </w:p>
    <w:p w14:paraId="2E884B5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Authority must remain downstream from source-layer fidelity, governance process, evidence, legal structure, canonical verification, admissibility review, and permitted-use boundaries.</w:t>
      </w:r>
    </w:p>
    <w:p w14:paraId="3DBDFFE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non-capture principle is therefore:</w:t>
      </w:r>
    </w:p>
    <w:p w14:paraId="3D0DF69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capital may support regeneration;</w:t>
      </w:r>
    </w:p>
    <w:p w14:paraId="5BBAAE6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capital may not govern truth.</w:t>
      </w:r>
    </w:p>
    <w:p w14:paraId="23C1058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assist interpretation;</w:t>
      </w:r>
    </w:p>
    <w:p w14:paraId="3EFCCAC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not create authority.</w:t>
      </w:r>
    </w:p>
    <w:p w14:paraId="02FD095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Dashboards may display signals;</w:t>
      </w:r>
    </w:p>
    <w:p w14:paraId="405D2E6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dashboards may not authorize rights.</w:t>
      </w:r>
    </w:p>
    <w:p w14:paraId="51C9AAF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Tokens may represent defined functions or rights where legally structured;</w:t>
      </w:r>
    </w:p>
    <w:p w14:paraId="40B0A12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tokens may not create ecological value by themselves.</w:t>
      </w:r>
    </w:p>
    <w:p w14:paraId="5322D2F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Repositories may mirror releases;</w:t>
      </w:r>
    </w:p>
    <w:p w14:paraId="7A05503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repositories may not replace the source layer.</w:t>
      </w:r>
    </w:p>
    <w:p w14:paraId="38E2FDB6" w14:textId="77777777" w:rsidR="00A97DB8" w:rsidRPr="00B479AE" w:rsidRDefault="00A97DB8" w:rsidP="00A97DB8">
      <w:pPr>
        <w:spacing w:line="360" w:lineRule="auto"/>
        <w:rPr>
          <w:rFonts w:ascii="Baskerville Old Face" w:hAnsi="Baskerville Old Face"/>
          <w:i/>
          <w:iCs/>
        </w:rPr>
      </w:pP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runtime may execute workflows;</w:t>
      </w:r>
    </w:p>
    <w:p w14:paraId="772BFDB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runtime may not rewrite constitutional meaning.</w:t>
      </w:r>
    </w:p>
    <w:p w14:paraId="6DB1441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Forks may innovate;</w:t>
      </w:r>
    </w:p>
    <w:p w14:paraId="448D6AA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forks may not claim lineage without fidelity.</w:t>
      </w:r>
    </w:p>
    <w:p w14:paraId="0040D20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Partners may collaborate;</w:t>
      </w:r>
    </w:p>
    <w:p w14:paraId="51C6E03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partners may not expand their authority beyond defined agreements.</w:t>
      </w:r>
    </w:p>
    <w:p w14:paraId="559561B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validate specific processes;</w:t>
      </w:r>
    </w:p>
    <w:p w14:paraId="5ED3BF9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not absorb the whole meaning of Prometheus.</w:t>
      </w:r>
    </w:p>
    <w:p w14:paraId="7C69F09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Investors may allocate capital;</w:t>
      </w:r>
    </w:p>
    <w:p w14:paraId="073F26C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investors may not rewrite the constitutional purpose of the system.</w:t>
      </w:r>
    </w:p>
    <w:p w14:paraId="1CBE443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This principle is especially important because Prometheus is designed to become attractive.</w:t>
      </w:r>
    </w:p>
    <w:p w14:paraId="4A4C52E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it succeeds, it may attract capital, technology providers, public institutions, researchers, landowners, developers, communities, wellness operators, hospitality operators, token designers, auditors, certifiers, AI systems, and future digital-instrument developers.</w:t>
      </w:r>
    </w:p>
    <w:p w14:paraId="6D15BFC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Attraction creates scaling pressure.</w:t>
      </w:r>
    </w:p>
    <w:p w14:paraId="766B679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Scaling pressure creates simplification pressure.</w:t>
      </w:r>
    </w:p>
    <w:p w14:paraId="1173244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Simplification pressure creates semantic risk.</w:t>
      </w:r>
    </w:p>
    <w:p w14:paraId="0944098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Semantic risk creates capture risk.</w:t>
      </w:r>
    </w:p>
    <w:p w14:paraId="122DF69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system must therefore preserve a constitutional firewall between adoption and authority.</w:t>
      </w:r>
    </w:p>
    <w:p w14:paraId="085A502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Adoption does not create authority.</w:t>
      </w:r>
    </w:p>
    <w:p w14:paraId="0BC0E83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Usage does not create canonical status.</w:t>
      </w:r>
    </w:p>
    <w:p w14:paraId="0298705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Investment does not create governance supremacy.</w:t>
      </w:r>
    </w:p>
    <w:p w14:paraId="2D1AEA4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Technical implementation does not create constitutional meaning.</w:t>
      </w:r>
    </w:p>
    <w:p w14:paraId="7C9AD83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Token demand does not create ecological truth.</w:t>
      </w:r>
    </w:p>
    <w:p w14:paraId="5B64F9A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Market attention does not create admissibility.</w:t>
      </w:r>
    </w:p>
    <w:p w14:paraId="4BCAC03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Public visibility does not create legitimacy.</w:t>
      </w:r>
    </w:p>
    <w:p w14:paraId="3C3C75B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Institutional interest does not create endorsement.</w:t>
      </w:r>
    </w:p>
    <w:p w14:paraId="767DAE3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Data-room access does not create entitlement.</w:t>
      </w:r>
    </w:p>
    <w:p w14:paraId="4E9297E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Pilot participation does not create certification.</w:t>
      </w:r>
    </w:p>
    <w:p w14:paraId="68D9694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should resist financial capture.</w:t>
      </w:r>
    </w:p>
    <w:p w14:paraId="77A8C12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Financial capture occurs when regenerative performance becomes subordinated to short-term valuation narratives, speculative liquidity, excessive leverage, token appreciation, yield extraction, premature securitization, or capital pressure disconnected from evidence.</w:t>
      </w:r>
    </w:p>
    <w:p w14:paraId="2005DDE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financial boundary is:</w:t>
      </w:r>
    </w:p>
    <w:p w14:paraId="1C1E31A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evidence before value;</w:t>
      </w:r>
    </w:p>
    <w:p w14:paraId="4D635B2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admissibility before reporting;</w:t>
      </w:r>
    </w:p>
    <w:p w14:paraId="77AD140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legal structure before rights;</w:t>
      </w:r>
    </w:p>
    <w:p w14:paraId="45E62C1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rights before representation;</w:t>
      </w:r>
    </w:p>
    <w:p w14:paraId="2A36E07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regeneration before capital.</w:t>
      </w:r>
    </w:p>
    <w:p w14:paraId="164D710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should resist AI capture.</w:t>
      </w:r>
    </w:p>
    <w:p w14:paraId="33F6A7F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capture occurs when AI-generated outputs, summaries, recommendations, prompts, dashboards, agents, or autonomous workflows begin to function as authority without proper review.</w:t>
      </w:r>
    </w:p>
    <w:p w14:paraId="1896509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AI boundary is:</w:t>
      </w:r>
    </w:p>
    <w:p w14:paraId="599EDB5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help observe;</w:t>
      </w:r>
    </w:p>
    <w:p w14:paraId="3E50952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help interpret;</w:t>
      </w:r>
    </w:p>
    <w:p w14:paraId="3477EEF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help compare;</w:t>
      </w:r>
    </w:p>
    <w:p w14:paraId="78181B4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help draft;</w:t>
      </w:r>
    </w:p>
    <w:p w14:paraId="4FDA610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help detect anomalies;</w:t>
      </w:r>
    </w:p>
    <w:p w14:paraId="07CA4B3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AI may help route tasks;</w:t>
      </w:r>
    </w:p>
    <w:p w14:paraId="76B3B9B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AI may not independently authorize ecological claims, PRU value analysis, token issuance, investor-facing statements, legal rights, governance decisions, source-layer changes, certification claims, or canonical status.</w:t>
      </w:r>
    </w:p>
    <w:p w14:paraId="67E7B72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should resist governance capture.</w:t>
      </w:r>
    </w:p>
    <w:p w14:paraId="3F6A5D1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Governance capture occurs when voting power, contributor status, institutional influence, token access, capital contribution, social prestige, technical control, or operational dependency allows one group to distort the source-layer purpose.</w:t>
      </w:r>
    </w:p>
    <w:p w14:paraId="6E82E45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governance boundary is:</w:t>
      </w:r>
    </w:p>
    <w:p w14:paraId="2E7FEB4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participation may increase influence;</w:t>
      </w:r>
    </w:p>
    <w:p w14:paraId="7C70CEE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contribution may increase responsibility;</w:t>
      </w:r>
    </w:p>
    <w:p w14:paraId="0EBDD61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review may increase trust;</w:t>
      </w:r>
    </w:p>
    <w:p w14:paraId="23CB4BD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no governance mechanism may bypass foundational principles, human dignity, ecological evidence, legal boundaries, or source-layer continuity.</w:t>
      </w:r>
    </w:p>
    <w:p w14:paraId="4929008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Prometheus should resist platform capture.</w:t>
      </w:r>
    </w:p>
    <w:p w14:paraId="4506D05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Platform capture occurs when a single repository, cloud provider, domain, app store, AI model, social platform, payment rail, infrastructure provider, custodian, or jurisdiction becomes functionally indispensable to canonical continuity.</w:t>
      </w:r>
    </w:p>
    <w:p w14:paraId="3173F03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platform boundary is:</w:t>
      </w:r>
    </w:p>
    <w:p w14:paraId="47D2B6C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platforms may host;</w:t>
      </w:r>
    </w:p>
    <w:p w14:paraId="79BA0F5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platforms may mirror;</w:t>
      </w:r>
    </w:p>
    <w:p w14:paraId="71EB2E6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platforms may distribute;</w:t>
      </w:r>
    </w:p>
    <w:p w14:paraId="66612A3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platforms may compute;</w:t>
      </w:r>
    </w:p>
    <w:p w14:paraId="389D94B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platforms may not become the canon.</w:t>
      </w:r>
    </w:p>
    <w:p w14:paraId="105EF95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should resist semantic capture.</w:t>
      </w:r>
    </w:p>
    <w:p w14:paraId="268F3AD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Semantic capture occurs when language begins to move faster than evidence.</w:t>
      </w:r>
    </w:p>
    <w:p w14:paraId="5FD04C1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“regenerative” becomes branding.</w:t>
      </w:r>
    </w:p>
    <w:p w14:paraId="5503612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“PRU” becomes price.</w:t>
      </w:r>
    </w:p>
    <w:p w14:paraId="7DB3C0E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“maturity” becomes rating.</w:t>
      </w:r>
    </w:p>
    <w:p w14:paraId="73FB672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“dashboard” becomes authority.</w:t>
      </w:r>
    </w:p>
    <w:p w14:paraId="0EB1474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“token” becomes ownership.</w:t>
      </w:r>
    </w:p>
    <w:p w14:paraId="4207DE8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“partnership” becomes endorsement.</w:t>
      </w:r>
    </w:p>
    <w:p w14:paraId="42F0F7A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“pilot” becomes proof.</w:t>
      </w:r>
    </w:p>
    <w:p w14:paraId="315978E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“interest” becomes investment.</w:t>
      </w:r>
    </w:p>
    <w:p w14:paraId="507F97A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occurs when “potential” becomes value.</w:t>
      </w:r>
    </w:p>
    <w:p w14:paraId="49E9867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semantic boundary is:</w:t>
      </w:r>
    </w:p>
    <w:p w14:paraId="1ED8177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words must follow status;</w:t>
      </w:r>
    </w:p>
    <w:p w14:paraId="6308E55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status must follow evidence;</w:t>
      </w:r>
    </w:p>
    <w:p w14:paraId="6753A59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evidence must follow method;</w:t>
      </w:r>
    </w:p>
    <w:p w14:paraId="0F04109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method must follow review;</w:t>
      </w:r>
    </w:p>
    <w:p w14:paraId="29FCFA9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review must follow governance;</w:t>
      </w:r>
    </w:p>
    <w:p w14:paraId="69268A9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financial meaning must follow law.</w:t>
      </w:r>
    </w:p>
    <w:p w14:paraId="069F6F8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should resist institutional capture.</w:t>
      </w:r>
    </w:p>
    <w:p w14:paraId="2D85D85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Institutional capture occurs when a powerful partner, fund, foundation, public body, university, auditor, certifier, platform, or strategic counterparty attempts to define Prometheus in a way that weakens source-layer fidelity, narrows access, privatizes public meaning, or redirects the architecture toward its own institutional interests.</w:t>
      </w:r>
    </w:p>
    <w:p w14:paraId="02C8929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participate.</w:t>
      </w:r>
    </w:p>
    <w:p w14:paraId="63AB70C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support.</w:t>
      </w:r>
    </w:p>
    <w:p w14:paraId="43138E8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verify specific processes.</w:t>
      </w:r>
    </w:p>
    <w:p w14:paraId="604F3C3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fund pilots.</w:t>
      </w:r>
    </w:p>
    <w:p w14:paraId="5AC5D0C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host research.</w:t>
      </w:r>
    </w:p>
    <w:p w14:paraId="71E7A1C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Institutions may review claims.</w:t>
      </w:r>
    </w:p>
    <w:p w14:paraId="5E37668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no institution may become the sole owner of Prometheus meaning.</w:t>
      </w:r>
    </w:p>
    <w:p w14:paraId="0E652B4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source layer remains the constitutional reference.</w:t>
      </w:r>
    </w:p>
    <w:p w14:paraId="5A39FB4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canonical registry preserves lineage.</w:t>
      </w:r>
    </w:p>
    <w:p w14:paraId="7D6A1E1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legal survival architecture preserves enforceability.</w:t>
      </w:r>
    </w:p>
    <w:p w14:paraId="6B1090B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runtime coherence layer preserves implementation fidelity.</w:t>
      </w:r>
    </w:p>
    <w:p w14:paraId="758CF08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non-capture principle preserves purpose.</w:t>
      </w:r>
    </w:p>
    <w:p w14:paraId="3AF47DD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Prometheus should therefore maintain anti-capture safeguards across all protected domains.</w:t>
      </w:r>
    </w:p>
    <w:p w14:paraId="508C018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These safeguards may include:</w:t>
      </w:r>
    </w:p>
    <w:p w14:paraId="2624B91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source-layer supremacy;</w:t>
      </w:r>
    </w:p>
    <w:p w14:paraId="69DDA80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canonical release discipline;</w:t>
      </w:r>
    </w:p>
    <w:p w14:paraId="778329D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public verification;</w:t>
      </w:r>
    </w:p>
    <w:p w14:paraId="7DE92A7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fork-status classification;</w:t>
      </w:r>
    </w:p>
    <w:p w14:paraId="75101AA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mark-use control;</w:t>
      </w:r>
    </w:p>
    <w:p w14:paraId="05DC8F9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claim-control review;</w:t>
      </w:r>
    </w:p>
    <w:p w14:paraId="797DF3A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MRV admissibility rules;</w:t>
      </w:r>
    </w:p>
    <w:p w14:paraId="6FF9B01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legal-structure boundaries;</w:t>
      </w:r>
    </w:p>
    <w:p w14:paraId="58E5AC4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no-double-counting controls;</w:t>
      </w:r>
    </w:p>
    <w:p w14:paraId="7E0F5A7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AI authority boundaries;</w:t>
      </w:r>
    </w:p>
    <w:p w14:paraId="2E0D667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dashboard authority boundaries;</w:t>
      </w:r>
    </w:p>
    <w:p w14:paraId="531F91F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investor-disclosure boundaries;</w:t>
      </w:r>
    </w:p>
    <w:p w14:paraId="7D2F317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partner-agreement boundaries;</w:t>
      </w:r>
    </w:p>
    <w:p w14:paraId="168A0E7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governance review pathways;</w:t>
      </w:r>
    </w:p>
    <w:p w14:paraId="495A539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dispute-resolution mechanisms;</w:t>
      </w:r>
    </w:p>
    <w:p w14:paraId="29455F3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registry-based status verification;</w:t>
      </w:r>
    </w:p>
    <w:p w14:paraId="65634E0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offline continuity packages;</w:t>
      </w:r>
    </w:p>
    <w:p w14:paraId="2DB6069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repository and runtime coherence checks;</w:t>
      </w:r>
    </w:p>
    <w:p w14:paraId="3B28903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compromised-key response pathways;</w:t>
      </w:r>
    </w:p>
    <w:p w14:paraId="1E31B6B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fake-release response pathways;</w:t>
      </w:r>
    </w:p>
    <w:p w14:paraId="743B8CC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 public correction mechanisms.</w:t>
      </w:r>
    </w:p>
    <w:p w14:paraId="2B94A9A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operational rule is:</w:t>
      </w:r>
    </w:p>
    <w:p w14:paraId="013C385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acceleration without evidence;</w:t>
      </w:r>
    </w:p>
    <w:p w14:paraId="7E4B2E6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authority without review;</w:t>
      </w:r>
    </w:p>
    <w:p w14:paraId="254152A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rights without legal structure;</w:t>
      </w:r>
    </w:p>
    <w:p w14:paraId="560DDA6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claims without admissibility;</w:t>
      </w:r>
    </w:p>
    <w:p w14:paraId="6C81025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implementation without source-layer fidelity;</w:t>
      </w:r>
    </w:p>
    <w:p w14:paraId="2C441B7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partnership without defined boundaries;</w:t>
      </w:r>
    </w:p>
    <w:p w14:paraId="4BDED6A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fork without status clarity;</w:t>
      </w:r>
    </w:p>
    <w:p w14:paraId="3EDCF15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AI output without review where protected domains are involved;</w:t>
      </w:r>
    </w:p>
    <w:p w14:paraId="3D23BDC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 capital pathway without governance and legal discipline.</w:t>
      </w:r>
    </w:p>
    <w:p w14:paraId="1F3411A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This is not resistance to growth.</w:t>
      </w:r>
    </w:p>
    <w:p w14:paraId="2B94DF8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the condition for trustworthy growth.</w:t>
      </w:r>
    </w:p>
    <w:p w14:paraId="0950CF1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regenerative system must be capable of expansion without losing coherence.</w:t>
      </w:r>
    </w:p>
    <w:p w14:paraId="7C252E9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must be capable of attracting capital without becoming extractive.</w:t>
      </w:r>
    </w:p>
    <w:p w14:paraId="39787DF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must be capable of using AI without becoming automated authority.</w:t>
      </w:r>
    </w:p>
    <w:p w14:paraId="5E8642E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must be capable of accepting partners without being absorbed by them.</w:t>
      </w:r>
    </w:p>
    <w:p w14:paraId="5FC26D2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must be capable of being implemented without being diluted.</w:t>
      </w:r>
    </w:p>
    <w:p w14:paraId="40E1DF4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must be capable of being forked without confusing lineage.</w:t>
      </w:r>
    </w:p>
    <w:p w14:paraId="343ED75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final non-capture principle is:</w:t>
      </w:r>
    </w:p>
    <w:p w14:paraId="69D91CA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adopted by many actors;</w:t>
      </w:r>
    </w:p>
    <w:p w14:paraId="492DBF1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implemented through many tools;</w:t>
      </w:r>
    </w:p>
    <w:p w14:paraId="7B0794B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Prometheus may be studied by many institutions;</w:t>
      </w:r>
    </w:p>
    <w:p w14:paraId="6CE10A6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extended by many builders;</w:t>
      </w:r>
    </w:p>
    <w:p w14:paraId="10589D5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supported by many forms of capital;</w:t>
      </w:r>
    </w:p>
    <w:p w14:paraId="32989B3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Prometheus remains itself only while the source layer, evidence discipline, legal boundaries, runtime coherence, and verifiable lineage remain intact.</w:t>
      </w:r>
    </w:p>
    <w:p w14:paraId="36C6CF45" w14:textId="77777777" w:rsidR="00A97DB8" w:rsidRPr="00B479AE" w:rsidRDefault="00A97DB8" w:rsidP="00A97DB8">
      <w:pPr>
        <w:spacing w:line="360" w:lineRule="auto"/>
        <w:rPr>
          <w:rFonts w:ascii="Baskerville Old Face" w:hAnsi="Baskerville Old Face"/>
          <w:b/>
          <w:bCs/>
          <w:i/>
          <w:iCs/>
        </w:rPr>
      </w:pPr>
      <w:r w:rsidRPr="00B479AE">
        <w:rPr>
          <w:rFonts w:ascii="Baskerville Old Face" w:hAnsi="Baskerville Old Face"/>
          <w:b/>
          <w:bCs/>
          <w:i/>
          <w:iCs/>
        </w:rPr>
        <w:t>S.17 Canonical Protection Formula</w:t>
      </w:r>
    </w:p>
    <w:p w14:paraId="040A65C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Prometheus canonical protection formula may be expressed as:</w:t>
      </w:r>
    </w:p>
    <w:p w14:paraId="1DEF69B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Canonical Trust = Source-Layer Fidelity × Release Integrity × Cryptographic Verification × Registry Status × Runtime Coherence × Custodial Continuity × Legal Admissibility</w:t>
      </w:r>
    </w:p>
    <w:p w14:paraId="04B79D4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This formula is not a mathematical enforcement rule.</w:t>
      </w:r>
    </w:p>
    <w:p w14:paraId="131A443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a constitutional, institutional, technical, and legal discipline for preserving canonical trust.</w:t>
      </w:r>
    </w:p>
    <w:p w14:paraId="71B73F5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Where:</w:t>
      </w:r>
    </w:p>
    <w:p w14:paraId="1E055B7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Source-Layer Fidelity means preservation of constitutional meaning, core definitions, boundary rules, anti-bypass commitments, public-claim discipline, PRU / RAP / MRV separation, TRBK / </w:t>
      </w:r>
      <w:proofErr w:type="spellStart"/>
      <w:r w:rsidRPr="00B479AE">
        <w:rPr>
          <w:rFonts w:ascii="Baskerville Old Face" w:hAnsi="Baskerville Old Face"/>
          <w:i/>
          <w:iCs/>
        </w:rPr>
        <w:t>HoloFuel</w:t>
      </w:r>
      <w:proofErr w:type="spellEnd"/>
      <w:r w:rsidRPr="00B479AE">
        <w:rPr>
          <w:rFonts w:ascii="Baskerville Old Face" w:hAnsi="Baskerville Old Face"/>
          <w:i/>
          <w:iCs/>
        </w:rPr>
        <w:t xml:space="preserve"> / settlement-rail separation, and the foundational purpose of Prometheus.</w:t>
      </w:r>
    </w:p>
    <w:p w14:paraId="4E920DD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Release Integrity means that a document, file, codebase, dataset, methodology, dashboard, API, or implementation corresponds to an identified release, version, manifest, and release record.</w:t>
      </w:r>
    </w:p>
    <w:p w14:paraId="5429BA6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Cryptographic Verification means that hashes, signatures, manifests, public keys, checksum files, and verification procedures confirm identity, integrity, and attribution.</w:t>
      </w:r>
    </w:p>
    <w:p w14:paraId="5FE0342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Registry Status means that the release, implementation, fork, methodology, claim, certification, mark use, or public representation is identified in the official canonical registry or its recognized continuity records.</w:t>
      </w:r>
    </w:p>
    <w:p w14:paraId="373E250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Runtime Coherence means that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-compatible implementation,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behavior, bridge behavior, console behavior, evaluation-stack behavior, operational runbooks, API boundaries, </w:t>
      </w:r>
      <w:proofErr w:type="spellStart"/>
      <w:r w:rsidRPr="00B479AE">
        <w:rPr>
          <w:rFonts w:ascii="Baskerville Old Face" w:hAnsi="Baskerville Old Face"/>
          <w:i/>
          <w:iCs/>
        </w:rPr>
        <w:t>zome</w:t>
      </w:r>
      <w:proofErr w:type="spellEnd"/>
      <w:r w:rsidRPr="00B479AE">
        <w:rPr>
          <w:rFonts w:ascii="Baskerville Old Face" w:hAnsi="Baskerville Old Face"/>
          <w:i/>
          <w:iCs/>
        </w:rPr>
        <w:t xml:space="preserve"> boundaries, and deployment procedures remain aligned with the canonical source layer.</w:t>
      </w:r>
    </w:p>
    <w:p w14:paraId="6620058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Custodial Continuity means that official records, offline packages, trusted custodians, institutional deposits, archives, key-rotation records, compromised-key notices, and continuity procedures preserve the release lineage over time.</w:t>
      </w:r>
    </w:p>
    <w:p w14:paraId="75806FB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Legal Admissibility means that any public claim, investor-facing use, certification claim, PRU-related interpretation, digital representation, partnership use, data-room use, or capital-facing pathway remains within the applicable legal, contractual, disclosure, jurisdictional, and governance boundary.</w:t>
      </w:r>
    </w:p>
    <w:p w14:paraId="5B4ACCB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any factor is weak, canonical trust is weakened.</w:t>
      </w:r>
    </w:p>
    <w:p w14:paraId="5F9C97D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source-layer fidelity fails, similarity is insufficient.</w:t>
      </w:r>
    </w:p>
    <w:p w14:paraId="1579192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release integrity fails, the artifact is unstable.</w:t>
      </w:r>
    </w:p>
    <w:p w14:paraId="61C59F3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cryptographic verification fails, the artifact is not reliably attributable.</w:t>
      </w:r>
    </w:p>
    <w:p w14:paraId="7578E7F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registry status is missing, public users cannot verify status.</w:t>
      </w:r>
    </w:p>
    <w:p w14:paraId="3A683F1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runtime coherence fails, implementation drifts from meaning.</w:t>
      </w:r>
    </w:p>
    <w:p w14:paraId="4C49CE3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custodial continuity fails, long-term survival becomes fragile.</w:t>
      </w:r>
    </w:p>
    <w:p w14:paraId="4678106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legal admissibility fails, public or institutional use becomes unsafe.</w:t>
      </w:r>
    </w:p>
    <w:p w14:paraId="071A411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This formula clarifies that Prometheus canonical trust is not produced by visibility alone.</w:t>
      </w:r>
    </w:p>
    <w:p w14:paraId="154105D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produced by a GitHub repository alone.</w:t>
      </w:r>
    </w:p>
    <w:p w14:paraId="7A8A298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produced by a signature alone.</w:t>
      </w:r>
    </w:p>
    <w:p w14:paraId="2167F5C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produced by a domain alone.</w:t>
      </w:r>
    </w:p>
    <w:p w14:paraId="2C4C0BE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produced by popularity alone.</w:t>
      </w:r>
    </w:p>
    <w:p w14:paraId="7C70D95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produced by institutional adoption alone.</w:t>
      </w:r>
    </w:p>
    <w:p w14:paraId="104E71D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produced by technical deployment alone.</w:t>
      </w:r>
    </w:p>
    <w:p w14:paraId="2C72F8F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emerges from the convergence of meaning, release integrity, cryptographic proof, registry recognition, runtime fidelity, custodial continuity, and legal discipline.</w:t>
      </w:r>
    </w:p>
    <w:p w14:paraId="51C6C33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The canonical protection formula should guide all major Prometheus decisions involving:</w:t>
      </w:r>
    </w:p>
    <w:p w14:paraId="513D30B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public releases;</w:t>
      </w:r>
    </w:p>
    <w:p w14:paraId="3382946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GitHub publication;</w:t>
      </w:r>
    </w:p>
    <w:p w14:paraId="3383140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repository mirrors;</w:t>
      </w:r>
    </w:p>
    <w:p w14:paraId="46A4DCC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Holochain</w:t>
      </w:r>
      <w:proofErr w:type="spellEnd"/>
      <w:r w:rsidRPr="00B479AE">
        <w:rPr>
          <w:rFonts w:ascii="Baskerville Old Face" w:hAnsi="Baskerville Old Face"/>
          <w:i/>
          <w:iCs/>
        </w:rPr>
        <w:t>-compatible deployment;</w:t>
      </w:r>
    </w:p>
    <w:p w14:paraId="3DB6EF5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updates;</w:t>
      </w:r>
    </w:p>
    <w:p w14:paraId="2E090B7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bridge updates;</w:t>
      </w:r>
    </w:p>
    <w:p w14:paraId="2C0A924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console updates;</w:t>
      </w:r>
    </w:p>
    <w:p w14:paraId="2C9B704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evaluation-stack updates;</w:t>
      </w:r>
    </w:p>
    <w:p w14:paraId="622F71F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pilot handoff packages;</w:t>
      </w:r>
    </w:p>
    <w:p w14:paraId="5133FB9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public claims;</w:t>
      </w:r>
    </w:p>
    <w:p w14:paraId="5247375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certification claims;</w:t>
      </w:r>
    </w:p>
    <w:p w14:paraId="112368B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investor-facing materials;</w:t>
      </w:r>
    </w:p>
    <w:p w14:paraId="1673FE7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legal wrappers;</w:t>
      </w:r>
    </w:p>
    <w:p w14:paraId="7AF686A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fork recognition;</w:t>
      </w:r>
    </w:p>
    <w:p w14:paraId="5E98A9E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translation status;</w:t>
      </w:r>
    </w:p>
    <w:p w14:paraId="21BBF3A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AI-generated materials;</w:t>
      </w:r>
    </w:p>
    <w:p w14:paraId="427EAEC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institutional partnerships;</w:t>
      </w:r>
    </w:p>
    <w:p w14:paraId="1104A83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data-room access;</w:t>
      </w:r>
    </w:p>
    <w:p w14:paraId="7AB72E1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capital-readiness materials.</w:t>
      </w:r>
    </w:p>
    <w:p w14:paraId="606FDA7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formula also creates a practical audit test.</w:t>
      </w:r>
    </w:p>
    <w:p w14:paraId="3E1D8E7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For any Prometheus artifact, reviewer, builder, partner, investor, AI agent, auditor, or institutional user should be able to ask:</w:t>
      </w:r>
    </w:p>
    <w:p w14:paraId="0EEED5F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Does this preserve the source layer?</w:t>
      </w:r>
    </w:p>
    <w:p w14:paraId="7B92B4F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Does this correspond to an identified release?</w:t>
      </w:r>
    </w:p>
    <w:p w14:paraId="4636A62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Can this file or claim be cryptographically verified?</w:t>
      </w:r>
    </w:p>
    <w:p w14:paraId="3991086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Is its status recorded in the canonical registry?</w:t>
      </w:r>
    </w:p>
    <w:p w14:paraId="0BFC0FE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Does the runtime behavior match the canonical meaning?</w:t>
      </w:r>
    </w:p>
    <w:p w14:paraId="5FFB5C3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Is the release preserved through trusted continuity records?</w:t>
      </w:r>
    </w:p>
    <w:p w14:paraId="490CE25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Is the intended use legally and contractually admissible?</w:t>
      </w:r>
    </w:p>
    <w:p w14:paraId="0E5457A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If the answer to any of these questions is uncertain, the artifact, claim, implementation, fork, report, or pathway should remain under review.</w:t>
      </w:r>
    </w:p>
    <w:p w14:paraId="54B3B46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Canonical trust should not be assumed.</w:t>
      </w:r>
    </w:p>
    <w:p w14:paraId="0D1BB9B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should be demonstrated.</w:t>
      </w:r>
    </w:p>
    <w:p w14:paraId="7BB172F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expanded formula may also be expressed operationally as:</w:t>
      </w:r>
    </w:p>
    <w:p w14:paraId="6193FF0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Canonical Trust = Meaning × Integrity × Verification × Registry × Runtime × Continuity × Admissibility</w:t>
      </w:r>
    </w:p>
    <w:p w14:paraId="05ABFAF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This protects Prometheus from seven failure modes:</w:t>
      </w:r>
    </w:p>
    <w:p w14:paraId="31C8023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meaning drift;</w:t>
      </w:r>
    </w:p>
    <w:p w14:paraId="6109D71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file alteration;</w:t>
      </w:r>
    </w:p>
    <w:p w14:paraId="518C6DE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false attribution;</w:t>
      </w:r>
    </w:p>
    <w:p w14:paraId="1361491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fake canonical status;</w:t>
      </w:r>
    </w:p>
    <w:p w14:paraId="163E52E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implementation drift;</w:t>
      </w:r>
    </w:p>
    <w:p w14:paraId="6FFEFCF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archive fragility;</w:t>
      </w:r>
    </w:p>
    <w:p w14:paraId="243BB7D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legal overreach.</w:t>
      </w:r>
    </w:p>
    <w:p w14:paraId="2209B09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formula is deliberately multiplicative.</w:t>
      </w:r>
    </w:p>
    <w:p w14:paraId="68C77A3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high score in one dimension cannot fully compensate for collapse in another.</w:t>
      </w:r>
    </w:p>
    <w:p w14:paraId="47A9BF5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famous repository cannot compensate for source-layer drift.</w:t>
      </w:r>
    </w:p>
    <w:p w14:paraId="561E617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valid signature cannot compensate for an overclaiming investor document.</w:t>
      </w:r>
    </w:p>
    <w:p w14:paraId="668F066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strong legal wrapper cannot compensate for weak MRV evidence.</w:t>
      </w:r>
    </w:p>
    <w:p w14:paraId="17F558E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A technically functional </w:t>
      </w:r>
      <w:proofErr w:type="spellStart"/>
      <w:r w:rsidRPr="00B479AE">
        <w:rPr>
          <w:rFonts w:ascii="Baskerville Old Face" w:hAnsi="Baskerville Old Face"/>
          <w:i/>
          <w:iCs/>
        </w:rPr>
        <w:t>hApp</w:t>
      </w:r>
      <w:proofErr w:type="spellEnd"/>
      <w:r w:rsidRPr="00B479AE">
        <w:rPr>
          <w:rFonts w:ascii="Baskerville Old Face" w:hAnsi="Baskerville Old Face"/>
          <w:i/>
          <w:iCs/>
        </w:rPr>
        <w:t xml:space="preserve"> cannot compensate for constitutional mismatch.</w:t>
      </w:r>
    </w:p>
    <w:p w14:paraId="3A60C50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beautiful public narrative cannot compensate for missing verification.</w:t>
      </w:r>
    </w:p>
    <w:p w14:paraId="2D7363F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canonical trust is therefore systemic.</w:t>
      </w:r>
    </w:p>
    <w:p w14:paraId="3ECF3DC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a brand claim.</w:t>
      </w:r>
    </w:p>
    <w:p w14:paraId="2F81812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a technical label.</w:t>
      </w:r>
    </w:p>
    <w:p w14:paraId="1643FC0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not a marketing designation.</w:t>
      </w:r>
    </w:p>
    <w:p w14:paraId="49274F2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is a living continuity condition.</w:t>
      </w:r>
    </w:p>
    <w:p w14:paraId="0413C1F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operational rule is:</w:t>
      </w:r>
    </w:p>
    <w:p w14:paraId="0504E8D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meaning must remain faithful;</w:t>
      </w:r>
    </w:p>
    <w:p w14:paraId="2864435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files must remain verifiable;</w:t>
      </w:r>
    </w:p>
    <w:p w14:paraId="29790B6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claims must remain bounded;</w:t>
      </w:r>
    </w:p>
    <w:p w14:paraId="23B7F06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runtime must remain coherent;</w:t>
      </w:r>
    </w:p>
    <w:p w14:paraId="628E3B7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rights must remain legally structured;</w:t>
      </w:r>
    </w:p>
    <w:p w14:paraId="058B355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records must remain survivable;</w:t>
      </w:r>
    </w:p>
    <w:p w14:paraId="488A3BE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lineage must remain checkable.</w:t>
      </w:r>
    </w:p>
    <w:p w14:paraId="7A28B29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This formula allows Prometheus to evolve without dissolving.</w:t>
      </w:r>
    </w:p>
    <w:p w14:paraId="0658CC2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It allows new releases without losing old lineage.</w:t>
      </w:r>
    </w:p>
    <w:p w14:paraId="179D117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allows forks without false continuity.</w:t>
      </w:r>
    </w:p>
    <w:p w14:paraId="7FB3000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allows implementation without semantic drift.</w:t>
      </w:r>
    </w:p>
    <w:p w14:paraId="11140C0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allows institutional adoption without capture.</w:t>
      </w:r>
    </w:p>
    <w:p w14:paraId="491EC83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allows AI assistance without invented authority.</w:t>
      </w:r>
    </w:p>
    <w:p w14:paraId="3CF3544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allows global expansion without losing the source.</w:t>
      </w:r>
    </w:p>
    <w:p w14:paraId="6B2C475B" w14:textId="77777777" w:rsidR="00A97DB8" w:rsidRPr="00B479AE" w:rsidRDefault="00A97DB8" w:rsidP="00A97DB8">
      <w:pPr>
        <w:spacing w:line="360" w:lineRule="auto"/>
        <w:rPr>
          <w:rFonts w:ascii="Baskerville Old Face" w:hAnsi="Baskerville Old Face"/>
          <w:b/>
          <w:bCs/>
          <w:i/>
          <w:iCs/>
        </w:rPr>
      </w:pPr>
      <w:r w:rsidRPr="00B479AE">
        <w:rPr>
          <w:rFonts w:ascii="Baskerville Old Face" w:hAnsi="Baskerville Old Face"/>
          <w:b/>
          <w:bCs/>
          <w:i/>
          <w:iCs/>
        </w:rPr>
        <w:t>S.18 Final Protection Principle</w:t>
      </w:r>
    </w:p>
    <w:p w14:paraId="1CBA5B7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does not survive by preventing all forks.</w:t>
      </w:r>
    </w:p>
    <w:p w14:paraId="3453527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survives by making lineage verifiable.</w:t>
      </w:r>
    </w:p>
    <w:p w14:paraId="7B8FC3E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does not survive by controlling every implementation.</w:t>
      </w:r>
    </w:p>
    <w:p w14:paraId="555C180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survives by preserving the distinction between canonical, compatible, independent, under review, restricted, non-admissible, quarantined, revoked, misleading, and hostile use.</w:t>
      </w:r>
    </w:p>
    <w:p w14:paraId="49121ED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does not survive by depending on a single website, repository, company, platform, token, AI model, custodian, institution, jurisdiction, cloud provider, domain, or public narrative.</w:t>
      </w:r>
    </w:p>
    <w:p w14:paraId="5736836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survives through source-layer fidelity, signed releases, cryptographic verification, registry continuity, runtime coherence, legal discipline, offline resilience, distributed custodianship, institutional boundaries, and long-duration stewardship.</w:t>
      </w:r>
    </w:p>
    <w:p w14:paraId="615B3FE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spread through many forms.</w:t>
      </w:r>
    </w:p>
    <w:p w14:paraId="04AFAA6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White Paper.</w:t>
      </w:r>
    </w:p>
    <w:p w14:paraId="62292CA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repository.</w:t>
      </w:r>
    </w:p>
    <w:p w14:paraId="60A3BAF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It may appear as a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-compatible </w:t>
      </w:r>
      <w:proofErr w:type="spellStart"/>
      <w:r w:rsidRPr="00B479AE">
        <w:rPr>
          <w:rFonts w:ascii="Baskerville Old Face" w:hAnsi="Baskerville Old Face"/>
          <w:i/>
          <w:iCs/>
        </w:rPr>
        <w:t>hApp</w:t>
      </w:r>
      <w:proofErr w:type="spellEnd"/>
      <w:r w:rsidRPr="00B479AE">
        <w:rPr>
          <w:rFonts w:ascii="Baskerville Old Face" w:hAnsi="Baskerville Old Face"/>
          <w:i/>
          <w:iCs/>
        </w:rPr>
        <w:t>.</w:t>
      </w:r>
    </w:p>
    <w:p w14:paraId="044898E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dashboard.</w:t>
      </w:r>
    </w:p>
    <w:p w14:paraId="701FBE5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methodology.</w:t>
      </w:r>
    </w:p>
    <w:p w14:paraId="0CD5442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It may appear as a pilot.</w:t>
      </w:r>
    </w:p>
    <w:p w14:paraId="6CA4697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an OHE.</w:t>
      </w:r>
    </w:p>
    <w:p w14:paraId="7A6E667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MRV documentation.</w:t>
      </w:r>
    </w:p>
    <w:p w14:paraId="785D256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PRU value analysis.</w:t>
      </w:r>
    </w:p>
    <w:p w14:paraId="2871330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Regenerative Asset Pool.</w:t>
      </w:r>
    </w:p>
    <w:p w14:paraId="19BFF74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legal wrapper.</w:t>
      </w:r>
    </w:p>
    <w:p w14:paraId="747D2C5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data room.</w:t>
      </w:r>
    </w:p>
    <w:p w14:paraId="0119DFA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partner implementation.</w:t>
      </w:r>
    </w:p>
    <w:p w14:paraId="58A563A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public registry.</w:t>
      </w:r>
    </w:p>
    <w:p w14:paraId="5BEDE08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may appear as a future compliant institutional or digital representation.</w:t>
      </w:r>
    </w:p>
    <w:p w14:paraId="4FCB89F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Prometheus remains Prometheus only when the lineage remains verifiable and the source-layer meaning remains intact.</w:t>
      </w:r>
    </w:p>
    <w:p w14:paraId="4E778F6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fork may copy the form of Prometheus.</w:t>
      </w:r>
    </w:p>
    <w:p w14:paraId="5BC6679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fidelity to the source layer preserves the lineage of Prometheus.</w:t>
      </w:r>
    </w:p>
    <w:p w14:paraId="65811CF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model may imitate the language of Prometheus.</w:t>
      </w:r>
    </w:p>
    <w:p w14:paraId="25420FE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verified release history preserves authority.</w:t>
      </w:r>
    </w:p>
    <w:p w14:paraId="726892F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partner may use Prometheus concepts.</w:t>
      </w:r>
    </w:p>
    <w:p w14:paraId="30D9FDB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defined agreements preserve permitted use.</w:t>
      </w:r>
    </w:p>
    <w:p w14:paraId="35E7517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repository may host Prometheus files.</w:t>
      </w:r>
    </w:p>
    <w:p w14:paraId="062DF37E"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cryptographic verification preserves integrity.</w:t>
      </w:r>
    </w:p>
    <w:p w14:paraId="2BE2DC6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 runtime may execute Prometheus workflows.</w:t>
      </w:r>
    </w:p>
    <w:p w14:paraId="392E14A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source-layer coherence preserves meaning.</w:t>
      </w:r>
    </w:p>
    <w:p w14:paraId="37DB8EE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A token may represent a defined instrument where legally structured.</w:t>
      </w:r>
    </w:p>
    <w:p w14:paraId="7D06294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the underlying legal right defines the representation.</w:t>
      </w:r>
    </w:p>
    <w:p w14:paraId="70698DA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An investor may review Prometheus materials.</w:t>
      </w:r>
    </w:p>
    <w:p w14:paraId="1C6D622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legal structure creates investor rights.</w:t>
      </w:r>
    </w:p>
    <w:p w14:paraId="2B5AEAC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An AI system may assist interpretation.</w:t>
      </w:r>
    </w:p>
    <w:p w14:paraId="59ECA24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Only review, evidence, governance, and law create authority.</w:t>
      </w:r>
    </w:p>
    <w:p w14:paraId="6619CE5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final protection principle is therefore:</w:t>
      </w:r>
    </w:p>
    <w:p w14:paraId="070EA07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open;</w:t>
      </w:r>
    </w:p>
    <w:p w14:paraId="572E2D6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openness must not mean confusion.</w:t>
      </w:r>
    </w:p>
    <w:p w14:paraId="218F8E4C"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Prometheus may be </w:t>
      </w:r>
      <w:proofErr w:type="spellStart"/>
      <w:r w:rsidRPr="00B479AE">
        <w:rPr>
          <w:rFonts w:ascii="Baskerville Old Face" w:hAnsi="Baskerville Old Face"/>
          <w:i/>
          <w:iCs/>
        </w:rPr>
        <w:t>forkable</w:t>
      </w:r>
      <w:proofErr w:type="spellEnd"/>
      <w:r w:rsidRPr="00B479AE">
        <w:rPr>
          <w:rFonts w:ascii="Baskerville Old Face" w:hAnsi="Baskerville Old Face"/>
          <w:i/>
          <w:iCs/>
        </w:rPr>
        <w:t>;</w:t>
      </w:r>
    </w:p>
    <w:p w14:paraId="1B52CBF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but </w:t>
      </w:r>
      <w:proofErr w:type="spellStart"/>
      <w:r w:rsidRPr="00B479AE">
        <w:rPr>
          <w:rFonts w:ascii="Baskerville Old Face" w:hAnsi="Baskerville Old Face"/>
          <w:i/>
          <w:iCs/>
        </w:rPr>
        <w:t>forkability</w:t>
      </w:r>
      <w:proofErr w:type="spellEnd"/>
      <w:r w:rsidRPr="00B479AE">
        <w:rPr>
          <w:rFonts w:ascii="Baskerville Old Face" w:hAnsi="Baskerville Old Face"/>
          <w:i/>
          <w:iCs/>
        </w:rPr>
        <w:t xml:space="preserve"> must not mean false continuity.</w:t>
      </w:r>
    </w:p>
    <w:p w14:paraId="5267416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investable;</w:t>
      </w:r>
    </w:p>
    <w:p w14:paraId="5E441C1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but </w:t>
      </w:r>
      <w:proofErr w:type="spellStart"/>
      <w:r w:rsidRPr="00B479AE">
        <w:rPr>
          <w:rFonts w:ascii="Baskerville Old Face" w:hAnsi="Baskerville Old Face"/>
          <w:i/>
          <w:iCs/>
        </w:rPr>
        <w:t>investability</w:t>
      </w:r>
      <w:proofErr w:type="spellEnd"/>
      <w:r w:rsidRPr="00B479AE">
        <w:rPr>
          <w:rFonts w:ascii="Baskerville Old Face" w:hAnsi="Baskerville Old Face"/>
          <w:i/>
          <w:iCs/>
        </w:rPr>
        <w:t xml:space="preserve"> must not mean premature financialization.</w:t>
      </w:r>
    </w:p>
    <w:p w14:paraId="75F6E09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be technical;</w:t>
      </w:r>
    </w:p>
    <w:p w14:paraId="1B1213B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technical execution must not override constitutional meaning.</w:t>
      </w:r>
    </w:p>
    <w:p w14:paraId="1F8A07E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use AI;</w:t>
      </w:r>
    </w:p>
    <w:p w14:paraId="0D5DEEE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AI must not become sovereign authority.</w:t>
      </w:r>
    </w:p>
    <w:p w14:paraId="67A2E06B"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use tokens;</w:t>
      </w:r>
    </w:p>
    <w:p w14:paraId="6E88542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tokens must not replace living-system value.</w:t>
      </w:r>
    </w:p>
    <w:p w14:paraId="7F11D3A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enter institutions;</w:t>
      </w:r>
    </w:p>
    <w:p w14:paraId="69F1AC5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institutions must not capture its purpose.</w:t>
      </w:r>
    </w:p>
    <w:p w14:paraId="776E985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cross jurisdictions;</w:t>
      </w:r>
    </w:p>
    <w:p w14:paraId="68D74E05"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but international expansion must not dissolve source-layer fidelity.</w:t>
      </w:r>
    </w:p>
    <w:p w14:paraId="26D8FEF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evolve;</w:t>
      </w:r>
    </w:p>
    <w:p w14:paraId="6DB9375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but evolution must not become amnesia.</w:t>
      </w:r>
    </w:p>
    <w:p w14:paraId="758C217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final sequence is:</w:t>
      </w:r>
    </w:p>
    <w:p w14:paraId="1BED135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 xml:space="preserve">source layer </w:t>
      </w:r>
      <w:r w:rsidRPr="00B479AE">
        <w:rPr>
          <w:rFonts w:ascii="Times New Roman" w:hAnsi="Times New Roman" w:cs="Times New Roman"/>
          <w:i/>
          <w:iCs/>
        </w:rPr>
        <w:t>→</w:t>
      </w:r>
      <w:r w:rsidRPr="00B479AE">
        <w:rPr>
          <w:rFonts w:ascii="Baskerville Old Face" w:hAnsi="Baskerville Old Face"/>
          <w:i/>
          <w:iCs/>
        </w:rPr>
        <w:t xml:space="preserve"> canonical release </w:t>
      </w:r>
      <w:r w:rsidRPr="00B479AE">
        <w:rPr>
          <w:rFonts w:ascii="Times New Roman" w:hAnsi="Times New Roman" w:cs="Times New Roman"/>
          <w:i/>
          <w:iCs/>
        </w:rPr>
        <w:t>→</w:t>
      </w:r>
      <w:r w:rsidRPr="00B479AE">
        <w:rPr>
          <w:rFonts w:ascii="Baskerville Old Face" w:hAnsi="Baskerville Old Face"/>
          <w:i/>
          <w:iCs/>
        </w:rPr>
        <w:t xml:space="preserve"> cryptographic verification </w:t>
      </w:r>
      <w:r w:rsidRPr="00B479AE">
        <w:rPr>
          <w:rFonts w:ascii="Times New Roman" w:hAnsi="Times New Roman" w:cs="Times New Roman"/>
          <w:i/>
          <w:iCs/>
        </w:rPr>
        <w:t>→</w:t>
      </w:r>
      <w:r w:rsidRPr="00B479AE">
        <w:rPr>
          <w:rFonts w:ascii="Baskerville Old Face" w:hAnsi="Baskerville Old Face"/>
          <w:i/>
          <w:iCs/>
        </w:rPr>
        <w:t xml:space="preserve"> registry status </w:t>
      </w:r>
      <w:r w:rsidRPr="00B479AE">
        <w:rPr>
          <w:rFonts w:ascii="Times New Roman" w:hAnsi="Times New Roman" w:cs="Times New Roman"/>
          <w:i/>
          <w:iCs/>
        </w:rPr>
        <w:t>→</w:t>
      </w:r>
      <w:r w:rsidRPr="00B479AE">
        <w:rPr>
          <w:rFonts w:ascii="Baskerville Old Face" w:hAnsi="Baskerville Old Face"/>
          <w:i/>
          <w:iCs/>
        </w:rPr>
        <w:t xml:space="preserve"> runtime coherence </w:t>
      </w:r>
      <w:r w:rsidRPr="00B479AE">
        <w:rPr>
          <w:rFonts w:ascii="Times New Roman" w:hAnsi="Times New Roman" w:cs="Times New Roman"/>
          <w:i/>
          <w:iCs/>
        </w:rPr>
        <w:t>→</w:t>
      </w:r>
      <w:r w:rsidRPr="00B479AE">
        <w:rPr>
          <w:rFonts w:ascii="Baskerville Old Face" w:hAnsi="Baskerville Old Face"/>
          <w:i/>
          <w:iCs/>
        </w:rPr>
        <w:t xml:space="preserve"> legal admissibility </w:t>
      </w:r>
      <w:r w:rsidRPr="00B479AE">
        <w:rPr>
          <w:rFonts w:ascii="Times New Roman" w:hAnsi="Times New Roman" w:cs="Times New Roman"/>
          <w:i/>
          <w:iCs/>
        </w:rPr>
        <w:t>→</w:t>
      </w:r>
      <w:r w:rsidRPr="00B479AE">
        <w:rPr>
          <w:rFonts w:ascii="Baskerville Old Face" w:hAnsi="Baskerville Old Face"/>
          <w:i/>
          <w:iCs/>
        </w:rPr>
        <w:t xml:space="preserve"> institutional use </w:t>
      </w:r>
      <w:r w:rsidRPr="00B479AE">
        <w:rPr>
          <w:rFonts w:ascii="Times New Roman" w:hAnsi="Times New Roman" w:cs="Times New Roman"/>
          <w:i/>
          <w:iCs/>
        </w:rPr>
        <w:t>→</w:t>
      </w:r>
      <w:r w:rsidRPr="00B479AE">
        <w:rPr>
          <w:rFonts w:ascii="Baskerville Old Face" w:hAnsi="Baskerville Old Face"/>
          <w:i/>
          <w:iCs/>
        </w:rPr>
        <w:t xml:space="preserve"> global continuity.</w:t>
      </w:r>
    </w:p>
    <w:p w14:paraId="710B0E1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final boundary is:</w:t>
      </w:r>
    </w:p>
    <w:p w14:paraId="5027CE36"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life before abstraction;</w:t>
      </w:r>
    </w:p>
    <w:p w14:paraId="221EC942"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evidence before authority;</w:t>
      </w:r>
    </w:p>
    <w:p w14:paraId="121BA21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review before execution;</w:t>
      </w:r>
    </w:p>
    <w:p w14:paraId="4925761D"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legal structure before rights;</w:t>
      </w:r>
    </w:p>
    <w:p w14:paraId="3D310DC1"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rights before representation;</w:t>
      </w:r>
    </w:p>
    <w:p w14:paraId="1DE96913"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regeneration before capital;</w:t>
      </w:r>
    </w:p>
    <w:p w14:paraId="1E70CE14"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lineage before popularity;</w:t>
      </w:r>
    </w:p>
    <w:p w14:paraId="689E966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source-layer fidelity before scale.</w:t>
      </w:r>
    </w:p>
    <w:p w14:paraId="26FBDB2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Canonical continuity is the immortality layer of Prometheus.</w:t>
      </w:r>
    </w:p>
    <w:p w14:paraId="27137828"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Not because it freezes Prometheus forever.</w:t>
      </w:r>
    </w:p>
    <w:p w14:paraId="30F55C37"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Because it allows Prometheus to change without forgetting what it is for.</w:t>
      </w:r>
    </w:p>
    <w:p w14:paraId="4FDF80F9"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does not need to prevent the future.</w:t>
      </w:r>
    </w:p>
    <w:p w14:paraId="4C63A5E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It needs to enter the future with memory.</w:t>
      </w:r>
    </w:p>
    <w:p w14:paraId="25DF5EE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The final principle is:</w:t>
      </w:r>
    </w:p>
    <w:p w14:paraId="0548F700"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Prometheus may spread through many forms;</w:t>
      </w:r>
    </w:p>
    <w:p w14:paraId="5B38731F"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lastRenderedPageBreak/>
        <w:t>Prometheus remains itself only through verifiable lineage;</w:t>
      </w:r>
    </w:p>
    <w:p w14:paraId="1FA547FA" w14:textId="77777777" w:rsidR="00A97DB8" w:rsidRPr="00B479AE" w:rsidRDefault="00A97DB8" w:rsidP="00A97DB8">
      <w:pPr>
        <w:spacing w:line="360" w:lineRule="auto"/>
        <w:rPr>
          <w:rFonts w:ascii="Baskerville Old Face" w:hAnsi="Baskerville Old Face"/>
          <w:i/>
          <w:iCs/>
        </w:rPr>
      </w:pPr>
      <w:r w:rsidRPr="00B479AE">
        <w:rPr>
          <w:rFonts w:ascii="Baskerville Old Face" w:hAnsi="Baskerville Old Face"/>
          <w:i/>
          <w:iCs/>
        </w:rPr>
        <w:t>and verifiable lineage survives only when meaning, evidence, law, runtime, and custody remain aligned.</w:t>
      </w:r>
    </w:p>
    <w:p w14:paraId="33828DA9" w14:textId="77777777" w:rsidR="005E3F7F" w:rsidRPr="00B479AE" w:rsidRDefault="005E3F7F" w:rsidP="005E3F7F">
      <w:pPr>
        <w:spacing w:line="360" w:lineRule="auto"/>
        <w:rPr>
          <w:rFonts w:ascii="Baskerville Old Face" w:hAnsi="Baskerville Old Face"/>
          <w:b/>
          <w:bCs/>
          <w:i/>
          <w:iCs/>
        </w:rPr>
      </w:pPr>
      <w:r w:rsidRPr="00B479AE">
        <w:rPr>
          <w:rFonts w:ascii="Baskerville Old Face" w:hAnsi="Baskerville Old Face"/>
          <w:b/>
          <w:bCs/>
          <w:i/>
          <w:iCs/>
        </w:rPr>
        <w:t>To Future Builders</w:t>
      </w:r>
    </w:p>
    <w:p w14:paraId="05CB2DE8" w14:textId="5DDFAE9B" w:rsidR="003F3D80" w:rsidRPr="00B479AE" w:rsidRDefault="003F3D80" w:rsidP="005E3F7F">
      <w:pPr>
        <w:spacing w:line="360" w:lineRule="auto"/>
        <w:rPr>
          <w:rFonts w:ascii="Baskerville Old Face" w:hAnsi="Baskerville Old Face"/>
          <w:i/>
          <w:iCs/>
        </w:rPr>
      </w:pPr>
      <w:r w:rsidRPr="00B479AE">
        <w:rPr>
          <w:rFonts w:ascii="Baskerville Old Face" w:hAnsi="Baskerville Old Face"/>
          <w:i/>
          <w:iCs/>
        </w:rPr>
        <w:t>This framework was written in a time of ecological overshoot, institutional fragmentation, and collapsing trust.</w:t>
      </w:r>
    </w:p>
    <w:p w14:paraId="2889A57D"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was written under the assumption that future generations may inherit tools more capable than ours, systems more automated than ours, models more predictive than ours, and infrastructures more powerful than ours.</w:t>
      </w:r>
    </w:p>
    <w:p w14:paraId="439E78C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But greater capability does not guarantee greater wisdom.</w:t>
      </w:r>
    </w:p>
    <w:p w14:paraId="318BAE34"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Greater intelligence does not guarantee greater responsibility.</w:t>
      </w:r>
    </w:p>
    <w:p w14:paraId="56A6C0C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Greater speed does not guarantee greater truth.</w:t>
      </w:r>
    </w:p>
    <w:p w14:paraId="563F765A"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Greater capital does not guarantee greater life.</w:t>
      </w:r>
    </w:p>
    <w:p w14:paraId="5BAC3A8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For this reason, the purpose of this White Paper is not merely to describe a regenerative infrastructure.</w:t>
      </w:r>
    </w:p>
    <w:p w14:paraId="794E331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is to preserve a discipline.</w:t>
      </w:r>
    </w:p>
    <w:p w14:paraId="480B08B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you inherit Prometheus in a future phase of its evolution, do not ask only whether it can scale.</w:t>
      </w:r>
    </w:p>
    <w:p w14:paraId="6A595A9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it can preserve coherence under expansion.</w:t>
      </w:r>
    </w:p>
    <w:p w14:paraId="00F47EF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ask only whether it can generate value.</w:t>
      </w:r>
    </w:p>
    <w:p w14:paraId="3EB6863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that value remains accountable to the living systems from which all durable value ultimately arises.</w:t>
      </w:r>
    </w:p>
    <w:p w14:paraId="7B48D62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ask only whether the system is more intelligent.</w:t>
      </w:r>
    </w:p>
    <w:p w14:paraId="344DB054"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its intelligence remains bounded by responsibility, reviewability, humility, and respect for the conditions of life.</w:t>
      </w:r>
    </w:p>
    <w:p w14:paraId="237245A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lastRenderedPageBreak/>
        <w:t>Do not ask only whether the runtime works.</w:t>
      </w:r>
    </w:p>
    <w:p w14:paraId="71E802C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runtime behavior remains faithful to the source layer.</w:t>
      </w:r>
    </w:p>
    <w:p w14:paraId="6CBF223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ask only whether a release is visible.</w:t>
      </w:r>
    </w:p>
    <w:p w14:paraId="7B91AD44"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it is verifiable.</w:t>
      </w:r>
    </w:p>
    <w:p w14:paraId="1EB0F694"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ask only whether a fork is innovative.</w:t>
      </w:r>
    </w:p>
    <w:p w14:paraId="05F03C6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it preserves lineage or declares independence honestly.</w:t>
      </w:r>
    </w:p>
    <w:p w14:paraId="6C49C41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ask only whether a token, instrument, note, fund, dashboard, report, or digital representation is technically possible.</w:t>
      </w:r>
    </w:p>
    <w:p w14:paraId="64F542B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Ask whether evidence, admissibility, legal structure, rights, disclosure, and governance are mature enough to support it.</w:t>
      </w:r>
    </w:p>
    <w:p w14:paraId="300D002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Prometheus was not created so that abstraction could outrun life.</w:t>
      </w:r>
    </w:p>
    <w:p w14:paraId="7DCCCA2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was created so that capital, technology, governance, law, and intelligence could become accountable to life.</w:t>
      </w:r>
    </w:p>
    <w:p w14:paraId="347484DA"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change the tools.</w:t>
      </w:r>
    </w:p>
    <w:p w14:paraId="75195FB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refine the models.</w:t>
      </w:r>
    </w:p>
    <w:p w14:paraId="69798BA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improve the implementation.</w:t>
      </w:r>
    </w:p>
    <w:p w14:paraId="76EF6AE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replace the interface.</w:t>
      </w:r>
    </w:p>
    <w:p w14:paraId="59E4BC3D"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upgrade the runtime.</w:t>
      </w:r>
    </w:p>
    <w:p w14:paraId="3716637A"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discover better ways to measure soil, water, biodiversity, human stewardship, territorial resilience, and ecological coherence.</w:t>
      </w:r>
    </w:p>
    <w:p w14:paraId="70F307B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create better MRV methods.</w:t>
      </w:r>
    </w:p>
    <w:p w14:paraId="367B49B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 xml:space="preserve">You may design stronger </w:t>
      </w:r>
      <w:proofErr w:type="spellStart"/>
      <w:r w:rsidRPr="00B479AE">
        <w:rPr>
          <w:rFonts w:ascii="Baskerville Old Face" w:hAnsi="Baskerville Old Face"/>
          <w:i/>
          <w:iCs/>
        </w:rPr>
        <w:t>Holochain</w:t>
      </w:r>
      <w:proofErr w:type="spellEnd"/>
      <w:r w:rsidRPr="00B479AE">
        <w:rPr>
          <w:rFonts w:ascii="Baskerville Old Face" w:hAnsi="Baskerville Old Face"/>
          <w:i/>
          <w:iCs/>
        </w:rPr>
        <w:t xml:space="preserve">-compatible </w:t>
      </w:r>
      <w:proofErr w:type="spellStart"/>
      <w:r w:rsidRPr="00B479AE">
        <w:rPr>
          <w:rFonts w:ascii="Baskerville Old Face" w:hAnsi="Baskerville Old Face"/>
          <w:i/>
          <w:iCs/>
        </w:rPr>
        <w:t>hApps</w:t>
      </w:r>
      <w:proofErr w:type="spellEnd"/>
      <w:r w:rsidRPr="00B479AE">
        <w:rPr>
          <w:rFonts w:ascii="Baskerville Old Face" w:hAnsi="Baskerville Old Face"/>
          <w:i/>
          <w:iCs/>
        </w:rPr>
        <w:t>.</w:t>
      </w:r>
    </w:p>
    <w:p w14:paraId="32C7329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You may improve bridge, console, registry, evaluation, and reporting systems.</w:t>
      </w:r>
    </w:p>
    <w:p w14:paraId="1EEDA20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lastRenderedPageBreak/>
        <w:t>You may build better legal wrappers, better data rooms, better public registries, better institutional pathways, and better verification protocols.</w:t>
      </w:r>
    </w:p>
    <w:p w14:paraId="1D6DBD1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But do not allow speed to outrun meaning.</w:t>
      </w:r>
    </w:p>
    <w:p w14:paraId="15FBC6F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implementation to outrun constitutional integrity.</w:t>
      </w:r>
    </w:p>
    <w:p w14:paraId="770CC0A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automation to outrun review.</w:t>
      </w:r>
    </w:p>
    <w:p w14:paraId="3F46C49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dashboards to outrun evidence.</w:t>
      </w:r>
    </w:p>
    <w:p w14:paraId="18F0C87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PRU language to outrun admissibility.</w:t>
      </w:r>
    </w:p>
    <w:p w14:paraId="684787D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capital-readiness to outrun legal structure.</w:t>
      </w:r>
    </w:p>
    <w:p w14:paraId="1B336B0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representation to outrun rights.</w:t>
      </w:r>
    </w:p>
    <w:p w14:paraId="1E9D7AD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tokenization to outrun the asset it claims to represent.</w:t>
      </w:r>
    </w:p>
    <w:p w14:paraId="1A7DF2F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popularity to outrun lineage.</w:t>
      </w:r>
    </w:p>
    <w:p w14:paraId="6CDE4F9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AI to imitate authority.</w:t>
      </w:r>
    </w:p>
    <w:p w14:paraId="27A0ECC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institutions to absorb meaning.</w:t>
      </w:r>
    </w:p>
    <w:p w14:paraId="63A7CDA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investors to rewrite purpose.</w:t>
      </w:r>
    </w:p>
    <w:p w14:paraId="37887CB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 not allow forks to borrow the name while abandoning the source.</w:t>
      </w:r>
    </w:p>
    <w:p w14:paraId="0A247F0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Prometheus may evolve.</w:t>
      </w:r>
    </w:p>
    <w:p w14:paraId="3529D22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must evolve.</w:t>
      </w:r>
    </w:p>
    <w:p w14:paraId="2070459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 living architecture that cannot adapt will eventually become brittle.</w:t>
      </w:r>
    </w:p>
    <w:p w14:paraId="0E2A6B6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But evolution is not amnesia.</w:t>
      </w:r>
    </w:p>
    <w:p w14:paraId="0C671514"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Adaptation is not dilution.</w:t>
      </w:r>
    </w:p>
    <w:p w14:paraId="69A05EC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Expansion is not authority.</w:t>
      </w:r>
    </w:p>
    <w:p w14:paraId="485FFEA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Replication is not continuity.</w:t>
      </w:r>
    </w:p>
    <w:p w14:paraId="25BA60F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lastRenderedPageBreak/>
        <w:t>Similarity is not lineage.</w:t>
      </w:r>
    </w:p>
    <w:p w14:paraId="7A275C1D"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 future Prometheus release may be more advanced than this one.</w:t>
      </w:r>
    </w:p>
    <w:p w14:paraId="5305CA0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may be more computational.</w:t>
      </w:r>
    </w:p>
    <w:p w14:paraId="20256F4D"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may be more distributed.</w:t>
      </w:r>
    </w:p>
    <w:p w14:paraId="572BAC3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may be more institutional.</w:t>
      </w:r>
    </w:p>
    <w:p w14:paraId="417BCD7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may be more legally structured.</w:t>
      </w:r>
    </w:p>
    <w:p w14:paraId="4586539A"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may be more deeply integrated with living landscapes, bioregional networks, public systems, capital markets, and artificial intelligence.</w:t>
      </w:r>
    </w:p>
    <w:p w14:paraId="4D42211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But it must still answer the oldest question:</w:t>
      </w:r>
    </w:p>
    <w:p w14:paraId="7CFB9F7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Does this serve life?</w:t>
      </w:r>
    </w:p>
    <w:p w14:paraId="5C2219C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the answer becomes unclear, pause.</w:t>
      </w:r>
    </w:p>
    <w:p w14:paraId="23430CD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the evidence becomes weak, review.</w:t>
      </w:r>
    </w:p>
    <w:p w14:paraId="5E50FE2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the language becomes inflated, correct.</w:t>
      </w:r>
    </w:p>
    <w:p w14:paraId="643415A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capital pressures the system to move faster than admissibility, slow down.</w:t>
      </w:r>
    </w:p>
    <w:p w14:paraId="3D2EC96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AI begins to act as authority, restore review.</w:t>
      </w:r>
    </w:p>
    <w:p w14:paraId="46F187A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a partner claims more than it has been granted, return to the registry.</w:t>
      </w:r>
    </w:p>
    <w:p w14:paraId="3AEDE89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a fork becomes confusing, classify it.</w:t>
      </w:r>
    </w:p>
    <w:p w14:paraId="540090F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a release cannot be verified, do not trust it.</w:t>
      </w:r>
    </w:p>
    <w:p w14:paraId="34C54E3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the source layer is weakened, protect it before scaling.</w:t>
      </w:r>
    </w:p>
    <w:p w14:paraId="10562D3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Prometheus survives through memory.</w:t>
      </w:r>
    </w:p>
    <w:p w14:paraId="5512127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Not nostalgic memory.</w:t>
      </w:r>
    </w:p>
    <w:p w14:paraId="315A430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Operational memory.</w:t>
      </w:r>
    </w:p>
    <w:p w14:paraId="6EC961EA"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lastRenderedPageBreak/>
        <w:t>Cryptographic memory.</w:t>
      </w:r>
    </w:p>
    <w:p w14:paraId="3EBE451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Ecological memory.</w:t>
      </w:r>
    </w:p>
    <w:p w14:paraId="246C8F2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Legal memory.</w:t>
      </w:r>
    </w:p>
    <w:p w14:paraId="73BC3C7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Governance memory.</w:t>
      </w:r>
    </w:p>
    <w:p w14:paraId="176923D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Repository memory.</w:t>
      </w:r>
    </w:p>
    <w:p w14:paraId="378F900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Runtime memory.</w:t>
      </w:r>
    </w:p>
    <w:p w14:paraId="1995D9A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Custodial memory.</w:t>
      </w:r>
    </w:p>
    <w:p w14:paraId="24CBA57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Living memory.</w:t>
      </w:r>
    </w:p>
    <w:p w14:paraId="3397E99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Its continuity depends on the alignment of source-layer fidelity, release integrity, cryptographic verification, registry status, runtime coherence, legal admissibility, custodial continuity, and living purpose.</w:t>
      </w:r>
    </w:p>
    <w:p w14:paraId="65E8855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future builders inherit not only the architecture, but also the discipline that prevents architecture from becoming capture.</w:t>
      </w:r>
    </w:p>
    <w:p w14:paraId="24504BC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know that Prometheus was never meant to be preserved by rigidity, but by verifiable lineage, source-layer fidelity, reviewable evidence, legal clarity, runtime coherence, custodial continuity, and living purpose.</w:t>
      </w:r>
    </w:p>
    <w:p w14:paraId="3776C2D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If this framework deserves to survive, it will not be because it remained unchanged.</w:t>
      </w:r>
    </w:p>
    <w:p w14:paraId="621E886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It will be because it learned how to evolve without forgetting what it was for.</w:t>
      </w:r>
    </w:p>
    <w:p w14:paraId="4862C0E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May future builders inherit stronger systems.</w:t>
      </w:r>
    </w:p>
    <w:p w14:paraId="0F8EA18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But let them also inherit stronger constraints.</w:t>
      </w:r>
    </w:p>
    <w:p w14:paraId="6DD7827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architectures capable not only of growth, but of fidelity.</w:t>
      </w:r>
    </w:p>
    <w:p w14:paraId="7FB4376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tools powerful enough to coordinate regeneration and boundaries strong enough to prevent extraction from returning under a new name.</w:t>
      </w:r>
    </w:p>
    <w:p w14:paraId="3FBEBBD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intelligence that serves humility.</w:t>
      </w:r>
    </w:p>
    <w:p w14:paraId="13391B5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lastRenderedPageBreak/>
        <w:t>Let them inherit capital that serves life.</w:t>
      </w:r>
    </w:p>
    <w:p w14:paraId="10D9E81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governance that serves evidence.</w:t>
      </w:r>
    </w:p>
    <w:p w14:paraId="12A88E6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law that serves clarity.</w:t>
      </w:r>
    </w:p>
    <w:p w14:paraId="676B97B3"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technology that serves relationship.</w:t>
      </w:r>
    </w:p>
    <w:p w14:paraId="25A7942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abundance without amnesia.</w:t>
      </w:r>
    </w:p>
    <w:p w14:paraId="28EB8C1D"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Let them inherit Prometheus not as a monument, but as a living covenant.</w:t>
      </w:r>
    </w:p>
    <w:p w14:paraId="6F6AF63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Constitutional maxims</w:t>
      </w:r>
    </w:p>
    <w:p w14:paraId="7575B43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Scope before scale.</w:t>
      </w:r>
    </w:p>
    <w:p w14:paraId="3F8E8575"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Validation before execution.</w:t>
      </w:r>
    </w:p>
    <w:p w14:paraId="59A2A242"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Life before abstraction.</w:t>
      </w:r>
    </w:p>
    <w:p w14:paraId="4F37A62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Evidence before authority.</w:t>
      </w:r>
    </w:p>
    <w:p w14:paraId="24ED05E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Review before automation.</w:t>
      </w:r>
    </w:p>
    <w:p w14:paraId="34080E1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Admissibility before value.</w:t>
      </w:r>
    </w:p>
    <w:p w14:paraId="3411516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Legal structure before rights.</w:t>
      </w:r>
    </w:p>
    <w:p w14:paraId="176D06C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Rights before representation.</w:t>
      </w:r>
    </w:p>
    <w:p w14:paraId="4CAAE89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Regeneration before capital.</w:t>
      </w:r>
    </w:p>
    <w:p w14:paraId="53AB092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Stewardship before monetization.</w:t>
      </w:r>
    </w:p>
    <w:p w14:paraId="638B24D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Coherence before expansion.</w:t>
      </w:r>
    </w:p>
    <w:p w14:paraId="6C120A40"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Semantics before speed.</w:t>
      </w:r>
    </w:p>
    <w:p w14:paraId="0B201C8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Runtime fidelity before deployment.</w:t>
      </w:r>
    </w:p>
    <w:p w14:paraId="69F35ACE"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Repository visibility before public reliance.</w:t>
      </w:r>
    </w:p>
    <w:p w14:paraId="37EF830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Cryptographic verification before canonical trust.</w:t>
      </w:r>
    </w:p>
    <w:p w14:paraId="7A82767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lastRenderedPageBreak/>
        <w:t>Registry status before public claim.</w:t>
      </w:r>
    </w:p>
    <w:p w14:paraId="7A08762B"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Source-layer fidelity before implementation.</w:t>
      </w:r>
    </w:p>
    <w:p w14:paraId="31AA4B07"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Human dignity before optimization.</w:t>
      </w:r>
    </w:p>
    <w:p w14:paraId="6D0D2BA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Ecological reality before financial convenience.</w:t>
      </w:r>
    </w:p>
    <w:p w14:paraId="2D51676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dashboard is authority by itself.</w:t>
      </w:r>
    </w:p>
    <w:p w14:paraId="26F8FFC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AI output is authority by itself.</w:t>
      </w:r>
    </w:p>
    <w:p w14:paraId="3979974A"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token creates ecological value by itself.</w:t>
      </w:r>
    </w:p>
    <w:p w14:paraId="08ADC07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fork creates lineage by itself.</w:t>
      </w:r>
    </w:p>
    <w:p w14:paraId="0CBE1D4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investment creates legitimacy by itself.</w:t>
      </w:r>
    </w:p>
    <w:p w14:paraId="74760A86"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institution owns the meaning of Prometheus by itself.</w:t>
      </w:r>
    </w:p>
    <w:p w14:paraId="6F7EBFCC"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No durable value can emerge from the degradation of life-support systems.</w:t>
      </w:r>
    </w:p>
    <w:p w14:paraId="6C90DE88"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Future generations are present stakeholders.</w:t>
      </w:r>
    </w:p>
    <w:p w14:paraId="0CB5F721"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The source layer is the memory of Prometheus.</w:t>
      </w:r>
    </w:p>
    <w:p w14:paraId="3BD659DF"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Verifiable lineage is the continuity of Prometheus.</w:t>
      </w:r>
    </w:p>
    <w:p w14:paraId="29429249"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Living systems are the origin of Prometheus.</w:t>
      </w:r>
    </w:p>
    <w:p w14:paraId="79F2BEED" w14:textId="77777777" w:rsidR="005E3F7F" w:rsidRPr="00B479AE" w:rsidRDefault="005E3F7F" w:rsidP="005E3F7F">
      <w:pPr>
        <w:spacing w:line="360" w:lineRule="auto"/>
        <w:rPr>
          <w:rFonts w:ascii="Baskerville Old Face" w:hAnsi="Baskerville Old Face"/>
          <w:i/>
          <w:iCs/>
        </w:rPr>
      </w:pPr>
      <w:r w:rsidRPr="00B479AE">
        <w:rPr>
          <w:rFonts w:ascii="Baskerville Old Face" w:hAnsi="Baskerville Old Face"/>
          <w:i/>
          <w:iCs/>
        </w:rPr>
        <w:t>Regeneration is the purpose of Prometheus.</w:t>
      </w:r>
    </w:p>
    <w:p w14:paraId="247ABCF3" w14:textId="29C4A325" w:rsidR="001A374E" w:rsidRPr="00B479AE" w:rsidRDefault="001A374E" w:rsidP="001A374E">
      <w:pPr>
        <w:spacing w:line="360" w:lineRule="auto"/>
        <w:rPr>
          <w:rFonts w:ascii="Baskerville Old Face" w:hAnsi="Baskerville Old Face"/>
          <w:i/>
          <w:iCs/>
        </w:rPr>
      </w:pPr>
      <w:r w:rsidRPr="00B479AE">
        <w:rPr>
          <w:rFonts w:ascii="Baskerville Old Face" w:hAnsi="Baskerville Old Face"/>
          <w:b/>
          <w:bCs/>
          <w:i/>
          <w:iCs/>
        </w:rPr>
        <w:t>Constitutional documents and cryptographic integrity</w:t>
      </w:r>
    </w:p>
    <w:p w14:paraId="6DC214DA" w14:textId="77777777" w:rsidR="00AB7F5C" w:rsidRPr="00B479AE" w:rsidRDefault="00AB7F5C" w:rsidP="00AB7F5C">
      <w:pPr>
        <w:spacing w:line="360" w:lineRule="auto"/>
        <w:rPr>
          <w:rFonts w:ascii="Baskerville Old Face" w:hAnsi="Baskerville Old Face"/>
          <w:i/>
          <w:iCs/>
        </w:rPr>
      </w:pPr>
      <w:r w:rsidRPr="00B479AE">
        <w:rPr>
          <w:rFonts w:ascii="Baskerville Old Face" w:hAnsi="Baskerville Old Face"/>
          <w:i/>
          <w:iCs/>
        </w:rPr>
        <w:t>The following section identifies the constitutional documents and verification artifacts intended to support the canonical release of this White Paper.</w:t>
      </w:r>
    </w:p>
    <w:p w14:paraId="1F3EA739" w14:textId="77777777" w:rsidR="00AB7F5C" w:rsidRPr="00B479AE" w:rsidRDefault="00AB7F5C" w:rsidP="00AB7F5C">
      <w:pPr>
        <w:spacing w:line="360" w:lineRule="auto"/>
        <w:rPr>
          <w:rFonts w:ascii="Baskerville Old Face" w:hAnsi="Baskerville Old Face"/>
          <w:i/>
          <w:iCs/>
        </w:rPr>
      </w:pPr>
      <w:r w:rsidRPr="00B479AE">
        <w:rPr>
          <w:rFonts w:ascii="Baskerville Old Face" w:hAnsi="Baskerville Old Face"/>
          <w:i/>
          <w:iCs/>
        </w:rPr>
        <w:t>Until the final release package has been exported, hashed, signed, and published through the official verification materials, this section should be interpreted as a release-preparation record rather than as final cryptographic certification.</w:t>
      </w:r>
    </w:p>
    <w:p w14:paraId="374F4B58" w14:textId="77777777" w:rsidR="00AB7F5C" w:rsidRPr="00B479AE" w:rsidRDefault="00AB7F5C" w:rsidP="00AB7F5C">
      <w:pPr>
        <w:spacing w:line="360" w:lineRule="auto"/>
        <w:rPr>
          <w:rFonts w:ascii="Baskerville Old Face" w:hAnsi="Baskerville Old Face"/>
          <w:i/>
          <w:iCs/>
        </w:rPr>
      </w:pPr>
      <w:r w:rsidRPr="00B479AE">
        <w:rPr>
          <w:rFonts w:ascii="Baskerville Old Face" w:hAnsi="Baskerville Old Face"/>
          <w:i/>
          <w:iCs/>
        </w:rPr>
        <w:lastRenderedPageBreak/>
        <w:t>The final canonical release should identify the exact DOCX, PDF, Markdown or source files, checksum files, detached signatures, release manifest, public key, repository reference, and verification instructions associated with the signed release package.</w:t>
      </w:r>
    </w:p>
    <w:p w14:paraId="66106C8C" w14:textId="20069358" w:rsidR="001616A3" w:rsidRPr="00B479AE" w:rsidRDefault="001616A3" w:rsidP="00AB7F5C">
      <w:pPr>
        <w:spacing w:line="360" w:lineRule="auto"/>
        <w:rPr>
          <w:rFonts w:ascii="Baskerville Old Face" w:hAnsi="Baskerville Old Face"/>
          <w:b/>
          <w:bCs/>
          <w:i/>
          <w:iCs/>
        </w:rPr>
      </w:pPr>
      <w:r w:rsidRPr="00B479AE">
        <w:rPr>
          <w:rFonts w:ascii="Baskerville Old Face" w:hAnsi="Baskerville Old Face"/>
          <w:b/>
          <w:bCs/>
          <w:i/>
          <w:iCs/>
        </w:rPr>
        <w:t>Part 1: Incorporated constitutional documents</w:t>
      </w:r>
    </w:p>
    <w:p w14:paraId="36347AAC" w14:textId="77777777" w:rsidR="00A8509D" w:rsidRPr="00B479AE" w:rsidRDefault="00A8509D" w:rsidP="00A8509D">
      <w:pPr>
        <w:spacing w:line="360" w:lineRule="auto"/>
        <w:rPr>
          <w:rFonts w:ascii="Baskerville Old Face" w:hAnsi="Baskerville Old Face"/>
          <w:i/>
          <w:iCs/>
        </w:rPr>
      </w:pPr>
      <w:r w:rsidRPr="00B479AE">
        <w:rPr>
          <w:rFonts w:ascii="Baskerville Old Face" w:hAnsi="Baskerville Old Face"/>
          <w:i/>
          <w:iCs/>
        </w:rPr>
        <w:t xml:space="preserve">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sovereign syntropy framework constitutes the fundamental law of the system. This White Paper is its authoritative exposition.</w:t>
      </w:r>
    </w:p>
    <w:p w14:paraId="1652EAFC" w14:textId="77777777" w:rsidR="00A8509D" w:rsidRPr="00B479AE" w:rsidRDefault="00A8509D" w:rsidP="00A8509D">
      <w:pPr>
        <w:spacing w:line="360" w:lineRule="auto"/>
        <w:rPr>
          <w:rFonts w:ascii="Baskerville Old Face" w:hAnsi="Baskerville Old Face"/>
          <w:i/>
          <w:iCs/>
        </w:rPr>
      </w:pPr>
      <w:r w:rsidRPr="00B479AE">
        <w:rPr>
          <w:rFonts w:ascii="Baskerville Old Face" w:hAnsi="Baskerville Old Face"/>
          <w:i/>
          <w:iCs/>
        </w:rPr>
        <w:t xml:space="preserve">All system components and the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Prometheus kernel operate under three constitutionally incorporated documents, forming an indivisible legal-technical trinity:</w:t>
      </w:r>
    </w:p>
    <w:p w14:paraId="060D7881" w14:textId="77777777" w:rsidR="00A8509D" w:rsidRPr="00B479AE" w:rsidRDefault="00A8509D" w:rsidP="00A8509D">
      <w:pPr>
        <w:spacing w:line="360" w:lineRule="auto"/>
        <w:rPr>
          <w:rFonts w:ascii="Baskerville Old Face" w:hAnsi="Baskerville Old Face"/>
          <w:i/>
          <w:iCs/>
        </w:rPr>
      </w:pPr>
      <w:r w:rsidRPr="00B479AE">
        <w:rPr>
          <w:rFonts w:ascii="Baskerville Old Face" w:hAnsi="Baskerville Old Face"/>
          <w:i/>
          <w:iCs/>
        </w:rPr>
        <w:t>• Syntropic Sovereignty Header</w:t>
      </w:r>
      <w:r w:rsidRPr="00B479AE">
        <w:rPr>
          <w:rFonts w:ascii="Baskerville Old Face" w:hAnsi="Baskerville Old Face"/>
          <w:i/>
          <w:iCs/>
        </w:rPr>
        <w:br/>
        <w:t>File: Syntropic_Sovereignty_Header.md</w:t>
      </w:r>
      <w:r w:rsidRPr="00B479AE">
        <w:rPr>
          <w:rFonts w:ascii="Baskerville Old Face" w:hAnsi="Baskerville Old Face"/>
          <w:i/>
          <w:iCs/>
        </w:rPr>
        <w:br/>
        <w:t>Role: Cryptographic enforcement of syntropic logic at the data-packet level; implements Article XI.</w:t>
      </w:r>
      <w:r w:rsidRPr="00B479AE">
        <w:rPr>
          <w:rFonts w:ascii="Baskerville Old Face" w:hAnsi="Baskerville Old Face"/>
          <w:i/>
          <w:iCs/>
        </w:rPr>
        <w:br/>
        <w:t>SHA-256: to be generated upon canonical release.</w:t>
      </w:r>
    </w:p>
    <w:p w14:paraId="4DD48DC2" w14:textId="77777777" w:rsidR="00A8509D" w:rsidRPr="00B479AE" w:rsidRDefault="00A8509D" w:rsidP="00A8509D">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h•eart•h</w:t>
      </w:r>
      <w:proofErr w:type="spellEnd"/>
      <w:r w:rsidRPr="00B479AE">
        <w:rPr>
          <w:rFonts w:ascii="Baskerville Old Face" w:hAnsi="Baskerville Old Face"/>
          <w:i/>
          <w:iCs/>
        </w:rPr>
        <w:t xml:space="preserve"> intelligence Manifesto</w:t>
      </w:r>
      <w:r w:rsidRPr="00B479AE">
        <w:rPr>
          <w:rFonts w:ascii="Baskerville Old Face" w:hAnsi="Baskerville Old Face"/>
          <w:i/>
          <w:iCs/>
        </w:rPr>
        <w:br/>
        <w:t>File: h•eart•h_intelligence_Manifesto.md</w:t>
      </w:r>
      <w:r w:rsidRPr="00B479AE">
        <w:rPr>
          <w:rFonts w:ascii="Baskerville Old Face" w:hAnsi="Baskerville Old Face"/>
          <w:i/>
          <w:iCs/>
        </w:rPr>
        <w:br/>
        <w:t>Role: Ethical and philosophical foundation defining the spiral of abundance and the sacred pact.</w:t>
      </w:r>
      <w:r w:rsidRPr="00B479AE">
        <w:rPr>
          <w:rFonts w:ascii="Baskerville Old Face" w:hAnsi="Baskerville Old Face"/>
          <w:i/>
          <w:iCs/>
        </w:rPr>
        <w:br/>
        <w:t>SHA-256: to be generated upon canonical release.</w:t>
      </w:r>
    </w:p>
    <w:p w14:paraId="6E4F1B59" w14:textId="77777777" w:rsidR="00A8509D" w:rsidRPr="00B479AE" w:rsidRDefault="00A8509D" w:rsidP="00A8509D">
      <w:pPr>
        <w:spacing w:line="360" w:lineRule="auto"/>
        <w:rPr>
          <w:rFonts w:ascii="Baskerville Old Face" w:hAnsi="Baskerville Old Face"/>
          <w:i/>
          <w:iCs/>
        </w:rPr>
      </w:pPr>
      <w:r w:rsidRPr="00B479AE">
        <w:rPr>
          <w:rFonts w:ascii="Baskerville Old Face" w:hAnsi="Baskerville Old Face"/>
          <w:i/>
          <w:iCs/>
        </w:rPr>
        <w:t>• CAL-1.0 Syntropic rider license</w:t>
      </w:r>
      <w:r w:rsidRPr="00B479AE">
        <w:rPr>
          <w:rFonts w:ascii="Baskerville Old Face" w:hAnsi="Baskerville Old Face"/>
          <w:i/>
          <w:iCs/>
        </w:rPr>
        <w:br/>
        <w:t>File: CAL-1.0_Syntropic_rider_license.md</w:t>
      </w:r>
      <w:r w:rsidRPr="00B479AE">
        <w:rPr>
          <w:rFonts w:ascii="Baskerville Old Face" w:hAnsi="Baskerville Old Face"/>
          <w:i/>
          <w:iCs/>
        </w:rPr>
        <w:br/>
        <w:t>Role: Legal bridge ensuring that software usage remains in service of life, binding all code to constitutional principles.</w:t>
      </w:r>
      <w:r w:rsidRPr="00B479AE">
        <w:rPr>
          <w:rFonts w:ascii="Baskerville Old Face" w:hAnsi="Baskerville Old Face"/>
          <w:i/>
          <w:iCs/>
        </w:rPr>
        <w:br/>
        <w:t>SHA-256: to be generated upon canonical release.</w:t>
      </w:r>
    </w:p>
    <w:p w14:paraId="2DF9CEED" w14:textId="77777777" w:rsidR="001E790F" w:rsidRPr="001E790F" w:rsidRDefault="004E6F0B" w:rsidP="001E790F">
      <w:pPr>
        <w:spacing w:line="360" w:lineRule="auto"/>
        <w:rPr>
          <w:rFonts w:ascii="Baskerville Old Face" w:hAnsi="Baskerville Old Face"/>
          <w:i/>
          <w:iCs/>
        </w:rPr>
      </w:pPr>
      <w:r w:rsidRPr="00B479AE">
        <w:rPr>
          <w:rFonts w:ascii="Baskerville Old Face" w:hAnsi="Baskerville Old Face"/>
          <w:i/>
          <w:iCs/>
        </w:rPr>
        <w:t xml:space="preserve">Cryptographic incorporation principle: these documents are incorporated into the Prometheus constitutional framework by reference to their SHA-256 hashes. Their canonical identity is defined by the exact hashed versions identified in the release materials. </w:t>
      </w:r>
      <w:r w:rsidR="001E790F" w:rsidRPr="001E790F">
        <w:rPr>
          <w:rFonts w:ascii="Baskerville Old Face" w:hAnsi="Baskerville Old Face"/>
          <w:i/>
          <w:iCs/>
        </w:rPr>
        <w:t>Use, implementation, contribution, participation, protected access, or reliance within Prometheus pathways constitutes acceptance of the incorporated documents in their verified hashed versions, subject to the Access Covenant, the applicable participation provisions, and the canonical release records.</w:t>
      </w:r>
    </w:p>
    <w:p w14:paraId="21CF7FEF" w14:textId="77777777" w:rsidR="00E94442" w:rsidRDefault="00E94442" w:rsidP="001616A3">
      <w:pPr>
        <w:spacing w:line="360" w:lineRule="auto"/>
        <w:rPr>
          <w:rFonts w:ascii="Baskerville Old Face" w:hAnsi="Baskerville Old Face"/>
          <w:b/>
          <w:bCs/>
          <w:i/>
          <w:iCs/>
        </w:rPr>
      </w:pPr>
    </w:p>
    <w:p w14:paraId="3022E26F" w14:textId="77777777" w:rsidR="00E94442" w:rsidRDefault="00E94442" w:rsidP="001616A3">
      <w:pPr>
        <w:spacing w:line="360" w:lineRule="auto"/>
        <w:rPr>
          <w:rFonts w:ascii="Baskerville Old Face" w:hAnsi="Baskerville Old Face"/>
          <w:b/>
          <w:bCs/>
          <w:i/>
          <w:iCs/>
        </w:rPr>
      </w:pPr>
    </w:p>
    <w:p w14:paraId="6480148A" w14:textId="306BBC48" w:rsidR="001616A3" w:rsidRPr="00B479AE" w:rsidRDefault="001616A3" w:rsidP="001616A3">
      <w:pPr>
        <w:spacing w:line="360" w:lineRule="auto"/>
        <w:rPr>
          <w:rFonts w:ascii="Baskerville Old Face" w:hAnsi="Baskerville Old Face"/>
          <w:b/>
          <w:bCs/>
          <w:i/>
          <w:iCs/>
        </w:rPr>
      </w:pPr>
      <w:r w:rsidRPr="00B479AE">
        <w:rPr>
          <w:rFonts w:ascii="Baskerville Old Face" w:hAnsi="Baskerville Old Face"/>
          <w:b/>
          <w:bCs/>
          <w:i/>
          <w:iCs/>
        </w:rPr>
        <w:lastRenderedPageBreak/>
        <w:t>Part 2: Verification and cryptographic integrity materials</w:t>
      </w:r>
    </w:p>
    <w:p w14:paraId="20C39030" w14:textId="0FD2F177" w:rsidR="00AB7F5C" w:rsidRPr="00B479AE" w:rsidRDefault="00AB7F5C" w:rsidP="001616A3">
      <w:pPr>
        <w:spacing w:line="360" w:lineRule="auto"/>
        <w:rPr>
          <w:rFonts w:ascii="Baskerville Old Face" w:hAnsi="Baskerville Old Face"/>
          <w:i/>
          <w:iCs/>
        </w:rPr>
      </w:pPr>
      <w:r w:rsidRPr="00B479AE">
        <w:rPr>
          <w:rFonts w:ascii="Baskerville Old Face" w:hAnsi="Baskerville Old Face"/>
          <w:i/>
          <w:iCs/>
        </w:rPr>
        <w:t>Upon final release, this White Paper should be digitally signed to support authenticity and integrity verification.</w:t>
      </w:r>
    </w:p>
    <w:p w14:paraId="30DBD515" w14:textId="130124DD" w:rsidR="001616A3" w:rsidRPr="00B479AE" w:rsidRDefault="001616A3" w:rsidP="000E6A2A">
      <w:pPr>
        <w:spacing w:line="360" w:lineRule="auto"/>
        <w:rPr>
          <w:rFonts w:ascii="Baskerville Old Face" w:hAnsi="Baskerville Old Face"/>
          <w:i/>
          <w:iCs/>
        </w:rPr>
      </w:pPr>
      <w:r w:rsidRPr="00B479AE">
        <w:rPr>
          <w:rFonts w:ascii="Baskerville Old Face" w:hAnsi="Baskerville Old Face"/>
          <w:i/>
          <w:iCs/>
        </w:rPr>
        <w:t>Anyone can verify the signature using standard OpenPGP tools.</w:t>
      </w:r>
    </w:p>
    <w:p w14:paraId="29CF4972" w14:textId="77777777"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Digitally signed document: to be generated upon canonical release.</w:t>
      </w:r>
    </w:p>
    <w:p w14:paraId="10416113" w14:textId="77777777"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SHA-256: to be generated upon canonical release.</w:t>
      </w:r>
    </w:p>
    <w:p w14:paraId="3735D465" w14:textId="77777777"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Digital signature file: to be generated upon canonical release.</w:t>
      </w:r>
    </w:p>
    <w:p w14:paraId="2721ECE7" w14:textId="77777777"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Signer: to be confirmed upon canonical release.</w:t>
      </w:r>
    </w:p>
    <w:p w14:paraId="5B8A14F6" w14:textId="77777777"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Key ID: to be confirmed upon canonical release.</w:t>
      </w:r>
    </w:p>
    <w:p w14:paraId="5B53004D" w14:textId="77777777"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Short key ID: to be confirmed upon canonical release.</w:t>
      </w:r>
    </w:p>
    <w:p w14:paraId="65E40BCE" w14:textId="1A3F6922" w:rsidR="000E6A2A" w:rsidRPr="00B479AE" w:rsidRDefault="000E6A2A" w:rsidP="000E6A2A">
      <w:pPr>
        <w:spacing w:line="360" w:lineRule="auto"/>
        <w:rPr>
          <w:rFonts w:ascii="Baskerville Old Face" w:hAnsi="Baskerville Old Face"/>
          <w:i/>
          <w:iCs/>
        </w:rPr>
      </w:pPr>
      <w:r w:rsidRPr="00B479AE">
        <w:rPr>
          <w:rFonts w:ascii="Baskerville Old Face" w:hAnsi="Baskerville Old Face"/>
          <w:i/>
          <w:iCs/>
        </w:rPr>
        <w:t>• Key fingerprint: to be confirmed upon canonical release.</w:t>
      </w:r>
    </w:p>
    <w:p w14:paraId="60EEEC6E" w14:textId="77777777" w:rsidR="001616A3" w:rsidRPr="00B479AE" w:rsidRDefault="001616A3" w:rsidP="001616A3">
      <w:pPr>
        <w:spacing w:line="360" w:lineRule="auto"/>
        <w:rPr>
          <w:rFonts w:ascii="Baskerville Old Face" w:hAnsi="Baskerville Old Face"/>
          <w:i/>
          <w:iCs/>
        </w:rPr>
      </w:pPr>
      <w:r w:rsidRPr="00B479AE">
        <w:rPr>
          <w:rFonts w:ascii="Baskerville Old Face" w:hAnsi="Baskerville Old Face"/>
          <w:i/>
          <w:iCs/>
        </w:rPr>
        <w:t>Complete verification materials, including detailed technical specifications, verification commands, package integrity checks, and release metadata, are distributed separately through the verification and reproducibility set, including:</w:t>
      </w:r>
    </w:p>
    <w:p w14:paraId="68523CF2" w14:textId="77777777" w:rsidR="001616A3" w:rsidRPr="00B479AE" w:rsidRDefault="001616A3" w:rsidP="001616A3">
      <w:pPr>
        <w:spacing w:line="360" w:lineRule="auto"/>
        <w:rPr>
          <w:rFonts w:ascii="Baskerville Old Face" w:hAnsi="Baskerville Old Face"/>
          <w:i/>
          <w:iCs/>
        </w:rPr>
      </w:pPr>
      <w:r w:rsidRPr="00B479AE">
        <w:rPr>
          <w:rFonts w:ascii="Baskerville Old Face" w:hAnsi="Baskerville Old Face"/>
          <w:i/>
          <w:iCs/>
        </w:rPr>
        <w:t xml:space="preserve">• Technical_verification_&amp;_cryptographic_integrity_manual.md  </w:t>
      </w:r>
    </w:p>
    <w:p w14:paraId="35F902A1" w14:textId="77777777" w:rsidR="001616A3" w:rsidRPr="00B479AE" w:rsidRDefault="001616A3" w:rsidP="001616A3">
      <w:pPr>
        <w:spacing w:line="360" w:lineRule="auto"/>
        <w:rPr>
          <w:rFonts w:ascii="Baskerville Old Face" w:hAnsi="Baskerville Old Face"/>
          <w:i/>
          <w:iCs/>
        </w:rPr>
      </w:pPr>
      <w:r w:rsidRPr="00B479AE">
        <w:rPr>
          <w:rFonts w:ascii="Baskerville Old Face" w:hAnsi="Baskerville Old Face"/>
          <w:i/>
          <w:iCs/>
        </w:rPr>
        <w:t xml:space="preserve">• VERIFICATION.md  </w:t>
      </w:r>
    </w:p>
    <w:p w14:paraId="2CE6B7DA" w14:textId="77777777" w:rsidR="001616A3" w:rsidRPr="00B479AE" w:rsidRDefault="001616A3" w:rsidP="001616A3">
      <w:pPr>
        <w:spacing w:line="360" w:lineRule="auto"/>
        <w:rPr>
          <w:rFonts w:ascii="Baskerville Old Face" w:hAnsi="Baskerville Old Face"/>
          <w:i/>
          <w:iCs/>
        </w:rPr>
      </w:pPr>
      <w:r w:rsidRPr="00B479AE">
        <w:rPr>
          <w:rFonts w:ascii="Baskerville Old Face" w:hAnsi="Baskerville Old Face"/>
          <w:i/>
          <w:iCs/>
        </w:rPr>
        <w:t xml:space="preserve">• SHA256_SUMS.txt  </w:t>
      </w:r>
    </w:p>
    <w:p w14:paraId="38B12DDD" w14:textId="2A27E61C" w:rsidR="001616A3" w:rsidRPr="00B479AE" w:rsidRDefault="001616A3" w:rsidP="001616A3">
      <w:pPr>
        <w:spacing w:line="360" w:lineRule="auto"/>
        <w:rPr>
          <w:rFonts w:ascii="Baskerville Old Face" w:hAnsi="Baskerville Old Face"/>
          <w:i/>
          <w:iCs/>
        </w:rPr>
      </w:pPr>
      <w:r w:rsidRPr="00B479AE">
        <w:rPr>
          <w:rFonts w:ascii="Baskerville Old Face" w:hAnsi="Baskerville Old Face"/>
          <w:i/>
          <w:iCs/>
        </w:rPr>
        <w:t xml:space="preserve">• </w:t>
      </w:r>
      <w:proofErr w:type="spellStart"/>
      <w:r w:rsidRPr="00B479AE">
        <w:rPr>
          <w:rFonts w:ascii="Baskerville Old Face" w:hAnsi="Baskerville Old Face"/>
          <w:i/>
          <w:iCs/>
        </w:rPr>
        <w:t>RELEASE_MANIFEST.json</w:t>
      </w:r>
      <w:proofErr w:type="spellEnd"/>
    </w:p>
    <w:p w14:paraId="105C5A6E" w14:textId="57B397B0" w:rsidR="00ED2FE7" w:rsidRPr="00B479AE" w:rsidRDefault="00ED2FE7" w:rsidP="00291CD1">
      <w:pPr>
        <w:spacing w:line="360" w:lineRule="auto"/>
        <w:rPr>
          <w:rFonts w:ascii="Baskerville Old Face" w:hAnsi="Baskerville Old Face"/>
          <w:b/>
          <w:bCs/>
          <w:i/>
          <w:iCs/>
        </w:rPr>
      </w:pPr>
      <w:r w:rsidRPr="00B479AE">
        <w:rPr>
          <w:rFonts w:ascii="Baskerville Old Face" w:hAnsi="Baskerville Old Face"/>
          <w:b/>
          <w:bCs/>
          <w:i/>
          <w:iCs/>
        </w:rPr>
        <w:t xml:space="preserve">Contribution discipline and implementation reviewability </w:t>
      </w:r>
    </w:p>
    <w:p w14:paraId="274036AA" w14:textId="77777777" w:rsidR="00ED2FE7" w:rsidRPr="00B479AE" w:rsidRDefault="00ED2FE7" w:rsidP="00ED2FE7">
      <w:pPr>
        <w:spacing w:line="360" w:lineRule="auto"/>
        <w:rPr>
          <w:rFonts w:ascii="Baskerville Old Face" w:hAnsi="Baskerville Old Face"/>
          <w:i/>
          <w:iCs/>
        </w:rPr>
      </w:pPr>
      <w:r w:rsidRPr="00B479AE">
        <w:rPr>
          <w:rFonts w:ascii="Baskerville Old Face" w:hAnsi="Baskerville Old Face"/>
          <w:i/>
          <w:iCs/>
        </w:rPr>
        <w:t>Prometheus codebase contribution is governed by pilot-first contribution discipline. Contributions are expected to preserve semantic fidelity, explicit validation, reviewability, scope discipline, and technical traceability.</w:t>
      </w:r>
    </w:p>
    <w:p w14:paraId="2AC73679" w14:textId="77777777" w:rsidR="00ED2FE7" w:rsidRPr="00B479AE" w:rsidRDefault="00ED2FE7" w:rsidP="00ED2FE7">
      <w:pPr>
        <w:spacing w:line="360" w:lineRule="auto"/>
        <w:rPr>
          <w:rFonts w:ascii="Baskerville Old Face" w:hAnsi="Baskerville Old Face"/>
          <w:i/>
          <w:iCs/>
        </w:rPr>
      </w:pPr>
      <w:r w:rsidRPr="00B479AE">
        <w:rPr>
          <w:rFonts w:ascii="Baskerville Old Face" w:hAnsi="Baskerville Old Face"/>
          <w:i/>
          <w:iCs/>
        </w:rPr>
        <w:t>Changes affecting canonical semantics, validation logic, or subsystem boundaries should be proposed explicitly rather than silently absorbed into implementation.</w:t>
      </w:r>
    </w:p>
    <w:p w14:paraId="753F0786" w14:textId="7EF0BB91" w:rsidR="00ED2FE7" w:rsidRPr="00B479AE" w:rsidRDefault="00ED2FE7" w:rsidP="00ED2FE7">
      <w:pPr>
        <w:spacing w:line="360" w:lineRule="auto"/>
        <w:rPr>
          <w:rFonts w:ascii="Baskerville Old Face" w:hAnsi="Baskerville Old Face"/>
          <w:i/>
          <w:iCs/>
        </w:rPr>
      </w:pPr>
      <w:r w:rsidRPr="00B479AE">
        <w:rPr>
          <w:rFonts w:ascii="Baskerville Old Face" w:hAnsi="Baskerville Old Face"/>
          <w:i/>
          <w:iCs/>
        </w:rPr>
        <w:lastRenderedPageBreak/>
        <w:t>This contribution discipline is necessary to preserve pilot correctness, reduce architectural drift, and maintain continuity between constitutional specification, implementation behavior, and release provenance.</w:t>
      </w:r>
    </w:p>
    <w:p w14:paraId="2063A3AF" w14:textId="77777777" w:rsidR="001616A3" w:rsidRPr="00B479AE" w:rsidRDefault="00962BEE" w:rsidP="00962BEE">
      <w:pPr>
        <w:spacing w:line="360" w:lineRule="auto"/>
        <w:rPr>
          <w:rFonts w:ascii="Baskerville Old Face" w:hAnsi="Baskerville Old Face"/>
          <w:i/>
          <w:iCs/>
        </w:rPr>
      </w:pPr>
      <w:r w:rsidRPr="00B479AE">
        <w:rPr>
          <w:rFonts w:ascii="Baskerville Old Face" w:hAnsi="Baskerville Old Face"/>
          <w:i/>
          <w:iCs/>
        </w:rPr>
        <w:t>Without reviewability, continuity decays.</w:t>
      </w:r>
      <w:r w:rsidR="001616A3" w:rsidRPr="00B479AE">
        <w:rPr>
          <w:rFonts w:ascii="Baskerville Old Face" w:hAnsi="Baskerville Old Face"/>
          <w:i/>
          <w:iCs/>
        </w:rPr>
        <w:t xml:space="preserve"> </w:t>
      </w:r>
    </w:p>
    <w:p w14:paraId="07D0560B" w14:textId="39522BB5" w:rsidR="00ED2FE7" w:rsidRPr="00B479AE" w:rsidRDefault="00962BEE" w:rsidP="00962BEE">
      <w:pPr>
        <w:spacing w:line="360" w:lineRule="auto"/>
        <w:rPr>
          <w:rFonts w:ascii="Baskerville Old Face" w:hAnsi="Baskerville Old Face"/>
          <w:i/>
          <w:iCs/>
        </w:rPr>
      </w:pPr>
      <w:r w:rsidRPr="00B479AE">
        <w:rPr>
          <w:rFonts w:ascii="Baskerville Old Face" w:hAnsi="Baskerville Old Face"/>
          <w:i/>
          <w:iCs/>
        </w:rPr>
        <w:t>Without continuity, constitutional intent becomes vulnerable to drift.</w:t>
      </w:r>
    </w:p>
    <w:p w14:paraId="23A5EB50" w14:textId="77777777" w:rsidR="00C74EB2" w:rsidRPr="00B479AE" w:rsidRDefault="00C74EB2" w:rsidP="00C74EB2">
      <w:pPr>
        <w:spacing w:line="360" w:lineRule="auto"/>
        <w:rPr>
          <w:rFonts w:ascii="Baskerville Old Face" w:hAnsi="Baskerville Old Face"/>
          <w:i/>
          <w:iCs/>
        </w:rPr>
      </w:pPr>
      <w:r w:rsidRPr="00B479AE">
        <w:rPr>
          <w:rFonts w:ascii="Baskerville Old Face" w:hAnsi="Baskerville Old Face"/>
          <w:i/>
          <w:iCs/>
        </w:rPr>
        <w:t>Publication date: to be confirmed upon canonical release.</w:t>
      </w:r>
    </w:p>
    <w:p w14:paraId="464FD7E9" w14:textId="2F411443" w:rsidR="0060387A" w:rsidRPr="00B479AE" w:rsidRDefault="00C74EB2" w:rsidP="00C74EB2">
      <w:pPr>
        <w:spacing w:line="360" w:lineRule="auto"/>
        <w:rPr>
          <w:rFonts w:ascii="Baskerville Old Face" w:hAnsi="Baskerville Old Face"/>
          <w:i/>
          <w:iCs/>
        </w:rPr>
      </w:pPr>
      <w:r w:rsidRPr="00B479AE">
        <w:rPr>
          <w:rFonts w:ascii="Baskerville Old Face" w:hAnsi="Baskerville Old Face"/>
          <w:i/>
          <w:iCs/>
        </w:rPr>
        <w:t>Verification suite: OpenPGP + SHA-256, to be finalized upon canonical release.</w:t>
      </w:r>
    </w:p>
    <w:p w14:paraId="65ACB156" w14:textId="77777777" w:rsidR="00C74EB2" w:rsidRPr="00B479AE" w:rsidRDefault="00C74EB2" w:rsidP="0075045B">
      <w:pPr>
        <w:spacing w:line="360" w:lineRule="auto"/>
        <w:rPr>
          <w:rFonts w:ascii="Baskerville Old Face" w:hAnsi="Baskerville Old Face"/>
          <w:i/>
          <w:iCs/>
        </w:rPr>
      </w:pPr>
    </w:p>
    <w:p w14:paraId="629EB307" w14:textId="6EB30AA8" w:rsidR="0075045B" w:rsidRPr="00B479AE" w:rsidRDefault="0075045B" w:rsidP="0075045B">
      <w:pPr>
        <w:spacing w:line="360" w:lineRule="auto"/>
        <w:rPr>
          <w:rFonts w:ascii="Baskerville Old Face" w:hAnsi="Baskerville Old Face"/>
          <w:i/>
          <w:iCs/>
        </w:rPr>
      </w:pPr>
      <w:r w:rsidRPr="00B479AE">
        <w:rPr>
          <w:rFonts w:ascii="Baskerville Old Face" w:hAnsi="Baskerville Old Face"/>
          <w:i/>
          <w:iCs/>
        </w:rPr>
        <w:t>“Life has no meaning. Each of us has meaning and we bring it to life. It is a waste to be asking the question when you are the answer.”</w:t>
      </w:r>
    </w:p>
    <w:p w14:paraId="7D46EDC1" w14:textId="77777777" w:rsidR="0075045B" w:rsidRPr="00B479AE" w:rsidRDefault="0075045B" w:rsidP="0075045B">
      <w:pPr>
        <w:spacing w:line="360" w:lineRule="auto"/>
        <w:rPr>
          <w:rFonts w:ascii="Baskerville Old Face" w:hAnsi="Baskerville Old Face"/>
          <w:i/>
          <w:iCs/>
        </w:rPr>
      </w:pPr>
      <w:r w:rsidRPr="00B479AE">
        <w:rPr>
          <w:rFonts w:ascii="Baskerville Old Face" w:hAnsi="Baskerville Old Face"/>
          <w:i/>
          <w:iCs/>
        </w:rPr>
        <w:t>— Joseph Campbell</w:t>
      </w:r>
    </w:p>
    <w:p w14:paraId="251C10A2" w14:textId="732B3E98" w:rsidR="0075045B" w:rsidRPr="00B479AE" w:rsidRDefault="0075045B" w:rsidP="0075045B">
      <w:pPr>
        <w:spacing w:line="360" w:lineRule="auto"/>
        <w:rPr>
          <w:rFonts w:ascii="Baskerville Old Face" w:hAnsi="Baskerville Old Face"/>
          <w:i/>
          <w:iCs/>
        </w:rPr>
      </w:pPr>
      <w:r w:rsidRPr="00B479AE">
        <w:rPr>
          <w:rFonts w:ascii="Baskerville Old Face" w:hAnsi="Baskerville Old Face"/>
          <w:b/>
          <w:bCs/>
          <w:i/>
          <w:iCs/>
        </w:rPr>
        <w:t>In Unity</w:t>
      </w:r>
    </w:p>
    <w:p w14:paraId="40B6D2B8" w14:textId="77777777" w:rsidR="0075045B" w:rsidRPr="00B479AE" w:rsidRDefault="0075045B" w:rsidP="0075045B">
      <w:pPr>
        <w:spacing w:line="360" w:lineRule="auto"/>
        <w:rPr>
          <w:rFonts w:ascii="Baskerville Old Face" w:hAnsi="Baskerville Old Face"/>
          <w:i/>
          <w:iCs/>
        </w:rPr>
      </w:pPr>
      <w:proofErr w:type="spellStart"/>
      <w:r w:rsidRPr="00B479AE">
        <w:rPr>
          <w:rFonts w:ascii="Baskerville Old Face" w:hAnsi="Baskerville Old Face"/>
          <w:i/>
          <w:iCs/>
        </w:rPr>
        <w:t>Uwohali</w:t>
      </w:r>
      <w:proofErr w:type="spellEnd"/>
      <w:r w:rsidRPr="00B479AE">
        <w:rPr>
          <w:rFonts w:ascii="Baskerville Old Face" w:hAnsi="Baskerville Old Face"/>
          <w:i/>
          <w:iCs/>
        </w:rPr>
        <w:t xml:space="preserve"> Tuccio</w:t>
      </w:r>
    </w:p>
    <w:p w14:paraId="40BEBBB4" w14:textId="77777777" w:rsidR="0075045B" w:rsidRPr="00B479AE" w:rsidRDefault="0075045B" w:rsidP="0075045B">
      <w:pPr>
        <w:spacing w:line="360" w:lineRule="auto"/>
        <w:rPr>
          <w:rFonts w:ascii="Baskerville Old Face" w:hAnsi="Baskerville Old Face"/>
          <w:b/>
          <w:bCs/>
          <w:i/>
          <w:iCs/>
        </w:rPr>
      </w:pPr>
      <w:r w:rsidRPr="00B479AE">
        <w:rPr>
          <w:rFonts w:ascii="Baskerville Old Face" w:hAnsi="Baskerville Old Face"/>
          <w:i/>
          <w:iCs/>
          <w:noProof/>
        </w:rPr>
        <w:drawing>
          <wp:inline distT="0" distB="0" distL="0" distR="0" wp14:anchorId="3BD5829B" wp14:editId="09003A4C">
            <wp:extent cx="838200" cy="455177"/>
            <wp:effectExtent l="0" t="0" r="0" b="2540"/>
            <wp:docPr id="319654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8676" cy="471727"/>
                    </a:xfrm>
                    <a:prstGeom prst="rect">
                      <a:avLst/>
                    </a:prstGeom>
                    <a:noFill/>
                    <a:ln>
                      <a:noFill/>
                    </a:ln>
                  </pic:spPr>
                </pic:pic>
              </a:graphicData>
            </a:graphic>
          </wp:inline>
        </w:drawing>
      </w:r>
    </w:p>
    <w:p w14:paraId="7033C094" w14:textId="77777777" w:rsidR="0075045B" w:rsidRPr="00B479AE" w:rsidRDefault="0075045B" w:rsidP="0075045B">
      <w:pPr>
        <w:rPr>
          <w:rFonts w:ascii="Baskerville Old Face" w:hAnsi="Baskerville Old Face"/>
          <w:b/>
          <w:bCs/>
          <w:i/>
          <w:iCs/>
        </w:rPr>
      </w:pPr>
      <w:r w:rsidRPr="00B479AE">
        <w:rPr>
          <w:rFonts w:ascii="Baskerville Old Face" w:hAnsi="Baskerville Old Face"/>
          <w:b/>
          <w:bCs/>
          <w:i/>
          <w:iCs/>
        </w:rPr>
        <w:t>Work for Nature,</w:t>
      </w:r>
    </w:p>
    <w:p w14:paraId="2E55FBBA" w14:textId="04CB3EC5" w:rsidR="0075045B" w:rsidRPr="008C0EA1" w:rsidRDefault="0075045B" w:rsidP="0075045B">
      <w:pPr>
        <w:rPr>
          <w:rFonts w:ascii="Baskerville Old Face" w:hAnsi="Baskerville Old Face"/>
          <w:i/>
          <w:iCs/>
        </w:rPr>
      </w:pPr>
      <w:r w:rsidRPr="00B479AE">
        <w:rPr>
          <w:rFonts w:ascii="Baskerville Old Face" w:hAnsi="Baskerville Old Face"/>
          <w:b/>
          <w:bCs/>
          <w:i/>
          <w:iCs/>
        </w:rPr>
        <w:t>and Nature will work for you</w:t>
      </w:r>
    </w:p>
    <w:sectPr w:rsidR="0075045B" w:rsidRPr="008C0EA1">
      <w:footerReference w:type="default" r:id="rId71"/>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C06CA" w14:textId="77777777" w:rsidR="004C3017" w:rsidRPr="00B479AE" w:rsidRDefault="004C3017" w:rsidP="00F16AFD">
      <w:pPr>
        <w:spacing w:before="0"/>
      </w:pPr>
      <w:r w:rsidRPr="00B479AE">
        <w:separator/>
      </w:r>
    </w:p>
  </w:endnote>
  <w:endnote w:type="continuationSeparator" w:id="0">
    <w:p w14:paraId="1933CA76" w14:textId="77777777" w:rsidR="004C3017" w:rsidRPr="00B479AE" w:rsidRDefault="004C3017" w:rsidP="00F16AFD">
      <w:pPr>
        <w:spacing w:before="0"/>
      </w:pPr>
      <w:r w:rsidRPr="00B479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4876965"/>
      <w:docPartObj>
        <w:docPartGallery w:val="Page Numbers (Bottom of Page)"/>
        <w:docPartUnique/>
      </w:docPartObj>
    </w:sdtPr>
    <w:sdtContent>
      <w:p w14:paraId="65EB7E22" w14:textId="5125434F" w:rsidR="00E336CD" w:rsidRPr="00B479AE" w:rsidRDefault="00E336CD">
        <w:pPr>
          <w:pStyle w:val="Pidipagina"/>
          <w:jc w:val="right"/>
        </w:pPr>
        <w:r w:rsidRPr="00B479AE">
          <w:fldChar w:fldCharType="begin"/>
        </w:r>
        <w:r w:rsidRPr="00B479AE">
          <w:instrText>PAGE   \* MERGEFORMAT</w:instrText>
        </w:r>
        <w:r w:rsidRPr="00B479AE">
          <w:fldChar w:fldCharType="separate"/>
        </w:r>
        <w:r w:rsidRPr="00B479AE">
          <w:t>2</w:t>
        </w:r>
        <w:r w:rsidRPr="00B479AE">
          <w:fldChar w:fldCharType="end"/>
        </w:r>
      </w:p>
    </w:sdtContent>
  </w:sdt>
  <w:p w14:paraId="562C9F1E" w14:textId="332D24DA" w:rsidR="00F16AFD" w:rsidRPr="00B479AE" w:rsidRDefault="00F16AFD" w:rsidP="00F16AFD">
    <w:pPr>
      <w:pStyle w:val="Pidipagina"/>
      <w:spacing w:line="360" w:lineRule="auto"/>
      <w:jc w:val="right"/>
      <w:rPr>
        <w:rFonts w:ascii="Baskerville Old Face" w:hAnsi="Baskerville Old Face"/>
        <w:color w:val="5B9BD5" w:themeColor="accent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A7E4" w14:textId="77777777" w:rsidR="004C3017" w:rsidRPr="00B479AE" w:rsidRDefault="004C3017" w:rsidP="00F16AFD">
      <w:pPr>
        <w:spacing w:before="0"/>
      </w:pPr>
      <w:r w:rsidRPr="00B479AE">
        <w:separator/>
      </w:r>
    </w:p>
  </w:footnote>
  <w:footnote w:type="continuationSeparator" w:id="0">
    <w:p w14:paraId="0B13EBE9" w14:textId="77777777" w:rsidR="004C3017" w:rsidRPr="00B479AE" w:rsidRDefault="004C3017" w:rsidP="00F16AFD">
      <w:pPr>
        <w:spacing w:before="0"/>
      </w:pPr>
      <w:r w:rsidRPr="00B479A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F01"/>
    <w:multiLevelType w:val="multilevel"/>
    <w:tmpl w:val="2B1C5E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555B1"/>
    <w:multiLevelType w:val="multilevel"/>
    <w:tmpl w:val="3C32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AB0C66"/>
    <w:multiLevelType w:val="multilevel"/>
    <w:tmpl w:val="B6928B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D96925"/>
    <w:multiLevelType w:val="multilevel"/>
    <w:tmpl w:val="D7A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01C21"/>
    <w:multiLevelType w:val="multilevel"/>
    <w:tmpl w:val="A8B6C5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8E7559"/>
    <w:multiLevelType w:val="multilevel"/>
    <w:tmpl w:val="54A826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D804CB"/>
    <w:multiLevelType w:val="multilevel"/>
    <w:tmpl w:val="1A00F9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6B540B"/>
    <w:multiLevelType w:val="multilevel"/>
    <w:tmpl w:val="DE70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57C30"/>
    <w:multiLevelType w:val="multilevel"/>
    <w:tmpl w:val="3DA8E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54508"/>
    <w:multiLevelType w:val="multilevel"/>
    <w:tmpl w:val="237E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A05B6"/>
    <w:multiLevelType w:val="multilevel"/>
    <w:tmpl w:val="8C1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002B2"/>
    <w:multiLevelType w:val="multilevel"/>
    <w:tmpl w:val="2C4A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B2DAC"/>
    <w:multiLevelType w:val="multilevel"/>
    <w:tmpl w:val="9DD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75E51"/>
    <w:multiLevelType w:val="multilevel"/>
    <w:tmpl w:val="43C40D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66538F"/>
    <w:multiLevelType w:val="multilevel"/>
    <w:tmpl w:val="AAA2A0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EF66F65"/>
    <w:multiLevelType w:val="multilevel"/>
    <w:tmpl w:val="8F02E6D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0C14F0"/>
    <w:multiLevelType w:val="hybridMultilevel"/>
    <w:tmpl w:val="F33A819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96C5306"/>
    <w:multiLevelType w:val="multilevel"/>
    <w:tmpl w:val="9612C0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DA6B1A"/>
    <w:multiLevelType w:val="multilevel"/>
    <w:tmpl w:val="05943DE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DB349E"/>
    <w:multiLevelType w:val="multilevel"/>
    <w:tmpl w:val="85C08F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68007E"/>
    <w:multiLevelType w:val="multilevel"/>
    <w:tmpl w:val="08D051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530D71"/>
    <w:multiLevelType w:val="multilevel"/>
    <w:tmpl w:val="BB203F0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6B13AD"/>
    <w:multiLevelType w:val="multilevel"/>
    <w:tmpl w:val="08F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023300"/>
    <w:multiLevelType w:val="multilevel"/>
    <w:tmpl w:val="845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8C5C86"/>
    <w:multiLevelType w:val="multilevel"/>
    <w:tmpl w:val="9794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B5607"/>
    <w:multiLevelType w:val="multilevel"/>
    <w:tmpl w:val="0C289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310390"/>
    <w:multiLevelType w:val="multilevel"/>
    <w:tmpl w:val="AAC60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C40571"/>
    <w:multiLevelType w:val="multilevel"/>
    <w:tmpl w:val="0472F1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0437B6E"/>
    <w:multiLevelType w:val="multilevel"/>
    <w:tmpl w:val="2278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4511D99"/>
    <w:multiLevelType w:val="multilevel"/>
    <w:tmpl w:val="42A408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F12F91"/>
    <w:multiLevelType w:val="multilevel"/>
    <w:tmpl w:val="094C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3778B1"/>
    <w:multiLevelType w:val="multilevel"/>
    <w:tmpl w:val="040C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78239C"/>
    <w:multiLevelType w:val="multilevel"/>
    <w:tmpl w:val="7F06A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9234C"/>
    <w:multiLevelType w:val="multilevel"/>
    <w:tmpl w:val="C40E08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4BE262A7"/>
    <w:multiLevelType w:val="multilevel"/>
    <w:tmpl w:val="E5CC83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4E14D3"/>
    <w:multiLevelType w:val="multilevel"/>
    <w:tmpl w:val="10D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253D0"/>
    <w:multiLevelType w:val="multilevel"/>
    <w:tmpl w:val="1894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E36278"/>
    <w:multiLevelType w:val="multilevel"/>
    <w:tmpl w:val="526E9B0C"/>
    <w:lvl w:ilvl="0">
      <w:start w:val="1"/>
      <w:numFmt w:val="decimal"/>
      <w:lvlText w:val="%1."/>
      <w:lvlJc w:val="left"/>
      <w:pPr>
        <w:tabs>
          <w:tab w:val="num" w:pos="360"/>
        </w:tabs>
        <w:ind w:left="360" w:hanging="360"/>
      </w:pPr>
      <w:rPr>
        <w:lang w:val="en-U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58CC5680"/>
    <w:multiLevelType w:val="multilevel"/>
    <w:tmpl w:val="58EEF7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1D59EE"/>
    <w:multiLevelType w:val="multilevel"/>
    <w:tmpl w:val="97A052C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E360B2"/>
    <w:multiLevelType w:val="multilevel"/>
    <w:tmpl w:val="98C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4AF8"/>
    <w:multiLevelType w:val="multilevel"/>
    <w:tmpl w:val="8C9013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EF6913"/>
    <w:multiLevelType w:val="multilevel"/>
    <w:tmpl w:val="9A7615F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124298"/>
    <w:multiLevelType w:val="multilevel"/>
    <w:tmpl w:val="0868BB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9EB1D8D"/>
    <w:multiLevelType w:val="multilevel"/>
    <w:tmpl w:val="A9E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56318B"/>
    <w:multiLevelType w:val="multilevel"/>
    <w:tmpl w:val="ADB6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1F611D"/>
    <w:multiLevelType w:val="multilevel"/>
    <w:tmpl w:val="BC803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C1D61"/>
    <w:multiLevelType w:val="multilevel"/>
    <w:tmpl w:val="AE685F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5871C3F"/>
    <w:multiLevelType w:val="multilevel"/>
    <w:tmpl w:val="AB765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305860"/>
    <w:multiLevelType w:val="multilevel"/>
    <w:tmpl w:val="622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5B3096"/>
    <w:multiLevelType w:val="multilevel"/>
    <w:tmpl w:val="59B628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5E1C87"/>
    <w:multiLevelType w:val="multilevel"/>
    <w:tmpl w:val="1DA0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F2671"/>
    <w:multiLevelType w:val="multilevel"/>
    <w:tmpl w:val="D0A6E9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6D5BE2"/>
    <w:multiLevelType w:val="multilevel"/>
    <w:tmpl w:val="5D98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486982">
    <w:abstractNumId w:val="12"/>
  </w:num>
  <w:num w:numId="2" w16cid:durableId="1647934632">
    <w:abstractNumId w:val="53"/>
  </w:num>
  <w:num w:numId="3" w16cid:durableId="1286352356">
    <w:abstractNumId w:val="10"/>
  </w:num>
  <w:num w:numId="4" w16cid:durableId="1114784150">
    <w:abstractNumId w:val="45"/>
  </w:num>
  <w:num w:numId="5" w16cid:durableId="2043288630">
    <w:abstractNumId w:val="32"/>
  </w:num>
  <w:num w:numId="6" w16cid:durableId="1483038043">
    <w:abstractNumId w:val="46"/>
  </w:num>
  <w:num w:numId="7" w16cid:durableId="559443090">
    <w:abstractNumId w:val="31"/>
  </w:num>
  <w:num w:numId="8" w16cid:durableId="826937102">
    <w:abstractNumId w:val="51"/>
  </w:num>
  <w:num w:numId="9" w16cid:durableId="1484587551">
    <w:abstractNumId w:val="49"/>
  </w:num>
  <w:num w:numId="10" w16cid:durableId="1027291166">
    <w:abstractNumId w:val="30"/>
  </w:num>
  <w:num w:numId="11" w16cid:durableId="247345666">
    <w:abstractNumId w:val="40"/>
  </w:num>
  <w:num w:numId="12" w16cid:durableId="949317582">
    <w:abstractNumId w:val="24"/>
  </w:num>
  <w:num w:numId="13" w16cid:durableId="253168431">
    <w:abstractNumId w:val="7"/>
  </w:num>
  <w:num w:numId="14" w16cid:durableId="1019164807">
    <w:abstractNumId w:val="23"/>
  </w:num>
  <w:num w:numId="15" w16cid:durableId="1121925532">
    <w:abstractNumId w:val="3"/>
  </w:num>
  <w:num w:numId="16" w16cid:durableId="901864767">
    <w:abstractNumId w:val="33"/>
  </w:num>
  <w:num w:numId="17" w16cid:durableId="1574199942">
    <w:abstractNumId w:val="27"/>
  </w:num>
  <w:num w:numId="18" w16cid:durableId="770861788">
    <w:abstractNumId w:val="11"/>
  </w:num>
  <w:num w:numId="19" w16cid:durableId="1120221234">
    <w:abstractNumId w:val="48"/>
  </w:num>
  <w:num w:numId="20" w16cid:durableId="1025012694">
    <w:abstractNumId w:val="8"/>
  </w:num>
  <w:num w:numId="21" w16cid:durableId="240674727">
    <w:abstractNumId w:val="36"/>
  </w:num>
  <w:num w:numId="22" w16cid:durableId="1756903547">
    <w:abstractNumId w:val="1"/>
  </w:num>
  <w:num w:numId="23" w16cid:durableId="1487933637">
    <w:abstractNumId w:val="47"/>
  </w:num>
  <w:num w:numId="24" w16cid:durableId="16153119">
    <w:abstractNumId w:val="50"/>
  </w:num>
  <w:num w:numId="25" w16cid:durableId="1094861109">
    <w:abstractNumId w:val="20"/>
  </w:num>
  <w:num w:numId="26" w16cid:durableId="1407066509">
    <w:abstractNumId w:val="41"/>
  </w:num>
  <w:num w:numId="27" w16cid:durableId="1094478929">
    <w:abstractNumId w:val="29"/>
  </w:num>
  <w:num w:numId="28" w16cid:durableId="1878003626">
    <w:abstractNumId w:val="15"/>
  </w:num>
  <w:num w:numId="29" w16cid:durableId="1170605634">
    <w:abstractNumId w:val="28"/>
  </w:num>
  <w:num w:numId="30" w16cid:durableId="1830949285">
    <w:abstractNumId w:val="34"/>
  </w:num>
  <w:num w:numId="31" w16cid:durableId="1664426849">
    <w:abstractNumId w:val="13"/>
  </w:num>
  <w:num w:numId="32" w16cid:durableId="221605066">
    <w:abstractNumId w:val="52"/>
  </w:num>
  <w:num w:numId="33" w16cid:durableId="2002927084">
    <w:abstractNumId w:val="38"/>
  </w:num>
  <w:num w:numId="34" w16cid:durableId="989091517">
    <w:abstractNumId w:val="21"/>
  </w:num>
  <w:num w:numId="35" w16cid:durableId="34090634">
    <w:abstractNumId w:val="42"/>
  </w:num>
  <w:num w:numId="36" w16cid:durableId="1966620731">
    <w:abstractNumId w:val="17"/>
  </w:num>
  <w:num w:numId="37" w16cid:durableId="938874597">
    <w:abstractNumId w:val="39"/>
  </w:num>
  <w:num w:numId="38" w16cid:durableId="683484149">
    <w:abstractNumId w:val="0"/>
  </w:num>
  <w:num w:numId="39" w16cid:durableId="1395006178">
    <w:abstractNumId w:val="25"/>
  </w:num>
  <w:num w:numId="40" w16cid:durableId="1069117420">
    <w:abstractNumId w:val="5"/>
  </w:num>
  <w:num w:numId="41" w16cid:durableId="1341541338">
    <w:abstractNumId w:val="2"/>
  </w:num>
  <w:num w:numId="42" w16cid:durableId="146098291">
    <w:abstractNumId w:val="26"/>
  </w:num>
  <w:num w:numId="43" w16cid:durableId="1069039418">
    <w:abstractNumId w:val="19"/>
  </w:num>
  <w:num w:numId="44" w16cid:durableId="1747222139">
    <w:abstractNumId w:val="43"/>
  </w:num>
  <w:num w:numId="45" w16cid:durableId="1174219901">
    <w:abstractNumId w:val="6"/>
  </w:num>
  <w:num w:numId="46" w16cid:durableId="729574233">
    <w:abstractNumId w:val="4"/>
  </w:num>
  <w:num w:numId="47" w16cid:durableId="323902255">
    <w:abstractNumId w:val="18"/>
  </w:num>
  <w:num w:numId="48" w16cid:durableId="2091342856">
    <w:abstractNumId w:val="9"/>
  </w:num>
  <w:num w:numId="49" w16cid:durableId="2104959996">
    <w:abstractNumId w:val="35"/>
  </w:num>
  <w:num w:numId="50" w16cid:durableId="1985771256">
    <w:abstractNumId w:val="22"/>
  </w:num>
  <w:num w:numId="51" w16cid:durableId="1210147856">
    <w:abstractNumId w:val="14"/>
  </w:num>
  <w:num w:numId="52" w16cid:durableId="147213449">
    <w:abstractNumId w:val="16"/>
  </w:num>
  <w:num w:numId="53" w16cid:durableId="2135830025">
    <w:abstractNumId w:val="44"/>
  </w:num>
  <w:num w:numId="54" w16cid:durableId="1933661244">
    <w:abstractNumId w:val="3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DA1"/>
    <w:rsid w:val="00003758"/>
    <w:rsid w:val="00011A12"/>
    <w:rsid w:val="00016B4B"/>
    <w:rsid w:val="000172EA"/>
    <w:rsid w:val="000174AD"/>
    <w:rsid w:val="000209B3"/>
    <w:rsid w:val="000227B2"/>
    <w:rsid w:val="00024136"/>
    <w:rsid w:val="00024713"/>
    <w:rsid w:val="0002515C"/>
    <w:rsid w:val="000255D8"/>
    <w:rsid w:val="00026F2F"/>
    <w:rsid w:val="00030CF1"/>
    <w:rsid w:val="000339F3"/>
    <w:rsid w:val="000350E2"/>
    <w:rsid w:val="00035442"/>
    <w:rsid w:val="00037D64"/>
    <w:rsid w:val="0004381A"/>
    <w:rsid w:val="00045B1E"/>
    <w:rsid w:val="000529F6"/>
    <w:rsid w:val="00052FE3"/>
    <w:rsid w:val="00053A8C"/>
    <w:rsid w:val="00055592"/>
    <w:rsid w:val="00055E2D"/>
    <w:rsid w:val="00055E47"/>
    <w:rsid w:val="00057D0A"/>
    <w:rsid w:val="0006098A"/>
    <w:rsid w:val="00060E0B"/>
    <w:rsid w:val="00062324"/>
    <w:rsid w:val="00062CC2"/>
    <w:rsid w:val="00066A67"/>
    <w:rsid w:val="00070DC0"/>
    <w:rsid w:val="00073ADE"/>
    <w:rsid w:val="000746FB"/>
    <w:rsid w:val="000776F7"/>
    <w:rsid w:val="000801ED"/>
    <w:rsid w:val="00080B17"/>
    <w:rsid w:val="00081A01"/>
    <w:rsid w:val="00081B9D"/>
    <w:rsid w:val="00082C5B"/>
    <w:rsid w:val="00084149"/>
    <w:rsid w:val="000855FE"/>
    <w:rsid w:val="00094199"/>
    <w:rsid w:val="000946A7"/>
    <w:rsid w:val="0009605B"/>
    <w:rsid w:val="00097B34"/>
    <w:rsid w:val="000A1FA7"/>
    <w:rsid w:val="000A233A"/>
    <w:rsid w:val="000A3CB1"/>
    <w:rsid w:val="000A3F1F"/>
    <w:rsid w:val="000A51D1"/>
    <w:rsid w:val="000B0E24"/>
    <w:rsid w:val="000B38D2"/>
    <w:rsid w:val="000B403C"/>
    <w:rsid w:val="000B4FA6"/>
    <w:rsid w:val="000B4FC0"/>
    <w:rsid w:val="000B50C9"/>
    <w:rsid w:val="000B6757"/>
    <w:rsid w:val="000D2179"/>
    <w:rsid w:val="000D340F"/>
    <w:rsid w:val="000D373B"/>
    <w:rsid w:val="000E2E08"/>
    <w:rsid w:val="000E3479"/>
    <w:rsid w:val="000E383F"/>
    <w:rsid w:val="000E6A2A"/>
    <w:rsid w:val="000F0C3C"/>
    <w:rsid w:val="000F12BA"/>
    <w:rsid w:val="000F700F"/>
    <w:rsid w:val="000F7A67"/>
    <w:rsid w:val="000F7D11"/>
    <w:rsid w:val="0010030D"/>
    <w:rsid w:val="00102B8E"/>
    <w:rsid w:val="001033E1"/>
    <w:rsid w:val="001041CA"/>
    <w:rsid w:val="001063DF"/>
    <w:rsid w:val="001069F8"/>
    <w:rsid w:val="001121B9"/>
    <w:rsid w:val="00112DE6"/>
    <w:rsid w:val="00113253"/>
    <w:rsid w:val="001135BA"/>
    <w:rsid w:val="0011478E"/>
    <w:rsid w:val="001149CC"/>
    <w:rsid w:val="00114A2C"/>
    <w:rsid w:val="00115082"/>
    <w:rsid w:val="00116600"/>
    <w:rsid w:val="00117C69"/>
    <w:rsid w:val="00122124"/>
    <w:rsid w:val="00124B17"/>
    <w:rsid w:val="00125EFA"/>
    <w:rsid w:val="00126CF3"/>
    <w:rsid w:val="00126E9E"/>
    <w:rsid w:val="00130196"/>
    <w:rsid w:val="0013231B"/>
    <w:rsid w:val="00132CCC"/>
    <w:rsid w:val="0013480E"/>
    <w:rsid w:val="00137ECB"/>
    <w:rsid w:val="00144C3A"/>
    <w:rsid w:val="001500AD"/>
    <w:rsid w:val="001509BE"/>
    <w:rsid w:val="00152B2F"/>
    <w:rsid w:val="001530F7"/>
    <w:rsid w:val="00154780"/>
    <w:rsid w:val="00155321"/>
    <w:rsid w:val="001554F8"/>
    <w:rsid w:val="00156658"/>
    <w:rsid w:val="0015689C"/>
    <w:rsid w:val="001616A3"/>
    <w:rsid w:val="00163089"/>
    <w:rsid w:val="0016340F"/>
    <w:rsid w:val="0016516D"/>
    <w:rsid w:val="00171139"/>
    <w:rsid w:val="00171599"/>
    <w:rsid w:val="00174206"/>
    <w:rsid w:val="001746D2"/>
    <w:rsid w:val="001759CF"/>
    <w:rsid w:val="00175E64"/>
    <w:rsid w:val="0017714E"/>
    <w:rsid w:val="001820B3"/>
    <w:rsid w:val="001825B9"/>
    <w:rsid w:val="0018262E"/>
    <w:rsid w:val="00182886"/>
    <w:rsid w:val="00182D02"/>
    <w:rsid w:val="001835FB"/>
    <w:rsid w:val="0018363D"/>
    <w:rsid w:val="00183F1B"/>
    <w:rsid w:val="001866E1"/>
    <w:rsid w:val="0018797F"/>
    <w:rsid w:val="0019221F"/>
    <w:rsid w:val="00192AA9"/>
    <w:rsid w:val="00193796"/>
    <w:rsid w:val="00195A7A"/>
    <w:rsid w:val="001A0AC2"/>
    <w:rsid w:val="001A2F4D"/>
    <w:rsid w:val="001A374E"/>
    <w:rsid w:val="001A3981"/>
    <w:rsid w:val="001A5041"/>
    <w:rsid w:val="001A7A01"/>
    <w:rsid w:val="001A7DE7"/>
    <w:rsid w:val="001B0A1E"/>
    <w:rsid w:val="001B111A"/>
    <w:rsid w:val="001B193F"/>
    <w:rsid w:val="001B64C6"/>
    <w:rsid w:val="001C094B"/>
    <w:rsid w:val="001C0DFB"/>
    <w:rsid w:val="001C2F0A"/>
    <w:rsid w:val="001C3967"/>
    <w:rsid w:val="001C4171"/>
    <w:rsid w:val="001D10C4"/>
    <w:rsid w:val="001D20D6"/>
    <w:rsid w:val="001D2CE6"/>
    <w:rsid w:val="001D5D4C"/>
    <w:rsid w:val="001D73D2"/>
    <w:rsid w:val="001E2174"/>
    <w:rsid w:val="001E2FEB"/>
    <w:rsid w:val="001E5F17"/>
    <w:rsid w:val="001E790F"/>
    <w:rsid w:val="001E7C83"/>
    <w:rsid w:val="00202BAB"/>
    <w:rsid w:val="0020351E"/>
    <w:rsid w:val="00203D37"/>
    <w:rsid w:val="00203F87"/>
    <w:rsid w:val="00206654"/>
    <w:rsid w:val="002067CD"/>
    <w:rsid w:val="002067D3"/>
    <w:rsid w:val="00206B23"/>
    <w:rsid w:val="00207932"/>
    <w:rsid w:val="0021188B"/>
    <w:rsid w:val="002125A7"/>
    <w:rsid w:val="0021333A"/>
    <w:rsid w:val="00214562"/>
    <w:rsid w:val="00216C03"/>
    <w:rsid w:val="002227F6"/>
    <w:rsid w:val="0022282D"/>
    <w:rsid w:val="00222FD9"/>
    <w:rsid w:val="002275BF"/>
    <w:rsid w:val="00227A47"/>
    <w:rsid w:val="00227FD8"/>
    <w:rsid w:val="002305E8"/>
    <w:rsid w:val="00230EF7"/>
    <w:rsid w:val="002329D5"/>
    <w:rsid w:val="0023584E"/>
    <w:rsid w:val="00236316"/>
    <w:rsid w:val="00236FDC"/>
    <w:rsid w:val="002407A9"/>
    <w:rsid w:val="00241E64"/>
    <w:rsid w:val="00243481"/>
    <w:rsid w:val="00245487"/>
    <w:rsid w:val="00245800"/>
    <w:rsid w:val="00247312"/>
    <w:rsid w:val="00253482"/>
    <w:rsid w:val="00254A18"/>
    <w:rsid w:val="002551D7"/>
    <w:rsid w:val="002566F6"/>
    <w:rsid w:val="00256EFE"/>
    <w:rsid w:val="00257CD9"/>
    <w:rsid w:val="002602C5"/>
    <w:rsid w:val="00260E6C"/>
    <w:rsid w:val="00263E26"/>
    <w:rsid w:val="002648C8"/>
    <w:rsid w:val="00265CB5"/>
    <w:rsid w:val="0027178C"/>
    <w:rsid w:val="002748C2"/>
    <w:rsid w:val="002819DC"/>
    <w:rsid w:val="00283327"/>
    <w:rsid w:val="00286784"/>
    <w:rsid w:val="00286B8B"/>
    <w:rsid w:val="00286F95"/>
    <w:rsid w:val="00287C00"/>
    <w:rsid w:val="00290D30"/>
    <w:rsid w:val="00291CD1"/>
    <w:rsid w:val="00294114"/>
    <w:rsid w:val="00294A31"/>
    <w:rsid w:val="00296D72"/>
    <w:rsid w:val="002975D2"/>
    <w:rsid w:val="002A1957"/>
    <w:rsid w:val="002A1FFB"/>
    <w:rsid w:val="002A483C"/>
    <w:rsid w:val="002A5030"/>
    <w:rsid w:val="002A5F86"/>
    <w:rsid w:val="002A7CA3"/>
    <w:rsid w:val="002B37CD"/>
    <w:rsid w:val="002B4800"/>
    <w:rsid w:val="002B56EF"/>
    <w:rsid w:val="002C059C"/>
    <w:rsid w:val="002C2DB3"/>
    <w:rsid w:val="002C57D8"/>
    <w:rsid w:val="002C6686"/>
    <w:rsid w:val="002C72FD"/>
    <w:rsid w:val="002D00A3"/>
    <w:rsid w:val="002D078A"/>
    <w:rsid w:val="002D3356"/>
    <w:rsid w:val="002D39D7"/>
    <w:rsid w:val="002D6C8D"/>
    <w:rsid w:val="002D71B7"/>
    <w:rsid w:val="002E1A9B"/>
    <w:rsid w:val="002E24FF"/>
    <w:rsid w:val="002E55C7"/>
    <w:rsid w:val="002E5EB1"/>
    <w:rsid w:val="002E7C95"/>
    <w:rsid w:val="002F0EC7"/>
    <w:rsid w:val="002F2301"/>
    <w:rsid w:val="002F4CAA"/>
    <w:rsid w:val="002F5AA1"/>
    <w:rsid w:val="002F6D47"/>
    <w:rsid w:val="002F74D9"/>
    <w:rsid w:val="00300F32"/>
    <w:rsid w:val="00303AFE"/>
    <w:rsid w:val="00305A28"/>
    <w:rsid w:val="00305E1A"/>
    <w:rsid w:val="00307598"/>
    <w:rsid w:val="00307BCC"/>
    <w:rsid w:val="0031220A"/>
    <w:rsid w:val="00314051"/>
    <w:rsid w:val="003148B1"/>
    <w:rsid w:val="003154A1"/>
    <w:rsid w:val="00315BCB"/>
    <w:rsid w:val="003164F6"/>
    <w:rsid w:val="0031685B"/>
    <w:rsid w:val="00317015"/>
    <w:rsid w:val="00317A04"/>
    <w:rsid w:val="00317D51"/>
    <w:rsid w:val="00321544"/>
    <w:rsid w:val="0032243D"/>
    <w:rsid w:val="003241C9"/>
    <w:rsid w:val="00324863"/>
    <w:rsid w:val="0032602B"/>
    <w:rsid w:val="00326B07"/>
    <w:rsid w:val="00330623"/>
    <w:rsid w:val="00330C84"/>
    <w:rsid w:val="0033760D"/>
    <w:rsid w:val="00345732"/>
    <w:rsid w:val="00347567"/>
    <w:rsid w:val="003512D2"/>
    <w:rsid w:val="003527C9"/>
    <w:rsid w:val="00352DF1"/>
    <w:rsid w:val="0035305E"/>
    <w:rsid w:val="00356654"/>
    <w:rsid w:val="00361466"/>
    <w:rsid w:val="00363D55"/>
    <w:rsid w:val="003645E1"/>
    <w:rsid w:val="003648B0"/>
    <w:rsid w:val="0036529B"/>
    <w:rsid w:val="00366325"/>
    <w:rsid w:val="00366A5C"/>
    <w:rsid w:val="00371E94"/>
    <w:rsid w:val="00372E09"/>
    <w:rsid w:val="00374715"/>
    <w:rsid w:val="00374FA2"/>
    <w:rsid w:val="003756D8"/>
    <w:rsid w:val="00376407"/>
    <w:rsid w:val="00376E98"/>
    <w:rsid w:val="00377C1C"/>
    <w:rsid w:val="003812E7"/>
    <w:rsid w:val="003814A6"/>
    <w:rsid w:val="00381A59"/>
    <w:rsid w:val="00383EF8"/>
    <w:rsid w:val="003860F5"/>
    <w:rsid w:val="0039233A"/>
    <w:rsid w:val="003929C7"/>
    <w:rsid w:val="00392FEB"/>
    <w:rsid w:val="00394CA0"/>
    <w:rsid w:val="003950E8"/>
    <w:rsid w:val="0039773C"/>
    <w:rsid w:val="003A1979"/>
    <w:rsid w:val="003A4D1A"/>
    <w:rsid w:val="003A51B5"/>
    <w:rsid w:val="003A6101"/>
    <w:rsid w:val="003B4CEA"/>
    <w:rsid w:val="003B731D"/>
    <w:rsid w:val="003B7716"/>
    <w:rsid w:val="003B7FAC"/>
    <w:rsid w:val="003C15DE"/>
    <w:rsid w:val="003C21DB"/>
    <w:rsid w:val="003C2F5E"/>
    <w:rsid w:val="003C487D"/>
    <w:rsid w:val="003C6834"/>
    <w:rsid w:val="003D074F"/>
    <w:rsid w:val="003D2AF3"/>
    <w:rsid w:val="003D32C0"/>
    <w:rsid w:val="003D4AF8"/>
    <w:rsid w:val="003D597B"/>
    <w:rsid w:val="003E0920"/>
    <w:rsid w:val="003E3388"/>
    <w:rsid w:val="003E50B2"/>
    <w:rsid w:val="003F0AC6"/>
    <w:rsid w:val="003F10E0"/>
    <w:rsid w:val="003F12B5"/>
    <w:rsid w:val="003F216D"/>
    <w:rsid w:val="003F3254"/>
    <w:rsid w:val="003F34C2"/>
    <w:rsid w:val="003F3D80"/>
    <w:rsid w:val="003F69B8"/>
    <w:rsid w:val="003F7323"/>
    <w:rsid w:val="003F77F3"/>
    <w:rsid w:val="00400451"/>
    <w:rsid w:val="0040069A"/>
    <w:rsid w:val="00403246"/>
    <w:rsid w:val="00404771"/>
    <w:rsid w:val="00404936"/>
    <w:rsid w:val="00406066"/>
    <w:rsid w:val="004104F0"/>
    <w:rsid w:val="00410962"/>
    <w:rsid w:val="00410ECF"/>
    <w:rsid w:val="00415F33"/>
    <w:rsid w:val="00417105"/>
    <w:rsid w:val="0042123A"/>
    <w:rsid w:val="00422983"/>
    <w:rsid w:val="00434146"/>
    <w:rsid w:val="00435C69"/>
    <w:rsid w:val="00443C13"/>
    <w:rsid w:val="004448D5"/>
    <w:rsid w:val="004463DC"/>
    <w:rsid w:val="004501E2"/>
    <w:rsid w:val="0045075B"/>
    <w:rsid w:val="00451F16"/>
    <w:rsid w:val="00454744"/>
    <w:rsid w:val="00455470"/>
    <w:rsid w:val="004579FF"/>
    <w:rsid w:val="004623E5"/>
    <w:rsid w:val="00462AB9"/>
    <w:rsid w:val="00462EE1"/>
    <w:rsid w:val="0046329D"/>
    <w:rsid w:val="00470710"/>
    <w:rsid w:val="00470AD3"/>
    <w:rsid w:val="004731C7"/>
    <w:rsid w:val="0047714B"/>
    <w:rsid w:val="0048375A"/>
    <w:rsid w:val="004841C6"/>
    <w:rsid w:val="00485EB2"/>
    <w:rsid w:val="00486C9C"/>
    <w:rsid w:val="00490767"/>
    <w:rsid w:val="004921F0"/>
    <w:rsid w:val="00492FF7"/>
    <w:rsid w:val="0049395D"/>
    <w:rsid w:val="00494FF8"/>
    <w:rsid w:val="00495751"/>
    <w:rsid w:val="00495E1A"/>
    <w:rsid w:val="0049739F"/>
    <w:rsid w:val="0049747F"/>
    <w:rsid w:val="00497D3D"/>
    <w:rsid w:val="004A2720"/>
    <w:rsid w:val="004A2F3B"/>
    <w:rsid w:val="004A30A4"/>
    <w:rsid w:val="004B547C"/>
    <w:rsid w:val="004B594A"/>
    <w:rsid w:val="004B68FF"/>
    <w:rsid w:val="004C0E9C"/>
    <w:rsid w:val="004C2984"/>
    <w:rsid w:val="004C2DCB"/>
    <w:rsid w:val="004C3017"/>
    <w:rsid w:val="004D2423"/>
    <w:rsid w:val="004D2B76"/>
    <w:rsid w:val="004D4B47"/>
    <w:rsid w:val="004D4CB6"/>
    <w:rsid w:val="004D7179"/>
    <w:rsid w:val="004E08FC"/>
    <w:rsid w:val="004E0B40"/>
    <w:rsid w:val="004E337A"/>
    <w:rsid w:val="004E4C69"/>
    <w:rsid w:val="004E52D2"/>
    <w:rsid w:val="004E6C6F"/>
    <w:rsid w:val="004E6F0B"/>
    <w:rsid w:val="004E6F64"/>
    <w:rsid w:val="004E7C51"/>
    <w:rsid w:val="004F18B2"/>
    <w:rsid w:val="004F2E2D"/>
    <w:rsid w:val="004F3818"/>
    <w:rsid w:val="004F4873"/>
    <w:rsid w:val="004F54AE"/>
    <w:rsid w:val="004F6C57"/>
    <w:rsid w:val="005002F4"/>
    <w:rsid w:val="005009A7"/>
    <w:rsid w:val="005018FF"/>
    <w:rsid w:val="00503079"/>
    <w:rsid w:val="00503107"/>
    <w:rsid w:val="00504071"/>
    <w:rsid w:val="00504741"/>
    <w:rsid w:val="00505666"/>
    <w:rsid w:val="00506231"/>
    <w:rsid w:val="00507366"/>
    <w:rsid w:val="005105DD"/>
    <w:rsid w:val="00510D31"/>
    <w:rsid w:val="00512A74"/>
    <w:rsid w:val="005135B8"/>
    <w:rsid w:val="005155F3"/>
    <w:rsid w:val="005163BB"/>
    <w:rsid w:val="00517888"/>
    <w:rsid w:val="00520328"/>
    <w:rsid w:val="005206A1"/>
    <w:rsid w:val="00520D47"/>
    <w:rsid w:val="00521199"/>
    <w:rsid w:val="005213A5"/>
    <w:rsid w:val="005213EF"/>
    <w:rsid w:val="00525B32"/>
    <w:rsid w:val="00527403"/>
    <w:rsid w:val="00527ED0"/>
    <w:rsid w:val="00531A13"/>
    <w:rsid w:val="00533E9C"/>
    <w:rsid w:val="00534035"/>
    <w:rsid w:val="0053474D"/>
    <w:rsid w:val="00535280"/>
    <w:rsid w:val="00536EA2"/>
    <w:rsid w:val="00541853"/>
    <w:rsid w:val="00541F75"/>
    <w:rsid w:val="00543279"/>
    <w:rsid w:val="00544193"/>
    <w:rsid w:val="0055036C"/>
    <w:rsid w:val="00550ABB"/>
    <w:rsid w:val="00551284"/>
    <w:rsid w:val="00551B3C"/>
    <w:rsid w:val="00551CDD"/>
    <w:rsid w:val="005535E4"/>
    <w:rsid w:val="00554765"/>
    <w:rsid w:val="0055683A"/>
    <w:rsid w:val="00557874"/>
    <w:rsid w:val="0056003A"/>
    <w:rsid w:val="00561710"/>
    <w:rsid w:val="00561EC2"/>
    <w:rsid w:val="00562881"/>
    <w:rsid w:val="00564F01"/>
    <w:rsid w:val="00571162"/>
    <w:rsid w:val="0057166A"/>
    <w:rsid w:val="0057368F"/>
    <w:rsid w:val="00573DE3"/>
    <w:rsid w:val="005748AF"/>
    <w:rsid w:val="005756CA"/>
    <w:rsid w:val="00576CEF"/>
    <w:rsid w:val="00580507"/>
    <w:rsid w:val="005816F9"/>
    <w:rsid w:val="00583291"/>
    <w:rsid w:val="0058421D"/>
    <w:rsid w:val="00586C06"/>
    <w:rsid w:val="0059048F"/>
    <w:rsid w:val="005907F1"/>
    <w:rsid w:val="005920C4"/>
    <w:rsid w:val="00592BC8"/>
    <w:rsid w:val="005949BB"/>
    <w:rsid w:val="00594B5E"/>
    <w:rsid w:val="00595C3F"/>
    <w:rsid w:val="00595E38"/>
    <w:rsid w:val="00596183"/>
    <w:rsid w:val="00596DF7"/>
    <w:rsid w:val="005A0BB1"/>
    <w:rsid w:val="005A3560"/>
    <w:rsid w:val="005A4FBD"/>
    <w:rsid w:val="005B1EB4"/>
    <w:rsid w:val="005B2766"/>
    <w:rsid w:val="005B6847"/>
    <w:rsid w:val="005C176F"/>
    <w:rsid w:val="005C3A0B"/>
    <w:rsid w:val="005C4A31"/>
    <w:rsid w:val="005C576E"/>
    <w:rsid w:val="005D0524"/>
    <w:rsid w:val="005D0C0B"/>
    <w:rsid w:val="005D2731"/>
    <w:rsid w:val="005D35BE"/>
    <w:rsid w:val="005D4FEF"/>
    <w:rsid w:val="005D53DA"/>
    <w:rsid w:val="005D5DF8"/>
    <w:rsid w:val="005D690B"/>
    <w:rsid w:val="005D6E73"/>
    <w:rsid w:val="005E01B7"/>
    <w:rsid w:val="005E3B7E"/>
    <w:rsid w:val="005E3F7F"/>
    <w:rsid w:val="005E4912"/>
    <w:rsid w:val="005E5059"/>
    <w:rsid w:val="005E549A"/>
    <w:rsid w:val="005E62B4"/>
    <w:rsid w:val="005F1C49"/>
    <w:rsid w:val="005F2392"/>
    <w:rsid w:val="005F2CFD"/>
    <w:rsid w:val="005F39C9"/>
    <w:rsid w:val="006003D2"/>
    <w:rsid w:val="00603555"/>
    <w:rsid w:val="0060387A"/>
    <w:rsid w:val="00603932"/>
    <w:rsid w:val="00605AEB"/>
    <w:rsid w:val="00605CA8"/>
    <w:rsid w:val="00613BCE"/>
    <w:rsid w:val="00615B97"/>
    <w:rsid w:val="00615CB3"/>
    <w:rsid w:val="00617D04"/>
    <w:rsid w:val="00620EBC"/>
    <w:rsid w:val="0062229F"/>
    <w:rsid w:val="00626476"/>
    <w:rsid w:val="00627097"/>
    <w:rsid w:val="00631DB0"/>
    <w:rsid w:val="00632CDC"/>
    <w:rsid w:val="00634787"/>
    <w:rsid w:val="00634EBF"/>
    <w:rsid w:val="00634F35"/>
    <w:rsid w:val="0063797C"/>
    <w:rsid w:val="00643E0B"/>
    <w:rsid w:val="00646A63"/>
    <w:rsid w:val="00650EBA"/>
    <w:rsid w:val="006525EA"/>
    <w:rsid w:val="00654C75"/>
    <w:rsid w:val="006556E1"/>
    <w:rsid w:val="00656837"/>
    <w:rsid w:val="0065758D"/>
    <w:rsid w:val="006602F4"/>
    <w:rsid w:val="00662857"/>
    <w:rsid w:val="00662F6C"/>
    <w:rsid w:val="00664FE3"/>
    <w:rsid w:val="006709B0"/>
    <w:rsid w:val="00672CE3"/>
    <w:rsid w:val="00674E24"/>
    <w:rsid w:val="00675451"/>
    <w:rsid w:val="00675E39"/>
    <w:rsid w:val="00676D74"/>
    <w:rsid w:val="00681762"/>
    <w:rsid w:val="00681C3F"/>
    <w:rsid w:val="006821AE"/>
    <w:rsid w:val="006821DC"/>
    <w:rsid w:val="0068305C"/>
    <w:rsid w:val="00684509"/>
    <w:rsid w:val="006904BD"/>
    <w:rsid w:val="00692445"/>
    <w:rsid w:val="006925F3"/>
    <w:rsid w:val="00692770"/>
    <w:rsid w:val="00693436"/>
    <w:rsid w:val="00694457"/>
    <w:rsid w:val="0069638B"/>
    <w:rsid w:val="00696C82"/>
    <w:rsid w:val="006A03A9"/>
    <w:rsid w:val="006A0772"/>
    <w:rsid w:val="006A0784"/>
    <w:rsid w:val="006A2159"/>
    <w:rsid w:val="006A481B"/>
    <w:rsid w:val="006B042F"/>
    <w:rsid w:val="006B071F"/>
    <w:rsid w:val="006B1FFE"/>
    <w:rsid w:val="006B33BB"/>
    <w:rsid w:val="006B3A10"/>
    <w:rsid w:val="006B3E16"/>
    <w:rsid w:val="006B736E"/>
    <w:rsid w:val="006C247E"/>
    <w:rsid w:val="006C3B58"/>
    <w:rsid w:val="006C3EDD"/>
    <w:rsid w:val="006C40C8"/>
    <w:rsid w:val="006C484B"/>
    <w:rsid w:val="006C5552"/>
    <w:rsid w:val="006D0D7E"/>
    <w:rsid w:val="006D30BB"/>
    <w:rsid w:val="006D3A4A"/>
    <w:rsid w:val="006D76C0"/>
    <w:rsid w:val="006E2851"/>
    <w:rsid w:val="006E2BDB"/>
    <w:rsid w:val="006E57F2"/>
    <w:rsid w:val="006E5ADA"/>
    <w:rsid w:val="006E6B19"/>
    <w:rsid w:val="006E7A3C"/>
    <w:rsid w:val="006F0BB5"/>
    <w:rsid w:val="006F3B48"/>
    <w:rsid w:val="006F49C2"/>
    <w:rsid w:val="006F52BD"/>
    <w:rsid w:val="007006CC"/>
    <w:rsid w:val="0070290B"/>
    <w:rsid w:val="00703004"/>
    <w:rsid w:val="00704A40"/>
    <w:rsid w:val="007065D2"/>
    <w:rsid w:val="00706698"/>
    <w:rsid w:val="00706AA9"/>
    <w:rsid w:val="007107E5"/>
    <w:rsid w:val="007113D5"/>
    <w:rsid w:val="00711E80"/>
    <w:rsid w:val="0071576E"/>
    <w:rsid w:val="007159B3"/>
    <w:rsid w:val="00715A88"/>
    <w:rsid w:val="00716126"/>
    <w:rsid w:val="00717435"/>
    <w:rsid w:val="00724ECA"/>
    <w:rsid w:val="007275DF"/>
    <w:rsid w:val="00731693"/>
    <w:rsid w:val="00732B11"/>
    <w:rsid w:val="00733666"/>
    <w:rsid w:val="00735CFC"/>
    <w:rsid w:val="0073612C"/>
    <w:rsid w:val="0073770B"/>
    <w:rsid w:val="00737CC2"/>
    <w:rsid w:val="007476A7"/>
    <w:rsid w:val="0075045B"/>
    <w:rsid w:val="0075288E"/>
    <w:rsid w:val="00754BEA"/>
    <w:rsid w:val="007556FF"/>
    <w:rsid w:val="00755A35"/>
    <w:rsid w:val="00755F76"/>
    <w:rsid w:val="00756479"/>
    <w:rsid w:val="00756B84"/>
    <w:rsid w:val="007622F1"/>
    <w:rsid w:val="00762641"/>
    <w:rsid w:val="007628C5"/>
    <w:rsid w:val="007631C1"/>
    <w:rsid w:val="00763B73"/>
    <w:rsid w:val="00764A6E"/>
    <w:rsid w:val="00765110"/>
    <w:rsid w:val="00765C37"/>
    <w:rsid w:val="00766C82"/>
    <w:rsid w:val="0077031A"/>
    <w:rsid w:val="007704C6"/>
    <w:rsid w:val="00773D85"/>
    <w:rsid w:val="00774E81"/>
    <w:rsid w:val="00777477"/>
    <w:rsid w:val="00777D65"/>
    <w:rsid w:val="00780A10"/>
    <w:rsid w:val="00782142"/>
    <w:rsid w:val="00784064"/>
    <w:rsid w:val="00785603"/>
    <w:rsid w:val="007861BA"/>
    <w:rsid w:val="00786A2C"/>
    <w:rsid w:val="00786B9F"/>
    <w:rsid w:val="00787CC2"/>
    <w:rsid w:val="00790939"/>
    <w:rsid w:val="00791714"/>
    <w:rsid w:val="00791756"/>
    <w:rsid w:val="007938EA"/>
    <w:rsid w:val="0079701E"/>
    <w:rsid w:val="007A1513"/>
    <w:rsid w:val="007A32A1"/>
    <w:rsid w:val="007A3FC5"/>
    <w:rsid w:val="007A4B90"/>
    <w:rsid w:val="007A502C"/>
    <w:rsid w:val="007A7A8D"/>
    <w:rsid w:val="007B1C82"/>
    <w:rsid w:val="007B5F12"/>
    <w:rsid w:val="007B60B8"/>
    <w:rsid w:val="007B75CB"/>
    <w:rsid w:val="007C05F1"/>
    <w:rsid w:val="007C1A5D"/>
    <w:rsid w:val="007C1C1E"/>
    <w:rsid w:val="007C27A1"/>
    <w:rsid w:val="007C2FA8"/>
    <w:rsid w:val="007C4B42"/>
    <w:rsid w:val="007C5DB8"/>
    <w:rsid w:val="007D0A8E"/>
    <w:rsid w:val="007D399B"/>
    <w:rsid w:val="007D430D"/>
    <w:rsid w:val="007D46AD"/>
    <w:rsid w:val="007D4DB4"/>
    <w:rsid w:val="007D662E"/>
    <w:rsid w:val="007E03C6"/>
    <w:rsid w:val="007E454C"/>
    <w:rsid w:val="007E4EA4"/>
    <w:rsid w:val="007E5400"/>
    <w:rsid w:val="007E565D"/>
    <w:rsid w:val="007F7B84"/>
    <w:rsid w:val="007F7F87"/>
    <w:rsid w:val="00803DF2"/>
    <w:rsid w:val="00806DDB"/>
    <w:rsid w:val="008102A4"/>
    <w:rsid w:val="00812032"/>
    <w:rsid w:val="0081212F"/>
    <w:rsid w:val="008128A3"/>
    <w:rsid w:val="00815814"/>
    <w:rsid w:val="00816FBC"/>
    <w:rsid w:val="00817655"/>
    <w:rsid w:val="0082005D"/>
    <w:rsid w:val="00820EDE"/>
    <w:rsid w:val="008216C1"/>
    <w:rsid w:val="00824FA3"/>
    <w:rsid w:val="0082750C"/>
    <w:rsid w:val="0083032A"/>
    <w:rsid w:val="0083088F"/>
    <w:rsid w:val="00834FBC"/>
    <w:rsid w:val="00836E00"/>
    <w:rsid w:val="0084040C"/>
    <w:rsid w:val="00841368"/>
    <w:rsid w:val="008433BD"/>
    <w:rsid w:val="008468B8"/>
    <w:rsid w:val="008512A6"/>
    <w:rsid w:val="0085140F"/>
    <w:rsid w:val="00852FE6"/>
    <w:rsid w:val="00861965"/>
    <w:rsid w:val="008659FE"/>
    <w:rsid w:val="0086621A"/>
    <w:rsid w:val="008663C2"/>
    <w:rsid w:val="00866B35"/>
    <w:rsid w:val="00866FE4"/>
    <w:rsid w:val="00867AA9"/>
    <w:rsid w:val="00871101"/>
    <w:rsid w:val="00873AE4"/>
    <w:rsid w:val="00876739"/>
    <w:rsid w:val="0087733D"/>
    <w:rsid w:val="008777FA"/>
    <w:rsid w:val="00880AA1"/>
    <w:rsid w:val="0088118B"/>
    <w:rsid w:val="00882D30"/>
    <w:rsid w:val="008846D7"/>
    <w:rsid w:val="00884DFB"/>
    <w:rsid w:val="00887DEC"/>
    <w:rsid w:val="008914D5"/>
    <w:rsid w:val="00891C92"/>
    <w:rsid w:val="00895BCD"/>
    <w:rsid w:val="008969D0"/>
    <w:rsid w:val="008A2613"/>
    <w:rsid w:val="008A324F"/>
    <w:rsid w:val="008B2960"/>
    <w:rsid w:val="008B3117"/>
    <w:rsid w:val="008B3841"/>
    <w:rsid w:val="008B46A5"/>
    <w:rsid w:val="008B52AC"/>
    <w:rsid w:val="008B5776"/>
    <w:rsid w:val="008C0EA1"/>
    <w:rsid w:val="008C172F"/>
    <w:rsid w:val="008C3C0B"/>
    <w:rsid w:val="008C6022"/>
    <w:rsid w:val="008C6A26"/>
    <w:rsid w:val="008C7339"/>
    <w:rsid w:val="008D03BC"/>
    <w:rsid w:val="008D2AB2"/>
    <w:rsid w:val="008D2F66"/>
    <w:rsid w:val="008D31A3"/>
    <w:rsid w:val="008D31F7"/>
    <w:rsid w:val="008D3670"/>
    <w:rsid w:val="008D48D0"/>
    <w:rsid w:val="008D64F1"/>
    <w:rsid w:val="008D67A4"/>
    <w:rsid w:val="008E06EE"/>
    <w:rsid w:val="008E06FC"/>
    <w:rsid w:val="008E20E1"/>
    <w:rsid w:val="008E3A23"/>
    <w:rsid w:val="008E417C"/>
    <w:rsid w:val="008E534D"/>
    <w:rsid w:val="008E7DDD"/>
    <w:rsid w:val="0090099F"/>
    <w:rsid w:val="009062F7"/>
    <w:rsid w:val="00906D45"/>
    <w:rsid w:val="00907AC8"/>
    <w:rsid w:val="00911591"/>
    <w:rsid w:val="0091235E"/>
    <w:rsid w:val="00913B57"/>
    <w:rsid w:val="00914B4F"/>
    <w:rsid w:val="0091645B"/>
    <w:rsid w:val="00916868"/>
    <w:rsid w:val="00920FD5"/>
    <w:rsid w:val="009217A9"/>
    <w:rsid w:val="00922C6C"/>
    <w:rsid w:val="00924E13"/>
    <w:rsid w:val="0092737A"/>
    <w:rsid w:val="00927FB7"/>
    <w:rsid w:val="0093113B"/>
    <w:rsid w:val="0093194D"/>
    <w:rsid w:val="009327F1"/>
    <w:rsid w:val="00932A6A"/>
    <w:rsid w:val="009348E4"/>
    <w:rsid w:val="00935482"/>
    <w:rsid w:val="009367B6"/>
    <w:rsid w:val="00940985"/>
    <w:rsid w:val="00940C40"/>
    <w:rsid w:val="009423DC"/>
    <w:rsid w:val="009439B1"/>
    <w:rsid w:val="00943E1B"/>
    <w:rsid w:val="00945C77"/>
    <w:rsid w:val="00947BC6"/>
    <w:rsid w:val="00947F0E"/>
    <w:rsid w:val="00952316"/>
    <w:rsid w:val="009533EB"/>
    <w:rsid w:val="00954974"/>
    <w:rsid w:val="00954AEB"/>
    <w:rsid w:val="00954E92"/>
    <w:rsid w:val="00956877"/>
    <w:rsid w:val="0096062F"/>
    <w:rsid w:val="00962BEE"/>
    <w:rsid w:val="009636B7"/>
    <w:rsid w:val="00965BC8"/>
    <w:rsid w:val="00965E5E"/>
    <w:rsid w:val="00966854"/>
    <w:rsid w:val="00972387"/>
    <w:rsid w:val="009738F8"/>
    <w:rsid w:val="00977994"/>
    <w:rsid w:val="009832F7"/>
    <w:rsid w:val="00987E76"/>
    <w:rsid w:val="00987F93"/>
    <w:rsid w:val="00991F4B"/>
    <w:rsid w:val="00992901"/>
    <w:rsid w:val="00992FFD"/>
    <w:rsid w:val="00993E6E"/>
    <w:rsid w:val="00994463"/>
    <w:rsid w:val="00995F3D"/>
    <w:rsid w:val="009960AF"/>
    <w:rsid w:val="009960F8"/>
    <w:rsid w:val="009966EC"/>
    <w:rsid w:val="009A0225"/>
    <w:rsid w:val="009A2A7C"/>
    <w:rsid w:val="009A3549"/>
    <w:rsid w:val="009A41C0"/>
    <w:rsid w:val="009A61EB"/>
    <w:rsid w:val="009A66DC"/>
    <w:rsid w:val="009A6A48"/>
    <w:rsid w:val="009A7D8A"/>
    <w:rsid w:val="009B13BB"/>
    <w:rsid w:val="009B1DC3"/>
    <w:rsid w:val="009B26A7"/>
    <w:rsid w:val="009B4B5B"/>
    <w:rsid w:val="009B501C"/>
    <w:rsid w:val="009B5877"/>
    <w:rsid w:val="009B5C78"/>
    <w:rsid w:val="009B650E"/>
    <w:rsid w:val="009B77C6"/>
    <w:rsid w:val="009B7AD6"/>
    <w:rsid w:val="009C0B5F"/>
    <w:rsid w:val="009C1063"/>
    <w:rsid w:val="009C34E9"/>
    <w:rsid w:val="009C3ABC"/>
    <w:rsid w:val="009C6992"/>
    <w:rsid w:val="009C7BED"/>
    <w:rsid w:val="009D194F"/>
    <w:rsid w:val="009D1DE3"/>
    <w:rsid w:val="009D2AA8"/>
    <w:rsid w:val="009D2BCA"/>
    <w:rsid w:val="009D5C7D"/>
    <w:rsid w:val="009D7859"/>
    <w:rsid w:val="009D7F50"/>
    <w:rsid w:val="009E2235"/>
    <w:rsid w:val="009E40A1"/>
    <w:rsid w:val="009E4616"/>
    <w:rsid w:val="009E59FB"/>
    <w:rsid w:val="009E78FA"/>
    <w:rsid w:val="009F15EA"/>
    <w:rsid w:val="009F4A1D"/>
    <w:rsid w:val="009F54BC"/>
    <w:rsid w:val="009F5995"/>
    <w:rsid w:val="009F5E9F"/>
    <w:rsid w:val="009F6835"/>
    <w:rsid w:val="009F6FB8"/>
    <w:rsid w:val="00A0203D"/>
    <w:rsid w:val="00A0498B"/>
    <w:rsid w:val="00A056E3"/>
    <w:rsid w:val="00A10A0F"/>
    <w:rsid w:val="00A1442A"/>
    <w:rsid w:val="00A15B86"/>
    <w:rsid w:val="00A15E1F"/>
    <w:rsid w:val="00A15F15"/>
    <w:rsid w:val="00A17709"/>
    <w:rsid w:val="00A20718"/>
    <w:rsid w:val="00A2199B"/>
    <w:rsid w:val="00A245A4"/>
    <w:rsid w:val="00A25DE1"/>
    <w:rsid w:val="00A3082F"/>
    <w:rsid w:val="00A31323"/>
    <w:rsid w:val="00A31B4D"/>
    <w:rsid w:val="00A3259A"/>
    <w:rsid w:val="00A41624"/>
    <w:rsid w:val="00A4229D"/>
    <w:rsid w:val="00A434CE"/>
    <w:rsid w:val="00A4366B"/>
    <w:rsid w:val="00A50C63"/>
    <w:rsid w:val="00A5210D"/>
    <w:rsid w:val="00A56DA1"/>
    <w:rsid w:val="00A62734"/>
    <w:rsid w:val="00A637EA"/>
    <w:rsid w:val="00A66D42"/>
    <w:rsid w:val="00A67A98"/>
    <w:rsid w:val="00A70225"/>
    <w:rsid w:val="00A7094C"/>
    <w:rsid w:val="00A71D28"/>
    <w:rsid w:val="00A72D64"/>
    <w:rsid w:val="00A73C1A"/>
    <w:rsid w:val="00A740BD"/>
    <w:rsid w:val="00A751C4"/>
    <w:rsid w:val="00A75549"/>
    <w:rsid w:val="00A77274"/>
    <w:rsid w:val="00A802C6"/>
    <w:rsid w:val="00A8031B"/>
    <w:rsid w:val="00A8129F"/>
    <w:rsid w:val="00A813E3"/>
    <w:rsid w:val="00A839FD"/>
    <w:rsid w:val="00A84C22"/>
    <w:rsid w:val="00A8509D"/>
    <w:rsid w:val="00A86015"/>
    <w:rsid w:val="00A86E17"/>
    <w:rsid w:val="00A90E81"/>
    <w:rsid w:val="00A92B22"/>
    <w:rsid w:val="00A92C11"/>
    <w:rsid w:val="00A938B4"/>
    <w:rsid w:val="00A94C8F"/>
    <w:rsid w:val="00A94EB3"/>
    <w:rsid w:val="00A95BCD"/>
    <w:rsid w:val="00A95C38"/>
    <w:rsid w:val="00A97DB8"/>
    <w:rsid w:val="00A97E8A"/>
    <w:rsid w:val="00AA1884"/>
    <w:rsid w:val="00AA1A42"/>
    <w:rsid w:val="00AA291E"/>
    <w:rsid w:val="00AA4638"/>
    <w:rsid w:val="00AA559B"/>
    <w:rsid w:val="00AA6463"/>
    <w:rsid w:val="00AA7B3A"/>
    <w:rsid w:val="00AB03DD"/>
    <w:rsid w:val="00AB066C"/>
    <w:rsid w:val="00AB1107"/>
    <w:rsid w:val="00AB3F47"/>
    <w:rsid w:val="00AB4EB3"/>
    <w:rsid w:val="00AB5531"/>
    <w:rsid w:val="00AB7F5C"/>
    <w:rsid w:val="00AC0B22"/>
    <w:rsid w:val="00AC22E5"/>
    <w:rsid w:val="00AC2F5E"/>
    <w:rsid w:val="00AC3737"/>
    <w:rsid w:val="00AC5B61"/>
    <w:rsid w:val="00AD18E9"/>
    <w:rsid w:val="00AD1EA5"/>
    <w:rsid w:val="00AD559D"/>
    <w:rsid w:val="00AD72E1"/>
    <w:rsid w:val="00AE4FD8"/>
    <w:rsid w:val="00AE7446"/>
    <w:rsid w:val="00AF3715"/>
    <w:rsid w:val="00AF3D4D"/>
    <w:rsid w:val="00AF44F4"/>
    <w:rsid w:val="00AF451C"/>
    <w:rsid w:val="00AF523E"/>
    <w:rsid w:val="00AF6C05"/>
    <w:rsid w:val="00B02393"/>
    <w:rsid w:val="00B039A0"/>
    <w:rsid w:val="00B047F1"/>
    <w:rsid w:val="00B0485D"/>
    <w:rsid w:val="00B0736B"/>
    <w:rsid w:val="00B074DA"/>
    <w:rsid w:val="00B07BF1"/>
    <w:rsid w:val="00B118AA"/>
    <w:rsid w:val="00B12CCC"/>
    <w:rsid w:val="00B13B31"/>
    <w:rsid w:val="00B155D6"/>
    <w:rsid w:val="00B16B56"/>
    <w:rsid w:val="00B17416"/>
    <w:rsid w:val="00B22FA3"/>
    <w:rsid w:val="00B24243"/>
    <w:rsid w:val="00B245FC"/>
    <w:rsid w:val="00B258B3"/>
    <w:rsid w:val="00B25C47"/>
    <w:rsid w:val="00B3326E"/>
    <w:rsid w:val="00B33ACB"/>
    <w:rsid w:val="00B33AFB"/>
    <w:rsid w:val="00B3499D"/>
    <w:rsid w:val="00B34AE8"/>
    <w:rsid w:val="00B359D3"/>
    <w:rsid w:val="00B40BB6"/>
    <w:rsid w:val="00B4237E"/>
    <w:rsid w:val="00B44F62"/>
    <w:rsid w:val="00B45DD4"/>
    <w:rsid w:val="00B46769"/>
    <w:rsid w:val="00B474A6"/>
    <w:rsid w:val="00B479AE"/>
    <w:rsid w:val="00B502E1"/>
    <w:rsid w:val="00B50E92"/>
    <w:rsid w:val="00B51EA6"/>
    <w:rsid w:val="00B5357B"/>
    <w:rsid w:val="00B5415F"/>
    <w:rsid w:val="00B556FB"/>
    <w:rsid w:val="00B62386"/>
    <w:rsid w:val="00B63981"/>
    <w:rsid w:val="00B669EA"/>
    <w:rsid w:val="00B66CFA"/>
    <w:rsid w:val="00B7045C"/>
    <w:rsid w:val="00B7151C"/>
    <w:rsid w:val="00B830F1"/>
    <w:rsid w:val="00B83D51"/>
    <w:rsid w:val="00B84136"/>
    <w:rsid w:val="00B90064"/>
    <w:rsid w:val="00B9012B"/>
    <w:rsid w:val="00B9019F"/>
    <w:rsid w:val="00B90855"/>
    <w:rsid w:val="00B9218C"/>
    <w:rsid w:val="00B92560"/>
    <w:rsid w:val="00B9396D"/>
    <w:rsid w:val="00B9500B"/>
    <w:rsid w:val="00B95061"/>
    <w:rsid w:val="00B961DF"/>
    <w:rsid w:val="00B9652A"/>
    <w:rsid w:val="00B96D64"/>
    <w:rsid w:val="00BA00F1"/>
    <w:rsid w:val="00BA2BFE"/>
    <w:rsid w:val="00BA3CCD"/>
    <w:rsid w:val="00BA4EF9"/>
    <w:rsid w:val="00BA5D3D"/>
    <w:rsid w:val="00BA62C1"/>
    <w:rsid w:val="00BA7066"/>
    <w:rsid w:val="00BA7693"/>
    <w:rsid w:val="00BA7AD4"/>
    <w:rsid w:val="00BB0484"/>
    <w:rsid w:val="00BB2B44"/>
    <w:rsid w:val="00BB351D"/>
    <w:rsid w:val="00BC1066"/>
    <w:rsid w:val="00BC1A01"/>
    <w:rsid w:val="00BC3460"/>
    <w:rsid w:val="00BC52DC"/>
    <w:rsid w:val="00BD0A80"/>
    <w:rsid w:val="00BD0E4E"/>
    <w:rsid w:val="00BD1C37"/>
    <w:rsid w:val="00BD2232"/>
    <w:rsid w:val="00BD2C67"/>
    <w:rsid w:val="00BD3616"/>
    <w:rsid w:val="00BD3E6C"/>
    <w:rsid w:val="00BD4B5F"/>
    <w:rsid w:val="00BD7A8A"/>
    <w:rsid w:val="00BE069D"/>
    <w:rsid w:val="00BE29C6"/>
    <w:rsid w:val="00BE5BB7"/>
    <w:rsid w:val="00BE67C9"/>
    <w:rsid w:val="00BE7242"/>
    <w:rsid w:val="00BE78E1"/>
    <w:rsid w:val="00BF1A97"/>
    <w:rsid w:val="00BF3687"/>
    <w:rsid w:val="00BF3A17"/>
    <w:rsid w:val="00BF5C9D"/>
    <w:rsid w:val="00BF784A"/>
    <w:rsid w:val="00BF7DC2"/>
    <w:rsid w:val="00C00E82"/>
    <w:rsid w:val="00C012F0"/>
    <w:rsid w:val="00C02022"/>
    <w:rsid w:val="00C03BCF"/>
    <w:rsid w:val="00C057A2"/>
    <w:rsid w:val="00C05FFF"/>
    <w:rsid w:val="00C075B7"/>
    <w:rsid w:val="00C07BE4"/>
    <w:rsid w:val="00C108C7"/>
    <w:rsid w:val="00C109C2"/>
    <w:rsid w:val="00C118E6"/>
    <w:rsid w:val="00C11EE8"/>
    <w:rsid w:val="00C1285F"/>
    <w:rsid w:val="00C1554E"/>
    <w:rsid w:val="00C1581F"/>
    <w:rsid w:val="00C15FBF"/>
    <w:rsid w:val="00C2708B"/>
    <w:rsid w:val="00C37A2A"/>
    <w:rsid w:val="00C50DE7"/>
    <w:rsid w:val="00C51663"/>
    <w:rsid w:val="00C53243"/>
    <w:rsid w:val="00C537B9"/>
    <w:rsid w:val="00C543BB"/>
    <w:rsid w:val="00C57E8C"/>
    <w:rsid w:val="00C6078D"/>
    <w:rsid w:val="00C60AF6"/>
    <w:rsid w:val="00C61DC2"/>
    <w:rsid w:val="00C668CD"/>
    <w:rsid w:val="00C7027D"/>
    <w:rsid w:val="00C71062"/>
    <w:rsid w:val="00C74EB2"/>
    <w:rsid w:val="00C808DB"/>
    <w:rsid w:val="00C83C31"/>
    <w:rsid w:val="00C91C6A"/>
    <w:rsid w:val="00C9297D"/>
    <w:rsid w:val="00C93410"/>
    <w:rsid w:val="00C9344B"/>
    <w:rsid w:val="00C93D76"/>
    <w:rsid w:val="00C94B57"/>
    <w:rsid w:val="00C9756E"/>
    <w:rsid w:val="00CA3B93"/>
    <w:rsid w:val="00CA4128"/>
    <w:rsid w:val="00CB2F0E"/>
    <w:rsid w:val="00CB41C0"/>
    <w:rsid w:val="00CB433C"/>
    <w:rsid w:val="00CB55DC"/>
    <w:rsid w:val="00CC0E50"/>
    <w:rsid w:val="00CC626F"/>
    <w:rsid w:val="00CC6E6B"/>
    <w:rsid w:val="00CC71FB"/>
    <w:rsid w:val="00CD068F"/>
    <w:rsid w:val="00CD0B93"/>
    <w:rsid w:val="00CD1490"/>
    <w:rsid w:val="00CD3A77"/>
    <w:rsid w:val="00CD643F"/>
    <w:rsid w:val="00CE0E36"/>
    <w:rsid w:val="00CE0E3A"/>
    <w:rsid w:val="00CE171C"/>
    <w:rsid w:val="00CE3DCB"/>
    <w:rsid w:val="00CE531E"/>
    <w:rsid w:val="00CE7A3F"/>
    <w:rsid w:val="00CE7BB9"/>
    <w:rsid w:val="00CF1F0F"/>
    <w:rsid w:val="00CF2B97"/>
    <w:rsid w:val="00CF43FC"/>
    <w:rsid w:val="00CF458B"/>
    <w:rsid w:val="00CF6A65"/>
    <w:rsid w:val="00CF7407"/>
    <w:rsid w:val="00D053E3"/>
    <w:rsid w:val="00D06839"/>
    <w:rsid w:val="00D07477"/>
    <w:rsid w:val="00D078E8"/>
    <w:rsid w:val="00D1089D"/>
    <w:rsid w:val="00D12F2C"/>
    <w:rsid w:val="00D133CF"/>
    <w:rsid w:val="00D138F1"/>
    <w:rsid w:val="00D14ADF"/>
    <w:rsid w:val="00D15A53"/>
    <w:rsid w:val="00D15AFC"/>
    <w:rsid w:val="00D17A3E"/>
    <w:rsid w:val="00D231EE"/>
    <w:rsid w:val="00D2489E"/>
    <w:rsid w:val="00D25A99"/>
    <w:rsid w:val="00D30921"/>
    <w:rsid w:val="00D31BC6"/>
    <w:rsid w:val="00D37DF5"/>
    <w:rsid w:val="00D40473"/>
    <w:rsid w:val="00D41E7F"/>
    <w:rsid w:val="00D42369"/>
    <w:rsid w:val="00D44767"/>
    <w:rsid w:val="00D45617"/>
    <w:rsid w:val="00D45977"/>
    <w:rsid w:val="00D46989"/>
    <w:rsid w:val="00D46A2A"/>
    <w:rsid w:val="00D47A1E"/>
    <w:rsid w:val="00D47F4B"/>
    <w:rsid w:val="00D5008E"/>
    <w:rsid w:val="00D5175B"/>
    <w:rsid w:val="00D52189"/>
    <w:rsid w:val="00D52842"/>
    <w:rsid w:val="00D52A07"/>
    <w:rsid w:val="00D52CFD"/>
    <w:rsid w:val="00D53654"/>
    <w:rsid w:val="00D5605F"/>
    <w:rsid w:val="00D61215"/>
    <w:rsid w:val="00D63AEE"/>
    <w:rsid w:val="00D657FE"/>
    <w:rsid w:val="00D66B42"/>
    <w:rsid w:val="00D7057C"/>
    <w:rsid w:val="00D71AA3"/>
    <w:rsid w:val="00D730FC"/>
    <w:rsid w:val="00D753C8"/>
    <w:rsid w:val="00D76314"/>
    <w:rsid w:val="00D76BE7"/>
    <w:rsid w:val="00D8054B"/>
    <w:rsid w:val="00D8085B"/>
    <w:rsid w:val="00D834D2"/>
    <w:rsid w:val="00D86805"/>
    <w:rsid w:val="00D87132"/>
    <w:rsid w:val="00D917AD"/>
    <w:rsid w:val="00D91D8B"/>
    <w:rsid w:val="00D92255"/>
    <w:rsid w:val="00D92F9D"/>
    <w:rsid w:val="00D938CA"/>
    <w:rsid w:val="00D939BD"/>
    <w:rsid w:val="00D93BA7"/>
    <w:rsid w:val="00D942F5"/>
    <w:rsid w:val="00D96218"/>
    <w:rsid w:val="00DA00AE"/>
    <w:rsid w:val="00DA46A7"/>
    <w:rsid w:val="00DA4759"/>
    <w:rsid w:val="00DA6009"/>
    <w:rsid w:val="00DA6D5F"/>
    <w:rsid w:val="00DA769A"/>
    <w:rsid w:val="00DA7E62"/>
    <w:rsid w:val="00DB1870"/>
    <w:rsid w:val="00DB2EED"/>
    <w:rsid w:val="00DB465C"/>
    <w:rsid w:val="00DB5B20"/>
    <w:rsid w:val="00DC1A30"/>
    <w:rsid w:val="00DC357B"/>
    <w:rsid w:val="00DD0214"/>
    <w:rsid w:val="00DD0285"/>
    <w:rsid w:val="00DD0CC1"/>
    <w:rsid w:val="00DD592F"/>
    <w:rsid w:val="00DD63BB"/>
    <w:rsid w:val="00DD71E4"/>
    <w:rsid w:val="00DD750B"/>
    <w:rsid w:val="00DE0C99"/>
    <w:rsid w:val="00DE1016"/>
    <w:rsid w:val="00DE2B59"/>
    <w:rsid w:val="00DE5966"/>
    <w:rsid w:val="00DE59BF"/>
    <w:rsid w:val="00DF0BB6"/>
    <w:rsid w:val="00DF18AE"/>
    <w:rsid w:val="00DF285C"/>
    <w:rsid w:val="00DF35AF"/>
    <w:rsid w:val="00DF3F28"/>
    <w:rsid w:val="00E00F02"/>
    <w:rsid w:val="00E015C8"/>
    <w:rsid w:val="00E01C92"/>
    <w:rsid w:val="00E01DA2"/>
    <w:rsid w:val="00E02F9C"/>
    <w:rsid w:val="00E046E7"/>
    <w:rsid w:val="00E07363"/>
    <w:rsid w:val="00E118CC"/>
    <w:rsid w:val="00E11B73"/>
    <w:rsid w:val="00E13512"/>
    <w:rsid w:val="00E147E5"/>
    <w:rsid w:val="00E16484"/>
    <w:rsid w:val="00E166F2"/>
    <w:rsid w:val="00E20B3C"/>
    <w:rsid w:val="00E2305C"/>
    <w:rsid w:val="00E24B0F"/>
    <w:rsid w:val="00E2561E"/>
    <w:rsid w:val="00E265AF"/>
    <w:rsid w:val="00E26766"/>
    <w:rsid w:val="00E26FEF"/>
    <w:rsid w:val="00E274E3"/>
    <w:rsid w:val="00E316E7"/>
    <w:rsid w:val="00E32470"/>
    <w:rsid w:val="00E336CD"/>
    <w:rsid w:val="00E36FCB"/>
    <w:rsid w:val="00E41AA4"/>
    <w:rsid w:val="00E43153"/>
    <w:rsid w:val="00E43A4B"/>
    <w:rsid w:val="00E46BF9"/>
    <w:rsid w:val="00E4717B"/>
    <w:rsid w:val="00E518DA"/>
    <w:rsid w:val="00E5505E"/>
    <w:rsid w:val="00E56DD9"/>
    <w:rsid w:val="00E56E9A"/>
    <w:rsid w:val="00E57404"/>
    <w:rsid w:val="00E6319E"/>
    <w:rsid w:val="00E64CB6"/>
    <w:rsid w:val="00E70838"/>
    <w:rsid w:val="00E71F80"/>
    <w:rsid w:val="00E80235"/>
    <w:rsid w:val="00E80FF1"/>
    <w:rsid w:val="00E83CD3"/>
    <w:rsid w:val="00E83E5E"/>
    <w:rsid w:val="00E844A6"/>
    <w:rsid w:val="00E853F8"/>
    <w:rsid w:val="00E8768A"/>
    <w:rsid w:val="00E87DBC"/>
    <w:rsid w:val="00E9257D"/>
    <w:rsid w:val="00E92FB4"/>
    <w:rsid w:val="00E92FFB"/>
    <w:rsid w:val="00E94442"/>
    <w:rsid w:val="00E94653"/>
    <w:rsid w:val="00E95427"/>
    <w:rsid w:val="00E95DDF"/>
    <w:rsid w:val="00E96542"/>
    <w:rsid w:val="00E96BFD"/>
    <w:rsid w:val="00EA0E80"/>
    <w:rsid w:val="00EA244B"/>
    <w:rsid w:val="00EA35D9"/>
    <w:rsid w:val="00EA3620"/>
    <w:rsid w:val="00EA58C8"/>
    <w:rsid w:val="00EA6D0D"/>
    <w:rsid w:val="00EA6FBF"/>
    <w:rsid w:val="00EB05C1"/>
    <w:rsid w:val="00EB0717"/>
    <w:rsid w:val="00EB179E"/>
    <w:rsid w:val="00EB33E7"/>
    <w:rsid w:val="00EB3436"/>
    <w:rsid w:val="00EB6B86"/>
    <w:rsid w:val="00EC0EA3"/>
    <w:rsid w:val="00EC30FA"/>
    <w:rsid w:val="00EC400C"/>
    <w:rsid w:val="00EC63EC"/>
    <w:rsid w:val="00EC6874"/>
    <w:rsid w:val="00EC7037"/>
    <w:rsid w:val="00EC71E1"/>
    <w:rsid w:val="00ED0C7A"/>
    <w:rsid w:val="00ED0D46"/>
    <w:rsid w:val="00ED2A29"/>
    <w:rsid w:val="00ED2FE7"/>
    <w:rsid w:val="00ED4476"/>
    <w:rsid w:val="00ED6EAE"/>
    <w:rsid w:val="00ED784C"/>
    <w:rsid w:val="00EE31E5"/>
    <w:rsid w:val="00EE3995"/>
    <w:rsid w:val="00EE4094"/>
    <w:rsid w:val="00EE4728"/>
    <w:rsid w:val="00EE499A"/>
    <w:rsid w:val="00EE59CF"/>
    <w:rsid w:val="00EE7E97"/>
    <w:rsid w:val="00EF0D3F"/>
    <w:rsid w:val="00EF0FC0"/>
    <w:rsid w:val="00EF1D15"/>
    <w:rsid w:val="00EF2C31"/>
    <w:rsid w:val="00EF369E"/>
    <w:rsid w:val="00EF6C2B"/>
    <w:rsid w:val="00F018FA"/>
    <w:rsid w:val="00F027A7"/>
    <w:rsid w:val="00F048A1"/>
    <w:rsid w:val="00F05EE7"/>
    <w:rsid w:val="00F060B4"/>
    <w:rsid w:val="00F07907"/>
    <w:rsid w:val="00F1414F"/>
    <w:rsid w:val="00F15B2F"/>
    <w:rsid w:val="00F16AFD"/>
    <w:rsid w:val="00F17054"/>
    <w:rsid w:val="00F2035C"/>
    <w:rsid w:val="00F20FC6"/>
    <w:rsid w:val="00F236B3"/>
    <w:rsid w:val="00F25F3A"/>
    <w:rsid w:val="00F30DC0"/>
    <w:rsid w:val="00F32B9F"/>
    <w:rsid w:val="00F3399A"/>
    <w:rsid w:val="00F33F3D"/>
    <w:rsid w:val="00F347C0"/>
    <w:rsid w:val="00F3796A"/>
    <w:rsid w:val="00F410E4"/>
    <w:rsid w:val="00F426A8"/>
    <w:rsid w:val="00F42E84"/>
    <w:rsid w:val="00F42EAC"/>
    <w:rsid w:val="00F437F3"/>
    <w:rsid w:val="00F43CD8"/>
    <w:rsid w:val="00F440C7"/>
    <w:rsid w:val="00F506A0"/>
    <w:rsid w:val="00F5076C"/>
    <w:rsid w:val="00F5405B"/>
    <w:rsid w:val="00F54685"/>
    <w:rsid w:val="00F574FB"/>
    <w:rsid w:val="00F612ED"/>
    <w:rsid w:val="00F6392F"/>
    <w:rsid w:val="00F670FC"/>
    <w:rsid w:val="00F67E46"/>
    <w:rsid w:val="00F707F3"/>
    <w:rsid w:val="00F7085C"/>
    <w:rsid w:val="00F71CC0"/>
    <w:rsid w:val="00F730F7"/>
    <w:rsid w:val="00F85E7E"/>
    <w:rsid w:val="00F90AA4"/>
    <w:rsid w:val="00F912A0"/>
    <w:rsid w:val="00F93F12"/>
    <w:rsid w:val="00F93F8B"/>
    <w:rsid w:val="00F96F7C"/>
    <w:rsid w:val="00FA515D"/>
    <w:rsid w:val="00FA7C73"/>
    <w:rsid w:val="00FA7D39"/>
    <w:rsid w:val="00FB3BCF"/>
    <w:rsid w:val="00FB4427"/>
    <w:rsid w:val="00FB6906"/>
    <w:rsid w:val="00FB6A35"/>
    <w:rsid w:val="00FC1850"/>
    <w:rsid w:val="00FC37A9"/>
    <w:rsid w:val="00FC5550"/>
    <w:rsid w:val="00FC6249"/>
    <w:rsid w:val="00FC656B"/>
    <w:rsid w:val="00FC6BCD"/>
    <w:rsid w:val="00FD4048"/>
    <w:rsid w:val="00FD43AF"/>
    <w:rsid w:val="00FD5AC8"/>
    <w:rsid w:val="00FD6380"/>
    <w:rsid w:val="00FE08A7"/>
    <w:rsid w:val="00FE19E4"/>
    <w:rsid w:val="00FE1D86"/>
    <w:rsid w:val="00FE4E2E"/>
    <w:rsid w:val="00FE5924"/>
    <w:rsid w:val="00FE5D9D"/>
    <w:rsid w:val="00FE78DE"/>
    <w:rsid w:val="00FE7C79"/>
    <w:rsid w:val="00FF163B"/>
    <w:rsid w:val="00FF64B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37CA4"/>
  <w15:chartTrackingRefBased/>
  <w15:docId w15:val="{BD1E0544-5DE2-485D-AB79-5DD7C44D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before="2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0"/>
    </w:pPr>
    <w:rPr>
      <w:lang w:val="en-US"/>
    </w:rPr>
  </w:style>
  <w:style w:type="paragraph" w:styleId="Titolo1">
    <w:name w:val="heading 1"/>
    <w:basedOn w:val="Normale"/>
    <w:next w:val="Normale"/>
    <w:link w:val="Titolo1Carattere"/>
    <w:uiPriority w:val="9"/>
    <w:qFormat/>
    <w:rsid w:val="00A56D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A56D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unhideWhenUsed/>
    <w:qFormat/>
    <w:rsid w:val="00A56DA1"/>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unhideWhenUsed/>
    <w:qFormat/>
    <w:rsid w:val="00A56DA1"/>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A56DA1"/>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A56DA1"/>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A56DA1"/>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A56DA1"/>
    <w:pPr>
      <w:keepNext/>
      <w:keepLines/>
      <w:spacing w:before="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A56DA1"/>
    <w:pPr>
      <w:keepNext/>
      <w:keepLines/>
      <w:spacing w:before="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A56DA1"/>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A56DA1"/>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rsid w:val="00A56DA1"/>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rsid w:val="00A56DA1"/>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A56DA1"/>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A56D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A56D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A56D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A56D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A56DA1"/>
    <w:pPr>
      <w:spacing w:before="0"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56D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56DA1"/>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56D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56DA1"/>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A56DA1"/>
    <w:rPr>
      <w:i/>
      <w:iCs/>
      <w:color w:val="404040" w:themeColor="text1" w:themeTint="BF"/>
    </w:rPr>
  </w:style>
  <w:style w:type="paragraph" w:styleId="Paragrafoelenco">
    <w:name w:val="List Paragraph"/>
    <w:basedOn w:val="Normale"/>
    <w:uiPriority w:val="34"/>
    <w:qFormat/>
    <w:rsid w:val="00A56DA1"/>
    <w:pPr>
      <w:ind w:left="720"/>
      <w:contextualSpacing/>
    </w:pPr>
  </w:style>
  <w:style w:type="character" w:styleId="Enfasiintensa">
    <w:name w:val="Intense Emphasis"/>
    <w:basedOn w:val="Carpredefinitoparagrafo"/>
    <w:uiPriority w:val="21"/>
    <w:qFormat/>
    <w:rsid w:val="00A56DA1"/>
    <w:rPr>
      <w:i/>
      <w:iCs/>
      <w:color w:val="2F5496" w:themeColor="accent1" w:themeShade="BF"/>
    </w:rPr>
  </w:style>
  <w:style w:type="paragraph" w:styleId="Citazioneintensa">
    <w:name w:val="Intense Quote"/>
    <w:basedOn w:val="Normale"/>
    <w:next w:val="Normale"/>
    <w:link w:val="CitazioneintensaCarattere"/>
    <w:uiPriority w:val="30"/>
    <w:qFormat/>
    <w:rsid w:val="00A56D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A56DA1"/>
    <w:rPr>
      <w:i/>
      <w:iCs/>
      <w:color w:val="2F5496" w:themeColor="accent1" w:themeShade="BF"/>
    </w:rPr>
  </w:style>
  <w:style w:type="character" w:styleId="Riferimentointenso">
    <w:name w:val="Intense Reference"/>
    <w:basedOn w:val="Carpredefinitoparagrafo"/>
    <w:uiPriority w:val="32"/>
    <w:qFormat/>
    <w:rsid w:val="00A56DA1"/>
    <w:rPr>
      <w:b/>
      <w:bCs/>
      <w:smallCaps/>
      <w:color w:val="2F5496" w:themeColor="accent1" w:themeShade="BF"/>
      <w:spacing w:val="5"/>
    </w:rPr>
  </w:style>
  <w:style w:type="paragraph" w:customStyle="1" w:styleId="msonormal0">
    <w:name w:val="msonormal"/>
    <w:basedOn w:val="Normale"/>
    <w:rsid w:val="00347567"/>
    <w:pPr>
      <w:spacing w:before="100" w:beforeAutospacing="1" w:after="100" w:afterAutospacing="1"/>
    </w:pPr>
    <w:rPr>
      <w:rFonts w:ascii="Times New Roman" w:eastAsia="Times New Roman" w:hAnsi="Times New Roman" w:cs="Times New Roman"/>
      <w:kern w:val="0"/>
      <w:lang w:eastAsia="it-IT"/>
      <w14:ligatures w14:val="none"/>
    </w:rPr>
  </w:style>
  <w:style w:type="paragraph" w:customStyle="1" w:styleId="ds-markdown-paragraph">
    <w:name w:val="ds-markdown-paragraph"/>
    <w:basedOn w:val="Normale"/>
    <w:rsid w:val="00347567"/>
    <w:pPr>
      <w:spacing w:before="100" w:beforeAutospacing="1" w:after="100" w:afterAutospacing="1"/>
    </w:pPr>
    <w:rPr>
      <w:rFonts w:ascii="Times New Roman" w:eastAsia="Times New Roman" w:hAnsi="Times New Roman" w:cs="Times New Roman"/>
      <w:kern w:val="0"/>
      <w:lang w:eastAsia="it-IT"/>
      <w14:ligatures w14:val="none"/>
    </w:rPr>
  </w:style>
  <w:style w:type="character" w:styleId="Enfasigrassetto">
    <w:name w:val="Strong"/>
    <w:basedOn w:val="Carpredefinitoparagrafo"/>
    <w:uiPriority w:val="22"/>
    <w:qFormat/>
    <w:rsid w:val="00347567"/>
    <w:rPr>
      <w:b/>
      <w:bCs/>
    </w:rPr>
  </w:style>
  <w:style w:type="character" w:styleId="Enfasicorsivo">
    <w:name w:val="Emphasis"/>
    <w:basedOn w:val="Carpredefinitoparagrafo"/>
    <w:uiPriority w:val="20"/>
    <w:qFormat/>
    <w:rsid w:val="00347567"/>
    <w:rPr>
      <w:i/>
      <w:iCs/>
    </w:rPr>
  </w:style>
  <w:style w:type="character" w:customStyle="1" w:styleId="d813de27">
    <w:name w:val="d813de27"/>
    <w:basedOn w:val="Carpredefinitoparagrafo"/>
    <w:rsid w:val="00347567"/>
  </w:style>
  <w:style w:type="paragraph" w:styleId="PreformattatoHTML">
    <w:name w:val="HTML Preformatted"/>
    <w:basedOn w:val="Normale"/>
    <w:link w:val="PreformattatoHTMLCarattere"/>
    <w:uiPriority w:val="99"/>
    <w:semiHidden/>
    <w:unhideWhenUsed/>
    <w:rsid w:val="003475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347567"/>
    <w:rPr>
      <w:rFonts w:ascii="Courier New" w:eastAsia="Times New Roman" w:hAnsi="Courier New" w:cs="Courier New"/>
      <w:kern w:val="0"/>
      <w:sz w:val="20"/>
      <w:szCs w:val="20"/>
      <w:lang w:eastAsia="it-IT"/>
      <w14:ligatures w14:val="none"/>
    </w:rPr>
  </w:style>
  <w:style w:type="character" w:customStyle="1" w:styleId="token">
    <w:name w:val="token"/>
    <w:basedOn w:val="Carpredefinitoparagrafo"/>
    <w:rsid w:val="00347567"/>
  </w:style>
  <w:style w:type="character" w:styleId="CodiceHTML">
    <w:name w:val="HTML Code"/>
    <w:basedOn w:val="Carpredefinitoparagrafo"/>
    <w:uiPriority w:val="99"/>
    <w:semiHidden/>
    <w:unhideWhenUsed/>
    <w:rsid w:val="008E20E1"/>
    <w:rPr>
      <w:rFonts w:ascii="Courier New" w:eastAsia="Times New Roman" w:hAnsi="Courier New" w:cs="Courier New"/>
      <w:sz w:val="20"/>
      <w:szCs w:val="20"/>
    </w:rPr>
  </w:style>
  <w:style w:type="character" w:styleId="Collegamentoipertestuale">
    <w:name w:val="Hyperlink"/>
    <w:basedOn w:val="Carpredefinitoparagrafo"/>
    <w:uiPriority w:val="99"/>
    <w:unhideWhenUsed/>
    <w:rsid w:val="008E20E1"/>
    <w:rPr>
      <w:color w:val="0000FF"/>
      <w:u w:val="single"/>
    </w:rPr>
  </w:style>
  <w:style w:type="character" w:styleId="Collegamentovisitato">
    <w:name w:val="FollowedHyperlink"/>
    <w:basedOn w:val="Carpredefinitoparagrafo"/>
    <w:uiPriority w:val="99"/>
    <w:semiHidden/>
    <w:unhideWhenUsed/>
    <w:rsid w:val="008E20E1"/>
    <w:rPr>
      <w:color w:val="800080"/>
      <w:u w:val="single"/>
    </w:rPr>
  </w:style>
  <w:style w:type="character" w:styleId="Menzionenonrisolta">
    <w:name w:val="Unresolved Mention"/>
    <w:basedOn w:val="Carpredefinitoparagrafo"/>
    <w:uiPriority w:val="99"/>
    <w:semiHidden/>
    <w:unhideWhenUsed/>
    <w:rsid w:val="008E20E1"/>
    <w:rPr>
      <w:color w:val="605E5C"/>
      <w:shd w:val="clear" w:color="auto" w:fill="E1DFDD"/>
    </w:rPr>
  </w:style>
  <w:style w:type="paragraph" w:styleId="Intestazione">
    <w:name w:val="header"/>
    <w:basedOn w:val="Normale"/>
    <w:link w:val="IntestazioneCarattere"/>
    <w:uiPriority w:val="99"/>
    <w:unhideWhenUsed/>
    <w:rsid w:val="00F16AFD"/>
    <w:pPr>
      <w:tabs>
        <w:tab w:val="center" w:pos="4819"/>
        <w:tab w:val="right" w:pos="9638"/>
      </w:tabs>
      <w:spacing w:before="0"/>
    </w:pPr>
  </w:style>
  <w:style w:type="character" w:customStyle="1" w:styleId="IntestazioneCarattere">
    <w:name w:val="Intestazione Carattere"/>
    <w:basedOn w:val="Carpredefinitoparagrafo"/>
    <w:link w:val="Intestazione"/>
    <w:uiPriority w:val="99"/>
    <w:rsid w:val="00F16AFD"/>
  </w:style>
  <w:style w:type="paragraph" w:styleId="Pidipagina">
    <w:name w:val="footer"/>
    <w:basedOn w:val="Normale"/>
    <w:link w:val="PidipaginaCarattere"/>
    <w:uiPriority w:val="99"/>
    <w:unhideWhenUsed/>
    <w:rsid w:val="00F16AFD"/>
    <w:pPr>
      <w:tabs>
        <w:tab w:val="center" w:pos="4819"/>
        <w:tab w:val="right" w:pos="9638"/>
      </w:tabs>
      <w:spacing w:before="0"/>
    </w:pPr>
  </w:style>
  <w:style w:type="character" w:customStyle="1" w:styleId="PidipaginaCarattere">
    <w:name w:val="Piè di pagina Carattere"/>
    <w:basedOn w:val="Carpredefinitoparagrafo"/>
    <w:link w:val="Pidipagina"/>
    <w:uiPriority w:val="99"/>
    <w:rsid w:val="00F16AFD"/>
  </w:style>
  <w:style w:type="table" w:styleId="Grigliatabella">
    <w:name w:val="Table Grid"/>
    <w:basedOn w:val="Tabellanormale"/>
    <w:uiPriority w:val="39"/>
    <w:rsid w:val="000F12B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semiHidden/>
    <w:unhideWhenUsed/>
    <w:rsid w:val="0021188B"/>
    <w:rPr>
      <w:rFonts w:ascii="Times New Roman" w:hAnsi="Times New Roman" w:cs="Times New Roman"/>
    </w:rPr>
  </w:style>
  <w:style w:type="paragraph" w:styleId="Nessunaspaziatura">
    <w:name w:val="No Spacing"/>
    <w:uiPriority w:val="1"/>
    <w:qFormat/>
    <w:rsid w:val="001D73D2"/>
    <w:pPr>
      <w:spacing w:before="0" w:after="0"/>
    </w:pPr>
  </w:style>
  <w:style w:type="character" w:customStyle="1" w:styleId="katex-display">
    <w:name w:val="katex-display"/>
    <w:basedOn w:val="Carpredefinitoparagrafo"/>
    <w:rsid w:val="00BE67C9"/>
  </w:style>
  <w:style w:type="character" w:customStyle="1" w:styleId="katex">
    <w:name w:val="katex"/>
    <w:basedOn w:val="Carpredefinitoparagrafo"/>
    <w:rsid w:val="00BE67C9"/>
  </w:style>
  <w:style w:type="character" w:customStyle="1" w:styleId="katex-mathml">
    <w:name w:val="katex-mathml"/>
    <w:basedOn w:val="Carpredefinitoparagrafo"/>
    <w:rsid w:val="00BE67C9"/>
  </w:style>
  <w:style w:type="character" w:customStyle="1" w:styleId="katex-html">
    <w:name w:val="katex-html"/>
    <w:basedOn w:val="Carpredefinitoparagrafo"/>
    <w:rsid w:val="00BE67C9"/>
  </w:style>
  <w:style w:type="character" w:customStyle="1" w:styleId="base">
    <w:name w:val="base"/>
    <w:basedOn w:val="Carpredefinitoparagrafo"/>
    <w:rsid w:val="00BE67C9"/>
  </w:style>
  <w:style w:type="character" w:customStyle="1" w:styleId="strut">
    <w:name w:val="strut"/>
    <w:basedOn w:val="Carpredefinitoparagrafo"/>
    <w:rsid w:val="00BE67C9"/>
  </w:style>
  <w:style w:type="character" w:customStyle="1" w:styleId="mord">
    <w:name w:val="mord"/>
    <w:basedOn w:val="Carpredefinitoparagrafo"/>
    <w:rsid w:val="00BE67C9"/>
  </w:style>
  <w:style w:type="character" w:customStyle="1" w:styleId="mspace">
    <w:name w:val="mspace"/>
    <w:basedOn w:val="Carpredefinitoparagrafo"/>
    <w:rsid w:val="00BE67C9"/>
  </w:style>
  <w:style w:type="character" w:customStyle="1" w:styleId="mrel">
    <w:name w:val="mrel"/>
    <w:basedOn w:val="Carpredefinitoparagrafo"/>
    <w:rsid w:val="00BE67C9"/>
  </w:style>
  <w:style w:type="character" w:customStyle="1" w:styleId="mopen">
    <w:name w:val="mopen"/>
    <w:basedOn w:val="Carpredefinitoparagrafo"/>
    <w:rsid w:val="00BE67C9"/>
  </w:style>
  <w:style w:type="character" w:customStyle="1" w:styleId="mpunct">
    <w:name w:val="mpunct"/>
    <w:basedOn w:val="Carpredefinitoparagrafo"/>
    <w:rsid w:val="00BE67C9"/>
  </w:style>
  <w:style w:type="character" w:customStyle="1" w:styleId="msupsub">
    <w:name w:val="msupsub"/>
    <w:basedOn w:val="Carpredefinitoparagrafo"/>
    <w:rsid w:val="00BE67C9"/>
  </w:style>
  <w:style w:type="character" w:customStyle="1" w:styleId="vlist-t">
    <w:name w:val="vlist-t"/>
    <w:basedOn w:val="Carpredefinitoparagrafo"/>
    <w:rsid w:val="00BE67C9"/>
  </w:style>
  <w:style w:type="character" w:customStyle="1" w:styleId="vlist-r">
    <w:name w:val="vlist-r"/>
    <w:basedOn w:val="Carpredefinitoparagrafo"/>
    <w:rsid w:val="00BE67C9"/>
  </w:style>
  <w:style w:type="character" w:customStyle="1" w:styleId="vlist">
    <w:name w:val="vlist"/>
    <w:basedOn w:val="Carpredefinitoparagrafo"/>
    <w:rsid w:val="00BE67C9"/>
  </w:style>
  <w:style w:type="character" w:customStyle="1" w:styleId="pstrut">
    <w:name w:val="pstrut"/>
    <w:basedOn w:val="Carpredefinitoparagrafo"/>
    <w:rsid w:val="00BE67C9"/>
  </w:style>
  <w:style w:type="character" w:customStyle="1" w:styleId="sizing">
    <w:name w:val="sizing"/>
    <w:basedOn w:val="Carpredefinitoparagrafo"/>
    <w:rsid w:val="00BE67C9"/>
  </w:style>
  <w:style w:type="character" w:customStyle="1" w:styleId="mclose">
    <w:name w:val="mclose"/>
    <w:basedOn w:val="Carpredefinitoparagrafo"/>
    <w:rsid w:val="00BE67C9"/>
  </w:style>
  <w:style w:type="character" w:customStyle="1" w:styleId="vlist-s">
    <w:name w:val="vlist-s"/>
    <w:basedOn w:val="Carpredefinitoparagrafo"/>
    <w:rsid w:val="00BE67C9"/>
  </w:style>
  <w:style w:type="character" w:customStyle="1" w:styleId="minner">
    <w:name w:val="minner"/>
    <w:basedOn w:val="Carpredefinitoparagrafo"/>
    <w:rsid w:val="00BE67C9"/>
  </w:style>
  <w:style w:type="character" w:customStyle="1" w:styleId="mbin">
    <w:name w:val="mbin"/>
    <w:basedOn w:val="Carpredefinitoparagrafo"/>
    <w:rsid w:val="00BE67C9"/>
  </w:style>
  <w:style w:type="character" w:customStyle="1" w:styleId="mop">
    <w:name w:val="mop"/>
    <w:basedOn w:val="Carpredefinitoparagrafo"/>
    <w:rsid w:val="00BE67C9"/>
  </w:style>
  <w:style w:type="character" w:customStyle="1" w:styleId="thinbox">
    <w:name w:val="thinbox"/>
    <w:basedOn w:val="Carpredefinitoparagrafo"/>
    <w:rsid w:val="00BE67C9"/>
  </w:style>
  <w:style w:type="character" w:customStyle="1" w:styleId="rlap">
    <w:name w:val="rlap"/>
    <w:basedOn w:val="Carpredefinitoparagrafo"/>
    <w:rsid w:val="00BE67C9"/>
  </w:style>
  <w:style w:type="character" w:customStyle="1" w:styleId="inner">
    <w:name w:val="inner"/>
    <w:basedOn w:val="Carpredefinitoparagrafo"/>
    <w:rsid w:val="00BE67C9"/>
  </w:style>
  <w:style w:type="character" w:customStyle="1" w:styleId="fix">
    <w:name w:val="fix"/>
    <w:basedOn w:val="Carpredefinitoparagrafo"/>
    <w:rsid w:val="00BE67C9"/>
  </w:style>
  <w:style w:type="character" w:customStyle="1" w:styleId="mfrac">
    <w:name w:val="mfrac"/>
    <w:basedOn w:val="Carpredefinitoparagrafo"/>
    <w:rsid w:val="00BE67C9"/>
  </w:style>
  <w:style w:type="character" w:customStyle="1" w:styleId="frac-line">
    <w:name w:val="frac-line"/>
    <w:basedOn w:val="Carpredefinitoparagrafo"/>
    <w:rsid w:val="00BE67C9"/>
  </w:style>
  <w:style w:type="character" w:customStyle="1" w:styleId="delimsizing">
    <w:name w:val="delimsizing"/>
    <w:basedOn w:val="Carpredefinitoparagrafo"/>
    <w:rsid w:val="00BE67C9"/>
  </w:style>
  <w:style w:type="character" w:customStyle="1" w:styleId="mtable">
    <w:name w:val="mtable"/>
    <w:basedOn w:val="Carpredefinitoparagrafo"/>
    <w:rsid w:val="00913B57"/>
  </w:style>
  <w:style w:type="character" w:customStyle="1" w:styleId="col-align-l">
    <w:name w:val="col-align-l"/>
    <w:basedOn w:val="Carpredefinitoparagrafo"/>
    <w:rsid w:val="00913B57"/>
  </w:style>
  <w:style w:type="character" w:customStyle="1" w:styleId="arraycolsep">
    <w:name w:val="arraycolsep"/>
    <w:basedOn w:val="Carpredefinitoparagrafo"/>
    <w:rsid w:val="00913B57"/>
  </w:style>
  <w:style w:type="character" w:styleId="Testosegnaposto">
    <w:name w:val="Placeholder Text"/>
    <w:basedOn w:val="Carpredefinitoparagrafo"/>
    <w:uiPriority w:val="99"/>
    <w:semiHidden/>
    <w:rsid w:val="00A4229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i.heart-intelligence.earth/grpc/v1/%7Bservice%7D/%7Bmethod%7D" TargetMode="External"/><Relationship Id="rId21" Type="http://schemas.openxmlformats.org/officeDocument/2006/relationships/hyperlink" Target="https://github.com/Uwohali/hearth-prometheus-whitepaper" TargetMode="External"/><Relationship Id="rId42" Type="http://schemas.openxmlformats.org/officeDocument/2006/relationships/hyperlink" Target="https://doi.org/10.1038/nature16069" TargetMode="External"/><Relationship Id="rId47" Type="http://schemas.openxmlformats.org/officeDocument/2006/relationships/hyperlink" Target="https://doi.org/10.1038/41557" TargetMode="External"/><Relationship Id="rId63" Type="http://schemas.openxmlformats.org/officeDocument/2006/relationships/hyperlink" Target="https://livingatlas.arcgis.com/" TargetMode="External"/><Relationship Id="rId68" Type="http://schemas.openxmlformats.org/officeDocument/2006/relationships/hyperlink" Target="https://www.heartmath.org/science/" TargetMode="External"/><Relationship Id="rId2" Type="http://schemas.openxmlformats.org/officeDocument/2006/relationships/numbering" Target="numbering.xml"/><Relationship Id="rId16" Type="http://schemas.openxmlformats.org/officeDocument/2006/relationships/hyperlink" Target="https://www.wenger-trayner.com/introduction-to-communities-of-practice/?utm_source=chatgpt.com" TargetMode="External"/><Relationship Id="rId29" Type="http://schemas.openxmlformats.org/officeDocument/2006/relationships/hyperlink" Target="https://doi.org/10.1126/sciadv.adh2458" TargetMode="External"/><Relationship Id="rId11" Type="http://schemas.openxmlformats.org/officeDocument/2006/relationships/image" Target="media/image4.jpeg"/><Relationship Id="rId24" Type="http://schemas.openxmlformats.org/officeDocument/2006/relationships/hyperlink" Target="https://api.heart-intelligence.earth/v1" TargetMode="External"/><Relationship Id="rId32" Type="http://schemas.openxmlformats.org/officeDocument/2006/relationships/hyperlink" Target="https://www.stockholmresilience.org/research/planetary-boundaries.html" TargetMode="External"/><Relationship Id="rId37" Type="http://schemas.openxmlformats.org/officeDocument/2006/relationships/hyperlink" Target="https://doi.org/10.1007/BF00705143" TargetMode="External"/><Relationship Id="rId40" Type="http://schemas.openxmlformats.org/officeDocument/2006/relationships/hyperlink" Target="https://mountaintimefarm.com/pages/the-economics-of-syntropic-agroforestry" TargetMode="External"/><Relationship Id="rId45" Type="http://schemas.openxmlformats.org/officeDocument/2006/relationships/hyperlink" Target="https://doi.org/10.1007/s13593-017-0429-0" TargetMode="External"/><Relationship Id="rId53" Type="http://schemas.openxmlformats.org/officeDocument/2006/relationships/hyperlink" Target="https://coinmarketcap.com/community/articles/6908eff5babf112a65445824/" TargetMode="External"/><Relationship Id="rId58" Type="http://schemas.openxmlformats.org/officeDocument/2006/relationships/hyperlink" Target="https://www.climateactionreserve.org/" TargetMode="External"/><Relationship Id="rId66" Type="http://schemas.openxmlformats.org/officeDocument/2006/relationships/hyperlink" Target="https://dragino.com/products/agriculture-weather-station/item/335-se02-lb.html" TargetMode="External"/><Relationship Id="rId5" Type="http://schemas.openxmlformats.org/officeDocument/2006/relationships/webSettings" Target="webSettings.xml"/><Relationship Id="rId61" Type="http://schemas.openxmlformats.org/officeDocument/2006/relationships/hyperlink" Target="https://scihub.copernicus.eu/" TargetMode="External"/><Relationship Id="rId19" Type="http://schemas.openxmlformats.org/officeDocument/2006/relationships/hyperlink" Target="https://reinventingorganizationswiki.com/en/theory/evolutionary-purpose/?utm_source=chatgpt.com" TargetMode="External"/><Relationship Id="rId14" Type="http://schemas.openxmlformats.org/officeDocument/2006/relationships/hyperlink" Target="https://www.sociocracyforall.org/consent-decision-making/?utm_source=chatgpt.com" TargetMode="External"/><Relationship Id="rId22" Type="http://schemas.openxmlformats.org/officeDocument/2006/relationships/hyperlink" Target="https://www.wipo.int/en/web/madrid-system?utm_source=chatgpt.com" TargetMode="External"/><Relationship Id="rId27" Type="http://schemas.openxmlformats.org/officeDocument/2006/relationships/hyperlink" Target="https://doi.org/10.1038/461472a" TargetMode="External"/><Relationship Id="rId30" Type="http://schemas.openxmlformats.org/officeDocument/2006/relationships/hyperlink" Target="https://doi.org/10.1021/acs.est.1c04158" TargetMode="External"/><Relationship Id="rId35" Type="http://schemas.openxmlformats.org/officeDocument/2006/relationships/hyperlink" Target="https://centerforneweconomics.org/" TargetMode="External"/><Relationship Id="rId43" Type="http://schemas.openxmlformats.org/officeDocument/2006/relationships/hyperlink" Target="https://doi.org/10.1023/A:1016125726789" TargetMode="External"/><Relationship Id="rId48" Type="http://schemas.openxmlformats.org/officeDocument/2006/relationships/hyperlink" Target="https://doi.org/10.1016/j.fbr.2012.01.001" TargetMode="External"/><Relationship Id="rId56" Type="http://schemas.openxmlformats.org/officeDocument/2006/relationships/hyperlink" Target="https://www.planvivo.org/" TargetMode="External"/><Relationship Id="rId64" Type="http://schemas.openxmlformats.org/officeDocument/2006/relationships/hyperlink" Target="https://www.climatewatchdata.org/" TargetMode="External"/><Relationship Id="rId69" Type="http://schemas.openxmlformats.org/officeDocument/2006/relationships/hyperlink" Target="https://doi.org/10.1177/27536130251408821" TargetMode="External"/><Relationship Id="rId8" Type="http://schemas.openxmlformats.org/officeDocument/2006/relationships/image" Target="media/image1.jpeg"/><Relationship Id="rId51" Type="http://schemas.openxmlformats.org/officeDocument/2006/relationships/hyperlink" Target="https://developer.holochain.org/resources/glossary"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journals.sagepub.com/doi/10.2307/2666999?utm_source=chatgpt.com" TargetMode="External"/><Relationship Id="rId25" Type="http://schemas.openxmlformats.org/officeDocument/2006/relationships/hyperlink" Target="https://api.heart-intelligence.earth/graphql" TargetMode="External"/><Relationship Id="rId33" Type="http://schemas.openxmlformats.org/officeDocument/2006/relationships/hyperlink" Target="https://planetaryhealthcheck.org/" TargetMode="External"/><Relationship Id="rId38" Type="http://schemas.openxmlformats.org/officeDocument/2006/relationships/hyperlink" Target="https://doi.org/10.1007/s13593-016-0407-9" TargetMode="External"/><Relationship Id="rId46" Type="http://schemas.openxmlformats.org/officeDocument/2006/relationships/hyperlink" Target="https://doi.org/10.4161/15592324.2014.991574" TargetMode="External"/><Relationship Id="rId59" Type="http://schemas.openxmlformats.org/officeDocument/2006/relationships/hyperlink" Target="https://ozonewatch.gsfc.nasa.gov/" TargetMode="External"/><Relationship Id="rId67" Type="http://schemas.openxmlformats.org/officeDocument/2006/relationships/hyperlink" Target="https://www.thethingsnetwork.org/" TargetMode="External"/><Relationship Id="rId20" Type="http://schemas.openxmlformats.org/officeDocument/2006/relationships/hyperlink" Target="https://www.stockholmresilience.org/research/planetary-boundaries.html?utm_source=chatgpt.com" TargetMode="External"/><Relationship Id="rId41" Type="http://schemas.openxmlformats.org/officeDocument/2006/relationships/hyperlink" Target="https://doi.org/10.1126/science.1097396" TargetMode="External"/><Relationship Id="rId54" Type="http://schemas.openxmlformats.org/officeDocument/2006/relationships/hyperlink" Target="https://www.grassecon.org/food-forests" TargetMode="External"/><Relationship Id="rId62" Type="http://schemas.openxmlformats.org/officeDocument/2006/relationships/hyperlink" Target="https://earthexplorer.usgs.gov/" TargetMode="External"/><Relationship Id="rId70" Type="http://schemas.openxmlformats.org/officeDocument/2006/relationships/hyperlink" Target="https://github.com/Uwohali/hearth-prometheus-whitepap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ctu-environnement.com/media/pdf/ostrom_1990.pdf?utm_source=chatgpt.com" TargetMode="External"/><Relationship Id="rId23" Type="http://schemas.openxmlformats.org/officeDocument/2006/relationships/hyperlink" Target="https://github.com/Uwohali/hearth-prometheus-whitepaper" TargetMode="External"/><Relationship Id="rId28" Type="http://schemas.openxmlformats.org/officeDocument/2006/relationships/hyperlink" Target="https://doi.org/10.1126/science.1259855" TargetMode="External"/><Relationship Id="rId36" Type="http://schemas.openxmlformats.org/officeDocument/2006/relationships/hyperlink" Target="https://agendagotsch.com/en/our-videos/" TargetMode="External"/><Relationship Id="rId49" Type="http://schemas.openxmlformats.org/officeDocument/2006/relationships/hyperlink" Target="https://holochain.org/" TargetMode="External"/><Relationship Id="rId57" Type="http://schemas.openxmlformats.org/officeDocument/2006/relationships/hyperlink" Target="https://a4ws.org/" TargetMode="External"/><Relationship Id="rId10" Type="http://schemas.openxmlformats.org/officeDocument/2006/relationships/image" Target="media/image3.jpeg"/><Relationship Id="rId31" Type="http://schemas.openxmlformats.org/officeDocument/2006/relationships/hyperlink" Target="https://doi.org/10.1038/s43017-022-00287-8" TargetMode="External"/><Relationship Id="rId44" Type="http://schemas.openxmlformats.org/officeDocument/2006/relationships/hyperlink" Target="https://doi.org/10.1038/nature13855" TargetMode="External"/><Relationship Id="rId52" Type="http://schemas.openxmlformats.org/officeDocument/2006/relationships/hyperlink" Target="https://coinmarketcap.com/academy/glossary/regenerative-finance-refi" TargetMode="External"/><Relationship Id="rId60" Type="http://schemas.openxmlformats.org/officeDocument/2006/relationships/hyperlink" Target="https://gml.noaa.gov/" TargetMode="External"/><Relationship Id="rId65" Type="http://schemas.openxmlformats.org/officeDocument/2006/relationships/hyperlink" Target="https://unsloth.ai/"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s://www.wired.com/2009/02/ted-seth-godin?utm_source=chatgpt.com" TargetMode="External"/><Relationship Id="rId18" Type="http://schemas.openxmlformats.org/officeDocument/2006/relationships/hyperlink" Target="https://selfdeterminationtheory.org/SDT/documents/2000_RyanDeci_SDT.pdf" TargetMode="External"/><Relationship Id="rId39" Type="http://schemas.openxmlformats.org/officeDocument/2006/relationships/hyperlink" Target="https://doi.org/10.1007/978-3-319-26777-7_4" TargetMode="External"/><Relationship Id="rId34" Type="http://schemas.openxmlformats.org/officeDocument/2006/relationships/hyperlink" Target="https://capitalinstitute.org/wp-content/uploads/2015/04/2015-Regenerative-Capitalism-4-20-15-final.pdf" TargetMode="External"/><Relationship Id="rId50" Type="http://schemas.openxmlformats.org/officeDocument/2006/relationships/hyperlink" Target="https://developer.holochain.org/" TargetMode="External"/><Relationship Id="rId55" Type="http://schemas.openxmlformats.org/officeDocument/2006/relationships/hyperlink" Target="https://verra.org/methodologies/" TargetMode="External"/><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6EB6B-BC29-4277-8676-F49A4F1D0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1101</Pages>
  <Words>195711</Words>
  <Characters>1115553</Characters>
  <Application>Microsoft Office Word</Application>
  <DocSecurity>0</DocSecurity>
  <Lines>9296</Lines>
  <Paragraphs>2617</Paragraphs>
  <ScaleCrop>false</ScaleCrop>
  <Manager>Uwohali Tuccio</Manager>
  <Company>Permaculture DAO LLC</Company>
  <LinksUpToDate>false</LinksUpToDate>
  <CharactersWithSpaces>1308647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h•eart•h Prometheus — Regenerative Infrastructure for a Living Economy</dc:title>
  <dc:subject>Verified Regeneration as a Candidate Investable Real-World Asset Class</dc:subject>
  <dc:creator>h•eart•h intelligence initiative</dc:creator>
  <cp:keywords>Prometheus, regenerative infrastructure, MRV, PRU, Holochain, Valueflows, OHE, RAP</cp:keywords>
  <dc:description>Canonical institutional release</dc:description>
  <cp:lastModifiedBy>Giovanni Tuccio</cp:lastModifiedBy>
  <cp:revision>99</cp:revision>
  <dcterms:created xsi:type="dcterms:W3CDTF">2026-05-29T06:22:00Z</dcterms:created>
  <dcterms:modified xsi:type="dcterms:W3CDTF">2026-06-05T12:59:00Z</dcterms:modified>
</cp:coreProperties>
</file>